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5"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1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Exchange Act of 1934</w:t>
      </w:r>
    </w:p>
    <w:p>
      <w:pPr>
        <w:jc w:val="center"/>
        <w:ind w:right="-1100"/>
        <w:spacing w:after="0"/>
        <w:tabs>
          <w:tab w:leader="none" w:pos="24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1" w:lineRule="exact"/>
        <w:rPr>
          <w:sz w:val="24"/>
          <w:szCs w:val="24"/>
          <w:color w:val="auto"/>
        </w:rPr>
      </w:pPr>
    </w:p>
    <w:p>
      <w:pPr>
        <w:ind w:left="120"/>
        <w:spacing w:after="0" w:line="196" w:lineRule="exact"/>
        <w:tabs>
          <w:tab w:leader="none" w:pos="278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67" w:lineRule="exact"/>
        <w:rPr>
          <w:sz w:val="24"/>
          <w:szCs w:val="24"/>
          <w:color w:val="auto"/>
        </w:rPr>
      </w:pPr>
    </w:p>
    <w:p>
      <w:pPr>
        <w:ind w:left="120"/>
        <w:spacing w:after="0"/>
        <w:rPr>
          <w:sz w:val="20"/>
          <w:szCs w:val="20"/>
          <w:color w:val="auto"/>
        </w:rPr>
      </w:pPr>
      <w:r>
        <w:rPr>
          <w:rFonts w:ascii="Arial" w:cs="Arial" w:eastAsia="Arial" w:hAnsi="Arial"/>
          <w:sz w:val="17"/>
          <w:szCs w:val="17"/>
          <w:color w:val="auto"/>
        </w:rPr>
        <w:t>Check the appropriate box:</w:t>
      </w:r>
    </w:p>
    <w:p>
      <w:pPr>
        <w:spacing w:after="0" w:line="142" w:lineRule="exact"/>
        <w:rPr>
          <w:sz w:val="24"/>
          <w:szCs w:val="24"/>
          <w:color w:val="auto"/>
        </w:rPr>
      </w:pPr>
    </w:p>
    <w:p>
      <w:pPr>
        <w:ind w:left="560" w:hanging="444"/>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5" w:lineRule="exact"/>
        <w:rPr>
          <w:rFonts w:ascii="MS PGothic" w:cs="MS PGothic" w:eastAsia="MS PGothic" w:hAnsi="MS PGothic"/>
          <w:sz w:val="17"/>
          <w:szCs w:val="17"/>
          <w:color w:val="auto"/>
        </w:rPr>
      </w:pPr>
    </w:p>
    <w:p>
      <w:pPr>
        <w:ind w:left="560" w:hanging="444"/>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0" w:lineRule="exact"/>
        <w:rPr>
          <w:rFonts w:ascii="MS PGothic" w:cs="MS PGothic" w:eastAsia="MS PGothic" w:hAnsi="MS PGothic"/>
          <w:sz w:val="17"/>
          <w:szCs w:val="17"/>
          <w:color w:val="auto"/>
        </w:rPr>
      </w:pPr>
    </w:p>
    <w:p>
      <w:pPr>
        <w:ind w:left="12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25" w:lineRule="exact"/>
        <w:rPr>
          <w:rFonts w:ascii="MS PGothic" w:cs="MS PGothic" w:eastAsia="MS PGothic" w:hAnsi="MS PGothic"/>
          <w:sz w:val="17"/>
          <w:szCs w:val="17"/>
          <w:color w:val="auto"/>
        </w:rPr>
      </w:pPr>
    </w:p>
    <w:p>
      <w:pPr>
        <w:ind w:left="560" w:hanging="444"/>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20" w:lineRule="exact"/>
        <w:rPr>
          <w:rFonts w:ascii="MS PGothic" w:cs="MS PGothic" w:eastAsia="MS PGothic" w:hAnsi="MS PGothic"/>
          <w:sz w:val="17"/>
          <w:szCs w:val="17"/>
          <w:color w:val="auto"/>
        </w:rPr>
      </w:pPr>
    </w:p>
    <w:p>
      <w:pPr>
        <w:ind w:left="560" w:hanging="444"/>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 240.14a-12</w:t>
      </w:r>
    </w:p>
    <w:p>
      <w:pPr>
        <w:spacing w:after="0" w:line="54"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auto"/>
        </w:rPr>
        <w:t>ROPER TECHNOLOGIES, INC.</w:t>
      </w:r>
    </w:p>
    <w:p>
      <w:pPr>
        <w:spacing w:after="0" w:line="5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(Formerly Roper Industries, Inc.)</w:t>
      </w: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99"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16" w:lineRule="exact"/>
        <w:rPr>
          <w:sz w:val="24"/>
          <w:szCs w:val="24"/>
          <w:color w:val="auto"/>
        </w:rPr>
      </w:pPr>
    </w:p>
    <w:p>
      <w:pPr>
        <w:ind w:left="120"/>
        <w:spacing w:after="0"/>
        <w:rPr>
          <w:sz w:val="20"/>
          <w:szCs w:val="20"/>
          <w:color w:val="auto"/>
        </w:rPr>
      </w:pPr>
      <w:r>
        <w:rPr>
          <w:rFonts w:ascii="Arial" w:cs="Arial" w:eastAsia="Arial" w:hAnsi="Arial"/>
          <w:sz w:val="17"/>
          <w:szCs w:val="17"/>
          <w:color w:val="auto"/>
        </w:rPr>
        <w:t>Payment of Filing Fee (Check all boxes that apply):</w:t>
      </w:r>
    </w:p>
    <w:p>
      <w:pPr>
        <w:spacing w:after="0" w:line="115" w:lineRule="exact"/>
        <w:rPr>
          <w:sz w:val="24"/>
          <w:szCs w:val="24"/>
          <w:color w:val="auto"/>
        </w:rPr>
      </w:pPr>
    </w:p>
    <w:p>
      <w:pPr>
        <w:ind w:left="420" w:hanging="304"/>
        <w:spacing w:after="0"/>
        <w:tabs>
          <w:tab w:leader="none" w:pos="4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42" w:lineRule="exact"/>
        <w:rPr>
          <w:sz w:val="24"/>
          <w:szCs w:val="24"/>
          <w:color w:val="auto"/>
        </w:rPr>
      </w:pPr>
    </w:p>
    <w:p>
      <w:pPr>
        <w:ind w:left="420" w:hanging="304"/>
        <w:spacing w:after="0"/>
        <w:tabs>
          <w:tab w:leader="none" w:pos="4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42" w:lineRule="exact"/>
        <w:rPr>
          <w:rFonts w:ascii="MS PGothic" w:cs="MS PGothic" w:eastAsia="MS PGothic" w:hAnsi="MS PGothic"/>
          <w:sz w:val="17"/>
          <w:szCs w:val="17"/>
          <w:color w:val="auto"/>
        </w:rPr>
      </w:pPr>
    </w:p>
    <w:p>
      <w:pPr>
        <w:ind w:left="420" w:hanging="304"/>
        <w:spacing w:after="0"/>
        <w:tabs>
          <w:tab w:leader="none" w:pos="4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128270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434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97"/>
        </w:trPr>
        <w:tc>
          <w:tcPr>
            <w:tcW w:w="5700" w:type="dxa"/>
            <w:vAlign w:val="bottom"/>
            <w:gridSpan w:val="2"/>
          </w:tcPr>
          <w:p>
            <w:pPr>
              <w:ind w:left="120"/>
              <w:spacing w:after="0"/>
              <w:rPr>
                <w:sz w:val="20"/>
                <w:szCs w:val="20"/>
                <w:color w:val="auto"/>
              </w:rPr>
            </w:pPr>
            <w:r>
              <w:rPr>
                <w:rFonts w:ascii="Arial" w:cs="Arial" w:eastAsia="Arial" w:hAnsi="Arial"/>
                <w:sz w:val="18"/>
                <w:szCs w:val="18"/>
                <w:b w:val="1"/>
                <w:bCs w:val="1"/>
                <w:color w:val="auto"/>
              </w:rPr>
              <w:t>6901 Professional Parkway</w:t>
            </w:r>
          </w:p>
        </w:tc>
        <w:tc>
          <w:tcPr>
            <w:tcW w:w="4640" w:type="dxa"/>
            <w:vAlign w:val="bottom"/>
          </w:tcPr>
          <w:p>
            <w:pPr>
              <w:jc w:val="right"/>
              <w:spacing w:after="0"/>
              <w:rPr>
                <w:sz w:val="20"/>
                <w:szCs w:val="20"/>
                <w:color w:val="auto"/>
              </w:rPr>
            </w:pPr>
            <w:r>
              <w:rPr>
                <w:rFonts w:ascii="Arial" w:cs="Arial" w:eastAsia="Arial" w:hAnsi="Arial"/>
                <w:sz w:val="18"/>
                <w:szCs w:val="18"/>
                <w:b w:val="1"/>
                <w:bCs w:val="1"/>
                <w:color w:val="auto"/>
              </w:rPr>
              <w:t>Telephone (941)</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556-2601</w:t>
            </w:r>
          </w:p>
        </w:tc>
      </w:tr>
      <w:tr>
        <w:trPr>
          <w:trHeight w:val="203"/>
        </w:trPr>
        <w:tc>
          <w:tcPr>
            <w:tcW w:w="570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auto"/>
              </w:rPr>
              <w:t>Suite 200</w:t>
            </w:r>
          </w:p>
        </w:tc>
        <w:tc>
          <w:tcPr>
            <w:tcW w:w="4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Fax (941)</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556-2670</w:t>
            </w:r>
          </w:p>
        </w:tc>
      </w:tr>
      <w:tr>
        <w:trPr>
          <w:trHeight w:val="239"/>
        </w:trPr>
        <w:tc>
          <w:tcPr>
            <w:tcW w:w="5700" w:type="dxa"/>
            <w:vAlign w:val="bottom"/>
            <w:gridSpan w:val="2"/>
          </w:tcPr>
          <w:p>
            <w:pPr>
              <w:ind w:left="120"/>
              <w:spacing w:after="0"/>
              <w:rPr>
                <w:sz w:val="20"/>
                <w:szCs w:val="20"/>
                <w:color w:val="auto"/>
              </w:rPr>
            </w:pPr>
            <w:r>
              <w:rPr>
                <w:rFonts w:ascii="Arial" w:cs="Arial" w:eastAsia="Arial" w:hAnsi="Arial"/>
                <w:sz w:val="18"/>
                <w:szCs w:val="18"/>
                <w:b w:val="1"/>
                <w:bCs w:val="1"/>
                <w:color w:val="auto"/>
              </w:rPr>
              <w:t>Sarasota, Florida 34240</w:t>
            </w:r>
          </w:p>
        </w:tc>
        <w:tc>
          <w:tcPr>
            <w:tcW w:w="464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-393700</wp:posOffset>
            </wp:positionV>
            <wp:extent cx="1019810"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19810" cy="411480"/>
                    </a:xfrm>
                    <a:prstGeom prst="rect">
                      <a:avLst/>
                    </a:prstGeom>
                    <a:noFill/>
                  </pic:spPr>
                </pic:pic>
              </a:graphicData>
            </a:graphic>
          </wp:anchor>
        </w:drawing>
      </w:r>
    </w:p>
    <w:p>
      <w:pPr>
        <w:spacing w:after="0" w:line="123"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Roper Technologies, Inc.</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29, 2022</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Dear Fellow Shareholders:</w:t>
      </w:r>
    </w:p>
    <w:p>
      <w:pPr>
        <w:spacing w:after="0" w:line="102"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As your Board of Directors, we oversee Roper’s efforts to continually create long-term value for you by efficiently executing our strategy through prudent risk management, disciplined capital deployment, sound strategic thinking, operational rigor, performance-driven compensation programs, effective talent and succession planning, adherence to the highest ethical standards and levels of integrity, and continual review and refinement of the Board’s governance practices.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 for Long-Term and Elite Value Creation for Shareholders</w:t>
      </w:r>
    </w:p>
    <w:p>
      <w:pPr>
        <w:spacing w:after="0" w:line="120"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Over the past fifteen years, our shareholders earned a compound annual return of 17.1% and a total shareholder return of 969.0%, over two and a half times the total return of the S&amp;P 500 of 356.8%. Over the past decade Roper has delivered an even better 19.6% compound annual return to shareholders.</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long history of superior shareholder returns is the result of Roper’s simple, yet powerful strategy:</w:t>
      </w:r>
    </w:p>
    <w:p>
      <w:pPr>
        <w:spacing w:after="0" w:line="95" w:lineRule="exact"/>
        <w:rPr>
          <w:sz w:val="20"/>
          <w:szCs w:val="20"/>
          <w:color w:val="auto"/>
        </w:rPr>
      </w:pPr>
    </w:p>
    <w:p>
      <w:pPr>
        <w:ind w:left="340" w:right="140" w:hanging="224"/>
        <w:spacing w:after="0" w:line="241"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Cash Generation Through Operating Excellence: </w:t>
      </w:r>
      <w:r>
        <w:rPr>
          <w:rFonts w:ascii="Arial" w:cs="Arial" w:eastAsia="Arial" w:hAnsi="Arial"/>
          <w:sz w:val="17"/>
          <w:szCs w:val="17"/>
          <w:color w:val="auto"/>
        </w:rPr>
        <w:t>Our enterprise consists of niche, asset-light businesses with leading solutions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technologies that generate significant free cash flow, enabling future investments for sustainable and long-term growth. Operating excellence, underpinned by our strategic focus on intellectual capital, product development, go-to-market strategies, and a high degree of customer intimacy drives cash generation which, in 2021, resulted in another strong year of performance for adjusted operating cash flow and adjusted free cash flow, which increased 20% and 19%, respectively.</w:t>
      </w:r>
    </w:p>
    <w:p>
      <w:pPr>
        <w:spacing w:after="0" w:line="85" w:lineRule="exact"/>
        <w:rPr>
          <w:rFonts w:ascii="Arial" w:cs="Arial" w:eastAsia="Arial" w:hAnsi="Arial"/>
          <w:sz w:val="17"/>
          <w:szCs w:val="17"/>
          <w:color w:val="auto"/>
        </w:rPr>
      </w:pPr>
    </w:p>
    <w:p>
      <w:pPr>
        <w:ind w:left="340" w:right="80" w:hanging="224"/>
        <w:spacing w:after="0" w:line="239"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Disciplined Capital Deployment: </w:t>
      </w:r>
      <w:r>
        <w:rPr>
          <w:rFonts w:ascii="Arial" w:cs="Arial" w:eastAsia="Arial" w:hAnsi="Arial"/>
          <w:sz w:val="17"/>
          <w:szCs w:val="17"/>
          <w:color w:val="auto"/>
        </w:rPr>
        <w:t>We have a unique and disciplined capital deployment model that has guided the successful investment of</w:t>
      </w:r>
      <w:r>
        <w:rPr>
          <w:rFonts w:ascii="Arial" w:cs="Arial" w:eastAsia="Arial" w:hAnsi="Arial"/>
          <w:sz w:val="17"/>
          <w:szCs w:val="17"/>
          <w:b w:val="1"/>
          <w:bCs w:val="1"/>
          <w:color w:val="auto"/>
        </w:rPr>
        <w:t xml:space="preserve"> </w:t>
      </w:r>
      <w:r>
        <w:rPr>
          <w:rFonts w:ascii="Arial" w:cs="Arial" w:eastAsia="Arial" w:hAnsi="Arial"/>
          <w:sz w:val="17"/>
          <w:szCs w:val="17"/>
          <w:color w:val="auto"/>
        </w:rPr>
        <w:t>billions of dollars into additional businesses becoming part of the Roper portfolio. Unlike many companies that use cash to pay large dividends and buy back shares, Roper deploys the vast majority of its available cash to acquire new businesses to fuel compounding cash flow growth and value creation for shareholders. In 2021, we focused on delivering on our commitment to reducing our debt as a result of our significant capital deployment in 2020. Unrelated, we also reached agreements to divest three of our businesses, CIVCO Radiotherapy, TransCore and Zetec. As a result, we entered 2022 poised to deploy substantial capital towards our acquisition strategy.</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Board’s Role in Roper’s Success</w:t>
      </w:r>
    </w:p>
    <w:p>
      <w:pPr>
        <w:spacing w:after="0" w:line="120"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Board contributes significantly to Roper’s strong performance. As directors, each of us commits to the extensive time obligation and rigorous workload required to serve on Roper’s Board, including participation in at least 15 days of Board meetings each year. We continually monitor the existing portfolio of Roper businesses, review capital deployment opportunities, and carefully examine the ways Roper can create additional value for shareholders. Between Board meetings, we continue our discussions with management and each other, enabling the Company to draw from our broad experiences and expertise.</w:t>
      </w:r>
    </w:p>
    <w:p>
      <w:pPr>
        <w:spacing w:after="0" w:line="204" w:lineRule="exact"/>
        <w:rPr>
          <w:sz w:val="20"/>
          <w:szCs w:val="20"/>
          <w:color w:val="auto"/>
        </w:rPr>
      </w:pPr>
    </w:p>
    <w:p>
      <w:pPr>
        <w:ind w:left="120" w:right="400"/>
        <w:spacing w:after="0" w:line="243" w:lineRule="auto"/>
        <w:rPr>
          <w:sz w:val="20"/>
          <w:szCs w:val="20"/>
          <w:color w:val="auto"/>
        </w:rPr>
      </w:pPr>
      <w:r>
        <w:rPr>
          <w:rFonts w:ascii="Arial" w:cs="Arial" w:eastAsia="Arial" w:hAnsi="Arial"/>
          <w:sz w:val="17"/>
          <w:szCs w:val="17"/>
          <w:color w:val="auto"/>
        </w:rPr>
        <w:t>Our direct involvement in and deep understanding of the Company allows us to address a multitude of issues, including acquisition selection, capital deployment, and succession planning, while sustaining Roper’s successful culture and business model.</w:t>
      </w:r>
    </w:p>
    <w:p>
      <w:pPr>
        <w:sectPr>
          <w:pgSz w:w="11900" w:h="16838" w:orient="portrait"/>
          <w:cols w:equalWidth="0" w:num="1">
            <w:col w:w="11140"/>
          </w:cols>
          <w:pgMar w:left="320" w:top="446"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Governance and Other Best Practices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Roper remains committed to strong corporate governance as demonstrated by the following practices:</w:t>
      </w:r>
    </w:p>
    <w:p>
      <w:pPr>
        <w:spacing w:after="0" w:line="95" w:lineRule="exact"/>
        <w:rPr>
          <w:sz w:val="20"/>
          <w:szCs w:val="20"/>
          <w:color w:val="auto"/>
        </w:rPr>
      </w:pPr>
    </w:p>
    <w:p>
      <w:pPr>
        <w:ind w:left="340" w:hanging="224"/>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Declassified Board. </w:t>
      </w:r>
      <w:r>
        <w:rPr>
          <w:rFonts w:ascii="Arial" w:cs="Arial" w:eastAsia="Arial" w:hAnsi="Arial"/>
          <w:sz w:val="17"/>
          <w:szCs w:val="17"/>
          <w:color w:val="auto"/>
        </w:rPr>
        <w:t>Our directors are elected annually.</w:t>
      </w:r>
    </w:p>
    <w:p>
      <w:pPr>
        <w:spacing w:after="0" w:line="115" w:lineRule="exact"/>
        <w:rPr>
          <w:rFonts w:ascii="Arial" w:cs="Arial" w:eastAsia="Arial" w:hAnsi="Arial"/>
          <w:sz w:val="17"/>
          <w:szCs w:val="17"/>
          <w:color w:val="auto"/>
        </w:rPr>
      </w:pPr>
    </w:p>
    <w:p>
      <w:pPr>
        <w:ind w:left="340" w:right="680" w:hanging="224"/>
        <w:spacing w:after="0" w:line="267"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Majority Voting for Directors. </w:t>
      </w:r>
      <w:r>
        <w:rPr>
          <w:rFonts w:ascii="Arial" w:cs="Arial" w:eastAsia="Arial" w:hAnsi="Arial"/>
          <w:sz w:val="17"/>
          <w:szCs w:val="17"/>
          <w:color w:val="auto"/>
        </w:rPr>
        <w:t>Our By-laws require the resignation of incumbent directors who fail to obtain a majority of votes cast in</w:t>
      </w:r>
      <w:r>
        <w:rPr>
          <w:rFonts w:ascii="Arial" w:cs="Arial" w:eastAsia="Arial" w:hAnsi="Arial"/>
          <w:sz w:val="17"/>
          <w:szCs w:val="17"/>
          <w:b w:val="1"/>
          <w:bCs w:val="1"/>
          <w:color w:val="auto"/>
        </w:rPr>
        <w:t xml:space="preserve"> </w:t>
      </w:r>
      <w:r>
        <w:rPr>
          <w:rFonts w:ascii="Arial" w:cs="Arial" w:eastAsia="Arial" w:hAnsi="Arial"/>
          <w:sz w:val="17"/>
          <w:szCs w:val="17"/>
          <w:color w:val="auto"/>
        </w:rPr>
        <w:t>uncontested elections.</w:t>
      </w:r>
    </w:p>
    <w:p>
      <w:pPr>
        <w:spacing w:after="0" w:line="64" w:lineRule="exact"/>
        <w:rPr>
          <w:rFonts w:ascii="Arial" w:cs="Arial" w:eastAsia="Arial" w:hAnsi="Arial"/>
          <w:sz w:val="17"/>
          <w:szCs w:val="17"/>
          <w:color w:val="auto"/>
        </w:rPr>
      </w:pPr>
    </w:p>
    <w:p>
      <w:pPr>
        <w:ind w:left="340" w:hanging="224"/>
        <w:spacing w:after="0" w:line="249"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Proxy Access. </w:t>
      </w:r>
      <w:r>
        <w:rPr>
          <w:rFonts w:ascii="Arial" w:cs="Arial" w:eastAsia="Arial" w:hAnsi="Arial"/>
          <w:sz w:val="17"/>
          <w:szCs w:val="17"/>
          <w:color w:val="auto"/>
        </w:rPr>
        <w:t>Our By-laws permit a shareholder, or a group of up to 20 shareholders, that has owned at least 3% of our outstanding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continuously for at least three years to nominate and include in our proxy materials up to the greater of two directors or 20% of the number of our directors then in office.</w:t>
      </w:r>
    </w:p>
    <w:p>
      <w:pPr>
        <w:spacing w:after="0" w:line="80" w:lineRule="exact"/>
        <w:rPr>
          <w:rFonts w:ascii="Arial" w:cs="Arial" w:eastAsia="Arial" w:hAnsi="Arial"/>
          <w:sz w:val="17"/>
          <w:szCs w:val="17"/>
          <w:color w:val="auto"/>
        </w:rPr>
      </w:pPr>
    </w:p>
    <w:p>
      <w:pPr>
        <w:ind w:left="340" w:hanging="224"/>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Independent Chair of the Board. </w:t>
      </w:r>
      <w:r>
        <w:rPr>
          <w:rFonts w:ascii="Arial" w:cs="Arial" w:eastAsia="Arial" w:hAnsi="Arial"/>
          <w:sz w:val="17"/>
          <w:szCs w:val="17"/>
          <w:color w:val="auto"/>
        </w:rPr>
        <w:t>Amy Woods Brinkley became the Independent Chair of the Board on June 1, 2021.</w:t>
      </w:r>
    </w:p>
    <w:p>
      <w:pPr>
        <w:spacing w:after="0" w:line="115" w:lineRule="exact"/>
        <w:rPr>
          <w:rFonts w:ascii="Arial" w:cs="Arial" w:eastAsia="Arial" w:hAnsi="Arial"/>
          <w:sz w:val="17"/>
          <w:szCs w:val="17"/>
          <w:color w:val="auto"/>
        </w:rPr>
      </w:pPr>
    </w:p>
    <w:p>
      <w:pPr>
        <w:ind w:left="340" w:right="220" w:hanging="224"/>
        <w:spacing w:after="0" w:line="249"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Executive Compensation Alignment with Shareholders. </w:t>
      </w:r>
      <w:r>
        <w:rPr>
          <w:rFonts w:ascii="Arial" w:cs="Arial" w:eastAsia="Arial" w:hAnsi="Arial"/>
          <w:sz w:val="17"/>
          <w:szCs w:val="17"/>
          <w:color w:val="auto"/>
        </w:rPr>
        <w:t>Because our shareholder value creation is derived from the Roper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team’s capital deployment strategy and ability to operate a broad portfolio of businesses, our executives must possess a unique set of skills. We continue to refine our executive compensation practices to maintain close alignment with shareholder interests.</w:t>
      </w:r>
    </w:p>
    <w:p>
      <w:pPr>
        <w:spacing w:after="0" w:line="80" w:lineRule="exact"/>
        <w:rPr>
          <w:rFonts w:ascii="Arial" w:cs="Arial" w:eastAsia="Arial" w:hAnsi="Arial"/>
          <w:sz w:val="17"/>
          <w:szCs w:val="17"/>
          <w:color w:val="auto"/>
        </w:rPr>
      </w:pPr>
    </w:p>
    <w:p>
      <w:pPr>
        <w:ind w:left="340" w:right="900" w:hanging="224"/>
        <w:spacing w:after="0" w:line="267"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Pay for Performance. </w:t>
      </w:r>
      <w:r>
        <w:rPr>
          <w:rFonts w:ascii="Arial" w:cs="Arial" w:eastAsia="Arial" w:hAnsi="Arial"/>
          <w:sz w:val="17"/>
          <w:szCs w:val="17"/>
          <w:color w:val="auto"/>
        </w:rPr>
        <w:t>Similar to prior years, in 2021, total direct compensation at target that was at risk and tied to stock price and</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objectives was 95% for the CEO, and 88% on average for our other named executive officers.</w:t>
      </w:r>
    </w:p>
    <w:p>
      <w:pPr>
        <w:spacing w:after="0" w:line="64" w:lineRule="exact"/>
        <w:rPr>
          <w:rFonts w:ascii="Arial" w:cs="Arial" w:eastAsia="Arial" w:hAnsi="Arial"/>
          <w:sz w:val="17"/>
          <w:szCs w:val="17"/>
          <w:color w:val="auto"/>
        </w:rPr>
      </w:pPr>
    </w:p>
    <w:p>
      <w:pPr>
        <w:ind w:left="340" w:right="160" w:hanging="224"/>
        <w:spacing w:after="0" w:line="267"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Diverse Board Membership. </w:t>
      </w:r>
      <w:r>
        <w:rPr>
          <w:rFonts w:ascii="Arial" w:cs="Arial" w:eastAsia="Arial" w:hAnsi="Arial"/>
          <w:sz w:val="17"/>
          <w:szCs w:val="17"/>
          <w:color w:val="auto"/>
        </w:rPr>
        <w:t>44% of directors nominated for election are women and 22% are racially/ethnically diverse. In addition, 75% of</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chairs are women, as is our Independent Chair of the Board.</w:t>
      </w:r>
    </w:p>
    <w:p>
      <w:pPr>
        <w:spacing w:after="0" w:line="64" w:lineRule="exact"/>
        <w:rPr>
          <w:rFonts w:ascii="Arial" w:cs="Arial" w:eastAsia="Arial" w:hAnsi="Arial"/>
          <w:sz w:val="17"/>
          <w:szCs w:val="17"/>
          <w:color w:val="auto"/>
        </w:rPr>
      </w:pPr>
    </w:p>
    <w:p>
      <w:pPr>
        <w:ind w:left="340" w:right="380" w:hanging="224"/>
        <w:spacing w:after="0" w:line="267"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Clear Oversight of ESG and Human Capital Management. </w:t>
      </w:r>
      <w:r>
        <w:rPr>
          <w:rFonts w:ascii="Arial" w:cs="Arial" w:eastAsia="Arial" w:hAnsi="Arial"/>
          <w:sz w:val="17"/>
          <w:szCs w:val="17"/>
          <w:color w:val="auto"/>
        </w:rPr>
        <w:t>The Nominating and Governance Committee has oversight responsibility for</w:t>
      </w:r>
      <w:r>
        <w:rPr>
          <w:rFonts w:ascii="Arial" w:cs="Arial" w:eastAsia="Arial" w:hAnsi="Arial"/>
          <w:sz w:val="17"/>
          <w:szCs w:val="17"/>
          <w:b w:val="1"/>
          <w:bCs w:val="1"/>
          <w:color w:val="auto"/>
        </w:rPr>
        <w:t xml:space="preserve"> </w:t>
      </w:r>
      <w:r>
        <w:rPr>
          <w:rFonts w:ascii="Arial" w:cs="Arial" w:eastAsia="Arial" w:hAnsi="Arial"/>
          <w:sz w:val="17"/>
          <w:szCs w:val="17"/>
          <w:color w:val="auto"/>
        </w:rPr>
        <w:t>matters related to Environmental, Social, and Governance (ESG) and Human Capital Management.</w:t>
      </w:r>
    </w:p>
    <w:p>
      <w:pPr>
        <w:spacing w:after="0" w:line="64" w:lineRule="exact"/>
        <w:rPr>
          <w:rFonts w:ascii="Arial" w:cs="Arial" w:eastAsia="Arial" w:hAnsi="Arial"/>
          <w:sz w:val="17"/>
          <w:szCs w:val="17"/>
          <w:color w:val="auto"/>
        </w:rPr>
      </w:pPr>
    </w:p>
    <w:p>
      <w:pPr>
        <w:ind w:left="340" w:hanging="224"/>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Shareholder Outreach Program. </w:t>
      </w:r>
      <w:r>
        <w:rPr>
          <w:rFonts w:ascii="Arial" w:cs="Arial" w:eastAsia="Arial" w:hAnsi="Arial"/>
          <w:sz w:val="17"/>
          <w:szCs w:val="17"/>
          <w:color w:val="auto"/>
        </w:rPr>
        <w:t>Roper’s senior management team regularly engages shareholders for feedback.</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Inaugural ESG Report</w:t>
      </w:r>
    </w:p>
    <w:p>
      <w:pPr>
        <w:spacing w:after="0" w:line="120"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In April 2022, we published our first comprehensive enterprise-wide ESG Report. In the report we provide an overview of the issues of importance to our stakeholders, disclose data regarding our performance in these areas, highlight some of the impactful activities already in place in our 43 businesses, and identify areas where we aspire to improve. Though we are at the beginning of our ESG journey, and recognize we have more work to do, we are confident in our ability to drive improvements and meet the ESG expectations of our stakeholders.</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Open Communications With Our Shareholders</w:t>
      </w:r>
    </w:p>
    <w:p>
      <w:pPr>
        <w:spacing w:after="0" w:line="120"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We value your continued support and input. Please continue to share your comments with us on any topic. Communications may be addressed to the directors in care of the Corporate Secretary, Roper Technologies, Inc., 6901 Professional Parkway, Suite 200, Sarasota, Florida 34240.</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Sincerely,</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302895</wp:posOffset>
            </wp:positionV>
            <wp:extent cx="5220335" cy="488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203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00"/>
        <w:spacing w:after="0"/>
        <w:tabs>
          <w:tab w:leader="none" w:pos="5060" w:val="left"/>
          <w:tab w:leader="none" w:pos="8100" w:val="left"/>
        </w:tabs>
        <w:rPr>
          <w:sz w:val="20"/>
          <w:szCs w:val="20"/>
          <w:color w:val="auto"/>
        </w:rPr>
      </w:pPr>
      <w:r>
        <w:rPr>
          <w:rFonts w:ascii="Arial" w:cs="Arial" w:eastAsia="Arial" w:hAnsi="Arial"/>
          <w:sz w:val="18"/>
          <w:szCs w:val="18"/>
          <w:b w:val="1"/>
          <w:bCs w:val="1"/>
          <w:color w:val="auto"/>
        </w:rPr>
        <w:t>Shellye L. Archambeau</w:t>
      </w:r>
      <w:r>
        <w:rPr>
          <w:sz w:val="20"/>
          <w:szCs w:val="20"/>
          <w:color w:val="auto"/>
        </w:rPr>
        <w:tab/>
      </w:r>
      <w:r>
        <w:rPr>
          <w:rFonts w:ascii="Arial" w:cs="Arial" w:eastAsia="Arial" w:hAnsi="Arial"/>
          <w:sz w:val="18"/>
          <w:szCs w:val="18"/>
          <w:b w:val="1"/>
          <w:bCs w:val="1"/>
          <w:color w:val="auto"/>
        </w:rPr>
        <w:t>Amy Woods Brinkley</w:t>
      </w:r>
      <w:r>
        <w:rPr>
          <w:sz w:val="20"/>
          <w:szCs w:val="20"/>
          <w:color w:val="auto"/>
        </w:rPr>
        <w:tab/>
      </w:r>
      <w:r>
        <w:rPr>
          <w:rFonts w:ascii="Arial" w:cs="Arial" w:eastAsia="Arial" w:hAnsi="Arial"/>
          <w:sz w:val="18"/>
          <w:szCs w:val="18"/>
          <w:b w:val="1"/>
          <w:bCs w:val="1"/>
          <w:color w:val="auto"/>
        </w:rPr>
        <w:t>Irene M. Esteves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422910</wp:posOffset>
            </wp:positionV>
            <wp:extent cx="848360" cy="7118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48360" cy="71183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491490</wp:posOffset>
            </wp:positionV>
            <wp:extent cx="1165860" cy="728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5860" cy="72898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688975</wp:posOffset>
            </wp:positionV>
            <wp:extent cx="2751455" cy="3340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5145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80"/>
        <w:spacing w:after="0"/>
        <w:tabs>
          <w:tab w:leader="none" w:pos="3820" w:val="left"/>
          <w:tab w:leader="none" w:pos="6400" w:val="left"/>
          <w:tab w:leader="none" w:pos="9360" w:val="left"/>
        </w:tabs>
        <w:rPr>
          <w:sz w:val="20"/>
          <w:szCs w:val="20"/>
          <w:color w:val="auto"/>
        </w:rPr>
      </w:pPr>
      <w:r>
        <w:rPr>
          <w:rFonts w:ascii="Arial" w:cs="Arial" w:eastAsia="Arial" w:hAnsi="Arial"/>
          <w:sz w:val="18"/>
          <w:szCs w:val="18"/>
          <w:b w:val="1"/>
          <w:bCs w:val="1"/>
          <w:color w:val="auto"/>
        </w:rPr>
        <w:t>John F. Fort III</w:t>
      </w:r>
      <w:r>
        <w:rPr>
          <w:sz w:val="20"/>
          <w:szCs w:val="20"/>
          <w:color w:val="auto"/>
        </w:rPr>
        <w:tab/>
      </w:r>
      <w:r>
        <w:rPr>
          <w:rFonts w:ascii="Arial" w:cs="Arial" w:eastAsia="Arial" w:hAnsi="Arial"/>
          <w:sz w:val="18"/>
          <w:szCs w:val="18"/>
          <w:b w:val="1"/>
          <w:bCs w:val="1"/>
          <w:color w:val="auto"/>
        </w:rPr>
        <w:t>L. Neil Hunn</w:t>
      </w:r>
      <w:r>
        <w:rPr>
          <w:sz w:val="20"/>
          <w:szCs w:val="20"/>
          <w:color w:val="auto"/>
        </w:rPr>
        <w:tab/>
      </w:r>
      <w:r>
        <w:rPr>
          <w:rFonts w:ascii="Arial" w:cs="Arial" w:eastAsia="Arial" w:hAnsi="Arial"/>
          <w:sz w:val="18"/>
          <w:szCs w:val="18"/>
          <w:b w:val="1"/>
          <w:bCs w:val="1"/>
          <w:color w:val="auto"/>
        </w:rPr>
        <w:t>Robert D. Johnson</w:t>
      </w:r>
      <w:r>
        <w:rPr>
          <w:sz w:val="20"/>
          <w:szCs w:val="20"/>
          <w:color w:val="auto"/>
        </w:rPr>
        <w:tab/>
      </w:r>
      <w:r>
        <w:rPr>
          <w:rFonts w:ascii="Arial" w:cs="Arial" w:eastAsia="Arial" w:hAnsi="Arial"/>
          <w:sz w:val="17"/>
          <w:szCs w:val="17"/>
          <w:b w:val="1"/>
          <w:bCs w:val="1"/>
          <w:color w:val="auto"/>
        </w:rPr>
        <w:t>Thomas P. Joyce,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440055</wp:posOffset>
            </wp:positionV>
            <wp:extent cx="4937760" cy="43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3776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20"/>
        <w:spacing w:after="0"/>
        <w:tabs>
          <w:tab w:leader="none" w:pos="5140" w:val="left"/>
          <w:tab w:leader="none" w:pos="8000" w:val="left"/>
        </w:tabs>
        <w:rPr>
          <w:sz w:val="20"/>
          <w:szCs w:val="20"/>
          <w:color w:val="auto"/>
        </w:rPr>
      </w:pPr>
      <w:r>
        <w:rPr>
          <w:rFonts w:ascii="Arial" w:cs="Arial" w:eastAsia="Arial" w:hAnsi="Arial"/>
          <w:sz w:val="18"/>
          <w:szCs w:val="18"/>
          <w:b w:val="1"/>
          <w:bCs w:val="1"/>
          <w:color w:val="auto"/>
        </w:rPr>
        <w:t>Laura G. Thatcher</w:t>
      </w:r>
      <w:r>
        <w:rPr>
          <w:sz w:val="20"/>
          <w:szCs w:val="20"/>
          <w:color w:val="auto"/>
        </w:rPr>
        <w:tab/>
      </w:r>
      <w:r>
        <w:rPr>
          <w:rFonts w:ascii="Arial" w:cs="Arial" w:eastAsia="Arial" w:hAnsi="Arial"/>
          <w:sz w:val="18"/>
          <w:szCs w:val="18"/>
          <w:b w:val="1"/>
          <w:bCs w:val="1"/>
          <w:color w:val="auto"/>
        </w:rPr>
        <w:t>Richard F. Wallman</w:t>
      </w:r>
      <w:r>
        <w:rPr>
          <w:sz w:val="20"/>
          <w:szCs w:val="20"/>
          <w:color w:val="auto"/>
        </w:rPr>
        <w:tab/>
      </w:r>
      <w:r>
        <w:rPr>
          <w:rFonts w:ascii="Arial" w:cs="Arial" w:eastAsia="Arial" w:hAnsi="Arial"/>
          <w:sz w:val="17"/>
          <w:szCs w:val="17"/>
          <w:b w:val="1"/>
          <w:bCs w:val="1"/>
          <w:color w:val="auto"/>
        </w:rPr>
        <w:t>Christopher Wright</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205740</wp:posOffset>
            </wp:positionV>
            <wp:extent cx="101981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198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5CB9"/>
        </w:rPr>
        <w:t>NOTICE OF THE 2022 ANNUAL MEETING OF SHAREHOLDERS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2022 ANNUAL MEETING INFORMATION</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additional information about our Annual Meeting, see Annual Meeting and Voting Information on page 52.</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1960" w:type="dxa"/>
            <w:vAlign w:val="bottom"/>
            <w:vMerge w:val="restart"/>
          </w:tcPr>
          <w:p>
            <w:pPr>
              <w:spacing w:after="0"/>
              <w:rPr>
                <w:sz w:val="20"/>
                <w:szCs w:val="20"/>
                <w:color w:val="auto"/>
              </w:rPr>
            </w:pPr>
            <w:r>
              <w:rPr>
                <w:rFonts w:ascii="Arial" w:cs="Arial" w:eastAsia="Arial" w:hAnsi="Arial"/>
                <w:sz w:val="18"/>
                <w:szCs w:val="18"/>
                <w:b w:val="1"/>
                <w:bCs w:val="1"/>
                <w:color w:val="auto"/>
              </w:rPr>
              <w:t>Meeting Date:</w:t>
            </w:r>
          </w:p>
        </w:tc>
        <w:tc>
          <w:tcPr>
            <w:tcW w:w="20" w:type="dxa"/>
            <w:vAlign w:val="bottom"/>
          </w:tcPr>
          <w:p>
            <w:pPr>
              <w:spacing w:after="0" w:line="20" w:lineRule="exact"/>
              <w:rPr>
                <w:sz w:val="1"/>
                <w:szCs w:val="1"/>
                <w:color w:val="auto"/>
              </w:rPr>
            </w:pPr>
          </w:p>
        </w:tc>
        <w:tc>
          <w:tcPr>
            <w:tcW w:w="37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Meeting Place:</w:t>
            </w:r>
          </w:p>
        </w:tc>
        <w:tc>
          <w:tcPr>
            <w:tcW w:w="20" w:type="dxa"/>
            <w:vAlign w:val="bottom"/>
          </w:tcPr>
          <w:p>
            <w:pPr>
              <w:spacing w:after="0" w:line="20" w:lineRule="exact"/>
              <w:rPr>
                <w:sz w:val="1"/>
                <w:szCs w:val="1"/>
                <w:color w:val="auto"/>
              </w:rPr>
            </w:pPr>
          </w:p>
        </w:tc>
        <w:tc>
          <w:tcPr>
            <w:tcW w:w="268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Meeting Time:</w:t>
            </w:r>
          </w:p>
        </w:tc>
        <w:tc>
          <w:tcPr>
            <w:tcW w:w="20" w:type="dxa"/>
            <w:vAlign w:val="bottom"/>
          </w:tcPr>
          <w:p>
            <w:pPr>
              <w:spacing w:after="0" w:line="20" w:lineRule="exact"/>
              <w:rPr>
                <w:sz w:val="1"/>
                <w:szCs w:val="1"/>
                <w:color w:val="auto"/>
              </w:rPr>
            </w:pPr>
          </w:p>
        </w:tc>
        <w:tc>
          <w:tcPr>
            <w:tcW w:w="26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Record Date:</w:t>
            </w:r>
          </w:p>
        </w:tc>
        <w:tc>
          <w:tcPr>
            <w:tcW w:w="0" w:type="dxa"/>
            <w:vAlign w:val="bottom"/>
          </w:tcPr>
          <w:p>
            <w:pPr>
              <w:spacing w:after="0" w:line="20" w:lineRule="exact"/>
              <w:rPr>
                <w:sz w:val="1"/>
                <w:szCs w:val="1"/>
                <w:color w:val="auto"/>
              </w:rPr>
            </w:pPr>
          </w:p>
        </w:tc>
      </w:tr>
      <w:tr>
        <w:trPr>
          <w:trHeight w:val="207"/>
        </w:trPr>
        <w:tc>
          <w:tcPr>
            <w:tcW w:w="1960" w:type="dxa"/>
            <w:vAlign w:val="bottom"/>
            <w:vMerge w:val="continue"/>
          </w:tcPr>
          <w:p>
            <w:pPr>
              <w:spacing w:after="0"/>
              <w:rPr>
                <w:sz w:val="18"/>
                <w:szCs w:val="18"/>
                <w:color w:val="auto"/>
              </w:rPr>
            </w:pPr>
          </w:p>
        </w:tc>
        <w:tc>
          <w:tcPr>
            <w:tcW w:w="20" w:type="dxa"/>
            <w:vAlign w:val="bottom"/>
            <w:shd w:val="clear" w:color="auto" w:fill="BFBFBF"/>
          </w:tcPr>
          <w:p>
            <w:pPr>
              <w:spacing w:after="0"/>
              <w:rPr>
                <w:sz w:val="18"/>
                <w:szCs w:val="18"/>
                <w:color w:val="auto"/>
              </w:rPr>
            </w:pPr>
          </w:p>
        </w:tc>
        <w:tc>
          <w:tcPr>
            <w:tcW w:w="3720" w:type="dxa"/>
            <w:vAlign w:val="bottom"/>
            <w:vMerge w:val="continue"/>
          </w:tcPr>
          <w:p>
            <w:pPr>
              <w:spacing w:after="0"/>
              <w:rPr>
                <w:sz w:val="18"/>
                <w:szCs w:val="18"/>
                <w:color w:val="auto"/>
              </w:rPr>
            </w:pPr>
          </w:p>
        </w:tc>
        <w:tc>
          <w:tcPr>
            <w:tcW w:w="20" w:type="dxa"/>
            <w:vAlign w:val="bottom"/>
            <w:shd w:val="clear" w:color="auto" w:fill="BFBFBF"/>
          </w:tcPr>
          <w:p>
            <w:pPr>
              <w:spacing w:after="0"/>
              <w:rPr>
                <w:sz w:val="18"/>
                <w:szCs w:val="18"/>
                <w:color w:val="auto"/>
              </w:rPr>
            </w:pPr>
          </w:p>
        </w:tc>
        <w:tc>
          <w:tcPr>
            <w:tcW w:w="2680" w:type="dxa"/>
            <w:vAlign w:val="bottom"/>
            <w:vMerge w:val="continue"/>
          </w:tcPr>
          <w:p>
            <w:pPr>
              <w:spacing w:after="0"/>
              <w:rPr>
                <w:sz w:val="18"/>
                <w:szCs w:val="18"/>
                <w:color w:val="auto"/>
              </w:rPr>
            </w:pPr>
          </w:p>
        </w:tc>
        <w:tc>
          <w:tcPr>
            <w:tcW w:w="20" w:type="dxa"/>
            <w:vAlign w:val="bottom"/>
            <w:shd w:val="clear" w:color="auto" w:fill="BFBFBF"/>
          </w:tcPr>
          <w:p>
            <w:pPr>
              <w:spacing w:after="0"/>
              <w:rPr>
                <w:sz w:val="18"/>
                <w:szCs w:val="18"/>
                <w:color w:val="auto"/>
              </w:rPr>
            </w:pPr>
          </w:p>
        </w:tc>
        <w:tc>
          <w:tcPr>
            <w:tcW w:w="2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20"/>
                <w:szCs w:val="20"/>
                <w:color w:val="auto"/>
              </w:rPr>
            </w:pPr>
            <w:r>
              <w:rPr>
                <w:rFonts w:ascii="Arial" w:cs="Arial" w:eastAsia="Arial" w:hAnsi="Arial"/>
                <w:sz w:val="14"/>
                <w:szCs w:val="14"/>
                <w:color w:val="auto"/>
              </w:rPr>
              <w:t>June 15, 2022</w:t>
            </w:r>
          </w:p>
        </w:tc>
        <w:tc>
          <w:tcPr>
            <w:tcW w:w="20" w:type="dxa"/>
            <w:vAlign w:val="bottom"/>
            <w:shd w:val="clear" w:color="auto" w:fill="BFBFBF"/>
          </w:tcPr>
          <w:p>
            <w:pPr>
              <w:spacing w:after="0"/>
              <w:rPr>
                <w:sz w:val="14"/>
                <w:szCs w:val="14"/>
                <w:color w:val="auto"/>
              </w:rPr>
            </w:pPr>
          </w:p>
        </w:tc>
        <w:tc>
          <w:tcPr>
            <w:tcW w:w="3720" w:type="dxa"/>
            <w:vAlign w:val="bottom"/>
          </w:tcPr>
          <w:p>
            <w:pPr>
              <w:ind w:left="360"/>
              <w:spacing w:after="0"/>
              <w:rPr>
                <w:sz w:val="20"/>
                <w:szCs w:val="20"/>
                <w:color w:val="auto"/>
              </w:rPr>
            </w:pPr>
            <w:r>
              <w:rPr>
                <w:rFonts w:ascii="Arial" w:cs="Arial" w:eastAsia="Arial" w:hAnsi="Arial"/>
                <w:sz w:val="14"/>
                <w:szCs w:val="14"/>
                <w:color w:val="auto"/>
              </w:rPr>
              <w:t>DoubleTree by Hilton Hotel Chicago -</w:t>
            </w:r>
          </w:p>
        </w:tc>
        <w:tc>
          <w:tcPr>
            <w:tcW w:w="20" w:type="dxa"/>
            <w:vAlign w:val="bottom"/>
            <w:shd w:val="clear" w:color="auto" w:fill="BFBFBF"/>
          </w:tcPr>
          <w:p>
            <w:pPr>
              <w:spacing w:after="0"/>
              <w:rPr>
                <w:sz w:val="14"/>
                <w:szCs w:val="14"/>
                <w:color w:val="auto"/>
              </w:rPr>
            </w:pPr>
          </w:p>
        </w:tc>
        <w:tc>
          <w:tcPr>
            <w:tcW w:w="2680" w:type="dxa"/>
            <w:vAlign w:val="bottom"/>
          </w:tcPr>
          <w:p>
            <w:pPr>
              <w:ind w:left="320"/>
              <w:spacing w:after="0"/>
              <w:rPr>
                <w:sz w:val="20"/>
                <w:szCs w:val="20"/>
                <w:color w:val="auto"/>
              </w:rPr>
            </w:pPr>
            <w:r>
              <w:rPr>
                <w:rFonts w:ascii="Arial" w:cs="Arial" w:eastAsia="Arial" w:hAnsi="Arial"/>
                <w:sz w:val="14"/>
                <w:szCs w:val="14"/>
                <w:color w:val="auto"/>
              </w:rPr>
              <w:t>9:00 a.m. (Central)</w:t>
            </w:r>
          </w:p>
        </w:tc>
        <w:tc>
          <w:tcPr>
            <w:tcW w:w="20" w:type="dxa"/>
            <w:vAlign w:val="bottom"/>
            <w:shd w:val="clear" w:color="auto" w:fill="BFBFBF"/>
          </w:tcPr>
          <w:p>
            <w:pPr>
              <w:spacing w:after="0"/>
              <w:rPr>
                <w:sz w:val="14"/>
                <w:szCs w:val="14"/>
                <w:color w:val="auto"/>
              </w:rPr>
            </w:pPr>
          </w:p>
        </w:tc>
        <w:tc>
          <w:tcPr>
            <w:tcW w:w="2600" w:type="dxa"/>
            <w:vAlign w:val="bottom"/>
          </w:tcPr>
          <w:p>
            <w:pPr>
              <w:ind w:left="240"/>
              <w:spacing w:after="0"/>
              <w:rPr>
                <w:sz w:val="20"/>
                <w:szCs w:val="20"/>
                <w:color w:val="auto"/>
              </w:rPr>
            </w:pPr>
            <w:r>
              <w:rPr>
                <w:rFonts w:ascii="Arial" w:cs="Arial" w:eastAsia="Arial" w:hAnsi="Arial"/>
                <w:sz w:val="14"/>
                <w:szCs w:val="14"/>
                <w:color w:val="auto"/>
              </w:rPr>
              <w:t>April 20, 2022</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3720" w:type="dxa"/>
            <w:vAlign w:val="bottom"/>
          </w:tcPr>
          <w:p>
            <w:pPr>
              <w:ind w:left="360"/>
              <w:spacing w:after="0"/>
              <w:rPr>
                <w:sz w:val="20"/>
                <w:szCs w:val="20"/>
                <w:color w:val="auto"/>
              </w:rPr>
            </w:pPr>
            <w:r>
              <w:rPr>
                <w:rFonts w:ascii="Arial" w:cs="Arial" w:eastAsia="Arial" w:hAnsi="Arial"/>
                <w:sz w:val="14"/>
                <w:szCs w:val="14"/>
                <w:color w:val="auto"/>
              </w:rPr>
              <w:t>Magnificent Mile</w:t>
            </w:r>
          </w:p>
        </w:tc>
        <w:tc>
          <w:tcPr>
            <w:tcW w:w="20" w:type="dxa"/>
            <w:vAlign w:val="bottom"/>
            <w:shd w:val="clear" w:color="auto" w:fill="BFBFBF"/>
          </w:tcPr>
          <w:p>
            <w:pPr>
              <w:spacing w:after="0"/>
              <w:rPr>
                <w:sz w:val="14"/>
                <w:szCs w:val="14"/>
                <w:color w:val="auto"/>
              </w:rPr>
            </w:pPr>
          </w:p>
        </w:tc>
        <w:tc>
          <w:tcPr>
            <w:tcW w:w="2680" w:type="dxa"/>
            <w:vAlign w:val="bottom"/>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2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3720" w:type="dxa"/>
            <w:vAlign w:val="bottom"/>
          </w:tcPr>
          <w:p>
            <w:pPr>
              <w:ind w:left="360"/>
              <w:spacing w:after="0"/>
              <w:rPr>
                <w:sz w:val="20"/>
                <w:szCs w:val="20"/>
                <w:color w:val="auto"/>
              </w:rPr>
            </w:pPr>
            <w:r>
              <w:rPr>
                <w:rFonts w:ascii="Arial" w:cs="Arial" w:eastAsia="Arial" w:hAnsi="Arial"/>
                <w:sz w:val="14"/>
                <w:szCs w:val="14"/>
                <w:color w:val="auto"/>
              </w:rPr>
              <w:t>300 E. Ohio St.</w:t>
            </w:r>
          </w:p>
        </w:tc>
        <w:tc>
          <w:tcPr>
            <w:tcW w:w="20" w:type="dxa"/>
            <w:vAlign w:val="bottom"/>
            <w:shd w:val="clear" w:color="auto" w:fill="BFBFBF"/>
          </w:tcPr>
          <w:p>
            <w:pPr>
              <w:spacing w:after="0"/>
              <w:rPr>
                <w:sz w:val="14"/>
                <w:szCs w:val="14"/>
                <w:color w:val="auto"/>
              </w:rPr>
            </w:pPr>
          </w:p>
        </w:tc>
        <w:tc>
          <w:tcPr>
            <w:tcW w:w="2680" w:type="dxa"/>
            <w:vAlign w:val="bottom"/>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2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3720" w:type="dxa"/>
            <w:vAlign w:val="bottom"/>
          </w:tcPr>
          <w:p>
            <w:pPr>
              <w:ind w:left="360"/>
              <w:spacing w:after="0"/>
              <w:rPr>
                <w:sz w:val="20"/>
                <w:szCs w:val="20"/>
                <w:color w:val="auto"/>
              </w:rPr>
            </w:pPr>
            <w:r>
              <w:rPr>
                <w:rFonts w:ascii="Arial" w:cs="Arial" w:eastAsia="Arial" w:hAnsi="Arial"/>
                <w:sz w:val="14"/>
                <w:szCs w:val="14"/>
                <w:color w:val="auto"/>
              </w:rPr>
              <w:t>Chicago, Illinois 60611</w:t>
            </w:r>
          </w:p>
        </w:tc>
        <w:tc>
          <w:tcPr>
            <w:tcW w:w="20" w:type="dxa"/>
            <w:vAlign w:val="bottom"/>
            <w:shd w:val="clear" w:color="auto" w:fill="BFBFBF"/>
          </w:tcPr>
          <w:p>
            <w:pPr>
              <w:spacing w:after="0"/>
              <w:rPr>
                <w:sz w:val="14"/>
                <w:szCs w:val="14"/>
                <w:color w:val="auto"/>
              </w:rPr>
            </w:pPr>
          </w:p>
        </w:tc>
        <w:tc>
          <w:tcPr>
            <w:tcW w:w="2680" w:type="dxa"/>
            <w:vAlign w:val="bottom"/>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2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60" w:type="dxa"/>
            <w:vAlign w:val="bottom"/>
            <w:tcBorders>
              <w:bottom w:val="single" w:sz="8" w:color="BFBFBF"/>
            </w:tcBorders>
          </w:tcPr>
          <w:p>
            <w:pPr>
              <w:spacing w:after="0"/>
              <w:rPr>
                <w:sz w:val="11"/>
                <w:szCs w:val="11"/>
                <w:color w:val="auto"/>
              </w:rPr>
            </w:pPr>
          </w:p>
        </w:tc>
        <w:tc>
          <w:tcPr>
            <w:tcW w:w="20" w:type="dxa"/>
            <w:vAlign w:val="bottom"/>
            <w:tcBorders>
              <w:bottom w:val="single" w:sz="8" w:color="BFBFBF"/>
            </w:tcBorders>
          </w:tcPr>
          <w:p>
            <w:pPr>
              <w:spacing w:after="0"/>
              <w:rPr>
                <w:sz w:val="11"/>
                <w:szCs w:val="11"/>
                <w:color w:val="auto"/>
              </w:rPr>
            </w:pPr>
          </w:p>
        </w:tc>
        <w:tc>
          <w:tcPr>
            <w:tcW w:w="3720" w:type="dxa"/>
            <w:vAlign w:val="bottom"/>
            <w:tcBorders>
              <w:bottom w:val="single" w:sz="8" w:color="BFBFBF"/>
            </w:tcBorders>
          </w:tcPr>
          <w:p>
            <w:pPr>
              <w:spacing w:after="0"/>
              <w:rPr>
                <w:sz w:val="11"/>
                <w:szCs w:val="11"/>
                <w:color w:val="auto"/>
              </w:rPr>
            </w:pPr>
          </w:p>
        </w:tc>
        <w:tc>
          <w:tcPr>
            <w:tcW w:w="20" w:type="dxa"/>
            <w:vAlign w:val="bottom"/>
            <w:tcBorders>
              <w:bottom w:val="single" w:sz="8" w:color="BFBFBF"/>
            </w:tcBorders>
          </w:tcPr>
          <w:p>
            <w:pPr>
              <w:spacing w:after="0"/>
              <w:rPr>
                <w:sz w:val="11"/>
                <w:szCs w:val="11"/>
                <w:color w:val="auto"/>
              </w:rPr>
            </w:pPr>
          </w:p>
        </w:tc>
        <w:tc>
          <w:tcPr>
            <w:tcW w:w="2680" w:type="dxa"/>
            <w:vAlign w:val="bottom"/>
            <w:tcBorders>
              <w:bottom w:val="single" w:sz="8" w:color="BFBFBF"/>
            </w:tcBorders>
          </w:tcPr>
          <w:p>
            <w:pPr>
              <w:spacing w:after="0"/>
              <w:rPr>
                <w:sz w:val="11"/>
                <w:szCs w:val="11"/>
                <w:color w:val="auto"/>
              </w:rPr>
            </w:pPr>
          </w:p>
        </w:tc>
        <w:tc>
          <w:tcPr>
            <w:tcW w:w="20" w:type="dxa"/>
            <w:vAlign w:val="bottom"/>
            <w:tcBorders>
              <w:bottom w:val="single" w:sz="8" w:color="BFBFBF"/>
            </w:tcBorders>
          </w:tcPr>
          <w:p>
            <w:pPr>
              <w:spacing w:after="0"/>
              <w:rPr>
                <w:sz w:val="11"/>
                <w:szCs w:val="11"/>
                <w:color w:val="auto"/>
              </w:rPr>
            </w:pPr>
          </w:p>
        </w:tc>
        <w:tc>
          <w:tcPr>
            <w:tcW w:w="2600" w:type="dxa"/>
            <w:vAlign w:val="bottom"/>
            <w:tcBorders>
              <w:bottom w:val="single" w:sz="8" w:color="BFBFBF"/>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MEETING BUSINESS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Roper’s annual meeting of shareholders will be held June 15, 2022 to:</w:t>
      </w:r>
    </w:p>
    <w:p>
      <w:pPr>
        <w:spacing w:after="0" w:line="123"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elect as directors the nine nominees named in the accompanying proxy statement;</w:t>
      </w:r>
    </w:p>
    <w:p>
      <w:pPr>
        <w:spacing w:after="0" w:line="122" w:lineRule="exact"/>
        <w:rPr>
          <w:rFonts w:ascii="Arial" w:cs="Arial" w:eastAsia="Arial" w:hAnsi="Arial"/>
          <w:sz w:val="14"/>
          <w:szCs w:val="14"/>
          <w:color w:val="auto"/>
        </w:rPr>
      </w:pPr>
    </w:p>
    <w:p>
      <w:pPr>
        <w:ind w:left="540" w:hanging="424"/>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approve, on an advisory basis, the compensation of our named executive officers;</w:t>
      </w:r>
    </w:p>
    <w:p>
      <w:pPr>
        <w:spacing w:after="0" w:line="122" w:lineRule="exact"/>
        <w:rPr>
          <w:rFonts w:ascii="Arial" w:cs="Arial" w:eastAsia="Arial" w:hAnsi="Arial"/>
          <w:sz w:val="14"/>
          <w:szCs w:val="14"/>
          <w:color w:val="auto"/>
        </w:rPr>
      </w:pPr>
    </w:p>
    <w:p>
      <w:pPr>
        <w:ind w:left="540" w:hanging="424"/>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ratify the appointment of PricewaterhouseCoopers LLP as the company’s independent registered public accounting firm for 2022; and</w:t>
      </w:r>
    </w:p>
    <w:p>
      <w:pPr>
        <w:spacing w:after="0" w:line="122" w:lineRule="exact"/>
        <w:rPr>
          <w:rFonts w:ascii="Arial" w:cs="Arial" w:eastAsia="Arial" w:hAnsi="Arial"/>
          <w:sz w:val="14"/>
          <w:szCs w:val="14"/>
          <w:color w:val="auto"/>
        </w:rPr>
      </w:pPr>
    </w:p>
    <w:p>
      <w:pPr>
        <w:ind w:left="540" w:hanging="424"/>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transact any other business that may be properly brought before the annual meeting.</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MATERIALS</w:t>
      </w:r>
    </w:p>
    <w:p>
      <w:pPr>
        <w:spacing w:after="0" w:line="91" w:lineRule="exact"/>
        <w:rPr>
          <w:sz w:val="20"/>
          <w:szCs w:val="20"/>
          <w:color w:val="auto"/>
        </w:rPr>
      </w:pPr>
    </w:p>
    <w:p>
      <w:pPr>
        <w:ind w:left="120" w:right="180"/>
        <w:spacing w:after="0" w:line="249" w:lineRule="auto"/>
        <w:rPr>
          <w:sz w:val="20"/>
          <w:szCs w:val="20"/>
          <w:color w:val="auto"/>
        </w:rPr>
      </w:pPr>
      <w:r>
        <w:rPr>
          <w:rFonts w:ascii="Arial" w:cs="Arial" w:eastAsia="Arial" w:hAnsi="Arial"/>
          <w:sz w:val="14"/>
          <w:szCs w:val="14"/>
          <w:color w:val="auto"/>
        </w:rPr>
        <w:t>On or about April 29, 2022, we began distributing to each shareholder entitled to vote at the annual meeting either: (i) a Meeting Notice; or (ii) this proxy statement, a proxy card and our 2021 Annual Report to Shareholders and Form 10-K. The Meeting Notice contains instructions to electronically access our proxy statement and our 2021 Annual Report to Shareholders and Form 10-K, how to vote via the internet or by mail and how to receive a paper copy of our proxy materials by mail, if desired.</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VOTING AT THE ANNUAL MEETING</w:t>
      </w:r>
    </w:p>
    <w:p>
      <w:pPr>
        <w:spacing w:after="0" w:line="86" w:lineRule="exact"/>
        <w:rPr>
          <w:sz w:val="20"/>
          <w:szCs w:val="20"/>
          <w:color w:val="auto"/>
        </w:rPr>
      </w:pPr>
    </w:p>
    <w:p>
      <w:pPr>
        <w:ind w:left="120" w:right="280"/>
        <w:spacing w:after="0" w:line="263" w:lineRule="auto"/>
        <w:rPr>
          <w:sz w:val="20"/>
          <w:szCs w:val="20"/>
          <w:color w:val="auto"/>
        </w:rPr>
      </w:pPr>
      <w:r>
        <w:rPr>
          <w:rFonts w:ascii="Arial" w:cs="Arial" w:eastAsia="Arial" w:hAnsi="Arial"/>
          <w:sz w:val="14"/>
          <w:szCs w:val="14"/>
          <w:b w:val="1"/>
          <w:bCs w:val="1"/>
          <w:color w:val="auto"/>
        </w:rPr>
        <w:t xml:space="preserve">Your vote is important. </w:t>
      </w:r>
      <w:r>
        <w:rPr>
          <w:rFonts w:ascii="Arial" w:cs="Arial" w:eastAsia="Arial" w:hAnsi="Arial"/>
          <w:sz w:val="14"/>
          <w:szCs w:val="14"/>
          <w:color w:val="auto"/>
        </w:rPr>
        <w:t>Shareholders who are owners of record of Roper common shares at the close of business on April 20, 2022, the record date, or their legal proxy</w:t>
      </w:r>
      <w:r>
        <w:rPr>
          <w:rFonts w:ascii="Arial" w:cs="Arial" w:eastAsia="Arial" w:hAnsi="Arial"/>
          <w:sz w:val="14"/>
          <w:szCs w:val="14"/>
          <w:b w:val="1"/>
          <w:bCs w:val="1"/>
          <w:color w:val="auto"/>
        </w:rPr>
        <w:t xml:space="preserve"> </w:t>
      </w:r>
      <w:r>
        <w:rPr>
          <w:rFonts w:ascii="Arial" w:cs="Arial" w:eastAsia="Arial" w:hAnsi="Arial"/>
          <w:sz w:val="14"/>
          <w:szCs w:val="14"/>
          <w:color w:val="auto"/>
        </w:rPr>
        <w:t>holders, are entitled to vote at the annual meeting. Whether or not you expect to attend the annual meeting, we urge you to vote as soon as possible by one of these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229235</wp:posOffset>
            </wp:positionV>
            <wp:extent cx="334010" cy="351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4010" cy="3511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212090</wp:posOffset>
            </wp:positionV>
            <wp:extent cx="196850" cy="368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6850" cy="36830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186690</wp:posOffset>
            </wp:positionV>
            <wp:extent cx="514350" cy="394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280" w:type="dxa"/>
        <w:tblCellMar>
          <w:top w:w="0" w:type="dxa"/>
          <w:left w:w="0" w:type="dxa"/>
          <w:bottom w:w="0" w:type="dxa"/>
          <w:right w:w="0" w:type="dxa"/>
        </w:tblCellMar>
      </w:tblPr>
      <w:tr>
        <w:trPr>
          <w:trHeight w:val="207"/>
        </w:trPr>
        <w:tc>
          <w:tcPr>
            <w:tcW w:w="2720" w:type="dxa"/>
            <w:vAlign w:val="bottom"/>
            <w:tcBorders>
              <w:right w:val="single" w:sz="8" w:color="BFBFBF"/>
            </w:tcBorders>
          </w:tcPr>
          <w:p>
            <w:pPr>
              <w:jc w:val="center"/>
              <w:ind w:right="968"/>
              <w:spacing w:after="0"/>
              <w:rPr>
                <w:sz w:val="20"/>
                <w:szCs w:val="20"/>
                <w:color w:val="auto"/>
              </w:rPr>
            </w:pPr>
            <w:r>
              <w:rPr>
                <w:rFonts w:ascii="Arial" w:cs="Arial" w:eastAsia="Arial" w:hAnsi="Arial"/>
                <w:sz w:val="14"/>
                <w:szCs w:val="14"/>
                <w:b w:val="1"/>
                <w:bCs w:val="1"/>
                <w:color w:val="auto"/>
              </w:rPr>
              <w:t>Via the Internet:</w:t>
            </w:r>
          </w:p>
        </w:tc>
        <w:tc>
          <w:tcPr>
            <w:tcW w:w="3640" w:type="dxa"/>
            <w:vAlign w:val="bottom"/>
            <w:tcBorders>
              <w:right w:val="single" w:sz="8" w:color="BFBFBF"/>
            </w:tcBorders>
          </w:tcPr>
          <w:p>
            <w:pPr>
              <w:jc w:val="center"/>
              <w:ind w:left="8"/>
              <w:spacing w:after="0"/>
              <w:rPr>
                <w:sz w:val="20"/>
                <w:szCs w:val="20"/>
                <w:color w:val="auto"/>
              </w:rPr>
            </w:pPr>
            <w:r>
              <w:rPr>
                <w:rFonts w:ascii="Arial" w:cs="Arial" w:eastAsia="Arial" w:hAnsi="Arial"/>
                <w:sz w:val="14"/>
                <w:szCs w:val="14"/>
                <w:b w:val="1"/>
                <w:bCs w:val="1"/>
                <w:color w:val="auto"/>
              </w:rPr>
              <w:t>Call Toll-Free:</w:t>
            </w:r>
          </w:p>
        </w:tc>
        <w:tc>
          <w:tcPr>
            <w:tcW w:w="2960" w:type="dxa"/>
            <w:vAlign w:val="bottom"/>
          </w:tcPr>
          <w:p>
            <w:pPr>
              <w:jc w:val="center"/>
              <w:ind w:left="548"/>
              <w:spacing w:after="0"/>
              <w:rPr>
                <w:sz w:val="20"/>
                <w:szCs w:val="20"/>
                <w:color w:val="auto"/>
              </w:rPr>
            </w:pPr>
            <w:r>
              <w:rPr>
                <w:rFonts w:ascii="Arial" w:cs="Arial" w:eastAsia="Arial" w:hAnsi="Arial"/>
                <w:sz w:val="14"/>
                <w:szCs w:val="14"/>
                <w:b w:val="1"/>
                <w:bCs w:val="1"/>
                <w:color w:val="auto"/>
              </w:rPr>
              <w:t>Mail Signed Proxy Card:</w:t>
            </w:r>
          </w:p>
        </w:tc>
      </w:tr>
      <w:tr>
        <w:trPr>
          <w:trHeight w:val="162"/>
        </w:trPr>
        <w:tc>
          <w:tcPr>
            <w:tcW w:w="2720" w:type="dxa"/>
            <w:vAlign w:val="bottom"/>
            <w:tcBorders>
              <w:right w:val="single" w:sz="8" w:color="BFBFBF"/>
            </w:tcBorders>
          </w:tcPr>
          <w:p>
            <w:pPr>
              <w:jc w:val="center"/>
              <w:ind w:right="968"/>
              <w:spacing w:after="0"/>
              <w:rPr>
                <w:sz w:val="20"/>
                <w:szCs w:val="20"/>
                <w:color w:val="auto"/>
              </w:rPr>
            </w:pPr>
            <w:r>
              <w:rPr>
                <w:rFonts w:ascii="Arial" w:cs="Arial" w:eastAsia="Arial" w:hAnsi="Arial"/>
                <w:sz w:val="14"/>
                <w:szCs w:val="14"/>
                <w:color w:val="auto"/>
              </w:rPr>
              <w:t>www.proxypush.com/ROP</w:t>
            </w:r>
          </w:p>
        </w:tc>
        <w:tc>
          <w:tcPr>
            <w:tcW w:w="3640" w:type="dxa"/>
            <w:vAlign w:val="bottom"/>
            <w:tcBorders>
              <w:right w:val="single" w:sz="8" w:color="BFBFBF"/>
            </w:tcBorders>
          </w:tcPr>
          <w:p>
            <w:pPr>
              <w:jc w:val="right"/>
              <w:ind w:right="1188"/>
              <w:spacing w:after="0"/>
              <w:rPr>
                <w:sz w:val="20"/>
                <w:szCs w:val="20"/>
                <w:color w:val="auto"/>
              </w:rPr>
            </w:pPr>
            <w:r>
              <w:rPr>
                <w:rFonts w:ascii="Arial" w:cs="Arial" w:eastAsia="Arial" w:hAnsi="Arial"/>
                <w:sz w:val="14"/>
                <w:szCs w:val="14"/>
                <w:color w:val="auto"/>
              </w:rPr>
              <w:t>1-866-829-5176</w:t>
            </w:r>
          </w:p>
        </w:tc>
        <w:tc>
          <w:tcPr>
            <w:tcW w:w="2960" w:type="dxa"/>
            <w:vAlign w:val="bottom"/>
          </w:tcPr>
          <w:p>
            <w:pPr>
              <w:jc w:val="center"/>
              <w:ind w:left="548"/>
              <w:spacing w:after="0"/>
              <w:rPr>
                <w:sz w:val="20"/>
                <w:szCs w:val="20"/>
                <w:color w:val="auto"/>
              </w:rPr>
            </w:pPr>
            <w:r>
              <w:rPr>
                <w:rFonts w:ascii="Arial" w:cs="Arial" w:eastAsia="Arial" w:hAnsi="Arial"/>
                <w:sz w:val="14"/>
                <w:szCs w:val="14"/>
                <w:color w:val="auto"/>
              </w:rPr>
              <w:t>Follow the instructions on your proxy</w:t>
            </w:r>
          </w:p>
        </w:tc>
      </w:tr>
      <w:tr>
        <w:trPr>
          <w:trHeight w:val="171"/>
        </w:trPr>
        <w:tc>
          <w:tcPr>
            <w:tcW w:w="2720" w:type="dxa"/>
            <w:vAlign w:val="bottom"/>
            <w:tcBorders>
              <w:right w:val="single" w:sz="8" w:color="BFBFBF"/>
            </w:tcBorders>
          </w:tcPr>
          <w:p>
            <w:pPr>
              <w:spacing w:after="0"/>
              <w:rPr>
                <w:sz w:val="14"/>
                <w:szCs w:val="14"/>
                <w:color w:val="auto"/>
              </w:rPr>
            </w:pPr>
          </w:p>
        </w:tc>
        <w:tc>
          <w:tcPr>
            <w:tcW w:w="3640" w:type="dxa"/>
            <w:vAlign w:val="bottom"/>
            <w:tcBorders>
              <w:right w:val="single" w:sz="8" w:color="BFBFBF"/>
            </w:tcBorders>
          </w:tcPr>
          <w:p>
            <w:pPr>
              <w:spacing w:after="0"/>
              <w:rPr>
                <w:sz w:val="14"/>
                <w:szCs w:val="14"/>
                <w:color w:val="auto"/>
              </w:rPr>
            </w:pPr>
          </w:p>
        </w:tc>
        <w:tc>
          <w:tcPr>
            <w:tcW w:w="2960" w:type="dxa"/>
            <w:vAlign w:val="bottom"/>
          </w:tcPr>
          <w:p>
            <w:pPr>
              <w:jc w:val="center"/>
              <w:ind w:left="548"/>
              <w:spacing w:after="0"/>
              <w:rPr>
                <w:sz w:val="20"/>
                <w:szCs w:val="20"/>
                <w:color w:val="auto"/>
              </w:rPr>
            </w:pPr>
            <w:r>
              <w:rPr>
                <w:rFonts w:ascii="Arial" w:cs="Arial" w:eastAsia="Arial" w:hAnsi="Arial"/>
                <w:sz w:val="14"/>
                <w:szCs w:val="14"/>
                <w:color w:val="auto"/>
              </w:rPr>
              <w:t>card or voting instruction form</w:t>
            </w:r>
          </w:p>
        </w:tc>
      </w:tr>
    </w:tbl>
    <w:p>
      <w:pPr>
        <w:spacing w:after="0" w:line="167" w:lineRule="exact"/>
        <w:rPr>
          <w:sz w:val="20"/>
          <w:szCs w:val="20"/>
          <w:color w:val="auto"/>
        </w:rPr>
      </w:pPr>
    </w:p>
    <w:p>
      <w:pPr>
        <w:ind w:left="120" w:right="160"/>
        <w:spacing w:after="0" w:line="249" w:lineRule="auto"/>
        <w:rPr>
          <w:sz w:val="20"/>
          <w:szCs w:val="20"/>
          <w:color w:val="auto"/>
        </w:rPr>
      </w:pPr>
      <w:r>
        <w:rPr>
          <w:rFonts w:ascii="Arial" w:cs="Arial" w:eastAsia="Arial" w:hAnsi="Arial"/>
          <w:sz w:val="14"/>
          <w:szCs w:val="14"/>
          <w:color w:val="auto"/>
        </w:rPr>
        <w:t xml:space="preserve">If you are a beneficial owner of shares held through a broker, bank or other holder of record, you must follow the voting instructions you receive from the holder of record to vote your shares. Shareholders may also vote at the annual meeting. For more information on how to vote your shares, please refer to </w:t>
      </w:r>
      <w:r>
        <w:rPr>
          <w:rFonts w:ascii="Arial" w:cs="Arial" w:eastAsia="Arial" w:hAnsi="Arial"/>
          <w:sz w:val="14"/>
          <w:szCs w:val="14"/>
          <w:i w:val="1"/>
          <w:iCs w:val="1"/>
          <w:color w:val="auto"/>
        </w:rPr>
        <w:t>Annual Meeting and Voting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Information </w:t>
      </w:r>
      <w:r>
        <w:rPr>
          <w:rFonts w:ascii="Arial" w:cs="Arial" w:eastAsia="Arial" w:hAnsi="Arial"/>
          <w:sz w:val="14"/>
          <w:szCs w:val="14"/>
          <w:color w:val="auto"/>
        </w:rPr>
        <w:t>on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934085" cy="762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4085"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John K. Stipancich</w:t>
      </w:r>
    </w:p>
    <w:p>
      <w:pPr>
        <w:ind w:left="120"/>
        <w:spacing w:after="0"/>
        <w:rPr>
          <w:sz w:val="20"/>
          <w:szCs w:val="20"/>
          <w:color w:val="auto"/>
        </w:rPr>
      </w:pPr>
      <w:r>
        <w:rPr>
          <w:rFonts w:ascii="Arial" w:cs="Arial" w:eastAsia="Arial" w:hAnsi="Arial"/>
          <w:sz w:val="17"/>
          <w:szCs w:val="17"/>
          <w:color w:val="auto"/>
        </w:rPr>
        <w:t>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154305</wp:posOffset>
            </wp:positionV>
            <wp:extent cx="6995160" cy="386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386080"/>
                    </a:xfrm>
                    <a:prstGeom prst="rect">
                      <a:avLst/>
                    </a:prstGeom>
                    <a:noFill/>
                  </pic:spPr>
                </pic:pic>
              </a:graphicData>
            </a:graphic>
          </wp:anchor>
        </w:drawing>
      </w: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FFFF"/>
        </w:rPr>
        <w:t>Important Notice Regarding the Availability of Proxy Materials for the</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FFFF"/>
        </w:rPr>
        <w:t>Annual Meeting of Shareholders to be Held on June 15, 2022</w:t>
      </w: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This Notice of the Annual Meeting of Shareholders, our Proxy Statement and our Annual Report to</w:t>
      </w:r>
    </w:p>
    <w:p>
      <w:pPr>
        <w:jc w:val="center"/>
        <w:ind w:right="-99"/>
        <w:spacing w:after="0"/>
        <w:rPr>
          <w:sz w:val="20"/>
          <w:szCs w:val="20"/>
          <w:color w:val="auto"/>
        </w:rPr>
      </w:pPr>
      <w:r>
        <w:rPr>
          <w:rFonts w:ascii="Arial" w:cs="Arial" w:eastAsia="Arial" w:hAnsi="Arial"/>
          <w:sz w:val="18"/>
          <w:szCs w:val="18"/>
          <w:color w:val="auto"/>
        </w:rPr>
        <w:t xml:space="preserve">Shareholders and Form 10-K are available free of charge at </w:t>
      </w:r>
      <w:r>
        <w:rPr>
          <w:rFonts w:ascii="Arial" w:cs="Arial" w:eastAsia="Arial" w:hAnsi="Arial"/>
          <w:sz w:val="18"/>
          <w:szCs w:val="18"/>
          <w:b w:val="1"/>
          <w:bCs w:val="1"/>
          <w:color w:val="005CB9"/>
        </w:rPr>
        <w:t>www.proxydocs.com/ROP</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TABLE OF CONTENTS</w:t>
      </w:r>
    </w:p>
    <w:p>
      <w:pPr>
        <w:spacing w:after="0" w:line="200" w:lineRule="exact"/>
        <w:rPr>
          <w:sz w:val="20"/>
          <w:szCs w:val="20"/>
          <w:color w:val="auto"/>
        </w:rPr>
      </w:pP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4520" w:type="dxa"/>
            <w:vAlign w:val="bottom"/>
            <w:gridSpan w:val="20"/>
          </w:tcPr>
          <w:p>
            <w:pPr>
              <w:spacing w:after="0"/>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PROXY STATEMENT SUMMARY</w:t>
              </w:r>
            </w:hyperlink>
          </w:p>
        </w:tc>
        <w:tc>
          <w:tcPr>
            <w:tcW w:w="1100" w:type="dxa"/>
            <w:vAlign w:val="bottom"/>
          </w:tcPr>
          <w:p>
            <w:pPr>
              <w:jc w:val="right"/>
              <w:ind w:right="335"/>
              <w:spacing w:after="0"/>
              <w:rPr>
                <w:sz w:val="20"/>
                <w:szCs w:val="20"/>
                <w:color w:val="auto"/>
              </w:rPr>
            </w:pPr>
            <w:r>
              <w:rPr>
                <w:rFonts w:ascii="Arial" w:cs="Arial" w:eastAsia="Arial" w:hAnsi="Arial"/>
                <w:sz w:val="17"/>
                <w:szCs w:val="17"/>
                <w:color w:val="auto"/>
              </w:rPr>
              <w:t>i</w:t>
            </w:r>
          </w:p>
        </w:tc>
        <w:tc>
          <w:tcPr>
            <w:tcW w:w="4920" w:type="dxa"/>
            <w:vAlign w:val="bottom"/>
            <w:gridSpan w:val="24"/>
          </w:tcPr>
          <w:p>
            <w:pPr>
              <w:spacing w:after="0"/>
              <w:rPr>
                <w:rFonts w:ascii="Arial" w:cs="Arial" w:eastAsia="Arial" w:hAnsi="Arial"/>
                <w:sz w:val="17"/>
                <w:szCs w:val="17"/>
                <w:b w:val="1"/>
                <w:bCs w:val="1"/>
                <w:color w:val="0000EE"/>
              </w:rPr>
            </w:pPr>
            <w:hyperlink w:anchor="page53">
              <w:r>
                <w:rPr>
                  <w:rFonts w:ascii="Arial" w:cs="Arial" w:eastAsia="Arial" w:hAnsi="Arial"/>
                  <w:sz w:val="17"/>
                  <w:szCs w:val="17"/>
                  <w:b w:val="1"/>
                  <w:bCs w:val="1"/>
                  <w:color w:val="0000EE"/>
                </w:rPr>
                <w:t>EXECUTIVE COMPENSATION</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0" w:type="dxa"/>
            <w:vAlign w:val="bottom"/>
            <w:gridSpan w:val="15"/>
          </w:tcPr>
          <w:p>
            <w:pPr>
              <w:spacing w:after="0"/>
              <w:rPr>
                <w:rFonts w:ascii="Arial" w:cs="Arial" w:eastAsia="Arial" w:hAnsi="Arial"/>
                <w:sz w:val="17"/>
                <w:szCs w:val="17"/>
                <w:b w:val="1"/>
                <w:bCs w:val="1"/>
                <w:color w:val="0000EE"/>
                <w:w w:val="99"/>
              </w:rPr>
            </w:pPr>
            <w:hyperlink w:anchor="page13">
              <w:r>
                <w:rPr>
                  <w:rFonts w:ascii="Arial" w:cs="Arial" w:eastAsia="Arial" w:hAnsi="Arial"/>
                  <w:sz w:val="17"/>
                  <w:szCs w:val="17"/>
                  <w:b w:val="1"/>
                  <w:bCs w:val="1"/>
                  <w:color w:val="0000EE"/>
                  <w:w w:val="99"/>
                </w:rPr>
                <w:t xml:space="preserve">PROPOSAL 1: </w:t>
              </w:r>
              <w:r>
                <w:rPr>
                  <w:rFonts w:ascii="Arial" w:cs="Arial" w:eastAsia="Arial" w:hAnsi="Arial"/>
                  <w:sz w:val="17"/>
                  <w:szCs w:val="17"/>
                  <w:color w:val="0000EE"/>
                  <w:w w:val="99"/>
                </w:rPr>
                <w:t>ELECTION OF DIRECTORS</w:t>
              </w:r>
            </w:hyperlink>
          </w:p>
        </w:tc>
        <w:tc>
          <w:tcPr>
            <w:tcW w:w="1120" w:type="dxa"/>
            <w:vAlign w:val="bottom"/>
            <w:gridSpan w:val="5"/>
          </w:tcPr>
          <w:p>
            <w:pPr>
              <w:spacing w:after="0"/>
              <w:rPr>
                <w:sz w:val="24"/>
                <w:szCs w:val="24"/>
                <w:color w:val="auto"/>
              </w:rPr>
            </w:pPr>
          </w:p>
        </w:tc>
        <w:tc>
          <w:tcPr>
            <w:tcW w:w="1100" w:type="dxa"/>
            <w:vAlign w:val="bottom"/>
          </w:tcPr>
          <w:p>
            <w:pPr>
              <w:jc w:val="right"/>
              <w:ind w:right="335"/>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80" w:type="dxa"/>
            <w:vAlign w:val="bottom"/>
            <w:gridSpan w:val="22"/>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2021 Summary Compensation Table</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304"/>
        </w:trPr>
        <w:tc>
          <w:tcPr>
            <w:tcW w:w="3400" w:type="dxa"/>
            <w:vAlign w:val="bottom"/>
            <w:tcBorders>
              <w:top w:val="single" w:sz="8" w:color="0000EE"/>
            </w:tcBorders>
            <w:gridSpan w:val="15"/>
          </w:tcPr>
          <w:p>
            <w:pPr>
              <w:spacing w:after="0"/>
              <w:rPr>
                <w:rFonts w:ascii="Arial" w:cs="Arial" w:eastAsia="Arial" w:hAnsi="Arial"/>
                <w:sz w:val="17"/>
                <w:szCs w:val="17"/>
                <w:b w:val="1"/>
                <w:bCs w:val="1"/>
                <w:color w:val="0000EE"/>
              </w:rPr>
            </w:pPr>
            <w:hyperlink w:anchor="page14">
              <w:r>
                <w:rPr>
                  <w:rFonts w:ascii="Arial" w:cs="Arial" w:eastAsia="Arial" w:hAnsi="Arial"/>
                  <w:sz w:val="17"/>
                  <w:szCs w:val="17"/>
                  <w:b w:val="1"/>
                  <w:bCs w:val="1"/>
                  <w:color w:val="0000EE"/>
                </w:rPr>
                <w:t>BOARD OF DIRECTORS</w:t>
              </w:r>
            </w:hyperlink>
          </w:p>
        </w:tc>
        <w:tc>
          <w:tcPr>
            <w:tcW w:w="1120" w:type="dxa"/>
            <w:vAlign w:val="bottom"/>
            <w:gridSpan w:val="5"/>
          </w:tcPr>
          <w:p>
            <w:pPr>
              <w:spacing w:after="0"/>
              <w:rPr>
                <w:sz w:val="24"/>
                <w:szCs w:val="24"/>
                <w:color w:val="auto"/>
              </w:rPr>
            </w:pPr>
          </w:p>
        </w:tc>
        <w:tc>
          <w:tcPr>
            <w:tcW w:w="1100" w:type="dxa"/>
            <w:vAlign w:val="bottom"/>
          </w:tcPr>
          <w:p>
            <w:pPr>
              <w:jc w:val="right"/>
              <w:ind w:right="335"/>
              <w:spacing w:after="0"/>
              <w:rPr>
                <w:sz w:val="20"/>
                <w:szCs w:val="20"/>
                <w:color w:val="auto"/>
              </w:rPr>
            </w:pPr>
            <w:r>
              <w:rPr>
                <w:rFonts w:ascii="Arial" w:cs="Arial" w:eastAsia="Arial" w:hAnsi="Arial"/>
                <w:sz w:val="17"/>
                <w:szCs w:val="17"/>
                <w:color w:val="auto"/>
              </w:rPr>
              <w:t>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Borders>
              <w:top w:val="single" w:sz="8" w:color="0000EE"/>
            </w:tcBorders>
            <w:gridSpan w:val="10"/>
          </w:tcPr>
          <w:p>
            <w:pPr>
              <w:spacing w:after="0"/>
              <w:rPr>
                <w:rFonts w:ascii="Arial" w:cs="Arial" w:eastAsia="Arial" w:hAnsi="Arial"/>
                <w:sz w:val="17"/>
                <w:szCs w:val="17"/>
                <w:color w:val="0000EE"/>
              </w:rPr>
            </w:pPr>
            <w:hyperlink w:anchor="page54">
              <w:r>
                <w:rPr>
                  <w:rFonts w:ascii="Arial" w:cs="Arial" w:eastAsia="Arial" w:hAnsi="Arial"/>
                  <w:sz w:val="17"/>
                  <w:szCs w:val="17"/>
                  <w:color w:val="0000EE"/>
                </w:rPr>
                <w:t>2021 Grants of Plan-Based Awards</w:t>
              </w:r>
            </w:hyperlink>
          </w:p>
        </w:tc>
        <w:tc>
          <w:tcPr>
            <w:tcW w:w="1820" w:type="dxa"/>
            <w:vAlign w:val="bottom"/>
            <w:gridSpan w:val="1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360" w:type="dxa"/>
            <w:vAlign w:val="bottom"/>
            <w:tcBorders>
              <w:bottom w:val="single" w:sz="8" w:color="0000EE"/>
            </w:tcBorders>
            <w:gridSpan w:val="8"/>
          </w:tcPr>
          <w:p>
            <w:pPr>
              <w:spacing w:after="0"/>
              <w:rPr>
                <w:rFonts w:ascii="Arial" w:cs="Arial" w:eastAsia="Arial" w:hAnsi="Arial"/>
                <w:sz w:val="17"/>
                <w:szCs w:val="17"/>
                <w:b w:val="1"/>
                <w:bCs w:val="1"/>
                <w:color w:val="0000EE"/>
                <w:w w:val="99"/>
              </w:rPr>
            </w:pPr>
            <w:hyperlink w:anchor="page20">
              <w:r>
                <w:rPr>
                  <w:rFonts w:ascii="Arial" w:cs="Arial" w:eastAsia="Arial" w:hAnsi="Arial"/>
                  <w:sz w:val="17"/>
                  <w:szCs w:val="17"/>
                  <w:b w:val="1"/>
                  <w:bCs w:val="1"/>
                  <w:color w:val="0000EE"/>
                  <w:w w:val="99"/>
                </w:rPr>
                <w:t>CORPORATE GOVERNANCE</w:t>
              </w:r>
            </w:hyperlink>
          </w:p>
        </w:tc>
        <w:tc>
          <w:tcPr>
            <w:tcW w:w="2160" w:type="dxa"/>
            <w:vAlign w:val="bottom"/>
            <w:gridSpan w:val="12"/>
          </w:tcPr>
          <w:p>
            <w:pPr>
              <w:spacing w:after="0"/>
              <w:rPr>
                <w:sz w:val="24"/>
                <w:szCs w:val="24"/>
                <w:color w:val="auto"/>
              </w:rPr>
            </w:pPr>
          </w:p>
        </w:tc>
        <w:tc>
          <w:tcPr>
            <w:tcW w:w="1100" w:type="dxa"/>
            <w:vAlign w:val="bottom"/>
          </w:tcPr>
          <w:p>
            <w:pPr>
              <w:jc w:val="right"/>
              <w:ind w:right="335"/>
              <w:spacing w:after="0"/>
              <w:rPr>
                <w:sz w:val="20"/>
                <w:szCs w:val="20"/>
                <w:color w:val="auto"/>
              </w:rPr>
            </w:pPr>
            <w:r>
              <w:rPr>
                <w:rFonts w:ascii="Arial" w:cs="Arial" w:eastAsia="Arial" w:hAnsi="Arial"/>
                <w:sz w:val="17"/>
                <w:szCs w:val="17"/>
                <w:color w:val="auto"/>
              </w:rPr>
              <w:t>8</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20" w:type="dxa"/>
            <w:vAlign w:val="bottom"/>
            <w:tcBorders>
              <w:bottom w:val="single" w:sz="8" w:color="0000EE"/>
            </w:tcBorders>
            <w:gridSpan w:val="16"/>
          </w:tcPr>
          <w:p>
            <w:pPr>
              <w:spacing w:after="0"/>
              <w:rPr>
                <w:rFonts w:ascii="Arial" w:cs="Arial" w:eastAsia="Arial" w:hAnsi="Arial"/>
                <w:sz w:val="17"/>
                <w:szCs w:val="17"/>
                <w:color w:val="0000EE"/>
                <w:w w:val="99"/>
              </w:rPr>
            </w:pPr>
            <w:hyperlink w:anchor="page55">
              <w:r>
                <w:rPr>
                  <w:rFonts w:ascii="Arial" w:cs="Arial" w:eastAsia="Arial" w:hAnsi="Arial"/>
                  <w:sz w:val="17"/>
                  <w:szCs w:val="17"/>
                  <w:color w:val="0000EE"/>
                  <w:w w:val="99"/>
                </w:rPr>
                <w:t>2021 Outstanding Equity Awards at Fiscal Year End</w:t>
              </w:r>
            </w:hyperlink>
          </w:p>
        </w:tc>
        <w:tc>
          <w:tcPr>
            <w:tcW w:w="660" w:type="dxa"/>
            <w:vAlign w:val="bottom"/>
            <w:gridSpan w:val="6"/>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304"/>
        </w:trPr>
        <w:tc>
          <w:tcPr>
            <w:tcW w:w="4520" w:type="dxa"/>
            <w:vAlign w:val="bottom"/>
            <w:gridSpan w:val="20"/>
          </w:tcPr>
          <w:p>
            <w:pPr>
              <w:spacing w:after="0"/>
              <w:rPr>
                <w:rFonts w:ascii="Arial" w:cs="Arial" w:eastAsia="Arial" w:hAnsi="Arial"/>
                <w:sz w:val="17"/>
                <w:szCs w:val="17"/>
                <w:b w:val="1"/>
                <w:bCs w:val="1"/>
                <w:color w:val="0000EE"/>
              </w:rPr>
            </w:pPr>
            <w:hyperlink w:anchor="page23">
              <w:r>
                <w:rPr>
                  <w:rFonts w:ascii="Arial" w:cs="Arial" w:eastAsia="Arial" w:hAnsi="Arial"/>
                  <w:sz w:val="17"/>
                  <w:szCs w:val="17"/>
                  <w:b w:val="1"/>
                  <w:bCs w:val="1"/>
                  <w:color w:val="0000EE"/>
                </w:rPr>
                <w:t>ESG</w:t>
              </w:r>
            </w:hyperlink>
          </w:p>
        </w:tc>
        <w:tc>
          <w:tcPr>
            <w:tcW w:w="1100" w:type="dxa"/>
            <w:vAlign w:val="bottom"/>
          </w:tcPr>
          <w:p>
            <w:pPr>
              <w:jc w:val="right"/>
              <w:ind w:right="335"/>
              <w:spacing w:after="0"/>
              <w:rPr>
                <w:sz w:val="20"/>
                <w:szCs w:val="20"/>
                <w:color w:val="auto"/>
              </w:rPr>
            </w:pPr>
            <w:r>
              <w:rPr>
                <w:rFonts w:ascii="Arial" w:cs="Arial" w:eastAsia="Arial" w:hAnsi="Arial"/>
                <w:sz w:val="17"/>
                <w:szCs w:val="17"/>
                <w:color w:val="auto"/>
              </w:rPr>
              <w:t>11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80" w:type="dxa"/>
            <w:vAlign w:val="bottom"/>
            <w:gridSpan w:val="22"/>
          </w:tcPr>
          <w:p>
            <w:pPr>
              <w:spacing w:after="0"/>
              <w:rPr>
                <w:rFonts w:ascii="Arial" w:cs="Arial" w:eastAsia="Arial" w:hAnsi="Arial"/>
                <w:sz w:val="17"/>
                <w:szCs w:val="17"/>
                <w:color w:val="0000EE"/>
              </w:rPr>
            </w:pPr>
            <w:hyperlink w:anchor="page57">
              <w:r>
                <w:rPr>
                  <w:rFonts w:ascii="Arial" w:cs="Arial" w:eastAsia="Arial" w:hAnsi="Arial"/>
                  <w:sz w:val="17"/>
                  <w:szCs w:val="17"/>
                  <w:color w:val="0000EE"/>
                </w:rPr>
                <w:t>2021 Option Exercises and Stock Vested</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180" w:type="dxa"/>
            <w:vAlign w:val="bottom"/>
            <w:tcBorders>
              <w:bottom w:val="single" w:sz="8" w:color="0000EE"/>
            </w:tcBorders>
            <w:gridSpan w:val="13"/>
          </w:tcPr>
          <w:p>
            <w:pPr>
              <w:spacing w:after="0"/>
              <w:rPr>
                <w:rFonts w:ascii="Arial" w:cs="Arial" w:eastAsia="Arial" w:hAnsi="Arial"/>
                <w:sz w:val="17"/>
                <w:szCs w:val="17"/>
                <w:b w:val="1"/>
                <w:bCs w:val="1"/>
                <w:color w:val="0000EE"/>
              </w:rPr>
            </w:pPr>
            <w:hyperlink w:anchor="page25">
              <w:r>
                <w:rPr>
                  <w:rFonts w:ascii="Arial" w:cs="Arial" w:eastAsia="Arial" w:hAnsi="Arial"/>
                  <w:sz w:val="17"/>
                  <w:szCs w:val="17"/>
                  <w:b w:val="1"/>
                  <w:bCs w:val="1"/>
                  <w:color w:val="0000EE"/>
                </w:rPr>
                <w:t>BOARD COMMITTEES AND MEETINGS</w:t>
              </w:r>
            </w:hyperlink>
          </w:p>
        </w:tc>
        <w:tc>
          <w:tcPr>
            <w:tcW w:w="1340" w:type="dxa"/>
            <w:vAlign w:val="bottom"/>
            <w:gridSpan w:val="7"/>
          </w:tcPr>
          <w:p>
            <w:pPr>
              <w:spacing w:after="0"/>
              <w:rPr>
                <w:sz w:val="24"/>
                <w:szCs w:val="24"/>
                <w:color w:val="auto"/>
              </w:rPr>
            </w:pPr>
          </w:p>
        </w:tc>
        <w:tc>
          <w:tcPr>
            <w:tcW w:w="1100" w:type="dxa"/>
            <w:vAlign w:val="bottom"/>
          </w:tcPr>
          <w:p>
            <w:pPr>
              <w:jc w:val="right"/>
              <w:ind w:right="335"/>
              <w:spacing w:after="0"/>
              <w:rPr>
                <w:sz w:val="20"/>
                <w:szCs w:val="20"/>
                <w:color w:val="auto"/>
              </w:rPr>
            </w:pPr>
            <w:r>
              <w:rPr>
                <w:rFonts w:ascii="Arial" w:cs="Arial" w:eastAsia="Arial" w:hAnsi="Arial"/>
                <w:sz w:val="17"/>
                <w:szCs w:val="17"/>
                <w:color w:val="auto"/>
              </w:rPr>
              <w:t>13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40" w:type="dxa"/>
            <w:vAlign w:val="bottom"/>
            <w:tcBorders>
              <w:bottom w:val="single" w:sz="8" w:color="0000EE"/>
            </w:tcBorders>
            <w:gridSpan w:val="12"/>
          </w:tcPr>
          <w:p>
            <w:pPr>
              <w:spacing w:after="0"/>
              <w:rPr>
                <w:rFonts w:ascii="Arial" w:cs="Arial" w:eastAsia="Arial" w:hAnsi="Arial"/>
                <w:sz w:val="17"/>
                <w:szCs w:val="17"/>
                <w:color w:val="0000EE"/>
              </w:rPr>
            </w:pPr>
            <w:hyperlink w:anchor="page57">
              <w:r>
                <w:rPr>
                  <w:rFonts w:ascii="Arial" w:cs="Arial" w:eastAsia="Arial" w:hAnsi="Arial"/>
                  <w:sz w:val="17"/>
                  <w:szCs w:val="17"/>
                  <w:color w:val="0000EE"/>
                </w:rPr>
                <w:t>2021 Non-Qualified Deferred Compensation</w:t>
              </w:r>
            </w:hyperlink>
          </w:p>
        </w:tc>
        <w:tc>
          <w:tcPr>
            <w:tcW w:w="1240" w:type="dxa"/>
            <w:vAlign w:val="bottom"/>
            <w:gridSpan w:val="10"/>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304"/>
        </w:trPr>
        <w:tc>
          <w:tcPr>
            <w:tcW w:w="2320" w:type="dxa"/>
            <w:vAlign w:val="bottom"/>
            <w:tcBorders>
              <w:bottom w:val="single" w:sz="8" w:color="0000EE"/>
            </w:tcBorders>
            <w:gridSpan w:val="7"/>
          </w:tcPr>
          <w:p>
            <w:pPr>
              <w:spacing w:after="0"/>
              <w:rPr>
                <w:rFonts w:ascii="Arial" w:cs="Arial" w:eastAsia="Arial" w:hAnsi="Arial"/>
                <w:sz w:val="17"/>
                <w:szCs w:val="17"/>
                <w:b w:val="1"/>
                <w:bCs w:val="1"/>
                <w:color w:val="0000EE"/>
                <w:w w:val="98"/>
              </w:rPr>
            </w:pPr>
            <w:hyperlink w:anchor="page29">
              <w:r>
                <w:rPr>
                  <w:rFonts w:ascii="Arial" w:cs="Arial" w:eastAsia="Arial" w:hAnsi="Arial"/>
                  <w:sz w:val="17"/>
                  <w:szCs w:val="17"/>
                  <w:b w:val="1"/>
                  <w:bCs w:val="1"/>
                  <w:color w:val="0000EE"/>
                  <w:w w:val="98"/>
                </w:rPr>
                <w:t>DIRECTOR COMPENSATION</w:t>
              </w:r>
            </w:hyperlink>
          </w:p>
        </w:tc>
        <w:tc>
          <w:tcPr>
            <w:tcW w:w="2200" w:type="dxa"/>
            <w:vAlign w:val="bottom"/>
            <w:gridSpan w:val="13"/>
          </w:tcPr>
          <w:p>
            <w:pPr>
              <w:spacing w:after="0"/>
              <w:rPr>
                <w:sz w:val="24"/>
                <w:szCs w:val="24"/>
                <w:color w:val="auto"/>
              </w:rPr>
            </w:pPr>
          </w:p>
        </w:tc>
        <w:tc>
          <w:tcPr>
            <w:tcW w:w="1100" w:type="dxa"/>
            <w:vAlign w:val="bottom"/>
          </w:tcPr>
          <w:p>
            <w:pPr>
              <w:jc w:val="right"/>
              <w:ind w:right="335"/>
              <w:spacing w:after="0"/>
              <w:rPr>
                <w:sz w:val="20"/>
                <w:szCs w:val="20"/>
                <w:color w:val="auto"/>
              </w:rPr>
            </w:pPr>
            <w:r>
              <w:rPr>
                <w:rFonts w:ascii="Arial" w:cs="Arial" w:eastAsia="Arial" w:hAnsi="Arial"/>
                <w:sz w:val="17"/>
                <w:szCs w:val="17"/>
                <w:color w:val="auto"/>
              </w:rPr>
              <w:t>17</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60" w:type="dxa"/>
            <w:vAlign w:val="bottom"/>
            <w:tcBorders>
              <w:bottom w:val="single" w:sz="8" w:color="0000EE"/>
            </w:tcBorders>
            <w:gridSpan w:val="15"/>
          </w:tcPr>
          <w:p>
            <w:pPr>
              <w:spacing w:after="0"/>
              <w:rPr>
                <w:rFonts w:ascii="Arial" w:cs="Arial" w:eastAsia="Arial" w:hAnsi="Arial"/>
                <w:sz w:val="17"/>
                <w:szCs w:val="17"/>
                <w:color w:val="0000EE"/>
                <w:w w:val="99"/>
              </w:rPr>
            </w:pPr>
            <w:hyperlink w:anchor="page57">
              <w:r>
                <w:rPr>
                  <w:rFonts w:ascii="Arial" w:cs="Arial" w:eastAsia="Arial" w:hAnsi="Arial"/>
                  <w:sz w:val="17"/>
                  <w:szCs w:val="17"/>
                  <w:color w:val="0000EE"/>
                  <w:w w:val="99"/>
                </w:rPr>
                <w:t>Potential Payments upon Termination or Change in</w:t>
              </w:r>
            </w:hyperlink>
          </w:p>
        </w:tc>
        <w:tc>
          <w:tcPr>
            <w:tcW w:w="720" w:type="dxa"/>
            <w:vAlign w:val="bottom"/>
            <w:gridSpan w:val="7"/>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69"/>
        </w:trPr>
        <w:tc>
          <w:tcPr>
            <w:tcW w:w="4520" w:type="dxa"/>
            <w:vAlign w:val="bottom"/>
            <w:gridSpan w:val="20"/>
            <w:vMerge w:val="restart"/>
          </w:tcPr>
          <w:p>
            <w:pPr>
              <w:spacing w:after="0"/>
              <w:rPr>
                <w:rFonts w:ascii="Arial" w:cs="Arial" w:eastAsia="Arial" w:hAnsi="Arial"/>
                <w:sz w:val="17"/>
                <w:szCs w:val="17"/>
                <w:b w:val="1"/>
                <w:bCs w:val="1"/>
                <w:color w:val="0000EE"/>
              </w:rPr>
            </w:pPr>
            <w:hyperlink w:anchor="page31">
              <w:r>
                <w:rPr>
                  <w:rFonts w:ascii="Arial" w:cs="Arial" w:eastAsia="Arial" w:hAnsi="Arial"/>
                  <w:sz w:val="17"/>
                  <w:szCs w:val="17"/>
                  <w:b w:val="1"/>
                  <w:bCs w:val="1"/>
                  <w:color w:val="0000EE"/>
                </w:rPr>
                <w:t>BENEFICIAL OWNERSHIP</w:t>
              </w:r>
            </w:hyperlink>
          </w:p>
        </w:tc>
        <w:tc>
          <w:tcPr>
            <w:tcW w:w="1100" w:type="dxa"/>
            <w:vAlign w:val="bottom"/>
            <w:vMerge w:val="restart"/>
          </w:tcPr>
          <w:p>
            <w:pPr>
              <w:jc w:val="right"/>
              <w:ind w:right="335"/>
              <w:spacing w:after="0"/>
              <w:rPr>
                <w:sz w:val="20"/>
                <w:szCs w:val="20"/>
                <w:color w:val="auto"/>
              </w:rPr>
            </w:pPr>
            <w:r>
              <w:rPr>
                <w:rFonts w:ascii="Arial" w:cs="Arial" w:eastAsia="Arial" w:hAnsi="Arial"/>
                <w:sz w:val="17"/>
                <w:szCs w:val="17"/>
                <w:color w:val="auto"/>
              </w:rPr>
              <w:t>19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0" w:type="dxa"/>
            <w:vAlign w:val="bottom"/>
            <w:gridSpan w:val="21"/>
          </w:tcPr>
          <w:p>
            <w:pPr>
              <w:spacing w:after="0" w:line="169" w:lineRule="exact"/>
              <w:rPr>
                <w:rFonts w:ascii="Arial" w:cs="Arial" w:eastAsia="Arial" w:hAnsi="Arial"/>
                <w:sz w:val="17"/>
                <w:szCs w:val="17"/>
                <w:color w:val="0000EE"/>
              </w:rPr>
            </w:pPr>
            <w:hyperlink w:anchor="page57">
              <w:r>
                <w:rPr>
                  <w:rFonts w:ascii="Arial" w:cs="Arial" w:eastAsia="Arial" w:hAnsi="Arial"/>
                  <w:sz w:val="17"/>
                  <w:szCs w:val="17"/>
                  <w:color w:val="0000EE"/>
                </w:rPr>
                <w:t>Control</w:t>
              </w:r>
            </w:hyperlink>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20" w:type="dxa"/>
            <w:vAlign w:val="bottom"/>
            <w:gridSpan w:val="20"/>
            <w:vMerge w:val="continue"/>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520" w:type="dxa"/>
            <w:vAlign w:val="bottom"/>
            <w:gridSpan w:val="20"/>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60" w:type="dxa"/>
            <w:vAlign w:val="bottom"/>
            <w:gridSpan w:val="14"/>
            <w:vMerge w:val="restart"/>
          </w:tcPr>
          <w:p>
            <w:pPr>
              <w:spacing w:after="0"/>
              <w:rPr>
                <w:rFonts w:ascii="Arial" w:cs="Arial" w:eastAsia="Arial" w:hAnsi="Arial"/>
                <w:sz w:val="17"/>
                <w:szCs w:val="17"/>
                <w:color w:val="0000EE"/>
                <w:w w:val="99"/>
              </w:rPr>
            </w:pPr>
            <w:hyperlink w:anchor="page58">
              <w:r>
                <w:rPr>
                  <w:rFonts w:ascii="Arial" w:cs="Arial" w:eastAsia="Arial" w:hAnsi="Arial"/>
                  <w:sz w:val="17"/>
                  <w:szCs w:val="17"/>
                  <w:color w:val="0000EE"/>
                  <w:w w:val="99"/>
                </w:rPr>
                <w:t>Summary of Termination Payments and Benefits</w:t>
              </w:r>
            </w:hyperlink>
          </w:p>
        </w:tc>
        <w:tc>
          <w:tcPr>
            <w:tcW w:w="920" w:type="dxa"/>
            <w:vAlign w:val="bottom"/>
            <w:gridSpan w:val="8"/>
            <w:vMerge w:val="restart"/>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60" w:type="dxa"/>
            <w:vAlign w:val="bottom"/>
            <w:gridSpan w:val="14"/>
            <w:vMerge w:val="continue"/>
          </w:tcPr>
          <w:p>
            <w:pPr>
              <w:spacing w:after="0" w:line="20" w:lineRule="exact"/>
              <w:rPr>
                <w:sz w:val="1"/>
                <w:szCs w:val="1"/>
                <w:color w:val="auto"/>
              </w:rPr>
            </w:pPr>
          </w:p>
        </w:tc>
        <w:tc>
          <w:tcPr>
            <w:tcW w:w="920" w:type="dxa"/>
            <w:vAlign w:val="bottom"/>
            <w:gridSpan w:val="8"/>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520" w:type="dxa"/>
            <w:vAlign w:val="bottom"/>
            <w:gridSpan w:val="20"/>
            <w:vMerge w:val="restart"/>
          </w:tcPr>
          <w:p>
            <w:pPr>
              <w:spacing w:after="0"/>
              <w:rPr>
                <w:rFonts w:ascii="Arial" w:cs="Arial" w:eastAsia="Arial" w:hAnsi="Arial"/>
                <w:sz w:val="17"/>
                <w:szCs w:val="17"/>
                <w:b w:val="1"/>
                <w:bCs w:val="1"/>
                <w:color w:val="0000EE"/>
              </w:rPr>
            </w:pPr>
            <w:hyperlink w:anchor="page32">
              <w:r>
                <w:rPr>
                  <w:rFonts w:ascii="Arial" w:cs="Arial" w:eastAsia="Arial" w:hAnsi="Arial"/>
                  <w:sz w:val="17"/>
                  <w:szCs w:val="17"/>
                  <w:b w:val="1"/>
                  <w:bCs w:val="1"/>
                  <w:color w:val="0000EE"/>
                </w:rPr>
                <w:t>DELINQUENT SECTION 16(A) REPORTS</w:t>
              </w:r>
            </w:hyperlink>
          </w:p>
        </w:tc>
        <w:tc>
          <w:tcPr>
            <w:tcW w:w="1100" w:type="dxa"/>
            <w:vAlign w:val="bottom"/>
            <w:vMerge w:val="restart"/>
          </w:tcPr>
          <w:p>
            <w:pPr>
              <w:jc w:val="right"/>
              <w:ind w:right="335"/>
              <w:spacing w:after="0"/>
              <w:rPr>
                <w:sz w:val="20"/>
                <w:szCs w:val="20"/>
                <w:color w:val="auto"/>
              </w:rPr>
            </w:pPr>
            <w:r>
              <w:rPr>
                <w:rFonts w:ascii="Arial" w:cs="Arial" w:eastAsia="Arial" w:hAnsi="Arial"/>
                <w:sz w:val="17"/>
                <w:szCs w:val="17"/>
                <w:color w:val="auto"/>
              </w:rPr>
              <w:t>20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60" w:type="dxa"/>
            <w:vAlign w:val="bottom"/>
            <w:tcBorders>
              <w:bottom w:val="single" w:sz="8" w:color="0000EE"/>
            </w:tcBorders>
            <w:gridSpan w:val="14"/>
            <w:vMerge w:val="continue"/>
          </w:tcPr>
          <w:p>
            <w:pPr>
              <w:spacing w:after="0"/>
              <w:rPr>
                <w:sz w:val="14"/>
                <w:szCs w:val="14"/>
                <w:color w:val="auto"/>
              </w:rPr>
            </w:pPr>
          </w:p>
        </w:tc>
        <w:tc>
          <w:tcPr>
            <w:tcW w:w="920" w:type="dxa"/>
            <w:vAlign w:val="bottom"/>
            <w:gridSpan w:val="8"/>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520" w:type="dxa"/>
            <w:vAlign w:val="bottom"/>
            <w:gridSpan w:val="20"/>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5"/>
            <w:vMerge w:val="restart"/>
          </w:tcPr>
          <w:p>
            <w:pPr>
              <w:spacing w:after="0"/>
              <w:rPr>
                <w:rFonts w:ascii="Arial" w:cs="Arial" w:eastAsia="Arial" w:hAnsi="Arial"/>
                <w:sz w:val="17"/>
                <w:szCs w:val="17"/>
                <w:color w:val="0000EE"/>
                <w:w w:val="98"/>
              </w:rPr>
            </w:pPr>
            <w:hyperlink w:anchor="page60">
              <w:r>
                <w:rPr>
                  <w:rFonts w:ascii="Arial" w:cs="Arial" w:eastAsia="Arial" w:hAnsi="Arial"/>
                  <w:sz w:val="17"/>
                  <w:szCs w:val="17"/>
                  <w:color w:val="0000EE"/>
                  <w:w w:val="98"/>
                </w:rPr>
                <w:t>CEO Pay Ratio</w:t>
              </w:r>
            </w:hyperlink>
          </w:p>
        </w:tc>
        <w:tc>
          <w:tcPr>
            <w:tcW w:w="3420" w:type="dxa"/>
            <w:vAlign w:val="bottom"/>
            <w:gridSpan w:val="17"/>
            <w:vMerge w:val="restart"/>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5"/>
            <w:vMerge w:val="continue"/>
          </w:tcPr>
          <w:p>
            <w:pPr>
              <w:spacing w:after="0" w:line="20" w:lineRule="exact"/>
              <w:rPr>
                <w:sz w:val="1"/>
                <w:szCs w:val="1"/>
                <w:color w:val="auto"/>
              </w:rPr>
            </w:pPr>
          </w:p>
        </w:tc>
        <w:tc>
          <w:tcPr>
            <w:tcW w:w="3420" w:type="dxa"/>
            <w:vAlign w:val="bottom"/>
            <w:gridSpan w:val="17"/>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520" w:type="dxa"/>
            <w:vAlign w:val="bottom"/>
            <w:gridSpan w:val="20"/>
            <w:vMerge w:val="restart"/>
          </w:tcPr>
          <w:p>
            <w:pPr>
              <w:spacing w:after="0"/>
              <w:rPr>
                <w:rFonts w:ascii="Arial" w:cs="Arial" w:eastAsia="Arial" w:hAnsi="Arial"/>
                <w:sz w:val="17"/>
                <w:szCs w:val="17"/>
                <w:b w:val="1"/>
                <w:bCs w:val="1"/>
                <w:color w:val="0000EE"/>
              </w:rPr>
            </w:pPr>
            <w:hyperlink w:anchor="page33">
              <w:r>
                <w:rPr>
                  <w:rFonts w:ascii="Arial" w:cs="Arial" w:eastAsia="Arial" w:hAnsi="Arial"/>
                  <w:sz w:val="17"/>
                  <w:szCs w:val="17"/>
                  <w:b w:val="1"/>
                  <w:bCs w:val="1"/>
                  <w:color w:val="0000EE"/>
                </w:rPr>
                <w:t>COMPENSATION DISCUSSION AND ANALYSIS</w:t>
              </w:r>
            </w:hyperlink>
          </w:p>
        </w:tc>
        <w:tc>
          <w:tcPr>
            <w:tcW w:w="1100" w:type="dxa"/>
            <w:vAlign w:val="bottom"/>
            <w:vMerge w:val="restart"/>
          </w:tcPr>
          <w:p>
            <w:pPr>
              <w:jc w:val="right"/>
              <w:ind w:right="335"/>
              <w:spacing w:after="0"/>
              <w:rPr>
                <w:sz w:val="20"/>
                <w:szCs w:val="20"/>
                <w:color w:val="auto"/>
              </w:rPr>
            </w:pPr>
            <w:r>
              <w:rPr>
                <w:rFonts w:ascii="Arial" w:cs="Arial" w:eastAsia="Arial" w:hAnsi="Arial"/>
                <w:sz w:val="17"/>
                <w:szCs w:val="17"/>
                <w:color w:val="auto"/>
              </w:rPr>
              <w:t>21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Borders>
              <w:bottom w:val="single" w:sz="8" w:color="0000EE"/>
            </w:tcBorders>
            <w:gridSpan w:val="5"/>
            <w:vMerge w:val="continue"/>
          </w:tcPr>
          <w:p>
            <w:pPr>
              <w:spacing w:after="0"/>
              <w:rPr>
                <w:sz w:val="14"/>
                <w:szCs w:val="14"/>
                <w:color w:val="auto"/>
              </w:rPr>
            </w:pPr>
          </w:p>
        </w:tc>
        <w:tc>
          <w:tcPr>
            <w:tcW w:w="3420" w:type="dxa"/>
            <w:vAlign w:val="bottom"/>
            <w:gridSpan w:val="17"/>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520" w:type="dxa"/>
            <w:vAlign w:val="bottom"/>
            <w:gridSpan w:val="20"/>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720" w:type="dxa"/>
            <w:vAlign w:val="bottom"/>
            <w:gridSpan w:val="23"/>
            <w:vMerge w:val="restart"/>
          </w:tcPr>
          <w:p>
            <w:pPr>
              <w:spacing w:after="0"/>
              <w:rPr>
                <w:rFonts w:ascii="Arial" w:cs="Arial" w:eastAsia="Arial" w:hAnsi="Arial"/>
                <w:sz w:val="17"/>
                <w:szCs w:val="17"/>
                <w:b w:val="1"/>
                <w:bCs w:val="1"/>
                <w:color w:val="0000EE"/>
                <w:w w:val="99"/>
              </w:rPr>
            </w:pPr>
            <w:hyperlink w:anchor="page61">
              <w:r>
                <w:rPr>
                  <w:rFonts w:ascii="Arial" w:cs="Arial" w:eastAsia="Arial" w:hAnsi="Arial"/>
                  <w:sz w:val="17"/>
                  <w:szCs w:val="17"/>
                  <w:b w:val="1"/>
                  <w:bCs w:val="1"/>
                  <w:color w:val="0000EE"/>
                  <w:w w:val="99"/>
                </w:rPr>
                <w:t xml:space="preserve">PROPOSAL 2: </w:t>
              </w:r>
              <w:r>
                <w:rPr>
                  <w:rFonts w:ascii="Arial" w:cs="Arial" w:eastAsia="Arial" w:hAnsi="Arial"/>
                  <w:sz w:val="17"/>
                  <w:szCs w:val="17"/>
                  <w:color w:val="0000EE"/>
                  <w:w w:val="99"/>
                </w:rPr>
                <w:t>ADVISORY VOTE ON THE COMPENSATION</w:t>
              </w:r>
            </w:hyperlink>
          </w:p>
        </w:tc>
        <w:tc>
          <w:tcPr>
            <w:tcW w:w="200" w:type="dxa"/>
            <w:vAlign w:val="bottom"/>
            <w:vMerge w:val="restart"/>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700" w:type="dxa"/>
            <w:vAlign w:val="bottom"/>
            <w:tcBorders>
              <w:top w:val="single" w:sz="8" w:color="0000EE"/>
              <w:bottom w:val="single" w:sz="8" w:color="0000EE"/>
            </w:tcBorders>
            <w:vMerge w:val="restart"/>
          </w:tcPr>
          <w:p>
            <w:pPr>
              <w:spacing w:after="0"/>
              <w:rPr>
                <w:rFonts w:ascii="Arial" w:cs="Arial" w:eastAsia="Arial" w:hAnsi="Arial"/>
                <w:sz w:val="17"/>
                <w:szCs w:val="17"/>
                <w:color w:val="0000EE"/>
                <w:w w:val="95"/>
              </w:rPr>
            </w:pPr>
            <w:hyperlink w:anchor="page33">
              <w:r>
                <w:rPr>
                  <w:rFonts w:ascii="Arial" w:cs="Arial" w:eastAsia="Arial" w:hAnsi="Arial"/>
                  <w:sz w:val="17"/>
                  <w:szCs w:val="17"/>
                  <w:color w:val="0000EE"/>
                  <w:w w:val="95"/>
                </w:rPr>
                <w:t>Overview</w:t>
              </w:r>
            </w:hyperlink>
          </w:p>
        </w:tc>
        <w:tc>
          <w:tcPr>
            <w:tcW w:w="2740" w:type="dxa"/>
            <w:vAlign w:val="bottom"/>
            <w:tcBorders>
              <w:top w:val="single" w:sz="8" w:color="0000EE"/>
              <w:bottom w:val="single" w:sz="8" w:color="0000EE"/>
            </w:tcBorders>
            <w:gridSpan w:val="15"/>
            <w:vMerge w:val="restart"/>
          </w:tcPr>
          <w:p>
            <w:pPr>
              <w:spacing w:after="0"/>
              <w:rPr>
                <w:sz w:val="14"/>
                <w:szCs w:val="14"/>
                <w:color w:val="auto"/>
              </w:rPr>
            </w:pPr>
          </w:p>
        </w:tc>
        <w:tc>
          <w:tcPr>
            <w:tcW w:w="720" w:type="dxa"/>
            <w:vAlign w:val="bottom"/>
            <w:gridSpan w:val="2"/>
            <w:vMerge w:val="restart"/>
          </w:tcPr>
          <w:p>
            <w:pPr>
              <w:spacing w:after="0"/>
              <w:rPr>
                <w:sz w:val="14"/>
                <w:szCs w:val="14"/>
                <w:color w:val="auto"/>
              </w:rPr>
            </w:pPr>
          </w:p>
        </w:tc>
        <w:tc>
          <w:tcPr>
            <w:tcW w:w="1100" w:type="dxa"/>
            <w:vAlign w:val="bottom"/>
            <w:vMerge w:val="restart"/>
          </w:tcPr>
          <w:p>
            <w:pPr>
              <w:jc w:val="right"/>
              <w:ind w:right="335"/>
              <w:spacing w:after="0"/>
              <w:rPr>
                <w:sz w:val="20"/>
                <w:szCs w:val="20"/>
                <w:color w:val="auto"/>
              </w:rPr>
            </w:pPr>
            <w:r>
              <w:rPr>
                <w:rFonts w:ascii="Arial" w:cs="Arial" w:eastAsia="Arial" w:hAnsi="Arial"/>
                <w:sz w:val="17"/>
                <w:szCs w:val="17"/>
                <w:color w:val="auto"/>
              </w:rPr>
              <w:t>21</w:t>
            </w:r>
          </w:p>
        </w:tc>
        <w:tc>
          <w:tcPr>
            <w:tcW w:w="4720" w:type="dxa"/>
            <w:vAlign w:val="bottom"/>
            <w:tcBorders>
              <w:bottom w:val="single" w:sz="8" w:color="0000EE"/>
            </w:tcBorders>
            <w:gridSpan w:val="23"/>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Borders>
              <w:bottom w:val="single" w:sz="8" w:color="0000EE"/>
            </w:tcBorders>
            <w:vMerge w:val="continue"/>
          </w:tcPr>
          <w:p>
            <w:pPr>
              <w:spacing w:after="0"/>
              <w:rPr>
                <w:sz w:val="10"/>
                <w:szCs w:val="10"/>
                <w:color w:val="auto"/>
              </w:rPr>
            </w:pPr>
          </w:p>
        </w:tc>
        <w:tc>
          <w:tcPr>
            <w:tcW w:w="2740" w:type="dxa"/>
            <w:vAlign w:val="bottom"/>
            <w:gridSpan w:val="15"/>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920" w:type="dxa"/>
            <w:vAlign w:val="bottom"/>
            <w:gridSpan w:val="24"/>
            <w:vMerge w:val="restart"/>
          </w:tcPr>
          <w:p>
            <w:pPr>
              <w:ind w:left="180"/>
              <w:spacing w:after="0" w:line="169" w:lineRule="exact"/>
              <w:rPr>
                <w:rFonts w:ascii="Arial" w:cs="Arial" w:eastAsia="Arial" w:hAnsi="Arial"/>
                <w:sz w:val="17"/>
                <w:szCs w:val="17"/>
                <w:color w:val="0000EE"/>
              </w:rPr>
            </w:pPr>
            <w:hyperlink w:anchor="page61">
              <w:r>
                <w:rPr>
                  <w:rFonts w:ascii="Arial" w:cs="Arial" w:eastAsia="Arial" w:hAnsi="Arial"/>
                  <w:sz w:val="17"/>
                  <w:szCs w:val="17"/>
                  <w:color w:val="0000EE"/>
                </w:rPr>
                <w:t>OF THE COMPANY’S NAMED EXECUTIVE OFFICERS</w:t>
              </w:r>
            </w:hyperlink>
          </w:p>
        </w:tc>
        <w:tc>
          <w:tcPr>
            <w:tcW w:w="420" w:type="dxa"/>
            <w:vAlign w:val="bottom"/>
            <w:vMerge w:val="restart"/>
          </w:tcPr>
          <w:p>
            <w:pPr>
              <w:jc w:val="right"/>
              <w:spacing w:after="0" w:line="169" w:lineRule="exact"/>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80" w:type="dxa"/>
            <w:vAlign w:val="bottom"/>
            <w:gridSpan w:val="8"/>
            <w:vMerge w:val="restart"/>
          </w:tcPr>
          <w:p>
            <w:pPr>
              <w:spacing w:after="0"/>
              <w:rPr>
                <w:rFonts w:ascii="Arial" w:cs="Arial" w:eastAsia="Arial" w:hAnsi="Arial"/>
                <w:sz w:val="17"/>
                <w:szCs w:val="17"/>
                <w:color w:val="0000EE"/>
                <w:w w:val="98"/>
              </w:rPr>
            </w:pPr>
            <w:hyperlink w:anchor="page34">
              <w:r>
                <w:rPr>
                  <w:rFonts w:ascii="Arial" w:cs="Arial" w:eastAsia="Arial" w:hAnsi="Arial"/>
                  <w:sz w:val="17"/>
                  <w:szCs w:val="17"/>
                  <w:color w:val="0000EE"/>
                  <w:w w:val="98"/>
                </w:rPr>
                <w:t>Creating Shareholder Value</w:t>
              </w:r>
            </w:hyperlink>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vMerge w:val="restart"/>
          </w:tcPr>
          <w:p>
            <w:pPr>
              <w:jc w:val="right"/>
              <w:ind w:right="335"/>
              <w:spacing w:after="0"/>
              <w:rPr>
                <w:sz w:val="20"/>
                <w:szCs w:val="20"/>
                <w:color w:val="auto"/>
              </w:rPr>
            </w:pPr>
            <w:r>
              <w:rPr>
                <w:rFonts w:ascii="Arial" w:cs="Arial" w:eastAsia="Arial" w:hAnsi="Arial"/>
                <w:sz w:val="17"/>
                <w:szCs w:val="17"/>
                <w:color w:val="auto"/>
              </w:rPr>
              <w:t>22</w:t>
            </w:r>
          </w:p>
        </w:tc>
        <w:tc>
          <w:tcPr>
            <w:tcW w:w="4920" w:type="dxa"/>
            <w:vAlign w:val="bottom"/>
            <w:gridSpan w:val="24"/>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gridSpan w:val="8"/>
            <w:vMerge w:val="continu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tcBorders>
              <w:right w:val="single" w:sz="8" w:color="0000EE"/>
            </w:tcBorders>
            <w:gridSpan w:val="5"/>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tcBorders>
              <w:bottom w:val="single" w:sz="8" w:color="0000EE"/>
            </w:tcBorders>
            <w:gridSpan w:val="8"/>
            <w:vMerge w:val="continue"/>
          </w:tcPr>
          <w:p>
            <w:pPr>
              <w:spacing w:after="0"/>
              <w:rPr>
                <w:sz w:val="21"/>
                <w:szCs w:val="21"/>
                <w:color w:val="auto"/>
              </w:rPr>
            </w:pPr>
          </w:p>
        </w:tc>
        <w:tc>
          <w:tcPr>
            <w:tcW w:w="300" w:type="dxa"/>
            <w:vAlign w:val="bottom"/>
            <w:gridSpan w:val="2"/>
            <w:vMerge w:val="restart"/>
          </w:tcPr>
          <w:p>
            <w:pPr>
              <w:spacing w:after="0"/>
              <w:rPr>
                <w:sz w:val="21"/>
                <w:szCs w:val="21"/>
                <w:color w:val="auto"/>
              </w:rPr>
            </w:pPr>
          </w:p>
        </w:tc>
        <w:tc>
          <w:tcPr>
            <w:tcW w:w="520" w:type="dxa"/>
            <w:vAlign w:val="bottom"/>
            <w:gridSpan w:val="2"/>
            <w:vMerge w:val="restart"/>
          </w:tcPr>
          <w:p>
            <w:pPr>
              <w:spacing w:after="0"/>
              <w:rPr>
                <w:sz w:val="21"/>
                <w:szCs w:val="21"/>
                <w:color w:val="auto"/>
              </w:rPr>
            </w:pPr>
          </w:p>
        </w:tc>
        <w:tc>
          <w:tcPr>
            <w:tcW w:w="160" w:type="dxa"/>
            <w:vAlign w:val="bottom"/>
            <w:gridSpan w:val="2"/>
            <w:vMerge w:val="restart"/>
          </w:tcPr>
          <w:p>
            <w:pPr>
              <w:spacing w:after="0"/>
              <w:rPr>
                <w:sz w:val="21"/>
                <w:szCs w:val="21"/>
                <w:color w:val="auto"/>
              </w:rPr>
            </w:pPr>
          </w:p>
        </w:tc>
        <w:tc>
          <w:tcPr>
            <w:tcW w:w="100" w:type="dxa"/>
            <w:vAlign w:val="bottom"/>
            <w:vMerge w:val="restart"/>
          </w:tcPr>
          <w:p>
            <w:pPr>
              <w:spacing w:after="0"/>
              <w:rPr>
                <w:sz w:val="21"/>
                <w:szCs w:val="21"/>
                <w:color w:val="auto"/>
              </w:rPr>
            </w:pPr>
          </w:p>
        </w:tc>
        <w:tc>
          <w:tcPr>
            <w:tcW w:w="520" w:type="dxa"/>
            <w:vAlign w:val="bottom"/>
            <w:gridSpan w:val="2"/>
            <w:vMerge w:val="restart"/>
          </w:tcPr>
          <w:p>
            <w:pPr>
              <w:spacing w:after="0"/>
              <w:rPr>
                <w:sz w:val="21"/>
                <w:szCs w:val="21"/>
                <w:color w:val="auto"/>
              </w:rPr>
            </w:pPr>
          </w:p>
        </w:tc>
        <w:tc>
          <w:tcPr>
            <w:tcW w:w="480" w:type="dxa"/>
            <w:vAlign w:val="bottom"/>
            <w:vMerge w:val="restart"/>
          </w:tcPr>
          <w:p>
            <w:pPr>
              <w:spacing w:after="0"/>
              <w:rPr>
                <w:sz w:val="21"/>
                <w:szCs w:val="21"/>
                <w:color w:val="auto"/>
              </w:rPr>
            </w:pPr>
          </w:p>
        </w:tc>
        <w:tc>
          <w:tcPr>
            <w:tcW w:w="1100" w:type="dxa"/>
            <w:vAlign w:val="bottom"/>
            <w:vMerge w:val="continue"/>
          </w:tcPr>
          <w:p>
            <w:pPr>
              <w:spacing w:after="0"/>
              <w:rPr>
                <w:sz w:val="21"/>
                <w:szCs w:val="21"/>
                <w:color w:val="auto"/>
              </w:rPr>
            </w:pPr>
          </w:p>
        </w:tc>
        <w:tc>
          <w:tcPr>
            <w:tcW w:w="2400" w:type="dxa"/>
            <w:vAlign w:val="bottom"/>
            <w:gridSpan w:val="9"/>
            <w:vMerge w:val="restart"/>
          </w:tcPr>
          <w:p>
            <w:pPr>
              <w:spacing w:after="0"/>
              <w:rPr>
                <w:rFonts w:ascii="Arial" w:cs="Arial" w:eastAsia="Arial" w:hAnsi="Arial"/>
                <w:sz w:val="17"/>
                <w:szCs w:val="17"/>
                <w:b w:val="1"/>
                <w:bCs w:val="1"/>
                <w:color w:val="0000EE"/>
              </w:rPr>
            </w:pPr>
            <w:hyperlink w:anchor="page62">
              <w:r>
                <w:rPr>
                  <w:rFonts w:ascii="Arial" w:cs="Arial" w:eastAsia="Arial" w:hAnsi="Arial"/>
                  <w:sz w:val="17"/>
                  <w:szCs w:val="17"/>
                  <w:b w:val="1"/>
                  <w:bCs w:val="1"/>
                  <w:color w:val="0000EE"/>
                </w:rPr>
                <w:t>AUDIT COMMITTEE REPORT</w:t>
              </w:r>
            </w:hyperlink>
          </w:p>
        </w:tc>
        <w:tc>
          <w:tcPr>
            <w:tcW w:w="2520" w:type="dxa"/>
            <w:vAlign w:val="bottom"/>
            <w:gridSpan w:val="15"/>
            <w:vMerge w:val="restart"/>
          </w:tcPr>
          <w:p>
            <w:pPr>
              <w:spacing w:after="0"/>
              <w:rPr>
                <w:sz w:val="21"/>
                <w:szCs w:val="21"/>
                <w:color w:val="auto"/>
              </w:rPr>
            </w:pPr>
          </w:p>
        </w:tc>
        <w:tc>
          <w:tcPr>
            <w:tcW w:w="420" w:type="dxa"/>
            <w:vAlign w:val="bottom"/>
            <w:vMerge w:val="restart"/>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39"/>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gridSpan w:val="2"/>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160" w:type="dxa"/>
            <w:vAlign w:val="bottom"/>
            <w:gridSpan w:val="2"/>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2400" w:type="dxa"/>
            <w:vAlign w:val="bottom"/>
            <w:tcBorders>
              <w:bottom w:val="single" w:sz="8" w:color="0000EE"/>
            </w:tcBorders>
            <w:gridSpan w:val="9"/>
            <w:vMerge w:val="continue"/>
          </w:tcPr>
          <w:p>
            <w:pPr>
              <w:spacing w:after="0"/>
              <w:rPr>
                <w:sz w:val="2"/>
                <w:szCs w:val="2"/>
                <w:color w:val="auto"/>
              </w:rPr>
            </w:pPr>
          </w:p>
        </w:tc>
        <w:tc>
          <w:tcPr>
            <w:tcW w:w="2520" w:type="dxa"/>
            <w:vAlign w:val="bottom"/>
            <w:gridSpan w:val="15"/>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60" w:type="dxa"/>
            <w:vAlign w:val="bottom"/>
            <w:tcBorders>
              <w:bottom w:val="single" w:sz="8" w:color="0000EE"/>
            </w:tcBorders>
            <w:gridSpan w:val="14"/>
          </w:tcPr>
          <w:p>
            <w:pPr>
              <w:spacing w:after="0"/>
              <w:rPr>
                <w:rFonts w:ascii="Arial" w:cs="Arial" w:eastAsia="Arial" w:hAnsi="Arial"/>
                <w:sz w:val="17"/>
                <w:szCs w:val="17"/>
                <w:color w:val="0000EE"/>
                <w:w w:val="98"/>
              </w:rPr>
            </w:pPr>
            <w:hyperlink w:anchor="page38">
              <w:r>
                <w:rPr>
                  <w:rFonts w:ascii="Arial" w:cs="Arial" w:eastAsia="Arial" w:hAnsi="Arial"/>
                  <w:sz w:val="17"/>
                  <w:szCs w:val="17"/>
                  <w:color w:val="0000EE"/>
                  <w:w w:val="98"/>
                </w:rPr>
                <w:t>Overview of Our Compensation Program</w:t>
              </w:r>
            </w:hyperlink>
          </w:p>
        </w:tc>
        <w:tc>
          <w:tcPr>
            <w:tcW w:w="100" w:type="dxa"/>
            <w:vAlign w:val="bottom"/>
            <w:vMerge w:val="restart"/>
          </w:tcPr>
          <w:p>
            <w:pPr>
              <w:spacing w:after="0"/>
              <w:rPr>
                <w:sz w:val="21"/>
                <w:szCs w:val="21"/>
                <w:color w:val="auto"/>
              </w:rPr>
            </w:pPr>
          </w:p>
        </w:tc>
        <w:tc>
          <w:tcPr>
            <w:tcW w:w="520" w:type="dxa"/>
            <w:vAlign w:val="bottom"/>
            <w:gridSpan w:val="2"/>
            <w:vMerge w:val="restart"/>
          </w:tcPr>
          <w:p>
            <w:pPr>
              <w:spacing w:after="0"/>
              <w:rPr>
                <w:sz w:val="21"/>
                <w:szCs w:val="21"/>
                <w:color w:val="auto"/>
              </w:rPr>
            </w:pPr>
          </w:p>
        </w:tc>
        <w:tc>
          <w:tcPr>
            <w:tcW w:w="480" w:type="dxa"/>
            <w:vAlign w:val="bottom"/>
            <w:vMerge w:val="restart"/>
          </w:tcPr>
          <w:p>
            <w:pPr>
              <w:spacing w:after="0"/>
              <w:rPr>
                <w:sz w:val="21"/>
                <w:szCs w:val="21"/>
                <w:color w:val="auto"/>
              </w:rPr>
            </w:pPr>
          </w:p>
        </w:tc>
        <w:tc>
          <w:tcPr>
            <w:tcW w:w="1100" w:type="dxa"/>
            <w:vAlign w:val="bottom"/>
            <w:vMerge w:val="restart"/>
          </w:tcPr>
          <w:p>
            <w:pPr>
              <w:jc w:val="right"/>
              <w:ind w:right="335"/>
              <w:spacing w:after="0"/>
              <w:rPr>
                <w:sz w:val="20"/>
                <w:szCs w:val="20"/>
                <w:color w:val="auto"/>
              </w:rPr>
            </w:pPr>
            <w:r>
              <w:rPr>
                <w:rFonts w:ascii="Arial" w:cs="Arial" w:eastAsia="Arial" w:hAnsi="Arial"/>
                <w:sz w:val="17"/>
                <w:szCs w:val="17"/>
                <w:color w:val="auto"/>
              </w:rPr>
              <w:t>26</w:t>
            </w:r>
          </w:p>
        </w:tc>
        <w:tc>
          <w:tcPr>
            <w:tcW w:w="3800" w:type="dxa"/>
            <w:vAlign w:val="bottom"/>
            <w:gridSpan w:val="15"/>
            <w:vMerge w:val="restart"/>
          </w:tcPr>
          <w:p>
            <w:pPr>
              <w:spacing w:after="0"/>
              <w:rPr>
                <w:rFonts w:ascii="Arial" w:cs="Arial" w:eastAsia="Arial" w:hAnsi="Arial"/>
                <w:sz w:val="17"/>
                <w:szCs w:val="17"/>
                <w:b w:val="1"/>
                <w:bCs w:val="1"/>
                <w:color w:val="0000EE"/>
              </w:rPr>
            </w:pPr>
            <w:hyperlink w:anchor="page63">
              <w:r>
                <w:rPr>
                  <w:rFonts w:ascii="Arial" w:cs="Arial" w:eastAsia="Arial" w:hAnsi="Arial"/>
                  <w:sz w:val="17"/>
                  <w:szCs w:val="17"/>
                  <w:b w:val="1"/>
                  <w:bCs w:val="1"/>
                  <w:color w:val="0000EE"/>
                </w:rPr>
                <w:t>INDEPENDENT PUBLIC ACCOUNTANTS FEES</w:t>
              </w:r>
            </w:hyperlink>
          </w:p>
        </w:tc>
        <w:tc>
          <w:tcPr>
            <w:tcW w:w="1120" w:type="dxa"/>
            <w:vAlign w:val="bottom"/>
            <w:gridSpan w:val="9"/>
            <w:vMerge w:val="restart"/>
          </w:tcPr>
          <w:p>
            <w:pPr>
              <w:spacing w:after="0"/>
              <w:rPr>
                <w:sz w:val="21"/>
                <w:szCs w:val="21"/>
                <w:color w:val="auto"/>
              </w:rPr>
            </w:pPr>
          </w:p>
        </w:tc>
        <w:tc>
          <w:tcPr>
            <w:tcW w:w="420" w:type="dxa"/>
            <w:vAlign w:val="bottom"/>
            <w:vMerge w:val="restart"/>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39"/>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gridSpan w:val="3"/>
          </w:tcPr>
          <w:p>
            <w:pPr>
              <w:spacing w:after="0"/>
              <w:rPr>
                <w:sz w:val="2"/>
                <w:szCs w:val="2"/>
                <w:color w:val="auto"/>
              </w:rPr>
            </w:pPr>
          </w:p>
        </w:tc>
        <w:tc>
          <w:tcPr>
            <w:tcW w:w="340" w:type="dxa"/>
            <w:vAlign w:val="bottom"/>
            <w:gridSpan w:val="3"/>
          </w:tcPr>
          <w:p>
            <w:pPr>
              <w:spacing w:after="0"/>
              <w:rPr>
                <w:sz w:val="2"/>
                <w:szCs w:val="2"/>
                <w:color w:val="auto"/>
              </w:rPr>
            </w:pPr>
          </w:p>
        </w:tc>
        <w:tc>
          <w:tcPr>
            <w:tcW w:w="52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3800" w:type="dxa"/>
            <w:vAlign w:val="bottom"/>
            <w:tcBorders>
              <w:bottom w:val="single" w:sz="8" w:color="0000EE"/>
            </w:tcBorders>
            <w:gridSpan w:val="15"/>
            <w:vMerge w:val="continue"/>
          </w:tcPr>
          <w:p>
            <w:pPr>
              <w:spacing w:after="0"/>
              <w:rPr>
                <w:sz w:val="2"/>
                <w:szCs w:val="2"/>
                <w:color w:val="auto"/>
              </w:rPr>
            </w:pPr>
          </w:p>
        </w:tc>
        <w:tc>
          <w:tcPr>
            <w:tcW w:w="1120" w:type="dxa"/>
            <w:vAlign w:val="bottom"/>
            <w:gridSpan w:val="9"/>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tcBorders>
              <w:bottom w:val="single" w:sz="8" w:color="0000EE"/>
            </w:tcBorders>
            <w:gridSpan w:val="7"/>
          </w:tcPr>
          <w:p>
            <w:pPr>
              <w:spacing w:after="0"/>
              <w:rPr>
                <w:rFonts w:ascii="Arial" w:cs="Arial" w:eastAsia="Arial" w:hAnsi="Arial"/>
                <w:sz w:val="17"/>
                <w:szCs w:val="17"/>
                <w:color w:val="0000EE"/>
                <w:w w:val="98"/>
              </w:rPr>
            </w:pPr>
            <w:hyperlink w:anchor="page40">
              <w:r>
                <w:rPr>
                  <w:rFonts w:ascii="Arial" w:cs="Arial" w:eastAsia="Arial" w:hAnsi="Arial"/>
                  <w:sz w:val="17"/>
                  <w:szCs w:val="17"/>
                  <w:color w:val="0000EE"/>
                  <w:w w:val="98"/>
                </w:rPr>
                <w:t>Elements of Compensation</w:t>
              </w:r>
            </w:hyperlink>
          </w:p>
        </w:tc>
        <w:tc>
          <w:tcPr>
            <w:tcW w:w="340" w:type="dxa"/>
            <w:vAlign w:val="bottom"/>
            <w:gridSpan w:val="3"/>
            <w:vMerge w:val="restart"/>
          </w:tcPr>
          <w:p>
            <w:pPr>
              <w:spacing w:after="0"/>
              <w:rPr>
                <w:sz w:val="21"/>
                <w:szCs w:val="21"/>
                <w:color w:val="auto"/>
              </w:rPr>
            </w:pPr>
          </w:p>
        </w:tc>
        <w:tc>
          <w:tcPr>
            <w:tcW w:w="520" w:type="dxa"/>
            <w:vAlign w:val="bottom"/>
            <w:gridSpan w:val="2"/>
            <w:vMerge w:val="restart"/>
          </w:tcPr>
          <w:p>
            <w:pPr>
              <w:spacing w:after="0"/>
              <w:rPr>
                <w:sz w:val="21"/>
                <w:szCs w:val="21"/>
                <w:color w:val="auto"/>
              </w:rPr>
            </w:pPr>
          </w:p>
        </w:tc>
        <w:tc>
          <w:tcPr>
            <w:tcW w:w="260" w:type="dxa"/>
            <w:vAlign w:val="bottom"/>
            <w:gridSpan w:val="3"/>
            <w:vMerge w:val="restart"/>
          </w:tcPr>
          <w:p>
            <w:pPr>
              <w:spacing w:after="0"/>
              <w:rPr>
                <w:sz w:val="21"/>
                <w:szCs w:val="21"/>
                <w:color w:val="auto"/>
              </w:rPr>
            </w:pPr>
          </w:p>
        </w:tc>
        <w:tc>
          <w:tcPr>
            <w:tcW w:w="520" w:type="dxa"/>
            <w:vAlign w:val="bottom"/>
            <w:gridSpan w:val="2"/>
            <w:vMerge w:val="restart"/>
          </w:tcPr>
          <w:p>
            <w:pPr>
              <w:spacing w:after="0"/>
              <w:rPr>
                <w:sz w:val="21"/>
                <w:szCs w:val="21"/>
                <w:color w:val="auto"/>
              </w:rPr>
            </w:pPr>
          </w:p>
        </w:tc>
        <w:tc>
          <w:tcPr>
            <w:tcW w:w="480" w:type="dxa"/>
            <w:vAlign w:val="bottom"/>
            <w:vMerge w:val="restart"/>
          </w:tcPr>
          <w:p>
            <w:pPr>
              <w:spacing w:after="0"/>
              <w:rPr>
                <w:sz w:val="21"/>
                <w:szCs w:val="21"/>
                <w:color w:val="auto"/>
              </w:rPr>
            </w:pPr>
          </w:p>
        </w:tc>
        <w:tc>
          <w:tcPr>
            <w:tcW w:w="1100" w:type="dxa"/>
            <w:vAlign w:val="bottom"/>
            <w:vMerge w:val="restart"/>
          </w:tcPr>
          <w:p>
            <w:pPr>
              <w:jc w:val="right"/>
              <w:ind w:right="335"/>
              <w:spacing w:after="0"/>
              <w:rPr>
                <w:sz w:val="20"/>
                <w:szCs w:val="20"/>
                <w:color w:val="auto"/>
              </w:rPr>
            </w:pPr>
            <w:r>
              <w:rPr>
                <w:rFonts w:ascii="Arial" w:cs="Arial" w:eastAsia="Arial" w:hAnsi="Arial"/>
                <w:sz w:val="17"/>
                <w:szCs w:val="17"/>
                <w:color w:val="auto"/>
              </w:rPr>
              <w:t>28</w:t>
            </w:r>
          </w:p>
        </w:tc>
        <w:tc>
          <w:tcPr>
            <w:tcW w:w="4920" w:type="dxa"/>
            <w:vAlign w:val="bottom"/>
            <w:gridSpan w:val="24"/>
            <w:vMerge w:val="restart"/>
          </w:tcPr>
          <w:p>
            <w:pPr>
              <w:spacing w:after="0"/>
              <w:rPr>
                <w:rFonts w:ascii="Arial" w:cs="Arial" w:eastAsia="Arial" w:hAnsi="Arial"/>
                <w:sz w:val="17"/>
                <w:szCs w:val="17"/>
                <w:b w:val="1"/>
                <w:bCs w:val="1"/>
                <w:color w:val="0000EE"/>
              </w:rPr>
            </w:pPr>
            <w:hyperlink w:anchor="page63">
              <w:r>
                <w:rPr>
                  <w:rFonts w:ascii="Arial" w:cs="Arial" w:eastAsia="Arial" w:hAnsi="Arial"/>
                  <w:sz w:val="17"/>
                  <w:szCs w:val="17"/>
                  <w:b w:val="1"/>
                  <w:bCs w:val="1"/>
                  <w:color w:val="0000EE"/>
                </w:rPr>
                <w:t xml:space="preserve">PROPOSAL 3: </w:t>
              </w:r>
              <w:r>
                <w:rPr>
                  <w:rFonts w:ascii="Arial" w:cs="Arial" w:eastAsia="Arial" w:hAnsi="Arial"/>
                  <w:sz w:val="17"/>
                  <w:szCs w:val="17"/>
                  <w:color w:val="0000EE"/>
                </w:rPr>
                <w:t>RATIFICATION OF THE APPOINTMENT OF</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gridSpan w:val="3"/>
          </w:tcPr>
          <w:p>
            <w:pPr>
              <w:spacing w:after="0"/>
              <w:rPr>
                <w:sz w:val="2"/>
                <w:szCs w:val="2"/>
                <w:color w:val="auto"/>
              </w:rPr>
            </w:pPr>
          </w:p>
        </w:tc>
        <w:tc>
          <w:tcPr>
            <w:tcW w:w="340" w:type="dxa"/>
            <w:vAlign w:val="bottom"/>
            <w:gridSpan w:val="3"/>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260" w:type="dxa"/>
            <w:vAlign w:val="bottom"/>
            <w:gridSpan w:val="3"/>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4920" w:type="dxa"/>
            <w:vAlign w:val="bottom"/>
            <w:gridSpan w:val="24"/>
            <w:vMerge w:val="continue"/>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60" w:type="dxa"/>
            <w:vAlign w:val="bottom"/>
            <w:gridSpan w:val="18"/>
            <w:vMerge w:val="restart"/>
          </w:tcPr>
          <w:p>
            <w:pPr>
              <w:spacing w:after="0"/>
              <w:rPr>
                <w:rFonts w:ascii="Arial" w:cs="Arial" w:eastAsia="Arial" w:hAnsi="Arial"/>
                <w:sz w:val="17"/>
                <w:szCs w:val="17"/>
                <w:color w:val="0000EE"/>
              </w:rPr>
            </w:pPr>
            <w:hyperlink w:anchor="page42">
              <w:r>
                <w:rPr>
                  <w:rFonts w:ascii="Arial" w:cs="Arial" w:eastAsia="Arial" w:hAnsi="Arial"/>
                  <w:sz w:val="17"/>
                  <w:szCs w:val="17"/>
                  <w:color w:val="0000EE"/>
                </w:rPr>
                <w:t>Compensation Process</w:t>
              </w:r>
            </w:hyperlink>
          </w:p>
        </w:tc>
        <w:tc>
          <w:tcPr>
            <w:tcW w:w="1100" w:type="dxa"/>
            <w:vAlign w:val="bottom"/>
            <w:vMerge w:val="restart"/>
          </w:tcPr>
          <w:p>
            <w:pPr>
              <w:jc w:val="right"/>
              <w:ind w:right="335"/>
              <w:spacing w:after="0"/>
              <w:rPr>
                <w:sz w:val="20"/>
                <w:szCs w:val="20"/>
                <w:color w:val="auto"/>
              </w:rPr>
            </w:pPr>
            <w:r>
              <w:rPr>
                <w:rFonts w:ascii="Arial" w:cs="Arial" w:eastAsia="Arial" w:hAnsi="Arial"/>
                <w:sz w:val="17"/>
                <w:szCs w:val="17"/>
                <w:color w:val="auto"/>
              </w:rPr>
              <w:t>30</w:t>
            </w:r>
          </w:p>
        </w:tc>
        <w:tc>
          <w:tcPr>
            <w:tcW w:w="4600" w:type="dxa"/>
            <w:vAlign w:val="bottom"/>
            <w:tcBorders>
              <w:top w:val="single" w:sz="8" w:color="0000EE"/>
            </w:tcBorders>
            <w:gridSpan w:val="21"/>
          </w:tcPr>
          <w:p>
            <w:pPr>
              <w:ind w:left="180"/>
              <w:spacing w:after="0" w:line="169" w:lineRule="exact"/>
              <w:rPr>
                <w:rFonts w:ascii="Arial" w:cs="Arial" w:eastAsia="Arial" w:hAnsi="Arial"/>
                <w:sz w:val="17"/>
                <w:szCs w:val="17"/>
                <w:color w:val="0000EE"/>
              </w:rPr>
            </w:pPr>
            <w:hyperlink w:anchor="page63">
              <w:r>
                <w:rPr>
                  <w:rFonts w:ascii="Arial" w:cs="Arial" w:eastAsia="Arial" w:hAnsi="Arial"/>
                  <w:sz w:val="17"/>
                  <w:szCs w:val="17"/>
                  <w:color w:val="0000EE"/>
                </w:rPr>
                <w:t>PRICEWATERHOUSECOOPERS LLP AS OUR</w:t>
              </w:r>
            </w:hyperlink>
          </w:p>
        </w:tc>
        <w:tc>
          <w:tcPr>
            <w:tcW w:w="320" w:type="dxa"/>
            <w:vAlign w:val="bottom"/>
            <w:gridSpan w:val="3"/>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60" w:type="dxa"/>
            <w:vAlign w:val="bottom"/>
            <w:gridSpan w:val="18"/>
            <w:vMerge w:val="continue"/>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160" w:type="dxa"/>
            <w:vAlign w:val="bottom"/>
            <w:gridSpan w:val="18"/>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4920" w:type="dxa"/>
            <w:vAlign w:val="bottom"/>
            <w:gridSpan w:val="24"/>
            <w:vMerge w:val="restart"/>
          </w:tcPr>
          <w:p>
            <w:pPr>
              <w:ind w:left="180"/>
              <w:spacing w:after="0" w:line="169" w:lineRule="exact"/>
              <w:rPr>
                <w:rFonts w:ascii="Arial" w:cs="Arial" w:eastAsia="Arial" w:hAnsi="Arial"/>
                <w:sz w:val="17"/>
                <w:szCs w:val="17"/>
                <w:color w:val="0000EE"/>
              </w:rPr>
            </w:pPr>
            <w:hyperlink w:anchor="page63">
              <w:r>
                <w:rPr>
                  <w:rFonts w:ascii="Arial" w:cs="Arial" w:eastAsia="Arial" w:hAnsi="Arial"/>
                  <w:sz w:val="17"/>
                  <w:szCs w:val="17"/>
                  <w:color w:val="0000EE"/>
                </w:rPr>
                <w:t>INDEPENDENT REGISTERED PUBLIC ACCOUNTING</w:t>
              </w:r>
            </w:hyperlink>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90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920" w:type="dxa"/>
            <w:vAlign w:val="bottom"/>
            <w:gridSpan w:val="24"/>
            <w:vMerge w:val="continue"/>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60" w:type="dxa"/>
            <w:vAlign w:val="bottom"/>
            <w:gridSpan w:val="18"/>
          </w:tcPr>
          <w:p>
            <w:pPr>
              <w:spacing w:after="0" w:line="169" w:lineRule="exact"/>
              <w:rPr>
                <w:rFonts w:ascii="Arial" w:cs="Arial" w:eastAsia="Arial" w:hAnsi="Arial"/>
                <w:sz w:val="17"/>
                <w:szCs w:val="17"/>
                <w:color w:val="0000EE"/>
              </w:rPr>
            </w:pPr>
            <w:hyperlink w:anchor="page46">
              <w:r>
                <w:rPr>
                  <w:rFonts w:ascii="Arial" w:cs="Arial" w:eastAsia="Arial" w:hAnsi="Arial"/>
                  <w:sz w:val="17"/>
                  <w:szCs w:val="17"/>
                  <w:color w:val="0000EE"/>
                </w:rPr>
                <w:t>Analysis of 2021 Compensation</w:t>
              </w:r>
            </w:hyperlink>
          </w:p>
        </w:tc>
        <w:tc>
          <w:tcPr>
            <w:tcW w:w="1100" w:type="dxa"/>
            <w:vAlign w:val="bottom"/>
          </w:tcPr>
          <w:p>
            <w:pPr>
              <w:jc w:val="right"/>
              <w:ind w:right="335"/>
              <w:spacing w:after="0" w:line="169" w:lineRule="exact"/>
              <w:rPr>
                <w:sz w:val="20"/>
                <w:szCs w:val="20"/>
                <w:color w:val="auto"/>
              </w:rPr>
            </w:pPr>
            <w:r>
              <w:rPr>
                <w:rFonts w:ascii="Arial" w:cs="Arial" w:eastAsia="Arial" w:hAnsi="Arial"/>
                <w:sz w:val="17"/>
                <w:szCs w:val="17"/>
                <w:color w:val="auto"/>
              </w:rPr>
              <w:t>34</w:t>
            </w:r>
          </w:p>
        </w:tc>
        <w:tc>
          <w:tcPr>
            <w:tcW w:w="180" w:type="dxa"/>
            <w:vAlign w:val="bottom"/>
          </w:tcPr>
          <w:p>
            <w:pPr>
              <w:spacing w:after="0"/>
              <w:rPr>
                <w:sz w:val="14"/>
                <w:szCs w:val="14"/>
                <w:color w:val="auto"/>
              </w:rPr>
            </w:pPr>
          </w:p>
        </w:tc>
        <w:tc>
          <w:tcPr>
            <w:tcW w:w="4160" w:type="dxa"/>
            <w:vAlign w:val="bottom"/>
            <w:tcBorders>
              <w:top w:val="single" w:sz="8" w:color="0000EE"/>
              <w:bottom w:val="single" w:sz="8" w:color="0000EE"/>
            </w:tcBorders>
            <w:gridSpan w:val="18"/>
          </w:tcPr>
          <w:p>
            <w:pPr>
              <w:spacing w:after="0" w:line="155" w:lineRule="exact"/>
              <w:rPr>
                <w:rFonts w:ascii="Arial" w:cs="Arial" w:eastAsia="Arial" w:hAnsi="Arial"/>
                <w:sz w:val="17"/>
                <w:szCs w:val="17"/>
                <w:color w:val="0000EE"/>
                <w:w w:val="99"/>
              </w:rPr>
            </w:pPr>
            <w:hyperlink w:anchor="page63">
              <w:r>
                <w:rPr>
                  <w:rFonts w:ascii="Arial" w:cs="Arial" w:eastAsia="Arial" w:hAnsi="Arial"/>
                  <w:sz w:val="17"/>
                  <w:szCs w:val="17"/>
                  <w:color w:val="0000EE"/>
                  <w:w w:val="99"/>
                </w:rPr>
                <w:t>FIRM FOR THE YEAR ENDING DECEMBER 31, 2022</w:t>
              </w:r>
            </w:hyperlink>
          </w:p>
        </w:tc>
        <w:tc>
          <w:tcPr>
            <w:tcW w:w="100" w:type="dxa"/>
            <w:vAlign w:val="bottom"/>
            <w:tcBorders>
              <w:top w:val="single" w:sz="8" w:color="0000EE"/>
              <w:bottom w:val="single" w:sz="8" w:color="0000EE"/>
            </w:tcBorders>
          </w:tcPr>
          <w:p>
            <w:pPr>
              <w:spacing w:after="0"/>
              <w:rPr>
                <w:sz w:val="14"/>
                <w:szCs w:val="14"/>
                <w:color w:val="auto"/>
              </w:rPr>
            </w:pPr>
          </w:p>
        </w:tc>
        <w:tc>
          <w:tcPr>
            <w:tcW w:w="260" w:type="dxa"/>
            <w:vAlign w:val="bottom"/>
            <w:gridSpan w:val="2"/>
          </w:tcPr>
          <w:p>
            <w:pPr>
              <w:spacing w:after="0"/>
              <w:rPr>
                <w:sz w:val="14"/>
                <w:szCs w:val="14"/>
                <w:color w:val="auto"/>
              </w:rPr>
            </w:pPr>
          </w:p>
        </w:tc>
        <w:tc>
          <w:tcPr>
            <w:tcW w:w="220" w:type="dxa"/>
            <w:vAlign w:val="bottom"/>
            <w:gridSpan w:val="2"/>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Borders>
              <w:bottom w:val="single" w:sz="8" w:color="0000EE"/>
            </w:tcBorders>
            <w:gridSpan w:val="4"/>
          </w:tcPr>
          <w:p>
            <w:pPr>
              <w:spacing w:after="0" w:line="20" w:lineRule="exact"/>
              <w:rPr>
                <w:sz w:val="1"/>
                <w:szCs w:val="1"/>
                <w:color w:val="auto"/>
              </w:rPr>
            </w:pPr>
          </w:p>
        </w:tc>
        <w:tc>
          <w:tcPr>
            <w:tcW w:w="540" w:type="dxa"/>
            <w:vAlign w:val="bottom"/>
            <w:tcBorders>
              <w:bottom w:val="single" w:sz="8" w:color="0000EE"/>
            </w:tcBorders>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80" w:type="dxa"/>
            <w:vAlign w:val="bottom"/>
            <w:gridSpan w:val="10"/>
            <w:vMerge w:val="restart"/>
          </w:tcPr>
          <w:p>
            <w:pPr>
              <w:spacing w:after="0"/>
              <w:rPr>
                <w:rFonts w:ascii="Arial" w:cs="Arial" w:eastAsia="Arial" w:hAnsi="Arial"/>
                <w:sz w:val="17"/>
                <w:szCs w:val="17"/>
                <w:b w:val="1"/>
                <w:bCs w:val="1"/>
                <w:color w:val="0000EE"/>
              </w:rPr>
            </w:pPr>
            <w:hyperlink w:anchor="page64">
              <w:r>
                <w:rPr>
                  <w:rFonts w:ascii="Arial" w:cs="Arial" w:eastAsia="Arial" w:hAnsi="Arial"/>
                  <w:sz w:val="17"/>
                  <w:szCs w:val="17"/>
                  <w:b w:val="1"/>
                  <w:bCs w:val="1"/>
                  <w:color w:val="0000EE"/>
                </w:rPr>
                <w:t>ANNUAL MEETING AND VOTING</w:t>
              </w:r>
            </w:hyperlink>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160" w:type="dxa"/>
            <w:vAlign w:val="bottom"/>
            <w:gridSpan w:val="18"/>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Additional Information About Our Program</w:t>
              </w:r>
            </w:hyperlink>
          </w:p>
        </w:tc>
        <w:tc>
          <w:tcPr>
            <w:tcW w:w="1100" w:type="dxa"/>
            <w:vAlign w:val="bottom"/>
          </w:tcPr>
          <w:p>
            <w:pPr>
              <w:jc w:val="right"/>
              <w:ind w:right="335"/>
              <w:spacing w:after="0"/>
              <w:rPr>
                <w:sz w:val="20"/>
                <w:szCs w:val="20"/>
                <w:color w:val="auto"/>
              </w:rPr>
            </w:pPr>
            <w:r>
              <w:rPr>
                <w:rFonts w:ascii="Arial" w:cs="Arial" w:eastAsia="Arial" w:hAnsi="Arial"/>
                <w:sz w:val="17"/>
                <w:szCs w:val="17"/>
                <w:color w:val="auto"/>
              </w:rPr>
              <w:t>38</w:t>
            </w:r>
          </w:p>
        </w:tc>
        <w:tc>
          <w:tcPr>
            <w:tcW w:w="2780" w:type="dxa"/>
            <w:vAlign w:val="bottom"/>
            <w:tcBorders>
              <w:bottom w:val="single" w:sz="8" w:color="0000EE"/>
            </w:tcBorders>
            <w:gridSpan w:val="10"/>
            <w:vMerge w:val="continue"/>
          </w:tcPr>
          <w:p>
            <w:pPr>
              <w:spacing w:after="0"/>
              <w:rPr>
                <w:sz w:val="22"/>
                <w:szCs w:val="22"/>
                <w:color w:val="auto"/>
              </w:rPr>
            </w:pPr>
          </w:p>
        </w:tc>
        <w:tc>
          <w:tcPr>
            <w:tcW w:w="1920" w:type="dxa"/>
            <w:vAlign w:val="bottom"/>
            <w:gridSpan w:val="12"/>
          </w:tcPr>
          <w:p>
            <w:pPr>
              <w:spacing w:after="0"/>
              <w:rPr>
                <w:sz w:val="22"/>
                <w:szCs w:val="22"/>
                <w:color w:val="auto"/>
              </w:rPr>
            </w:pPr>
          </w:p>
        </w:tc>
        <w:tc>
          <w:tcPr>
            <w:tcW w:w="220" w:type="dxa"/>
            <w:vAlign w:val="bottom"/>
            <w:gridSpan w:val="2"/>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90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920" w:type="dxa"/>
            <w:vAlign w:val="bottom"/>
            <w:gridSpan w:val="24"/>
            <w:vMerge w:val="restart"/>
          </w:tcPr>
          <w:p>
            <w:pPr>
              <w:ind w:left="180"/>
              <w:spacing w:after="0" w:line="169" w:lineRule="exact"/>
              <w:rPr>
                <w:rFonts w:ascii="Arial" w:cs="Arial" w:eastAsia="Arial" w:hAnsi="Arial"/>
                <w:sz w:val="17"/>
                <w:szCs w:val="17"/>
                <w:b w:val="1"/>
                <w:bCs w:val="1"/>
                <w:color w:val="0000EE"/>
              </w:rPr>
            </w:pPr>
            <w:hyperlink w:anchor="page64">
              <w:r>
                <w:rPr>
                  <w:rFonts w:ascii="Arial" w:cs="Arial" w:eastAsia="Arial" w:hAnsi="Arial"/>
                  <w:sz w:val="17"/>
                  <w:szCs w:val="17"/>
                  <w:b w:val="1"/>
                  <w:bCs w:val="1"/>
                  <w:color w:val="0000EE"/>
                </w:rPr>
                <w:t>INFORMATION</w:t>
              </w:r>
            </w:hyperlink>
          </w:p>
        </w:tc>
        <w:tc>
          <w:tcPr>
            <w:tcW w:w="420" w:type="dxa"/>
            <w:vAlign w:val="bottom"/>
            <w:vMerge w:val="restart"/>
          </w:tcPr>
          <w:p>
            <w:pPr>
              <w:jc w:val="right"/>
              <w:spacing w:after="0" w:line="169" w:lineRule="exact"/>
              <w:rPr>
                <w:sz w:val="20"/>
                <w:szCs w:val="20"/>
                <w:color w:val="auto"/>
              </w:rPr>
            </w:pPr>
            <w:r>
              <w:rPr>
                <w:rFonts w:ascii="Arial" w:cs="Arial" w:eastAsia="Arial" w:hAnsi="Arial"/>
                <w:sz w:val="17"/>
                <w:szCs w:val="17"/>
                <w:color w:val="auto"/>
              </w:rPr>
              <w:t>52</w:t>
            </w:r>
          </w:p>
        </w:tc>
        <w:tc>
          <w:tcPr>
            <w:tcW w:w="0" w:type="dxa"/>
            <w:vAlign w:val="bottom"/>
          </w:tcPr>
          <w:p>
            <w:pPr>
              <w:spacing w:after="0" w:line="20" w:lineRule="exact"/>
              <w:rPr>
                <w:sz w:val="1"/>
                <w:szCs w:val="1"/>
                <w:color w:val="auto"/>
              </w:rPr>
            </w:pPr>
          </w:p>
        </w:tc>
      </w:tr>
      <w:tr>
        <w:trPr>
          <w:trHeight w:val="129"/>
        </w:trPr>
        <w:tc>
          <w:tcPr>
            <w:tcW w:w="4520" w:type="dxa"/>
            <w:vAlign w:val="bottom"/>
            <w:gridSpan w:val="20"/>
            <w:vMerge w:val="restart"/>
          </w:tcPr>
          <w:p>
            <w:pPr>
              <w:spacing w:after="0"/>
              <w:rPr>
                <w:rFonts w:ascii="Arial" w:cs="Arial" w:eastAsia="Arial" w:hAnsi="Arial"/>
                <w:sz w:val="17"/>
                <w:szCs w:val="17"/>
                <w:b w:val="1"/>
                <w:bCs w:val="1"/>
                <w:color w:val="0000EE"/>
              </w:rPr>
            </w:pPr>
            <w:hyperlink w:anchor="page52">
              <w:r>
                <w:rPr>
                  <w:rFonts w:ascii="Arial" w:cs="Arial" w:eastAsia="Arial" w:hAnsi="Arial"/>
                  <w:sz w:val="17"/>
                  <w:szCs w:val="17"/>
                  <w:b w:val="1"/>
                  <w:bCs w:val="1"/>
                  <w:color w:val="0000EE"/>
                </w:rPr>
                <w:t>COMPENSATION COMMITTEE INTERLOCKS AND</w:t>
              </w:r>
            </w:hyperlink>
          </w:p>
        </w:tc>
        <w:tc>
          <w:tcPr>
            <w:tcW w:w="1100" w:type="dxa"/>
            <w:vAlign w:val="bottom"/>
          </w:tcPr>
          <w:p>
            <w:pPr>
              <w:spacing w:after="0"/>
              <w:rPr>
                <w:sz w:val="11"/>
                <w:szCs w:val="11"/>
                <w:color w:val="auto"/>
              </w:rPr>
            </w:pPr>
          </w:p>
        </w:tc>
        <w:tc>
          <w:tcPr>
            <w:tcW w:w="4920" w:type="dxa"/>
            <w:vAlign w:val="bottom"/>
            <w:gridSpan w:val="24"/>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520" w:type="dxa"/>
            <w:vAlign w:val="bottom"/>
            <w:gridSpan w:val="20"/>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20" w:type="dxa"/>
            <w:vAlign w:val="bottom"/>
            <w:gridSpan w:val="20"/>
            <w:vMerge w:val="continue"/>
          </w:tcPr>
          <w:p>
            <w:pPr>
              <w:spacing w:after="0"/>
              <w:rPr>
                <w:sz w:val="12"/>
                <w:szCs w:val="12"/>
                <w:color w:val="auto"/>
              </w:rPr>
            </w:pPr>
          </w:p>
        </w:tc>
        <w:tc>
          <w:tcPr>
            <w:tcW w:w="1100" w:type="dxa"/>
            <w:vAlign w:val="bottom"/>
          </w:tcPr>
          <w:p>
            <w:pPr>
              <w:spacing w:after="0"/>
              <w:rPr>
                <w:sz w:val="12"/>
                <w:szCs w:val="12"/>
                <w:color w:val="auto"/>
              </w:rPr>
            </w:pPr>
          </w:p>
        </w:tc>
        <w:tc>
          <w:tcPr>
            <w:tcW w:w="4700" w:type="dxa"/>
            <w:vAlign w:val="bottom"/>
            <w:gridSpan w:val="22"/>
            <w:vMerge w:val="restart"/>
          </w:tcPr>
          <w:p>
            <w:pPr>
              <w:spacing w:after="0"/>
              <w:rPr>
                <w:rFonts w:ascii="Arial" w:cs="Arial" w:eastAsia="Arial" w:hAnsi="Arial"/>
                <w:sz w:val="17"/>
                <w:szCs w:val="17"/>
                <w:b w:val="1"/>
                <w:bCs w:val="1"/>
                <w:color w:val="0000EE"/>
                <w:w w:val="99"/>
              </w:rPr>
            </w:pPr>
            <w:hyperlink w:anchor="page68">
              <w:r>
                <w:rPr>
                  <w:rFonts w:ascii="Arial" w:cs="Arial" w:eastAsia="Arial" w:hAnsi="Arial"/>
                  <w:sz w:val="17"/>
                  <w:szCs w:val="17"/>
                  <w:b w:val="1"/>
                  <w:bCs w:val="1"/>
                  <w:color w:val="0000EE"/>
                  <w:w w:val="99"/>
                </w:rPr>
                <w:t>INFORMATION REGARDING THE 2023 ANNUAL MEETING</w:t>
              </w:r>
            </w:hyperlink>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Borders>
              <w:top w:val="single" w:sz="8" w:color="0000EE"/>
              <w:bottom w:val="single" w:sz="8" w:color="0000EE"/>
            </w:tcBorders>
            <w:gridSpan w:val="19"/>
          </w:tcPr>
          <w:p>
            <w:pPr>
              <w:ind w:left="180"/>
              <w:spacing w:after="0" w:line="142" w:lineRule="exact"/>
              <w:rPr>
                <w:rFonts w:ascii="Arial" w:cs="Arial" w:eastAsia="Arial" w:hAnsi="Arial"/>
                <w:sz w:val="16"/>
                <w:szCs w:val="16"/>
                <w:b w:val="1"/>
                <w:bCs w:val="1"/>
                <w:color w:val="0000EE"/>
              </w:rPr>
            </w:pPr>
            <w:hyperlink w:anchor="page52">
              <w:r>
                <w:rPr>
                  <w:rFonts w:ascii="Arial" w:cs="Arial" w:eastAsia="Arial" w:hAnsi="Arial"/>
                  <w:sz w:val="16"/>
                  <w:szCs w:val="16"/>
                  <w:b w:val="1"/>
                  <w:bCs w:val="1"/>
                  <w:color w:val="0000EE"/>
                </w:rPr>
                <w:t>INSIDER PARTICIPATION</w:t>
              </w:r>
            </w:hyperlink>
          </w:p>
        </w:tc>
        <w:tc>
          <w:tcPr>
            <w:tcW w:w="480" w:type="dxa"/>
            <w:vAlign w:val="bottom"/>
          </w:tcPr>
          <w:p>
            <w:pPr>
              <w:spacing w:after="0"/>
              <w:rPr>
                <w:sz w:val="12"/>
                <w:szCs w:val="12"/>
                <w:color w:val="auto"/>
              </w:rPr>
            </w:pPr>
          </w:p>
        </w:tc>
        <w:tc>
          <w:tcPr>
            <w:tcW w:w="1100" w:type="dxa"/>
            <w:vAlign w:val="bottom"/>
          </w:tcPr>
          <w:p>
            <w:pPr>
              <w:jc w:val="right"/>
              <w:ind w:right="335"/>
              <w:spacing w:after="0" w:line="142" w:lineRule="exact"/>
              <w:rPr>
                <w:sz w:val="20"/>
                <w:szCs w:val="20"/>
                <w:color w:val="auto"/>
              </w:rPr>
            </w:pPr>
            <w:r>
              <w:rPr>
                <w:rFonts w:ascii="Arial" w:cs="Arial" w:eastAsia="Arial" w:hAnsi="Arial"/>
                <w:sz w:val="16"/>
                <w:szCs w:val="16"/>
                <w:color w:val="auto"/>
              </w:rPr>
              <w:t>40</w:t>
            </w:r>
          </w:p>
        </w:tc>
        <w:tc>
          <w:tcPr>
            <w:tcW w:w="4700" w:type="dxa"/>
            <w:vAlign w:val="bottom"/>
            <w:tcBorders>
              <w:bottom w:val="single" w:sz="8" w:color="0000EE"/>
            </w:tcBorders>
            <w:gridSpan w:val="22"/>
            <w:vMerge w:val="continue"/>
          </w:tcPr>
          <w:p>
            <w:pPr>
              <w:spacing w:after="0"/>
              <w:rPr>
                <w:sz w:val="12"/>
                <w:szCs w:val="12"/>
                <w:color w:val="auto"/>
              </w:rPr>
            </w:pPr>
          </w:p>
        </w:tc>
        <w:tc>
          <w:tcPr>
            <w:tcW w:w="22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90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920" w:type="dxa"/>
            <w:vAlign w:val="bottom"/>
            <w:gridSpan w:val="24"/>
            <w:vMerge w:val="restart"/>
          </w:tcPr>
          <w:p>
            <w:pPr>
              <w:ind w:left="180"/>
              <w:spacing w:after="0" w:line="169" w:lineRule="exact"/>
              <w:rPr>
                <w:rFonts w:ascii="Arial" w:cs="Arial" w:eastAsia="Arial" w:hAnsi="Arial"/>
                <w:sz w:val="17"/>
                <w:szCs w:val="17"/>
                <w:b w:val="1"/>
                <w:bCs w:val="1"/>
                <w:color w:val="0000EE"/>
              </w:rPr>
            </w:pPr>
            <w:hyperlink w:anchor="page68">
              <w:r>
                <w:rPr>
                  <w:rFonts w:ascii="Arial" w:cs="Arial" w:eastAsia="Arial" w:hAnsi="Arial"/>
                  <w:sz w:val="17"/>
                  <w:szCs w:val="17"/>
                  <w:b w:val="1"/>
                  <w:bCs w:val="1"/>
                  <w:color w:val="0000EE"/>
                </w:rPr>
                <w:t>OF SHAREHOLDERS</w:t>
              </w:r>
            </w:hyperlink>
          </w:p>
        </w:tc>
        <w:tc>
          <w:tcPr>
            <w:tcW w:w="420" w:type="dxa"/>
            <w:vAlign w:val="bottom"/>
            <w:vMerge w:val="restart"/>
          </w:tcPr>
          <w:p>
            <w:pPr>
              <w:jc w:val="right"/>
              <w:spacing w:after="0" w:line="169" w:lineRule="exact"/>
              <w:rPr>
                <w:sz w:val="20"/>
                <w:szCs w:val="20"/>
                <w:color w:val="auto"/>
              </w:rPr>
            </w:pPr>
            <w:r>
              <w:rPr>
                <w:rFonts w:ascii="Arial" w:cs="Arial" w:eastAsia="Arial" w:hAnsi="Arial"/>
                <w:sz w:val="17"/>
                <w:szCs w:val="17"/>
                <w:color w:val="auto"/>
              </w:rPr>
              <w:t>56</w:t>
            </w:r>
          </w:p>
        </w:tc>
        <w:tc>
          <w:tcPr>
            <w:tcW w:w="0" w:type="dxa"/>
            <w:vAlign w:val="bottom"/>
          </w:tcPr>
          <w:p>
            <w:pPr>
              <w:spacing w:after="0" w:line="20" w:lineRule="exact"/>
              <w:rPr>
                <w:sz w:val="1"/>
                <w:szCs w:val="1"/>
                <w:color w:val="auto"/>
              </w:rPr>
            </w:pPr>
          </w:p>
        </w:tc>
      </w:tr>
      <w:tr>
        <w:trPr>
          <w:trHeight w:val="129"/>
        </w:trPr>
        <w:tc>
          <w:tcPr>
            <w:tcW w:w="4520" w:type="dxa"/>
            <w:vAlign w:val="bottom"/>
            <w:gridSpan w:val="20"/>
            <w:vMerge w:val="restart"/>
          </w:tcPr>
          <w:p>
            <w:pPr>
              <w:spacing w:after="0"/>
              <w:rPr>
                <w:rFonts w:ascii="Arial" w:cs="Arial" w:eastAsia="Arial" w:hAnsi="Arial"/>
                <w:sz w:val="17"/>
                <w:szCs w:val="17"/>
                <w:b w:val="1"/>
                <w:bCs w:val="1"/>
                <w:color w:val="0000EE"/>
              </w:rPr>
            </w:pPr>
            <w:hyperlink w:anchor="page52">
              <w:r>
                <w:rPr>
                  <w:rFonts w:ascii="Arial" w:cs="Arial" w:eastAsia="Arial" w:hAnsi="Arial"/>
                  <w:sz w:val="17"/>
                  <w:szCs w:val="17"/>
                  <w:b w:val="1"/>
                  <w:bCs w:val="1"/>
                  <w:color w:val="0000EE"/>
                </w:rPr>
                <w:t>COMPENSATION COMMITTEE REPORT</w:t>
              </w:r>
            </w:hyperlink>
          </w:p>
        </w:tc>
        <w:tc>
          <w:tcPr>
            <w:tcW w:w="1100" w:type="dxa"/>
            <w:vAlign w:val="bottom"/>
            <w:vMerge w:val="restart"/>
          </w:tcPr>
          <w:p>
            <w:pPr>
              <w:jc w:val="right"/>
              <w:ind w:right="335"/>
              <w:spacing w:after="0"/>
              <w:rPr>
                <w:sz w:val="20"/>
                <w:szCs w:val="20"/>
                <w:color w:val="auto"/>
              </w:rPr>
            </w:pPr>
            <w:r>
              <w:rPr>
                <w:rFonts w:ascii="Arial" w:cs="Arial" w:eastAsia="Arial" w:hAnsi="Arial"/>
                <w:sz w:val="17"/>
                <w:szCs w:val="17"/>
                <w:color w:val="auto"/>
              </w:rPr>
              <w:t>40</w:t>
            </w:r>
          </w:p>
        </w:tc>
        <w:tc>
          <w:tcPr>
            <w:tcW w:w="4920" w:type="dxa"/>
            <w:vAlign w:val="bottom"/>
            <w:gridSpan w:val="24"/>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520" w:type="dxa"/>
            <w:vAlign w:val="bottom"/>
            <w:gridSpan w:val="20"/>
            <w:vMerge w:val="continue"/>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20" w:type="dxa"/>
            <w:vAlign w:val="bottom"/>
            <w:gridSpan w:val="20"/>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460" w:type="dxa"/>
            <w:vAlign w:val="bottom"/>
            <w:gridSpan w:val="6"/>
            <w:vMerge w:val="restart"/>
          </w:tcPr>
          <w:p>
            <w:pPr>
              <w:spacing w:after="0"/>
              <w:rPr>
                <w:rFonts w:ascii="Arial" w:cs="Arial" w:eastAsia="Arial" w:hAnsi="Arial"/>
                <w:sz w:val="17"/>
                <w:szCs w:val="17"/>
                <w:b w:val="1"/>
                <w:bCs w:val="1"/>
                <w:color w:val="0000EE"/>
                <w:w w:val="98"/>
              </w:rPr>
            </w:pPr>
            <w:hyperlink w:anchor="page69">
              <w:r>
                <w:rPr>
                  <w:rFonts w:ascii="Arial" w:cs="Arial" w:eastAsia="Arial" w:hAnsi="Arial"/>
                  <w:sz w:val="17"/>
                  <w:szCs w:val="17"/>
                  <w:b w:val="1"/>
                  <w:bCs w:val="1"/>
                  <w:color w:val="0000EE"/>
                  <w:w w:val="98"/>
                </w:rPr>
                <w:t>OTHER MATTERS</w:t>
              </w:r>
            </w:hyperlink>
          </w:p>
        </w:tc>
        <w:tc>
          <w:tcPr>
            <w:tcW w:w="3460" w:type="dxa"/>
            <w:vAlign w:val="bottom"/>
            <w:gridSpan w:val="18"/>
            <w:vMerge w:val="restart"/>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147"/>
        </w:trPr>
        <w:tc>
          <w:tcPr>
            <w:tcW w:w="18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700" w:type="dxa"/>
            <w:vAlign w:val="bottom"/>
            <w:tcBorders>
              <w:top w:val="single" w:sz="8" w:color="0000EE"/>
            </w:tcBorders>
          </w:tcPr>
          <w:p>
            <w:pPr>
              <w:spacing w:after="0"/>
              <w:rPr>
                <w:sz w:val="12"/>
                <w:szCs w:val="12"/>
                <w:color w:val="auto"/>
              </w:rPr>
            </w:pPr>
          </w:p>
        </w:tc>
        <w:tc>
          <w:tcPr>
            <w:tcW w:w="90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4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60" w:type="dxa"/>
            <w:vAlign w:val="bottom"/>
            <w:tcBorders>
              <w:bottom w:val="single" w:sz="8" w:color="0000EE"/>
            </w:tcBorders>
            <w:gridSpan w:val="6"/>
            <w:vMerge w:val="continue"/>
          </w:tcPr>
          <w:p>
            <w:pPr>
              <w:spacing w:after="0"/>
              <w:rPr>
                <w:sz w:val="12"/>
                <w:szCs w:val="12"/>
                <w:color w:val="auto"/>
              </w:rPr>
            </w:pPr>
          </w:p>
        </w:tc>
        <w:tc>
          <w:tcPr>
            <w:tcW w:w="3460" w:type="dxa"/>
            <w:vAlign w:val="bottom"/>
            <w:gridSpan w:val="18"/>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920" w:type="dxa"/>
            <w:vAlign w:val="bottom"/>
            <w:gridSpan w:val="24"/>
          </w:tcPr>
          <w:p>
            <w:pPr>
              <w:spacing w:after="0"/>
              <w:rPr>
                <w:rFonts w:ascii="Arial" w:cs="Arial" w:eastAsia="Arial" w:hAnsi="Arial"/>
                <w:sz w:val="17"/>
                <w:szCs w:val="17"/>
                <w:b w:val="1"/>
                <w:bCs w:val="1"/>
                <w:color w:val="0000EE"/>
              </w:rPr>
            </w:pPr>
            <w:hyperlink w:anchor="page70">
              <w:r>
                <w:rPr>
                  <w:rFonts w:ascii="Arial" w:cs="Arial" w:eastAsia="Arial" w:hAnsi="Arial"/>
                  <w:sz w:val="17"/>
                  <w:szCs w:val="17"/>
                  <w:b w:val="1"/>
                  <w:bCs w:val="1"/>
                  <w:color w:val="0000EE"/>
                </w:rPr>
                <w:t>APPENDIX A—RECONCILIATIONS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313690</wp:posOffset>
            </wp:positionV>
            <wp:extent cx="7011670" cy="34626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1670" cy="3462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0" w:right="260"/>
        <w:spacing w:after="0" w:line="235" w:lineRule="auto"/>
        <w:rPr>
          <w:sz w:val="20"/>
          <w:szCs w:val="20"/>
          <w:color w:val="auto"/>
        </w:rPr>
      </w:pPr>
      <w:r>
        <w:rPr>
          <w:rFonts w:ascii="Arial" w:cs="Arial" w:eastAsia="Arial" w:hAnsi="Arial"/>
          <w:sz w:val="17"/>
          <w:szCs w:val="17"/>
          <w:color w:val="auto"/>
        </w:rPr>
        <w:t>This summary highlights information about Roper Technologies, Inc. (the “Company”, “we”, “us” or “our”) and the upcoming 2022 Annual Meeting of Shareholders (the “2022 Annual Meeting”). It does not contain all of the information you should consider. We recommend reading the complete proxy statement (the “Proxy Statement”) and our 2021 Annual Report to Shareholders (the “2021 Annual Report”), which includes our Annual Report on Form 10-K, before voting. The Proxy Statement and the enclosed proxy card are being mailed or otherwise made available to shareholders on or about April 29, 2022.</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2022 ANNUAL MEETING OF SHAREHOLDERS</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09"/>
        </w:trPr>
        <w:tc>
          <w:tcPr>
            <w:tcW w:w="2220" w:type="dxa"/>
            <w:vAlign w:val="bottom"/>
          </w:tcPr>
          <w:p>
            <w:pPr>
              <w:spacing w:after="0"/>
              <w:rPr>
                <w:sz w:val="20"/>
                <w:szCs w:val="20"/>
                <w:color w:val="auto"/>
              </w:rPr>
            </w:pPr>
            <w:r>
              <w:rPr>
                <w:rFonts w:ascii="Arial" w:cs="Arial" w:eastAsia="Arial" w:hAnsi="Arial"/>
                <w:sz w:val="17"/>
                <w:szCs w:val="17"/>
                <w:b w:val="1"/>
                <w:bCs w:val="1"/>
                <w:color w:val="auto"/>
              </w:rPr>
              <w:t>Date and Time:</w:t>
            </w:r>
          </w:p>
        </w:tc>
        <w:tc>
          <w:tcPr>
            <w:tcW w:w="1840" w:type="dxa"/>
            <w:vAlign w:val="bottom"/>
          </w:tcPr>
          <w:p>
            <w:pPr>
              <w:ind w:left="460"/>
              <w:spacing w:after="0"/>
              <w:rPr>
                <w:sz w:val="20"/>
                <w:szCs w:val="20"/>
                <w:color w:val="auto"/>
              </w:rPr>
            </w:pPr>
            <w:r>
              <w:rPr>
                <w:rFonts w:ascii="Arial" w:cs="Arial" w:eastAsia="Arial" w:hAnsi="Arial"/>
                <w:sz w:val="17"/>
                <w:szCs w:val="17"/>
                <w:b w:val="1"/>
                <w:bCs w:val="1"/>
                <w:color w:val="auto"/>
              </w:rPr>
              <w:t>Record Date:</w:t>
            </w:r>
          </w:p>
        </w:tc>
        <w:tc>
          <w:tcPr>
            <w:tcW w:w="4420" w:type="dxa"/>
            <w:vAlign w:val="bottom"/>
          </w:tcPr>
          <w:p>
            <w:pPr>
              <w:ind w:left="320"/>
              <w:spacing w:after="0"/>
              <w:rPr>
                <w:sz w:val="20"/>
                <w:szCs w:val="20"/>
                <w:color w:val="auto"/>
              </w:rPr>
            </w:pPr>
            <w:r>
              <w:rPr>
                <w:rFonts w:ascii="Arial" w:cs="Arial" w:eastAsia="Arial" w:hAnsi="Arial"/>
                <w:sz w:val="17"/>
                <w:szCs w:val="17"/>
                <w:b w:val="1"/>
                <w:bCs w:val="1"/>
                <w:color w:val="auto"/>
              </w:rPr>
              <w:t>Place:</w:t>
            </w:r>
          </w:p>
        </w:tc>
      </w:tr>
      <w:tr>
        <w:trPr>
          <w:trHeight w:val="189"/>
        </w:trPr>
        <w:tc>
          <w:tcPr>
            <w:tcW w:w="2220" w:type="dxa"/>
            <w:vAlign w:val="bottom"/>
          </w:tcPr>
          <w:p>
            <w:pPr>
              <w:spacing w:after="0" w:line="189" w:lineRule="exact"/>
              <w:rPr>
                <w:sz w:val="20"/>
                <w:szCs w:val="20"/>
                <w:color w:val="auto"/>
              </w:rPr>
            </w:pPr>
            <w:r>
              <w:rPr>
                <w:rFonts w:ascii="Arial" w:cs="Arial" w:eastAsia="Arial" w:hAnsi="Arial"/>
                <w:sz w:val="17"/>
                <w:szCs w:val="17"/>
                <w:color w:val="auto"/>
              </w:rPr>
              <w:t>Monday, June 15, 2022</w:t>
            </w:r>
          </w:p>
        </w:tc>
        <w:tc>
          <w:tcPr>
            <w:tcW w:w="1840" w:type="dxa"/>
            <w:vAlign w:val="bottom"/>
          </w:tcPr>
          <w:p>
            <w:pPr>
              <w:ind w:left="460"/>
              <w:spacing w:after="0" w:line="189" w:lineRule="exact"/>
              <w:rPr>
                <w:sz w:val="20"/>
                <w:szCs w:val="20"/>
                <w:color w:val="auto"/>
              </w:rPr>
            </w:pPr>
            <w:r>
              <w:rPr>
                <w:rFonts w:ascii="Arial" w:cs="Arial" w:eastAsia="Arial" w:hAnsi="Arial"/>
                <w:sz w:val="17"/>
                <w:szCs w:val="17"/>
                <w:color w:val="auto"/>
              </w:rPr>
              <w:t>April 20, 2022</w:t>
            </w:r>
          </w:p>
        </w:tc>
        <w:tc>
          <w:tcPr>
            <w:tcW w:w="4420" w:type="dxa"/>
            <w:vAlign w:val="bottom"/>
          </w:tcPr>
          <w:p>
            <w:pPr>
              <w:ind w:left="320"/>
              <w:spacing w:after="0" w:line="189" w:lineRule="exact"/>
              <w:rPr>
                <w:sz w:val="20"/>
                <w:szCs w:val="20"/>
                <w:color w:val="auto"/>
              </w:rPr>
            </w:pPr>
            <w:r>
              <w:rPr>
                <w:rFonts w:ascii="Arial" w:cs="Arial" w:eastAsia="Arial" w:hAnsi="Arial"/>
                <w:sz w:val="17"/>
                <w:szCs w:val="17"/>
                <w:color w:val="auto"/>
                <w:w w:val="99"/>
              </w:rPr>
              <w:t>DoubleTree by Hilton Hotel Chicago - Magnificent Mile</w:t>
            </w:r>
          </w:p>
        </w:tc>
      </w:tr>
      <w:tr>
        <w:trPr>
          <w:trHeight w:val="189"/>
        </w:trPr>
        <w:tc>
          <w:tcPr>
            <w:tcW w:w="2220" w:type="dxa"/>
            <w:vAlign w:val="bottom"/>
          </w:tcPr>
          <w:p>
            <w:pPr>
              <w:spacing w:after="0" w:line="189" w:lineRule="exact"/>
              <w:rPr>
                <w:sz w:val="20"/>
                <w:szCs w:val="20"/>
                <w:color w:val="auto"/>
              </w:rPr>
            </w:pPr>
            <w:r>
              <w:rPr>
                <w:rFonts w:ascii="Arial" w:cs="Arial" w:eastAsia="Arial" w:hAnsi="Arial"/>
                <w:sz w:val="17"/>
                <w:szCs w:val="17"/>
                <w:color w:val="auto"/>
              </w:rPr>
              <w:t>9:00 a.m. local time</w:t>
            </w:r>
          </w:p>
        </w:tc>
        <w:tc>
          <w:tcPr>
            <w:tcW w:w="1840" w:type="dxa"/>
            <w:vAlign w:val="bottom"/>
          </w:tcPr>
          <w:p>
            <w:pPr>
              <w:spacing w:after="0"/>
              <w:rPr>
                <w:sz w:val="16"/>
                <w:szCs w:val="16"/>
                <w:color w:val="auto"/>
              </w:rPr>
            </w:pPr>
          </w:p>
        </w:tc>
        <w:tc>
          <w:tcPr>
            <w:tcW w:w="4420" w:type="dxa"/>
            <w:vAlign w:val="bottom"/>
          </w:tcPr>
          <w:p>
            <w:pPr>
              <w:ind w:left="320"/>
              <w:spacing w:after="0" w:line="189" w:lineRule="exact"/>
              <w:rPr>
                <w:sz w:val="20"/>
                <w:szCs w:val="20"/>
                <w:color w:val="auto"/>
              </w:rPr>
            </w:pPr>
            <w:r>
              <w:rPr>
                <w:rFonts w:ascii="Arial" w:cs="Arial" w:eastAsia="Arial" w:hAnsi="Arial"/>
                <w:sz w:val="17"/>
                <w:szCs w:val="17"/>
                <w:color w:val="auto"/>
              </w:rPr>
              <w:t>300 E. Ohio St.</w:t>
            </w:r>
          </w:p>
        </w:tc>
      </w:tr>
      <w:tr>
        <w:trPr>
          <w:trHeight w:val="205"/>
        </w:trPr>
        <w:tc>
          <w:tcPr>
            <w:tcW w:w="2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420" w:type="dxa"/>
            <w:vAlign w:val="bottom"/>
          </w:tcPr>
          <w:p>
            <w:pPr>
              <w:ind w:left="320"/>
              <w:spacing w:after="0"/>
              <w:rPr>
                <w:sz w:val="20"/>
                <w:szCs w:val="20"/>
                <w:color w:val="auto"/>
              </w:rPr>
            </w:pPr>
            <w:r>
              <w:rPr>
                <w:rFonts w:ascii="Arial" w:cs="Arial" w:eastAsia="Arial" w:hAnsi="Arial"/>
                <w:sz w:val="17"/>
                <w:szCs w:val="17"/>
                <w:color w:val="auto"/>
              </w:rPr>
              <w:t>Chicago, Illinois 60611</w:t>
            </w:r>
          </w:p>
        </w:tc>
      </w:tr>
    </w:tbl>
    <w:p>
      <w:pPr>
        <w:spacing w:after="0" w:line="1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VOTING MATTERS AND BOARD RECOMMENDATIONS</w:t>
      </w:r>
    </w:p>
    <w:p>
      <w:pPr>
        <w:spacing w:after="0" w:line="261" w:lineRule="exact"/>
        <w:rPr>
          <w:sz w:val="20"/>
          <w:szCs w:val="20"/>
          <w:color w:val="auto"/>
        </w:rPr>
      </w:pPr>
    </w:p>
    <w:tbl>
      <w:tblPr>
        <w:tblLayout w:type="fixed"/>
        <w:tblInd w:w="300" w:type="dxa"/>
        <w:tblCellMar>
          <w:top w:w="0" w:type="dxa"/>
          <w:left w:w="0" w:type="dxa"/>
          <w:bottom w:w="0" w:type="dxa"/>
          <w:right w:w="0" w:type="dxa"/>
        </w:tblCellMar>
      </w:tblPr>
      <w:tr>
        <w:trPr>
          <w:trHeight w:val="194"/>
        </w:trPr>
        <w:tc>
          <w:tcPr>
            <w:tcW w:w="6040" w:type="dxa"/>
            <w:vAlign w:val="bottom"/>
            <w:shd w:val="clear" w:color="auto" w:fill="005CB9"/>
          </w:tcPr>
          <w:p>
            <w:pPr>
              <w:spacing w:after="0"/>
              <w:rPr>
                <w:sz w:val="16"/>
                <w:szCs w:val="16"/>
                <w:color w:val="auto"/>
              </w:rPr>
            </w:pPr>
          </w:p>
        </w:tc>
        <w:tc>
          <w:tcPr>
            <w:tcW w:w="2160" w:type="dxa"/>
            <w:vAlign w:val="bottom"/>
            <w:shd w:val="clear" w:color="auto" w:fill="005CB9"/>
          </w:tcPr>
          <w:p>
            <w:pPr>
              <w:jc w:val="center"/>
              <w:ind w:left="220"/>
              <w:spacing w:after="0"/>
              <w:rPr>
                <w:sz w:val="20"/>
                <w:szCs w:val="20"/>
                <w:color w:val="auto"/>
              </w:rPr>
            </w:pPr>
            <w:r>
              <w:rPr>
                <w:rFonts w:ascii="Arial" w:cs="Arial" w:eastAsia="Arial" w:hAnsi="Arial"/>
                <w:sz w:val="14"/>
                <w:szCs w:val="14"/>
                <w:color w:val="FFFFFF"/>
              </w:rPr>
              <w:t>Board</w:t>
            </w:r>
          </w:p>
        </w:tc>
        <w:tc>
          <w:tcPr>
            <w:tcW w:w="320" w:type="dxa"/>
            <w:vAlign w:val="bottom"/>
            <w:shd w:val="clear" w:color="auto" w:fill="005CB9"/>
          </w:tcPr>
          <w:p>
            <w:pPr>
              <w:spacing w:after="0"/>
              <w:rPr>
                <w:sz w:val="16"/>
                <w:szCs w:val="16"/>
                <w:color w:val="auto"/>
              </w:rPr>
            </w:pPr>
          </w:p>
        </w:tc>
        <w:tc>
          <w:tcPr>
            <w:tcW w:w="2120" w:type="dxa"/>
            <w:vAlign w:val="bottom"/>
            <w:shd w:val="clear" w:color="auto" w:fill="005CB9"/>
          </w:tcPr>
          <w:p>
            <w:pPr>
              <w:jc w:val="center"/>
              <w:spacing w:after="0"/>
              <w:rPr>
                <w:sz w:val="20"/>
                <w:szCs w:val="20"/>
                <w:color w:val="auto"/>
              </w:rPr>
            </w:pPr>
            <w:r>
              <w:rPr>
                <w:rFonts w:ascii="Arial" w:cs="Arial" w:eastAsia="Arial" w:hAnsi="Arial"/>
                <w:sz w:val="14"/>
                <w:szCs w:val="14"/>
                <w:color w:val="FFFFFF"/>
                <w:w w:val="97"/>
              </w:rPr>
              <w:t>Vote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040" w:type="dxa"/>
            <w:vAlign w:val="bottom"/>
            <w:tcBorders>
              <w:bottom w:val="single" w:sz="8" w:color="005CB9"/>
            </w:tcBorders>
            <w:shd w:val="clear" w:color="auto" w:fill="005CB9"/>
          </w:tcPr>
          <w:p>
            <w:pPr>
              <w:ind w:left="80"/>
              <w:spacing w:after="0"/>
              <w:rPr>
                <w:sz w:val="20"/>
                <w:szCs w:val="20"/>
                <w:color w:val="auto"/>
              </w:rPr>
            </w:pPr>
            <w:r>
              <w:rPr>
                <w:rFonts w:ascii="Arial" w:cs="Arial" w:eastAsia="Arial" w:hAnsi="Arial"/>
                <w:sz w:val="14"/>
                <w:szCs w:val="14"/>
                <w:color w:val="FFFFFF"/>
              </w:rPr>
              <w:t>Proposals</w:t>
            </w:r>
          </w:p>
        </w:tc>
        <w:tc>
          <w:tcPr>
            <w:tcW w:w="2160" w:type="dxa"/>
            <w:vAlign w:val="bottom"/>
            <w:tcBorders>
              <w:bottom w:val="single" w:sz="8" w:color="005CB9"/>
            </w:tcBorders>
            <w:shd w:val="clear" w:color="auto" w:fill="005CB9"/>
          </w:tcPr>
          <w:p>
            <w:pPr>
              <w:jc w:val="center"/>
              <w:ind w:left="220"/>
              <w:spacing w:after="0"/>
              <w:rPr>
                <w:sz w:val="20"/>
                <w:szCs w:val="20"/>
                <w:color w:val="auto"/>
              </w:rPr>
            </w:pPr>
            <w:r>
              <w:rPr>
                <w:rFonts w:ascii="Arial" w:cs="Arial" w:eastAsia="Arial" w:hAnsi="Arial"/>
                <w:sz w:val="14"/>
                <w:szCs w:val="14"/>
                <w:color w:val="FFFFFF"/>
              </w:rPr>
              <w:t>Recommendation</w:t>
            </w:r>
          </w:p>
        </w:tc>
        <w:tc>
          <w:tcPr>
            <w:tcW w:w="320" w:type="dxa"/>
            <w:vAlign w:val="bottom"/>
            <w:tcBorders>
              <w:bottom w:val="single" w:sz="8" w:color="005CB9"/>
            </w:tcBorders>
            <w:shd w:val="clear" w:color="auto" w:fill="005CB9"/>
          </w:tcPr>
          <w:p>
            <w:pPr>
              <w:spacing w:after="0"/>
              <w:rPr>
                <w:sz w:val="19"/>
                <w:szCs w:val="19"/>
                <w:color w:val="auto"/>
              </w:rPr>
            </w:pPr>
          </w:p>
        </w:tc>
        <w:tc>
          <w:tcPr>
            <w:tcW w:w="212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4"/>
                <w:szCs w:val="14"/>
                <w:color w:val="FFFFFF"/>
              </w:rPr>
              <w:t>Required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040" w:type="dxa"/>
            <w:vAlign w:val="bottom"/>
          </w:tcPr>
          <w:p>
            <w:pPr>
              <w:ind w:left="40"/>
              <w:spacing w:after="0"/>
              <w:rPr>
                <w:sz w:val="20"/>
                <w:szCs w:val="20"/>
                <w:color w:val="auto"/>
              </w:rPr>
            </w:pPr>
            <w:r>
              <w:rPr>
                <w:rFonts w:ascii="Arial" w:cs="Arial" w:eastAsia="Arial" w:hAnsi="Arial"/>
                <w:sz w:val="17"/>
                <w:szCs w:val="17"/>
                <w:b w:val="1"/>
                <w:bCs w:val="1"/>
                <w:color w:val="auto"/>
              </w:rPr>
              <w:t xml:space="preserve">1: </w:t>
            </w:r>
            <w:r>
              <w:rPr>
                <w:rFonts w:ascii="Arial" w:cs="Arial" w:eastAsia="Arial" w:hAnsi="Arial"/>
                <w:sz w:val="17"/>
                <w:szCs w:val="17"/>
                <w:color w:val="auto"/>
              </w:rPr>
              <w:t>Election of nine directors for a one-year term</w:t>
            </w:r>
          </w:p>
        </w:tc>
        <w:tc>
          <w:tcPr>
            <w:tcW w:w="2160" w:type="dxa"/>
            <w:vAlign w:val="bottom"/>
          </w:tcPr>
          <w:p>
            <w:pPr>
              <w:ind w:left="120"/>
              <w:spacing w:after="0"/>
              <w:rPr>
                <w:sz w:val="20"/>
                <w:szCs w:val="20"/>
                <w:color w:val="auto"/>
              </w:rPr>
            </w:pPr>
            <w:r>
              <w:rPr>
                <w:rFonts w:ascii="Arial" w:cs="Arial" w:eastAsia="Arial" w:hAnsi="Arial"/>
                <w:sz w:val="17"/>
                <w:szCs w:val="17"/>
                <w:b w:val="1"/>
                <w:bCs w:val="1"/>
                <w:color w:val="auto"/>
              </w:rPr>
              <w:t>FOR EACH NOMINEE</w:t>
            </w:r>
          </w:p>
        </w:tc>
        <w:tc>
          <w:tcPr>
            <w:tcW w:w="2440" w:type="dxa"/>
            <w:vAlign w:val="bottom"/>
            <w:gridSpan w:val="2"/>
          </w:tcPr>
          <w:p>
            <w:pPr>
              <w:ind w:left="320"/>
              <w:spacing w:after="0"/>
              <w:rPr>
                <w:sz w:val="20"/>
                <w:szCs w:val="20"/>
                <w:color w:val="auto"/>
              </w:rPr>
            </w:pPr>
            <w:r>
              <w:rPr>
                <w:rFonts w:ascii="Arial" w:cs="Arial" w:eastAsia="Arial" w:hAnsi="Arial"/>
                <w:sz w:val="17"/>
                <w:szCs w:val="17"/>
                <w:color w:val="auto"/>
              </w:rPr>
              <w:t>Majority of votes cast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6040" w:type="dxa"/>
            <w:vAlign w:val="bottom"/>
            <w:tcBorders>
              <w:bottom w:val="single" w:sz="8" w:color="005CB9"/>
            </w:tcBorders>
          </w:tcPr>
          <w:p>
            <w:pPr>
              <w:spacing w:after="0"/>
              <w:rPr>
                <w:sz w:val="3"/>
                <w:szCs w:val="3"/>
                <w:color w:val="auto"/>
              </w:rPr>
            </w:pPr>
          </w:p>
        </w:tc>
        <w:tc>
          <w:tcPr>
            <w:tcW w:w="2160" w:type="dxa"/>
            <w:vAlign w:val="bottom"/>
            <w:tcBorders>
              <w:bottom w:val="single" w:sz="8" w:color="005CB9"/>
            </w:tcBorders>
          </w:tcPr>
          <w:p>
            <w:pPr>
              <w:spacing w:after="0"/>
              <w:rPr>
                <w:sz w:val="3"/>
                <w:szCs w:val="3"/>
                <w:color w:val="auto"/>
              </w:rPr>
            </w:pPr>
          </w:p>
        </w:tc>
        <w:tc>
          <w:tcPr>
            <w:tcW w:w="2440" w:type="dxa"/>
            <w:vAlign w:val="bottom"/>
            <w:tcBorders>
              <w:bottom w:val="single" w:sz="8" w:color="005CB9"/>
            </w:tcBorders>
            <w:gridSpan w:val="2"/>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40"/>
              <w:spacing w:after="0"/>
              <w:rPr>
                <w:sz w:val="20"/>
                <w:szCs w:val="20"/>
                <w:color w:val="auto"/>
              </w:rPr>
            </w:pPr>
            <w:r>
              <w:rPr>
                <w:rFonts w:ascii="Arial" w:cs="Arial" w:eastAsia="Arial" w:hAnsi="Arial"/>
                <w:sz w:val="17"/>
                <w:szCs w:val="17"/>
                <w:b w:val="1"/>
                <w:bCs w:val="1"/>
                <w:color w:val="auto"/>
              </w:rPr>
              <w:t xml:space="preserve">2: </w:t>
            </w:r>
            <w:r>
              <w:rPr>
                <w:rFonts w:ascii="Arial" w:cs="Arial" w:eastAsia="Arial" w:hAnsi="Arial"/>
                <w:sz w:val="17"/>
                <w:szCs w:val="17"/>
                <w:color w:val="auto"/>
              </w:rPr>
              <w:t>Advisory vote to approve the compensation of our named executive officers</w:t>
            </w:r>
          </w:p>
        </w:tc>
        <w:tc>
          <w:tcPr>
            <w:tcW w:w="2160" w:type="dxa"/>
            <w:vAlign w:val="bottom"/>
          </w:tcPr>
          <w:p>
            <w:pPr>
              <w:ind w:left="120"/>
              <w:spacing w:after="0"/>
              <w:rPr>
                <w:sz w:val="20"/>
                <w:szCs w:val="20"/>
                <w:color w:val="auto"/>
              </w:rPr>
            </w:pPr>
            <w:r>
              <w:rPr>
                <w:rFonts w:ascii="Arial" w:cs="Arial" w:eastAsia="Arial" w:hAnsi="Arial"/>
                <w:sz w:val="17"/>
                <w:szCs w:val="17"/>
                <w:b w:val="1"/>
                <w:bCs w:val="1"/>
                <w:color w:val="auto"/>
              </w:rPr>
              <w:t>FOR</w:t>
            </w:r>
          </w:p>
        </w:tc>
        <w:tc>
          <w:tcPr>
            <w:tcW w:w="2440" w:type="dxa"/>
            <w:vAlign w:val="bottom"/>
            <w:gridSpan w:val="2"/>
          </w:tcPr>
          <w:p>
            <w:pPr>
              <w:ind w:left="320"/>
              <w:spacing w:after="0"/>
              <w:rPr>
                <w:sz w:val="20"/>
                <w:szCs w:val="20"/>
                <w:color w:val="auto"/>
              </w:rPr>
            </w:pPr>
            <w:r>
              <w:rPr>
                <w:rFonts w:ascii="Arial" w:cs="Arial" w:eastAsia="Arial" w:hAnsi="Arial"/>
                <w:sz w:val="17"/>
                <w:szCs w:val="17"/>
                <w:color w:val="auto"/>
              </w:rPr>
              <w:t>Majority of shares present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40" w:type="dxa"/>
            <w:vAlign w:val="bottom"/>
            <w:gridSpan w:val="2"/>
          </w:tcPr>
          <w:p>
            <w:pPr>
              <w:ind w:left="320"/>
              <w:spacing w:after="0" w:line="189" w:lineRule="exact"/>
              <w:rPr>
                <w:sz w:val="20"/>
                <w:szCs w:val="20"/>
                <w:color w:val="auto"/>
              </w:rPr>
            </w:pPr>
            <w:r>
              <w:rPr>
                <w:rFonts w:ascii="Arial" w:cs="Arial" w:eastAsia="Arial" w:hAnsi="Arial"/>
                <w:sz w:val="17"/>
                <w:szCs w:val="17"/>
                <w:color w:val="auto"/>
              </w:rPr>
              <w:t>in person or represented by</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40" w:type="dxa"/>
            <w:vAlign w:val="bottom"/>
            <w:gridSpan w:val="2"/>
          </w:tcPr>
          <w:p>
            <w:pPr>
              <w:ind w:left="320"/>
              <w:spacing w:after="0"/>
              <w:rPr>
                <w:sz w:val="20"/>
                <w:szCs w:val="20"/>
                <w:color w:val="auto"/>
              </w:rPr>
            </w:pPr>
            <w:r>
              <w:rPr>
                <w:rFonts w:ascii="Arial" w:cs="Arial" w:eastAsia="Arial" w:hAnsi="Arial"/>
                <w:sz w:val="17"/>
                <w:szCs w:val="17"/>
                <w:color w:val="auto"/>
              </w:rPr>
              <w:t>proxy</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6040" w:type="dxa"/>
            <w:vAlign w:val="bottom"/>
            <w:tcBorders>
              <w:bottom w:val="single" w:sz="8" w:color="005CB9"/>
            </w:tcBorders>
          </w:tcPr>
          <w:p>
            <w:pPr>
              <w:spacing w:after="0"/>
              <w:rPr>
                <w:sz w:val="3"/>
                <w:szCs w:val="3"/>
                <w:color w:val="auto"/>
              </w:rPr>
            </w:pPr>
          </w:p>
        </w:tc>
        <w:tc>
          <w:tcPr>
            <w:tcW w:w="2160" w:type="dxa"/>
            <w:vAlign w:val="bottom"/>
            <w:tcBorders>
              <w:bottom w:val="single" w:sz="8" w:color="005CB9"/>
            </w:tcBorders>
          </w:tcPr>
          <w:p>
            <w:pPr>
              <w:spacing w:after="0"/>
              <w:rPr>
                <w:sz w:val="3"/>
                <w:szCs w:val="3"/>
                <w:color w:val="auto"/>
              </w:rPr>
            </w:pPr>
          </w:p>
        </w:tc>
        <w:tc>
          <w:tcPr>
            <w:tcW w:w="2440" w:type="dxa"/>
            <w:vAlign w:val="bottom"/>
            <w:tcBorders>
              <w:bottom w:val="single" w:sz="8" w:color="005CB9"/>
            </w:tcBorders>
            <w:gridSpan w:val="2"/>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40"/>
              <w:spacing w:after="0"/>
              <w:rPr>
                <w:sz w:val="20"/>
                <w:szCs w:val="20"/>
                <w:color w:val="auto"/>
              </w:rPr>
            </w:pPr>
            <w:r>
              <w:rPr>
                <w:rFonts w:ascii="Arial" w:cs="Arial" w:eastAsia="Arial" w:hAnsi="Arial"/>
                <w:sz w:val="17"/>
                <w:szCs w:val="17"/>
                <w:b w:val="1"/>
                <w:bCs w:val="1"/>
                <w:color w:val="auto"/>
              </w:rPr>
              <w:t xml:space="preserve">3: </w:t>
            </w:r>
            <w:r>
              <w:rPr>
                <w:rFonts w:ascii="Arial" w:cs="Arial" w:eastAsia="Arial" w:hAnsi="Arial"/>
                <w:sz w:val="17"/>
                <w:szCs w:val="17"/>
                <w:color w:val="auto"/>
              </w:rPr>
              <w:t>Ratification of the appointment of PricewaterhouseCoopers LLP as our</w:t>
            </w:r>
          </w:p>
        </w:tc>
        <w:tc>
          <w:tcPr>
            <w:tcW w:w="2160" w:type="dxa"/>
            <w:vAlign w:val="bottom"/>
          </w:tcPr>
          <w:p>
            <w:pPr>
              <w:ind w:left="120"/>
              <w:spacing w:after="0"/>
              <w:rPr>
                <w:sz w:val="20"/>
                <w:szCs w:val="20"/>
                <w:color w:val="auto"/>
              </w:rPr>
            </w:pPr>
            <w:r>
              <w:rPr>
                <w:rFonts w:ascii="Arial" w:cs="Arial" w:eastAsia="Arial" w:hAnsi="Arial"/>
                <w:sz w:val="17"/>
                <w:szCs w:val="17"/>
                <w:b w:val="1"/>
                <w:bCs w:val="1"/>
                <w:color w:val="auto"/>
              </w:rPr>
              <w:t>FOR</w:t>
            </w:r>
          </w:p>
        </w:tc>
        <w:tc>
          <w:tcPr>
            <w:tcW w:w="2440" w:type="dxa"/>
            <w:vAlign w:val="bottom"/>
            <w:gridSpan w:val="2"/>
          </w:tcPr>
          <w:p>
            <w:pPr>
              <w:ind w:left="320"/>
              <w:spacing w:after="0"/>
              <w:rPr>
                <w:sz w:val="20"/>
                <w:szCs w:val="20"/>
                <w:color w:val="auto"/>
              </w:rPr>
            </w:pPr>
            <w:r>
              <w:rPr>
                <w:rFonts w:ascii="Arial" w:cs="Arial" w:eastAsia="Arial" w:hAnsi="Arial"/>
                <w:sz w:val="17"/>
                <w:szCs w:val="17"/>
                <w:color w:val="auto"/>
              </w:rPr>
              <w:t>Majority of shares present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40" w:type="dxa"/>
            <w:vAlign w:val="bottom"/>
          </w:tcPr>
          <w:p>
            <w:pPr>
              <w:ind w:left="300"/>
              <w:spacing w:after="0" w:line="189" w:lineRule="exact"/>
              <w:rPr>
                <w:sz w:val="20"/>
                <w:szCs w:val="20"/>
                <w:color w:val="auto"/>
              </w:rPr>
            </w:pPr>
            <w:r>
              <w:rPr>
                <w:rFonts w:ascii="Arial" w:cs="Arial" w:eastAsia="Arial" w:hAnsi="Arial"/>
                <w:sz w:val="17"/>
                <w:szCs w:val="17"/>
                <w:color w:val="auto"/>
              </w:rPr>
              <w:t>independent registered public accounting firm for 2022</w:t>
            </w:r>
          </w:p>
        </w:tc>
        <w:tc>
          <w:tcPr>
            <w:tcW w:w="2160" w:type="dxa"/>
            <w:vAlign w:val="bottom"/>
          </w:tcPr>
          <w:p>
            <w:pPr>
              <w:spacing w:after="0"/>
              <w:rPr>
                <w:sz w:val="16"/>
                <w:szCs w:val="16"/>
                <w:color w:val="auto"/>
              </w:rPr>
            </w:pPr>
          </w:p>
        </w:tc>
        <w:tc>
          <w:tcPr>
            <w:tcW w:w="2440" w:type="dxa"/>
            <w:vAlign w:val="bottom"/>
            <w:gridSpan w:val="2"/>
          </w:tcPr>
          <w:p>
            <w:pPr>
              <w:ind w:left="320"/>
              <w:spacing w:after="0" w:line="189" w:lineRule="exact"/>
              <w:rPr>
                <w:sz w:val="20"/>
                <w:szCs w:val="20"/>
                <w:color w:val="auto"/>
              </w:rPr>
            </w:pPr>
            <w:r>
              <w:rPr>
                <w:rFonts w:ascii="Arial" w:cs="Arial" w:eastAsia="Arial" w:hAnsi="Arial"/>
                <w:sz w:val="17"/>
                <w:szCs w:val="17"/>
                <w:color w:val="auto"/>
              </w:rPr>
              <w:t>in person or represented by</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40" w:type="dxa"/>
            <w:vAlign w:val="bottom"/>
            <w:gridSpan w:val="2"/>
          </w:tcPr>
          <w:p>
            <w:pPr>
              <w:ind w:left="320"/>
              <w:spacing w:after="0"/>
              <w:rPr>
                <w:sz w:val="20"/>
                <w:szCs w:val="20"/>
                <w:color w:val="auto"/>
              </w:rPr>
            </w:pPr>
            <w:r>
              <w:rPr>
                <w:rFonts w:ascii="Arial" w:cs="Arial" w:eastAsia="Arial" w:hAnsi="Arial"/>
                <w:sz w:val="17"/>
                <w:szCs w:val="17"/>
                <w:color w:val="auto"/>
              </w:rPr>
              <w:t>proxy</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6040" w:type="dxa"/>
            <w:vAlign w:val="bottom"/>
            <w:tcBorders>
              <w:bottom w:val="single" w:sz="8" w:color="005CB9"/>
            </w:tcBorders>
          </w:tcPr>
          <w:p>
            <w:pPr>
              <w:spacing w:after="0"/>
              <w:rPr>
                <w:sz w:val="3"/>
                <w:szCs w:val="3"/>
                <w:color w:val="auto"/>
              </w:rPr>
            </w:pPr>
          </w:p>
        </w:tc>
        <w:tc>
          <w:tcPr>
            <w:tcW w:w="4600" w:type="dxa"/>
            <w:vAlign w:val="bottom"/>
            <w:tcBorders>
              <w:bottom w:val="single" w:sz="8" w:color="005CB9"/>
            </w:tcBorders>
            <w:gridSpan w:val="3"/>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6040" w:type="dxa"/>
            <w:vAlign w:val="bottom"/>
          </w:tcPr>
          <w:p>
            <w:pPr>
              <w:spacing w:after="0"/>
              <w:rPr>
                <w:sz w:val="24"/>
                <w:szCs w:val="24"/>
                <w:color w:val="auto"/>
              </w:rPr>
            </w:pPr>
          </w:p>
        </w:tc>
        <w:tc>
          <w:tcPr>
            <w:tcW w:w="4600" w:type="dxa"/>
            <w:vAlign w:val="bottom"/>
            <w:gridSpan w:val="3"/>
            <w:vMerge w:val="restart"/>
          </w:tcPr>
          <w:p>
            <w:pPr>
              <w:ind w:left="720"/>
              <w:spacing w:after="0"/>
              <w:rPr>
                <w:sz w:val="20"/>
                <w:szCs w:val="20"/>
                <w:color w:val="auto"/>
              </w:rPr>
            </w:pPr>
            <w:r>
              <w:rPr>
                <w:rFonts w:ascii="Arial" w:cs="Arial" w:eastAsia="Arial" w:hAnsi="Arial"/>
                <w:sz w:val="16"/>
                <w:szCs w:val="16"/>
                <w:b w:val="1"/>
                <w:bCs w:val="1"/>
                <w:color w:val="005CB9"/>
              </w:rPr>
              <w:t>Roper Technologies, Inc. 2022 Proxy Statement</w:t>
            </w:r>
          </w:p>
        </w:tc>
        <w:tc>
          <w:tcPr>
            <w:tcW w:w="20" w:type="dxa"/>
            <w:vAlign w:val="bottom"/>
          </w:tcPr>
          <w:p>
            <w:pPr>
              <w:spacing w:after="0"/>
              <w:rPr>
                <w:sz w:val="24"/>
                <w:szCs w:val="24"/>
                <w:color w:val="auto"/>
              </w:rPr>
            </w:pPr>
          </w:p>
        </w:tc>
        <w:tc>
          <w:tcPr>
            <w:tcW w:w="180" w:type="dxa"/>
            <w:vAlign w:val="bottom"/>
            <w:vMerge w:val="restart"/>
          </w:tcPr>
          <w:p>
            <w:pPr>
              <w:ind w:left="120"/>
              <w:spacing w:after="0"/>
              <w:rPr>
                <w:sz w:val="20"/>
                <w:szCs w:val="20"/>
                <w:color w:val="auto"/>
              </w:rPr>
            </w:pPr>
            <w:r>
              <w:rPr>
                <w:rFonts w:ascii="Arial" w:cs="Arial" w:eastAsia="Arial" w:hAnsi="Arial"/>
                <w:sz w:val="16"/>
                <w:szCs w:val="16"/>
                <w:b w:val="1"/>
                <w:bCs w:val="1"/>
                <w:color w:val="005CB9"/>
                <w:w w:val="88"/>
              </w:rPr>
              <w:t>i</w:t>
            </w:r>
          </w:p>
        </w:tc>
        <w:tc>
          <w:tcPr>
            <w:tcW w:w="0" w:type="dxa"/>
            <w:vAlign w:val="bottom"/>
          </w:tcPr>
          <w:p>
            <w:pPr>
              <w:spacing w:after="0"/>
              <w:rPr>
                <w:sz w:val="1"/>
                <w:szCs w:val="1"/>
                <w:color w:val="auto"/>
              </w:rPr>
            </w:pPr>
          </w:p>
        </w:tc>
      </w:tr>
      <w:tr>
        <w:trPr>
          <w:trHeight w:val="291"/>
        </w:trPr>
        <w:tc>
          <w:tcPr>
            <w:tcW w:w="6040" w:type="dxa"/>
            <w:vAlign w:val="bottom"/>
          </w:tcPr>
          <w:p>
            <w:pPr>
              <w:spacing w:after="0"/>
              <w:rPr>
                <w:sz w:val="24"/>
                <w:szCs w:val="24"/>
                <w:color w:val="auto"/>
              </w:rPr>
            </w:pPr>
          </w:p>
        </w:tc>
        <w:tc>
          <w:tcPr>
            <w:tcW w:w="4600" w:type="dxa"/>
            <w:vAlign w:val="bottom"/>
            <w:gridSpan w:val="3"/>
            <w:vMerge w:val="continue"/>
          </w:tcPr>
          <w:p>
            <w:pPr>
              <w:spacing w:after="0"/>
              <w:rPr>
                <w:sz w:val="24"/>
                <w:szCs w:val="24"/>
                <w:color w:val="auto"/>
              </w:rPr>
            </w:pPr>
          </w:p>
        </w:tc>
        <w:tc>
          <w:tcPr>
            <w:tcW w:w="20" w:type="dxa"/>
            <w:vAlign w:val="bottom"/>
            <w:shd w:val="clear" w:color="auto" w:fill="005CB9"/>
          </w:tcPr>
          <w:p>
            <w:pPr>
              <w:spacing w:after="0"/>
              <w:rPr>
                <w:sz w:val="24"/>
                <w:szCs w:val="24"/>
                <w:color w:val="auto"/>
              </w:rPr>
            </w:pPr>
          </w:p>
        </w:tc>
        <w:tc>
          <w:tcPr>
            <w:tcW w:w="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60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20" w:type="dxa"/>
            <w:vAlign w:val="bottom"/>
            <w:shd w:val="clear" w:color="auto" w:fill="005CB9"/>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-205105</wp:posOffset>
            </wp:positionV>
            <wp:extent cx="42862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PROXY STATEMENT SUMMARY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318135</wp:posOffset>
            </wp:positionV>
            <wp:extent cx="7011670" cy="65919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1670" cy="659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2022 DIRECTOR NOMINEES</w:t>
      </w:r>
    </w:p>
    <w:p>
      <w:pPr>
        <w:spacing w:after="0" w:line="228" w:lineRule="exact"/>
        <w:rPr>
          <w:sz w:val="20"/>
          <w:szCs w:val="20"/>
          <w:color w:val="auto"/>
        </w:rPr>
      </w:pPr>
    </w:p>
    <w:p>
      <w:pPr>
        <w:ind w:left="300" w:right="60"/>
        <w:spacing w:after="0" w:line="243" w:lineRule="auto"/>
        <w:rPr>
          <w:sz w:val="20"/>
          <w:szCs w:val="20"/>
          <w:color w:val="auto"/>
        </w:rPr>
      </w:pPr>
      <w:r>
        <w:rPr>
          <w:rFonts w:ascii="Arial" w:cs="Arial" w:eastAsia="Arial" w:hAnsi="Arial"/>
          <w:sz w:val="17"/>
          <w:szCs w:val="17"/>
          <w:color w:val="auto"/>
        </w:rPr>
        <w:t>Shareholders are electing all nine director nominees who will serve for a one-year term expiring at the 2023 Annual Meeting of Shareholders (the “2023 Annual Meeting”).</w:t>
      </w:r>
    </w:p>
    <w:p>
      <w:pPr>
        <w:spacing w:after="0" w:line="317" w:lineRule="exact"/>
        <w:rPr>
          <w:sz w:val="20"/>
          <w:szCs w:val="20"/>
          <w:color w:val="auto"/>
        </w:rPr>
      </w:pPr>
    </w:p>
    <w:tbl>
      <w:tblPr>
        <w:tblLayout w:type="fixed"/>
        <w:tblInd w:w="300" w:type="dxa"/>
        <w:tblCellMar>
          <w:top w:w="0" w:type="dxa"/>
          <w:left w:w="0" w:type="dxa"/>
          <w:bottom w:w="0" w:type="dxa"/>
          <w:right w:w="0" w:type="dxa"/>
        </w:tblCellMar>
      </w:tblPr>
      <w:tr>
        <w:trPr>
          <w:trHeight w:val="76"/>
        </w:trPr>
        <w:tc>
          <w:tcPr>
            <w:tcW w:w="4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Borders>
              <w:bottom w:val="single" w:sz="8" w:color="005CB9"/>
            </w:tcBorders>
          </w:tcPr>
          <w:p>
            <w:pPr>
              <w:spacing w:after="0"/>
              <w:rPr>
                <w:sz w:val="6"/>
                <w:szCs w:val="6"/>
                <w:color w:val="auto"/>
              </w:rPr>
            </w:pPr>
          </w:p>
        </w:tc>
        <w:tc>
          <w:tcPr>
            <w:tcW w:w="1560" w:type="dxa"/>
            <w:vAlign w:val="bottom"/>
            <w:vMerge w:val="restart"/>
          </w:tcPr>
          <w:p>
            <w:pPr>
              <w:ind w:left="580"/>
              <w:spacing w:after="0"/>
              <w:rPr>
                <w:sz w:val="20"/>
                <w:szCs w:val="20"/>
                <w:color w:val="auto"/>
              </w:rPr>
            </w:pPr>
            <w:r>
              <w:rPr>
                <w:rFonts w:ascii="Arial" w:cs="Arial" w:eastAsia="Arial" w:hAnsi="Arial"/>
                <w:sz w:val="14"/>
                <w:szCs w:val="14"/>
                <w:color w:val="005CB9"/>
              </w:rPr>
              <w:t>COMMITTEES</w:t>
            </w:r>
          </w:p>
        </w:tc>
        <w:tc>
          <w:tcPr>
            <w:tcW w:w="520" w:type="dxa"/>
            <w:vAlign w:val="bottom"/>
          </w:tcPr>
          <w:p>
            <w:pPr>
              <w:spacing w:after="0"/>
              <w:rPr>
                <w:sz w:val="6"/>
                <w:szCs w:val="6"/>
                <w:color w:val="auto"/>
              </w:rPr>
            </w:pPr>
          </w:p>
        </w:tc>
        <w:tc>
          <w:tcPr>
            <w:tcW w:w="420" w:type="dxa"/>
            <w:vAlign w:val="bottom"/>
            <w:tcBorders>
              <w:bottom w:val="single" w:sz="8" w:color="005CB9"/>
            </w:tcBorders>
          </w:tcPr>
          <w:p>
            <w:pPr>
              <w:spacing w:after="0"/>
              <w:rPr>
                <w:sz w:val="6"/>
                <w:szCs w:val="6"/>
                <w:color w:val="auto"/>
              </w:rPr>
            </w:pPr>
          </w:p>
        </w:tc>
        <w:tc>
          <w:tcPr>
            <w:tcW w:w="840" w:type="dxa"/>
            <w:vAlign w:val="bottom"/>
            <w:tcBorders>
              <w:bottom w:val="single" w:sz="8" w:color="005CB9"/>
            </w:tcBorders>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4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Borders>
              <w:right w:val="single" w:sz="8" w:color="005CB9"/>
            </w:tcBorders>
          </w:tcPr>
          <w:p>
            <w:pPr>
              <w:spacing w:after="0"/>
              <w:rPr>
                <w:sz w:val="6"/>
                <w:szCs w:val="6"/>
                <w:color w:val="auto"/>
              </w:rPr>
            </w:pPr>
          </w:p>
        </w:tc>
        <w:tc>
          <w:tcPr>
            <w:tcW w:w="78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Borders>
              <w:right w:val="single" w:sz="8" w:color="005CB9"/>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4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Borders>
              <w:right w:val="single" w:sz="8" w:color="005CB9"/>
            </w:tcBorders>
          </w:tcPr>
          <w:p>
            <w:pPr>
              <w:spacing w:after="0"/>
              <w:rPr>
                <w:sz w:val="6"/>
                <w:szCs w:val="6"/>
                <w:color w:val="auto"/>
              </w:rPr>
            </w:pPr>
          </w:p>
        </w:tc>
        <w:tc>
          <w:tcPr>
            <w:tcW w:w="7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Borders>
              <w:right w:val="single" w:sz="8" w:color="005CB9"/>
            </w:tcBorders>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320" w:type="dxa"/>
            <w:vAlign w:val="bottom"/>
            <w:shd w:val="clear" w:color="auto" w:fill="005CB9"/>
          </w:tcPr>
          <w:p>
            <w:pPr>
              <w:spacing w:after="0"/>
              <w:rPr>
                <w:sz w:val="16"/>
                <w:szCs w:val="16"/>
                <w:color w:val="auto"/>
              </w:rPr>
            </w:pPr>
          </w:p>
        </w:tc>
        <w:tc>
          <w:tcPr>
            <w:tcW w:w="560" w:type="dxa"/>
            <w:vAlign w:val="bottom"/>
            <w:shd w:val="clear" w:color="auto" w:fill="005CB9"/>
          </w:tcPr>
          <w:p>
            <w:pPr>
              <w:spacing w:after="0"/>
              <w:rPr>
                <w:sz w:val="16"/>
                <w:szCs w:val="16"/>
                <w:color w:val="auto"/>
              </w:rPr>
            </w:pPr>
          </w:p>
        </w:tc>
        <w:tc>
          <w:tcPr>
            <w:tcW w:w="70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Director</w:t>
            </w:r>
          </w:p>
        </w:tc>
        <w:tc>
          <w:tcPr>
            <w:tcW w:w="940" w:type="dxa"/>
            <w:vAlign w:val="bottom"/>
            <w:tcBorders>
              <w:right w:val="single" w:sz="8" w:color="005CB9"/>
            </w:tcBorders>
            <w:shd w:val="clear" w:color="auto" w:fill="005CB9"/>
          </w:tcPr>
          <w:p>
            <w:pPr>
              <w:spacing w:after="0"/>
              <w:rPr>
                <w:sz w:val="16"/>
                <w:szCs w:val="16"/>
                <w:color w:val="auto"/>
              </w:rPr>
            </w:pPr>
          </w:p>
        </w:tc>
        <w:tc>
          <w:tcPr>
            <w:tcW w:w="780" w:type="dxa"/>
            <w:vAlign w:val="bottom"/>
            <w:shd w:val="clear" w:color="auto" w:fill="005CB9"/>
          </w:tcPr>
          <w:p>
            <w:pPr>
              <w:spacing w:after="0"/>
              <w:rPr>
                <w:sz w:val="16"/>
                <w:szCs w:val="16"/>
                <w:color w:val="auto"/>
              </w:rPr>
            </w:pPr>
          </w:p>
        </w:tc>
        <w:tc>
          <w:tcPr>
            <w:tcW w:w="1560" w:type="dxa"/>
            <w:vAlign w:val="bottom"/>
            <w:shd w:val="clear" w:color="auto" w:fill="005CB9"/>
          </w:tcPr>
          <w:p>
            <w:pPr>
              <w:spacing w:after="0"/>
              <w:rPr>
                <w:sz w:val="16"/>
                <w:szCs w:val="16"/>
                <w:color w:val="auto"/>
              </w:rPr>
            </w:pPr>
          </w:p>
        </w:tc>
        <w:tc>
          <w:tcPr>
            <w:tcW w:w="520" w:type="dxa"/>
            <w:vAlign w:val="bottom"/>
            <w:shd w:val="clear" w:color="auto" w:fill="005CB9"/>
          </w:tcPr>
          <w:p>
            <w:pPr>
              <w:spacing w:after="0"/>
              <w:rPr>
                <w:sz w:val="16"/>
                <w:szCs w:val="16"/>
                <w:color w:val="auto"/>
              </w:rPr>
            </w:pPr>
          </w:p>
        </w:tc>
        <w:tc>
          <w:tcPr>
            <w:tcW w:w="420" w:type="dxa"/>
            <w:vAlign w:val="bottom"/>
            <w:shd w:val="clear" w:color="auto" w:fill="005CB9"/>
          </w:tcPr>
          <w:p>
            <w:pPr>
              <w:spacing w:after="0"/>
              <w:rPr>
                <w:sz w:val="16"/>
                <w:szCs w:val="16"/>
                <w:color w:val="auto"/>
              </w:rPr>
            </w:pPr>
          </w:p>
        </w:tc>
        <w:tc>
          <w:tcPr>
            <w:tcW w:w="840" w:type="dxa"/>
            <w:vAlign w:val="bottom"/>
            <w:tcBorders>
              <w:right w:val="single" w:sz="8" w:color="005CB9"/>
            </w:tcBorders>
            <w:shd w:val="clear" w:color="auto" w:fill="005CB9"/>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320" w:type="dxa"/>
            <w:vAlign w:val="bottom"/>
            <w:tcBorders>
              <w:bottom w:val="single" w:sz="8" w:color="005CB9"/>
            </w:tcBorders>
            <w:shd w:val="clear" w:color="auto" w:fill="005CB9"/>
          </w:tcPr>
          <w:p>
            <w:pPr>
              <w:ind w:left="80"/>
              <w:spacing w:after="0"/>
              <w:rPr>
                <w:sz w:val="20"/>
                <w:szCs w:val="20"/>
                <w:color w:val="auto"/>
              </w:rPr>
            </w:pPr>
            <w:r>
              <w:rPr>
                <w:rFonts w:ascii="Arial" w:cs="Arial" w:eastAsia="Arial" w:hAnsi="Arial"/>
                <w:sz w:val="14"/>
                <w:szCs w:val="14"/>
                <w:color w:val="FFFFFF"/>
              </w:rPr>
              <w:t>Name and Primary Occupation</w:t>
            </w:r>
          </w:p>
        </w:tc>
        <w:tc>
          <w:tcPr>
            <w:tcW w:w="560" w:type="dxa"/>
            <w:vAlign w:val="bottom"/>
            <w:tcBorders>
              <w:bottom w:val="single" w:sz="8" w:color="005CB9"/>
            </w:tcBorders>
            <w:shd w:val="clear" w:color="auto" w:fill="005CB9"/>
          </w:tcPr>
          <w:p>
            <w:pPr>
              <w:jc w:val="center"/>
              <w:ind w:left="28"/>
              <w:spacing w:after="0"/>
              <w:rPr>
                <w:sz w:val="20"/>
                <w:szCs w:val="20"/>
                <w:color w:val="auto"/>
              </w:rPr>
            </w:pPr>
            <w:r>
              <w:rPr>
                <w:rFonts w:ascii="Arial" w:cs="Arial" w:eastAsia="Arial" w:hAnsi="Arial"/>
                <w:sz w:val="14"/>
                <w:szCs w:val="14"/>
                <w:color w:val="FFFFFF"/>
              </w:rPr>
              <w:t>Age</w:t>
            </w:r>
          </w:p>
        </w:tc>
        <w:tc>
          <w:tcPr>
            <w:tcW w:w="70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4"/>
                <w:szCs w:val="14"/>
                <w:color w:val="FFFFFF"/>
              </w:rPr>
              <w:t>Since</w:t>
            </w:r>
          </w:p>
        </w:tc>
        <w:tc>
          <w:tcPr>
            <w:tcW w:w="940" w:type="dxa"/>
            <w:vAlign w:val="bottom"/>
            <w:tcBorders>
              <w:bottom w:val="single" w:sz="8" w:color="005CB9"/>
              <w:right w:val="single" w:sz="8" w:color="005CB9"/>
            </w:tcBorders>
            <w:shd w:val="clear" w:color="auto" w:fill="005CB9"/>
          </w:tcPr>
          <w:p>
            <w:pPr>
              <w:ind w:left="120"/>
              <w:spacing w:after="0"/>
              <w:rPr>
                <w:sz w:val="20"/>
                <w:szCs w:val="20"/>
                <w:color w:val="auto"/>
              </w:rPr>
            </w:pPr>
            <w:r>
              <w:rPr>
                <w:rFonts w:ascii="Arial" w:cs="Arial" w:eastAsia="Arial" w:hAnsi="Arial"/>
                <w:sz w:val="14"/>
                <w:szCs w:val="14"/>
                <w:color w:val="FFFFFF"/>
              </w:rPr>
              <w:t>Independent</w:t>
            </w:r>
          </w:p>
        </w:tc>
        <w:tc>
          <w:tcPr>
            <w:tcW w:w="780" w:type="dxa"/>
            <w:vAlign w:val="bottom"/>
            <w:tcBorders>
              <w:bottom w:val="single" w:sz="8" w:color="005CB9"/>
            </w:tcBorders>
            <w:shd w:val="clear" w:color="auto" w:fill="005CB9"/>
          </w:tcPr>
          <w:p>
            <w:pPr>
              <w:jc w:val="center"/>
              <w:ind w:left="308"/>
              <w:spacing w:after="0"/>
              <w:rPr>
                <w:sz w:val="20"/>
                <w:szCs w:val="20"/>
                <w:color w:val="auto"/>
              </w:rPr>
            </w:pPr>
            <w:r>
              <w:rPr>
                <w:rFonts w:ascii="Arial" w:cs="Arial" w:eastAsia="Arial" w:hAnsi="Arial"/>
                <w:sz w:val="14"/>
                <w:szCs w:val="14"/>
                <w:color w:val="FFFFFF"/>
              </w:rPr>
              <w:t>AC</w:t>
            </w:r>
          </w:p>
        </w:tc>
        <w:tc>
          <w:tcPr>
            <w:tcW w:w="1560" w:type="dxa"/>
            <w:vAlign w:val="bottom"/>
            <w:tcBorders>
              <w:bottom w:val="single" w:sz="8" w:color="005CB9"/>
            </w:tcBorders>
            <w:shd w:val="clear" w:color="auto" w:fill="005CB9"/>
          </w:tcPr>
          <w:p>
            <w:pPr>
              <w:jc w:val="center"/>
              <w:ind w:right="68"/>
              <w:spacing w:after="0"/>
              <w:rPr>
                <w:sz w:val="20"/>
                <w:szCs w:val="20"/>
                <w:color w:val="auto"/>
              </w:rPr>
            </w:pPr>
            <w:r>
              <w:rPr>
                <w:rFonts w:ascii="Arial" w:cs="Arial" w:eastAsia="Arial" w:hAnsi="Arial"/>
                <w:sz w:val="14"/>
                <w:szCs w:val="14"/>
                <w:color w:val="FFFFFF"/>
              </w:rPr>
              <w:t>CC</w:t>
            </w:r>
          </w:p>
        </w:tc>
        <w:tc>
          <w:tcPr>
            <w:tcW w:w="940" w:type="dxa"/>
            <w:vAlign w:val="bottom"/>
            <w:tcBorders>
              <w:bottom w:val="single" w:sz="8" w:color="005CB9"/>
            </w:tcBorders>
            <w:gridSpan w:val="2"/>
            <w:shd w:val="clear" w:color="auto" w:fill="005CB9"/>
          </w:tcPr>
          <w:p>
            <w:pPr>
              <w:jc w:val="center"/>
              <w:ind w:right="540"/>
              <w:spacing w:after="0"/>
              <w:rPr>
                <w:sz w:val="20"/>
                <w:szCs w:val="20"/>
                <w:color w:val="auto"/>
              </w:rPr>
            </w:pPr>
            <w:r>
              <w:rPr>
                <w:rFonts w:ascii="Arial" w:cs="Arial" w:eastAsia="Arial" w:hAnsi="Arial"/>
                <w:sz w:val="14"/>
                <w:szCs w:val="14"/>
                <w:color w:val="FFFFFF"/>
              </w:rPr>
              <w:t>NGC</w:t>
            </w:r>
          </w:p>
        </w:tc>
        <w:tc>
          <w:tcPr>
            <w:tcW w:w="840" w:type="dxa"/>
            <w:vAlign w:val="bottom"/>
            <w:tcBorders>
              <w:bottom w:val="single" w:sz="8" w:color="005CB9"/>
              <w:right w:val="single" w:sz="8" w:color="005CB9"/>
            </w:tcBorders>
            <w:shd w:val="clear" w:color="auto" w:fill="005CB9"/>
          </w:tcPr>
          <w:p>
            <w:pPr>
              <w:jc w:val="center"/>
              <w:spacing w:after="0"/>
              <w:rPr>
                <w:sz w:val="20"/>
                <w:szCs w:val="20"/>
                <w:color w:val="auto"/>
              </w:rPr>
            </w:pPr>
            <w:r>
              <w:rPr>
                <w:rFonts w:ascii="Arial" w:cs="Arial" w:eastAsia="Arial" w:hAnsi="Arial"/>
                <w:sz w:val="14"/>
                <w:szCs w:val="14"/>
                <w:color w:val="FFFFFF"/>
              </w:rPr>
              <w:t>EC</w:t>
            </w:r>
          </w:p>
        </w:tc>
        <w:tc>
          <w:tcPr>
            <w:tcW w:w="0" w:type="dxa"/>
            <w:vAlign w:val="bottom"/>
          </w:tcPr>
          <w:p>
            <w:pPr>
              <w:spacing w:after="0"/>
              <w:rPr>
                <w:sz w:val="1"/>
                <w:szCs w:val="1"/>
                <w:color w:val="auto"/>
              </w:rPr>
            </w:pPr>
          </w:p>
        </w:tc>
      </w:tr>
      <w:tr>
        <w:trPr>
          <w:trHeight w:val="174"/>
        </w:trPr>
        <w:tc>
          <w:tcPr>
            <w:tcW w:w="4320" w:type="dxa"/>
            <w:vAlign w:val="bottom"/>
          </w:tcPr>
          <w:p>
            <w:pPr>
              <w:ind w:left="80"/>
              <w:spacing w:after="0"/>
              <w:rPr>
                <w:sz w:val="20"/>
                <w:szCs w:val="20"/>
                <w:color w:val="auto"/>
              </w:rPr>
            </w:pPr>
            <w:r>
              <w:rPr>
                <w:rFonts w:ascii="Arial" w:cs="Arial" w:eastAsia="Arial" w:hAnsi="Arial"/>
                <w:sz w:val="14"/>
                <w:szCs w:val="14"/>
                <w:b w:val="1"/>
                <w:bCs w:val="1"/>
                <w:color w:val="auto"/>
              </w:rPr>
              <w:t>Shellye L. Archambeau</w:t>
            </w: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005CB9"/>
              </w:rPr>
              <w:t>Chair</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20" w:type="dxa"/>
            <w:vAlign w:val="bottom"/>
          </w:tcPr>
          <w:p>
            <w:pPr>
              <w:ind w:left="80"/>
              <w:spacing w:after="0"/>
              <w:rPr>
                <w:sz w:val="20"/>
                <w:szCs w:val="20"/>
                <w:color w:val="auto"/>
              </w:rPr>
            </w:pPr>
            <w:r>
              <w:rPr>
                <w:rFonts w:ascii="Arial" w:cs="Arial" w:eastAsia="Arial" w:hAnsi="Arial"/>
                <w:sz w:val="14"/>
                <w:szCs w:val="14"/>
                <w:color w:val="auto"/>
              </w:rPr>
              <w:t>Former Chief Executive Officer,</w:t>
            </w:r>
          </w:p>
        </w:tc>
        <w:tc>
          <w:tcPr>
            <w:tcW w:w="560" w:type="dxa"/>
            <w:vAlign w:val="bottom"/>
          </w:tcPr>
          <w:p>
            <w:pPr>
              <w:jc w:val="center"/>
              <w:ind w:left="8"/>
              <w:spacing w:after="0"/>
              <w:rPr>
                <w:sz w:val="20"/>
                <w:szCs w:val="20"/>
                <w:color w:val="auto"/>
              </w:rPr>
            </w:pPr>
            <w:r>
              <w:rPr>
                <w:rFonts w:ascii="Arial" w:cs="Arial" w:eastAsia="Arial" w:hAnsi="Arial"/>
                <w:sz w:val="14"/>
                <w:szCs w:val="14"/>
                <w:color w:val="auto"/>
              </w:rPr>
              <w:t>59</w:t>
            </w:r>
          </w:p>
        </w:tc>
        <w:tc>
          <w:tcPr>
            <w:tcW w:w="700" w:type="dxa"/>
            <w:vAlign w:val="bottom"/>
          </w:tcPr>
          <w:p>
            <w:pPr>
              <w:jc w:val="center"/>
              <w:spacing w:after="0"/>
              <w:rPr>
                <w:sz w:val="20"/>
                <w:szCs w:val="20"/>
                <w:color w:val="auto"/>
              </w:rPr>
            </w:pPr>
            <w:r>
              <w:rPr>
                <w:rFonts w:ascii="Arial" w:cs="Arial" w:eastAsia="Arial" w:hAnsi="Arial"/>
                <w:sz w:val="14"/>
                <w:szCs w:val="14"/>
                <w:color w:val="auto"/>
              </w:rPr>
              <w:t>2018</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20" w:type="dxa"/>
            <w:vAlign w:val="bottom"/>
          </w:tcPr>
          <w:p>
            <w:pPr>
              <w:ind w:left="80"/>
              <w:spacing w:after="0"/>
              <w:rPr>
                <w:sz w:val="20"/>
                <w:szCs w:val="20"/>
                <w:color w:val="auto"/>
              </w:rPr>
            </w:pPr>
            <w:r>
              <w:rPr>
                <w:rFonts w:ascii="Arial" w:cs="Arial" w:eastAsia="Arial" w:hAnsi="Arial"/>
                <w:sz w:val="14"/>
                <w:szCs w:val="14"/>
                <w:color w:val="auto"/>
              </w:rPr>
              <w:t>MetricStream, Inc.</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320" w:type="dxa"/>
            <w:vAlign w:val="bottom"/>
            <w:tcBorders>
              <w:bottom w:val="single" w:sz="8" w:color="005CB9"/>
            </w:tcBorders>
          </w:tcPr>
          <w:p>
            <w:pPr>
              <w:spacing w:after="0"/>
              <w:rPr>
                <w:sz w:val="4"/>
                <w:szCs w:val="4"/>
                <w:color w:val="auto"/>
              </w:rPr>
            </w:pPr>
          </w:p>
        </w:tc>
        <w:tc>
          <w:tcPr>
            <w:tcW w:w="560" w:type="dxa"/>
            <w:vAlign w:val="bottom"/>
            <w:tcBorders>
              <w:bottom w:val="single" w:sz="8" w:color="005CB9"/>
            </w:tcBorders>
          </w:tcPr>
          <w:p>
            <w:pPr>
              <w:spacing w:after="0"/>
              <w:rPr>
                <w:sz w:val="4"/>
                <w:szCs w:val="4"/>
                <w:color w:val="auto"/>
              </w:rPr>
            </w:pPr>
          </w:p>
        </w:tc>
        <w:tc>
          <w:tcPr>
            <w:tcW w:w="700" w:type="dxa"/>
            <w:vAlign w:val="bottom"/>
            <w:tcBorders>
              <w:bottom w:val="single" w:sz="8" w:color="005CB9"/>
            </w:tcBorders>
          </w:tcPr>
          <w:p>
            <w:pPr>
              <w:spacing w:after="0"/>
              <w:rPr>
                <w:sz w:val="4"/>
                <w:szCs w:val="4"/>
                <w:color w:val="auto"/>
              </w:rPr>
            </w:pPr>
          </w:p>
        </w:tc>
        <w:tc>
          <w:tcPr>
            <w:tcW w:w="940" w:type="dxa"/>
            <w:vAlign w:val="bottom"/>
            <w:tcBorders>
              <w:bottom w:val="single" w:sz="8" w:color="005CB9"/>
            </w:tcBorders>
          </w:tcPr>
          <w:p>
            <w:pPr>
              <w:spacing w:after="0"/>
              <w:rPr>
                <w:sz w:val="4"/>
                <w:szCs w:val="4"/>
                <w:color w:val="auto"/>
              </w:rPr>
            </w:pPr>
          </w:p>
        </w:tc>
        <w:tc>
          <w:tcPr>
            <w:tcW w:w="780" w:type="dxa"/>
            <w:vAlign w:val="bottom"/>
            <w:tcBorders>
              <w:bottom w:val="single" w:sz="8" w:color="005CB9"/>
            </w:tcBorders>
          </w:tcPr>
          <w:p>
            <w:pPr>
              <w:spacing w:after="0"/>
              <w:rPr>
                <w:sz w:val="4"/>
                <w:szCs w:val="4"/>
                <w:color w:val="auto"/>
              </w:rPr>
            </w:pPr>
          </w:p>
        </w:tc>
        <w:tc>
          <w:tcPr>
            <w:tcW w:w="1560" w:type="dxa"/>
            <w:vAlign w:val="bottom"/>
            <w:tcBorders>
              <w:bottom w:val="single" w:sz="8" w:color="005CB9"/>
            </w:tcBorders>
          </w:tcPr>
          <w:p>
            <w:pPr>
              <w:spacing w:after="0"/>
              <w:rPr>
                <w:sz w:val="4"/>
                <w:szCs w:val="4"/>
                <w:color w:val="auto"/>
              </w:rPr>
            </w:pPr>
          </w:p>
        </w:tc>
        <w:tc>
          <w:tcPr>
            <w:tcW w:w="520" w:type="dxa"/>
            <w:vAlign w:val="bottom"/>
            <w:tcBorders>
              <w:bottom w:val="single" w:sz="8" w:color="005CB9"/>
            </w:tcBorders>
          </w:tcPr>
          <w:p>
            <w:pPr>
              <w:spacing w:after="0"/>
              <w:rPr>
                <w:sz w:val="4"/>
                <w:szCs w:val="4"/>
                <w:color w:val="auto"/>
              </w:rPr>
            </w:pPr>
          </w:p>
        </w:tc>
        <w:tc>
          <w:tcPr>
            <w:tcW w:w="420" w:type="dxa"/>
            <w:vAlign w:val="bottom"/>
            <w:tcBorders>
              <w:bottom w:val="single" w:sz="8" w:color="005CB9"/>
            </w:tcBorders>
          </w:tcPr>
          <w:p>
            <w:pPr>
              <w:spacing w:after="0"/>
              <w:rPr>
                <w:sz w:val="4"/>
                <w:szCs w:val="4"/>
                <w:color w:val="auto"/>
              </w:rPr>
            </w:pPr>
          </w:p>
        </w:tc>
        <w:tc>
          <w:tcPr>
            <w:tcW w:w="840" w:type="dxa"/>
            <w:vAlign w:val="bottom"/>
            <w:tcBorders>
              <w:bottom w:val="single" w:sz="8" w:color="005CB9"/>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320" w:type="dxa"/>
            <w:vAlign w:val="bottom"/>
            <w:shd w:val="clear" w:color="auto" w:fill="CCDEF1"/>
          </w:tcPr>
          <w:p>
            <w:pPr>
              <w:ind w:left="80"/>
              <w:spacing w:after="0"/>
              <w:rPr>
                <w:sz w:val="20"/>
                <w:szCs w:val="20"/>
                <w:color w:val="auto"/>
              </w:rPr>
            </w:pPr>
            <w:r>
              <w:rPr>
                <w:rFonts w:ascii="Arial" w:cs="Arial" w:eastAsia="Arial" w:hAnsi="Arial"/>
                <w:sz w:val="14"/>
                <w:szCs w:val="14"/>
                <w:b w:val="1"/>
                <w:bCs w:val="1"/>
                <w:color w:val="auto"/>
              </w:rPr>
              <w:t>Amy Woods Brinkley</w:t>
            </w:r>
          </w:p>
        </w:tc>
        <w:tc>
          <w:tcPr>
            <w:tcW w:w="560" w:type="dxa"/>
            <w:vAlign w:val="bottom"/>
            <w:shd w:val="clear" w:color="auto" w:fill="CCDEF1"/>
          </w:tcPr>
          <w:p>
            <w:pPr>
              <w:spacing w:after="0"/>
              <w:rPr>
                <w:sz w:val="16"/>
                <w:szCs w:val="16"/>
                <w:color w:val="auto"/>
              </w:rPr>
            </w:pPr>
          </w:p>
        </w:tc>
        <w:tc>
          <w:tcPr>
            <w:tcW w:w="700" w:type="dxa"/>
            <w:vAlign w:val="bottom"/>
            <w:shd w:val="clear" w:color="auto" w:fill="CCDEF1"/>
          </w:tcPr>
          <w:p>
            <w:pPr>
              <w:spacing w:after="0"/>
              <w:rPr>
                <w:sz w:val="16"/>
                <w:szCs w:val="16"/>
                <w:color w:val="auto"/>
              </w:rPr>
            </w:pPr>
          </w:p>
        </w:tc>
        <w:tc>
          <w:tcPr>
            <w:tcW w:w="940" w:type="dxa"/>
            <w:vAlign w:val="bottom"/>
            <w:tcBorders>
              <w:right w:val="single" w:sz="8" w:color="CCDEF1"/>
            </w:tcBorders>
            <w:shd w:val="clear" w:color="auto" w:fill="CCDEF1"/>
          </w:tcPr>
          <w:p>
            <w:pPr>
              <w:spacing w:after="0"/>
              <w:rPr>
                <w:sz w:val="16"/>
                <w:szCs w:val="16"/>
                <w:color w:val="auto"/>
              </w:rPr>
            </w:pPr>
          </w:p>
        </w:tc>
        <w:tc>
          <w:tcPr>
            <w:tcW w:w="780" w:type="dxa"/>
            <w:vAlign w:val="bottom"/>
            <w:shd w:val="clear" w:color="auto" w:fill="CCDEF1"/>
          </w:tcPr>
          <w:p>
            <w:pPr>
              <w:spacing w:after="0"/>
              <w:rPr>
                <w:sz w:val="16"/>
                <w:szCs w:val="16"/>
                <w:color w:val="auto"/>
              </w:rPr>
            </w:pPr>
          </w:p>
        </w:tc>
        <w:tc>
          <w:tcPr>
            <w:tcW w:w="1560" w:type="dxa"/>
            <w:vAlign w:val="bottom"/>
            <w:shd w:val="clear" w:color="auto" w:fill="CCDEF1"/>
          </w:tcPr>
          <w:p>
            <w:pPr>
              <w:spacing w:after="0"/>
              <w:rPr>
                <w:sz w:val="16"/>
                <w:szCs w:val="16"/>
                <w:color w:val="auto"/>
              </w:rPr>
            </w:pPr>
          </w:p>
        </w:tc>
        <w:tc>
          <w:tcPr>
            <w:tcW w:w="520" w:type="dxa"/>
            <w:vAlign w:val="bottom"/>
            <w:shd w:val="clear" w:color="auto" w:fill="CCDEF1"/>
          </w:tcPr>
          <w:p>
            <w:pPr>
              <w:spacing w:after="0"/>
              <w:rPr>
                <w:sz w:val="16"/>
                <w:szCs w:val="16"/>
                <w:color w:val="auto"/>
              </w:rPr>
            </w:pPr>
          </w:p>
        </w:tc>
        <w:tc>
          <w:tcPr>
            <w:tcW w:w="420" w:type="dxa"/>
            <w:vAlign w:val="bottom"/>
            <w:shd w:val="clear" w:color="auto" w:fill="CCDEF1"/>
          </w:tcPr>
          <w:p>
            <w:pPr>
              <w:spacing w:after="0"/>
              <w:rPr>
                <w:sz w:val="16"/>
                <w:szCs w:val="16"/>
                <w:color w:val="auto"/>
              </w:rPr>
            </w:pPr>
          </w:p>
        </w:tc>
        <w:tc>
          <w:tcPr>
            <w:tcW w:w="840" w:type="dxa"/>
            <w:vAlign w:val="bottom"/>
            <w:tcBorders>
              <w:right w:val="single" w:sz="8" w:color="CCDEF1"/>
            </w:tcBorders>
            <w:vMerge w:val="restart"/>
            <w:shd w:val="clear" w:color="auto" w:fill="CCDEF1"/>
          </w:tcPr>
          <w:p>
            <w:pPr>
              <w:jc w:val="center"/>
              <w:spacing w:after="0"/>
              <w:rPr>
                <w:sz w:val="20"/>
                <w:szCs w:val="20"/>
                <w:color w:val="auto"/>
              </w:rPr>
            </w:pPr>
            <w:r>
              <w:rPr>
                <w:rFonts w:ascii="Arial" w:cs="Arial" w:eastAsia="Arial" w:hAnsi="Arial"/>
                <w:sz w:val="14"/>
                <w:szCs w:val="14"/>
                <w:b w:val="1"/>
                <w:bCs w:val="1"/>
                <w:color w:val="005CB9"/>
              </w:rPr>
              <w:t>Chair</w:t>
            </w:r>
          </w:p>
        </w:tc>
        <w:tc>
          <w:tcPr>
            <w:tcW w:w="0" w:type="dxa"/>
            <w:vAlign w:val="bottom"/>
          </w:tcPr>
          <w:p>
            <w:pPr>
              <w:spacing w:after="0"/>
              <w:rPr>
                <w:sz w:val="1"/>
                <w:szCs w:val="1"/>
                <w:color w:val="auto"/>
              </w:rPr>
            </w:pPr>
          </w:p>
        </w:tc>
      </w:tr>
      <w:tr>
        <w:trPr>
          <w:trHeight w:val="162"/>
        </w:trPr>
        <w:tc>
          <w:tcPr>
            <w:tcW w:w="4320" w:type="dxa"/>
            <w:vAlign w:val="bottom"/>
            <w:shd w:val="clear" w:color="auto" w:fill="CCDEF1"/>
          </w:tcPr>
          <w:p>
            <w:pPr>
              <w:ind w:left="80"/>
              <w:spacing w:after="0"/>
              <w:rPr>
                <w:sz w:val="20"/>
                <w:szCs w:val="20"/>
                <w:color w:val="auto"/>
              </w:rPr>
            </w:pPr>
            <w:r>
              <w:rPr>
                <w:rFonts w:ascii="Arial" w:cs="Arial" w:eastAsia="Arial" w:hAnsi="Arial"/>
                <w:sz w:val="14"/>
                <w:szCs w:val="14"/>
                <w:color w:val="auto"/>
              </w:rPr>
              <w:t>Retired Chief Risk Officer, Bank of</w:t>
            </w:r>
          </w:p>
        </w:tc>
        <w:tc>
          <w:tcPr>
            <w:tcW w:w="560" w:type="dxa"/>
            <w:vAlign w:val="bottom"/>
            <w:shd w:val="clear" w:color="auto" w:fill="CCDEF1"/>
          </w:tcPr>
          <w:p>
            <w:pPr>
              <w:jc w:val="center"/>
              <w:ind w:left="8"/>
              <w:spacing w:after="0"/>
              <w:rPr>
                <w:sz w:val="20"/>
                <w:szCs w:val="20"/>
                <w:color w:val="auto"/>
              </w:rPr>
            </w:pPr>
            <w:r>
              <w:rPr>
                <w:rFonts w:ascii="Arial" w:cs="Arial" w:eastAsia="Arial" w:hAnsi="Arial"/>
                <w:sz w:val="14"/>
                <w:szCs w:val="14"/>
                <w:color w:val="auto"/>
              </w:rPr>
              <w:t>66</w:t>
            </w:r>
          </w:p>
        </w:tc>
        <w:tc>
          <w:tcPr>
            <w:tcW w:w="700" w:type="dxa"/>
            <w:vAlign w:val="bottom"/>
            <w:shd w:val="clear" w:color="auto" w:fill="CCDEF1"/>
          </w:tcPr>
          <w:p>
            <w:pPr>
              <w:jc w:val="center"/>
              <w:spacing w:after="0"/>
              <w:rPr>
                <w:sz w:val="20"/>
                <w:szCs w:val="20"/>
                <w:color w:val="auto"/>
              </w:rPr>
            </w:pPr>
            <w:r>
              <w:rPr>
                <w:rFonts w:ascii="Arial" w:cs="Arial" w:eastAsia="Arial" w:hAnsi="Arial"/>
                <w:sz w:val="14"/>
                <w:szCs w:val="14"/>
                <w:color w:val="auto"/>
              </w:rPr>
              <w:t>2015</w:t>
            </w:r>
          </w:p>
        </w:tc>
        <w:tc>
          <w:tcPr>
            <w:tcW w:w="940" w:type="dxa"/>
            <w:vAlign w:val="bottom"/>
            <w:tcBorders>
              <w:right w:val="single" w:sz="8" w:color="CCDEF1"/>
            </w:tcBorders>
            <w:shd w:val="clear" w:color="auto" w:fill="CCDEF1"/>
          </w:tcPr>
          <w:p>
            <w:pPr>
              <w:spacing w:after="0"/>
              <w:rPr>
                <w:sz w:val="14"/>
                <w:szCs w:val="14"/>
                <w:color w:val="auto"/>
              </w:rPr>
            </w:pPr>
          </w:p>
        </w:tc>
        <w:tc>
          <w:tcPr>
            <w:tcW w:w="780" w:type="dxa"/>
            <w:vAlign w:val="bottom"/>
            <w:shd w:val="clear" w:color="auto" w:fill="CCDEF1"/>
          </w:tcPr>
          <w:p>
            <w:pPr>
              <w:spacing w:after="0"/>
              <w:rPr>
                <w:sz w:val="14"/>
                <w:szCs w:val="14"/>
                <w:color w:val="auto"/>
              </w:rPr>
            </w:pPr>
          </w:p>
        </w:tc>
        <w:tc>
          <w:tcPr>
            <w:tcW w:w="1560" w:type="dxa"/>
            <w:vAlign w:val="bottom"/>
            <w:shd w:val="clear" w:color="auto" w:fill="CCDEF1"/>
          </w:tcPr>
          <w:p>
            <w:pPr>
              <w:spacing w:after="0"/>
              <w:rPr>
                <w:sz w:val="14"/>
                <w:szCs w:val="14"/>
                <w:color w:val="auto"/>
              </w:rPr>
            </w:pPr>
          </w:p>
        </w:tc>
        <w:tc>
          <w:tcPr>
            <w:tcW w:w="520" w:type="dxa"/>
            <w:vAlign w:val="bottom"/>
            <w:shd w:val="clear" w:color="auto" w:fill="CCDEF1"/>
          </w:tcPr>
          <w:p>
            <w:pPr>
              <w:spacing w:after="0"/>
              <w:rPr>
                <w:sz w:val="14"/>
                <w:szCs w:val="14"/>
                <w:color w:val="auto"/>
              </w:rPr>
            </w:pPr>
          </w:p>
        </w:tc>
        <w:tc>
          <w:tcPr>
            <w:tcW w:w="420" w:type="dxa"/>
            <w:vAlign w:val="bottom"/>
            <w:shd w:val="clear" w:color="auto" w:fill="CCDEF1"/>
          </w:tcPr>
          <w:p>
            <w:pPr>
              <w:spacing w:after="0"/>
              <w:rPr>
                <w:sz w:val="14"/>
                <w:szCs w:val="14"/>
                <w:color w:val="auto"/>
              </w:rPr>
            </w:pPr>
          </w:p>
        </w:tc>
        <w:tc>
          <w:tcPr>
            <w:tcW w:w="840" w:type="dxa"/>
            <w:vAlign w:val="bottom"/>
            <w:tcBorders>
              <w:right w:val="single" w:sz="8" w:color="CCDEF1"/>
            </w:tcBorders>
            <w:vMerge w:val="continue"/>
            <w:shd w:val="clear" w:color="auto" w:fill="CCDEF1"/>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CDEF1"/>
            </w:tcBorders>
            <w:shd w:val="clear" w:color="auto" w:fill="CCDEF1"/>
          </w:tcPr>
          <w:p>
            <w:pPr>
              <w:ind w:left="80"/>
              <w:spacing w:after="0"/>
              <w:rPr>
                <w:sz w:val="20"/>
                <w:szCs w:val="20"/>
                <w:color w:val="auto"/>
              </w:rPr>
            </w:pPr>
            <w:r>
              <w:rPr>
                <w:rFonts w:ascii="Arial" w:cs="Arial" w:eastAsia="Arial" w:hAnsi="Arial"/>
                <w:sz w:val="14"/>
                <w:szCs w:val="14"/>
                <w:color w:val="auto"/>
              </w:rPr>
              <w:t>America Corp.</w:t>
            </w:r>
          </w:p>
        </w:tc>
        <w:tc>
          <w:tcPr>
            <w:tcW w:w="560" w:type="dxa"/>
            <w:vAlign w:val="bottom"/>
            <w:tcBorders>
              <w:bottom w:val="single" w:sz="8" w:color="CCDEF1"/>
            </w:tcBorders>
            <w:shd w:val="clear" w:color="auto" w:fill="CCDEF1"/>
          </w:tcPr>
          <w:p>
            <w:pPr>
              <w:spacing w:after="0"/>
              <w:rPr>
                <w:sz w:val="19"/>
                <w:szCs w:val="19"/>
                <w:color w:val="auto"/>
              </w:rPr>
            </w:pPr>
          </w:p>
        </w:tc>
        <w:tc>
          <w:tcPr>
            <w:tcW w:w="700" w:type="dxa"/>
            <w:vAlign w:val="bottom"/>
            <w:tcBorders>
              <w:bottom w:val="single" w:sz="8" w:color="CCDEF1"/>
            </w:tcBorders>
            <w:shd w:val="clear" w:color="auto" w:fill="CCDEF1"/>
          </w:tcPr>
          <w:p>
            <w:pPr>
              <w:spacing w:after="0"/>
              <w:rPr>
                <w:sz w:val="19"/>
                <w:szCs w:val="19"/>
                <w:color w:val="auto"/>
              </w:rPr>
            </w:pPr>
          </w:p>
        </w:tc>
        <w:tc>
          <w:tcPr>
            <w:tcW w:w="940" w:type="dxa"/>
            <w:vAlign w:val="bottom"/>
            <w:tcBorders>
              <w:bottom w:val="single" w:sz="8" w:color="CCDEF1"/>
              <w:right w:val="single" w:sz="8" w:color="CCDEF1"/>
            </w:tcBorders>
            <w:shd w:val="clear" w:color="auto" w:fill="CCDEF1"/>
          </w:tcPr>
          <w:p>
            <w:pPr>
              <w:spacing w:after="0"/>
              <w:rPr>
                <w:sz w:val="19"/>
                <w:szCs w:val="19"/>
                <w:color w:val="auto"/>
              </w:rPr>
            </w:pPr>
          </w:p>
        </w:tc>
        <w:tc>
          <w:tcPr>
            <w:tcW w:w="780" w:type="dxa"/>
            <w:vAlign w:val="bottom"/>
            <w:tcBorders>
              <w:bottom w:val="single" w:sz="8" w:color="CCDEF1"/>
            </w:tcBorders>
            <w:shd w:val="clear" w:color="auto" w:fill="CCDEF1"/>
          </w:tcPr>
          <w:p>
            <w:pPr>
              <w:spacing w:after="0"/>
              <w:rPr>
                <w:sz w:val="19"/>
                <w:szCs w:val="19"/>
                <w:color w:val="auto"/>
              </w:rPr>
            </w:pPr>
          </w:p>
        </w:tc>
        <w:tc>
          <w:tcPr>
            <w:tcW w:w="1560" w:type="dxa"/>
            <w:vAlign w:val="bottom"/>
            <w:tcBorders>
              <w:bottom w:val="single" w:sz="8" w:color="CCDEF1"/>
            </w:tcBorders>
            <w:shd w:val="clear" w:color="auto" w:fill="CCDEF1"/>
          </w:tcPr>
          <w:p>
            <w:pPr>
              <w:spacing w:after="0"/>
              <w:rPr>
                <w:sz w:val="19"/>
                <w:szCs w:val="19"/>
                <w:color w:val="auto"/>
              </w:rPr>
            </w:pPr>
          </w:p>
        </w:tc>
        <w:tc>
          <w:tcPr>
            <w:tcW w:w="520" w:type="dxa"/>
            <w:vAlign w:val="bottom"/>
            <w:tcBorders>
              <w:bottom w:val="single" w:sz="8" w:color="CCDEF1"/>
            </w:tcBorders>
            <w:shd w:val="clear" w:color="auto" w:fill="CCDEF1"/>
          </w:tcPr>
          <w:p>
            <w:pPr>
              <w:spacing w:after="0"/>
              <w:rPr>
                <w:sz w:val="19"/>
                <w:szCs w:val="19"/>
                <w:color w:val="auto"/>
              </w:rPr>
            </w:pPr>
          </w:p>
        </w:tc>
        <w:tc>
          <w:tcPr>
            <w:tcW w:w="420" w:type="dxa"/>
            <w:vAlign w:val="bottom"/>
            <w:tcBorders>
              <w:bottom w:val="single" w:sz="8" w:color="CCDEF1"/>
            </w:tcBorders>
            <w:shd w:val="clear" w:color="auto" w:fill="CCDEF1"/>
          </w:tcPr>
          <w:p>
            <w:pPr>
              <w:spacing w:after="0"/>
              <w:rPr>
                <w:sz w:val="19"/>
                <w:szCs w:val="19"/>
                <w:color w:val="auto"/>
              </w:rPr>
            </w:pPr>
          </w:p>
        </w:tc>
        <w:tc>
          <w:tcPr>
            <w:tcW w:w="840" w:type="dxa"/>
            <w:vAlign w:val="bottom"/>
            <w:tcBorders>
              <w:bottom w:val="single" w:sz="8" w:color="CCDEF1"/>
              <w:right w:val="single" w:sz="8" w:color="CCDEF1"/>
            </w:tcBorders>
            <w:shd w:val="clear" w:color="auto" w:fill="CCDEF1"/>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320" w:type="dxa"/>
            <w:vAlign w:val="bottom"/>
            <w:tcBorders>
              <w:top w:val="single" w:sz="8" w:color="005CB9"/>
            </w:tcBorders>
          </w:tcPr>
          <w:p>
            <w:pPr>
              <w:ind w:left="80"/>
              <w:spacing w:after="0"/>
              <w:rPr>
                <w:sz w:val="20"/>
                <w:szCs w:val="20"/>
                <w:color w:val="auto"/>
              </w:rPr>
            </w:pPr>
            <w:r>
              <w:rPr>
                <w:rFonts w:ascii="Arial" w:cs="Arial" w:eastAsia="Arial" w:hAnsi="Arial"/>
                <w:sz w:val="14"/>
                <w:szCs w:val="14"/>
                <w:b w:val="1"/>
                <w:bCs w:val="1"/>
                <w:color w:val="auto"/>
              </w:rPr>
              <w:t>Irene M. Esteves</w:t>
            </w:r>
          </w:p>
        </w:tc>
        <w:tc>
          <w:tcPr>
            <w:tcW w:w="560" w:type="dxa"/>
            <w:vAlign w:val="bottom"/>
            <w:tcBorders>
              <w:top w:val="single" w:sz="8" w:color="005CB9"/>
            </w:tcBorders>
          </w:tcPr>
          <w:p>
            <w:pPr>
              <w:spacing w:after="0"/>
              <w:rPr>
                <w:sz w:val="16"/>
                <w:szCs w:val="16"/>
                <w:color w:val="auto"/>
              </w:rPr>
            </w:pPr>
          </w:p>
        </w:tc>
        <w:tc>
          <w:tcPr>
            <w:tcW w:w="700" w:type="dxa"/>
            <w:vAlign w:val="bottom"/>
            <w:tcBorders>
              <w:top w:val="single" w:sz="8" w:color="005CB9"/>
            </w:tcBorders>
          </w:tcPr>
          <w:p>
            <w:pPr>
              <w:spacing w:after="0"/>
              <w:rPr>
                <w:sz w:val="16"/>
                <w:szCs w:val="16"/>
                <w:color w:val="auto"/>
              </w:rPr>
            </w:pPr>
          </w:p>
        </w:tc>
        <w:tc>
          <w:tcPr>
            <w:tcW w:w="940" w:type="dxa"/>
            <w:vAlign w:val="bottom"/>
            <w:tcBorders>
              <w:top w:val="single" w:sz="8" w:color="005CB9"/>
            </w:tcBorders>
          </w:tcPr>
          <w:p>
            <w:pPr>
              <w:spacing w:after="0"/>
              <w:rPr>
                <w:sz w:val="16"/>
                <w:szCs w:val="16"/>
                <w:color w:val="auto"/>
              </w:rPr>
            </w:pPr>
          </w:p>
        </w:tc>
        <w:tc>
          <w:tcPr>
            <w:tcW w:w="780" w:type="dxa"/>
            <w:vAlign w:val="bottom"/>
            <w:tcBorders>
              <w:top w:val="single" w:sz="8" w:color="005CB9"/>
            </w:tcBorders>
          </w:tcPr>
          <w:p>
            <w:pPr>
              <w:spacing w:after="0"/>
              <w:rPr>
                <w:sz w:val="16"/>
                <w:szCs w:val="16"/>
                <w:color w:val="auto"/>
              </w:rPr>
            </w:pPr>
          </w:p>
        </w:tc>
        <w:tc>
          <w:tcPr>
            <w:tcW w:w="1560" w:type="dxa"/>
            <w:vAlign w:val="bottom"/>
            <w:tcBorders>
              <w:top w:val="single" w:sz="8" w:color="005CB9"/>
            </w:tcBorders>
          </w:tcPr>
          <w:p>
            <w:pPr>
              <w:spacing w:after="0"/>
              <w:rPr>
                <w:sz w:val="16"/>
                <w:szCs w:val="16"/>
                <w:color w:val="auto"/>
              </w:rPr>
            </w:pPr>
          </w:p>
        </w:tc>
        <w:tc>
          <w:tcPr>
            <w:tcW w:w="520" w:type="dxa"/>
            <w:vAlign w:val="bottom"/>
            <w:tcBorders>
              <w:top w:val="single" w:sz="8" w:color="005CB9"/>
            </w:tcBorders>
          </w:tcPr>
          <w:p>
            <w:pPr>
              <w:spacing w:after="0"/>
              <w:rPr>
                <w:sz w:val="16"/>
                <w:szCs w:val="16"/>
                <w:color w:val="auto"/>
              </w:rPr>
            </w:pPr>
          </w:p>
        </w:tc>
        <w:tc>
          <w:tcPr>
            <w:tcW w:w="420" w:type="dxa"/>
            <w:vAlign w:val="bottom"/>
            <w:tcBorders>
              <w:top w:val="single" w:sz="8" w:color="005CB9"/>
            </w:tcBorders>
          </w:tcPr>
          <w:p>
            <w:pPr>
              <w:spacing w:after="0"/>
              <w:rPr>
                <w:sz w:val="16"/>
                <w:szCs w:val="16"/>
                <w:color w:val="auto"/>
              </w:rPr>
            </w:pPr>
          </w:p>
        </w:tc>
        <w:tc>
          <w:tcPr>
            <w:tcW w:w="840" w:type="dxa"/>
            <w:vAlign w:val="bottom"/>
            <w:tcBorders>
              <w:top w:val="single" w:sz="8" w:color="005CB9"/>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ind w:left="80"/>
              <w:spacing w:after="0"/>
              <w:rPr>
                <w:sz w:val="20"/>
                <w:szCs w:val="20"/>
                <w:color w:val="auto"/>
              </w:rPr>
            </w:pPr>
            <w:r>
              <w:rPr>
                <w:rFonts w:ascii="Arial" w:cs="Arial" w:eastAsia="Arial" w:hAnsi="Arial"/>
                <w:sz w:val="14"/>
                <w:szCs w:val="14"/>
                <w:color w:val="auto"/>
              </w:rPr>
              <w:t>Former Executive Vice President,</w:t>
            </w:r>
          </w:p>
        </w:tc>
        <w:tc>
          <w:tcPr>
            <w:tcW w:w="560" w:type="dxa"/>
            <w:vAlign w:val="bottom"/>
            <w:vMerge w:val="restart"/>
          </w:tcPr>
          <w:p>
            <w:pPr>
              <w:jc w:val="center"/>
              <w:ind w:left="8"/>
              <w:spacing w:after="0"/>
              <w:rPr>
                <w:sz w:val="20"/>
                <w:szCs w:val="20"/>
                <w:color w:val="auto"/>
              </w:rPr>
            </w:pPr>
            <w:r>
              <w:rPr>
                <w:rFonts w:ascii="Arial" w:cs="Arial" w:eastAsia="Arial" w:hAnsi="Arial"/>
                <w:sz w:val="14"/>
                <w:szCs w:val="14"/>
                <w:color w:val="auto"/>
              </w:rPr>
              <w:t>63</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2021</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4320" w:type="dxa"/>
            <w:vAlign w:val="bottom"/>
            <w:vMerge w:val="restart"/>
          </w:tcPr>
          <w:p>
            <w:pPr>
              <w:ind w:left="80"/>
              <w:spacing w:after="0"/>
              <w:rPr>
                <w:sz w:val="20"/>
                <w:szCs w:val="20"/>
                <w:color w:val="auto"/>
              </w:rPr>
            </w:pPr>
            <w:r>
              <w:rPr>
                <w:rFonts w:ascii="Arial" w:cs="Arial" w:eastAsia="Arial" w:hAnsi="Arial"/>
                <w:sz w:val="14"/>
                <w:szCs w:val="14"/>
                <w:color w:val="auto"/>
              </w:rPr>
              <w:t>Chief Financial Officer,</w:t>
            </w:r>
          </w:p>
        </w:tc>
        <w:tc>
          <w:tcPr>
            <w:tcW w:w="5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43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4320" w:type="dxa"/>
            <w:vAlign w:val="bottom"/>
          </w:tcPr>
          <w:p>
            <w:pPr>
              <w:ind w:left="80"/>
              <w:spacing w:after="0"/>
              <w:rPr>
                <w:sz w:val="20"/>
                <w:szCs w:val="20"/>
                <w:color w:val="auto"/>
              </w:rPr>
            </w:pPr>
            <w:r>
              <w:rPr>
                <w:rFonts w:ascii="Arial" w:cs="Arial" w:eastAsia="Arial" w:hAnsi="Arial"/>
                <w:sz w:val="14"/>
                <w:szCs w:val="14"/>
                <w:color w:val="auto"/>
              </w:rPr>
              <w:t>Time Warner Cable</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320" w:type="dxa"/>
            <w:vAlign w:val="bottom"/>
            <w:tcBorders>
              <w:bottom w:val="single" w:sz="8" w:color="005CB9"/>
            </w:tcBorders>
          </w:tcPr>
          <w:p>
            <w:pPr>
              <w:spacing w:after="0"/>
              <w:rPr>
                <w:sz w:val="4"/>
                <w:szCs w:val="4"/>
                <w:color w:val="auto"/>
              </w:rPr>
            </w:pPr>
          </w:p>
        </w:tc>
        <w:tc>
          <w:tcPr>
            <w:tcW w:w="560" w:type="dxa"/>
            <w:vAlign w:val="bottom"/>
            <w:tcBorders>
              <w:bottom w:val="single" w:sz="8" w:color="005CB9"/>
            </w:tcBorders>
          </w:tcPr>
          <w:p>
            <w:pPr>
              <w:spacing w:after="0"/>
              <w:rPr>
                <w:sz w:val="4"/>
                <w:szCs w:val="4"/>
                <w:color w:val="auto"/>
              </w:rPr>
            </w:pPr>
          </w:p>
        </w:tc>
        <w:tc>
          <w:tcPr>
            <w:tcW w:w="700" w:type="dxa"/>
            <w:vAlign w:val="bottom"/>
            <w:tcBorders>
              <w:bottom w:val="single" w:sz="8" w:color="005CB9"/>
            </w:tcBorders>
          </w:tcPr>
          <w:p>
            <w:pPr>
              <w:spacing w:after="0"/>
              <w:rPr>
                <w:sz w:val="4"/>
                <w:szCs w:val="4"/>
                <w:color w:val="auto"/>
              </w:rPr>
            </w:pPr>
          </w:p>
        </w:tc>
        <w:tc>
          <w:tcPr>
            <w:tcW w:w="940" w:type="dxa"/>
            <w:vAlign w:val="bottom"/>
            <w:tcBorders>
              <w:bottom w:val="single" w:sz="8" w:color="005CB9"/>
            </w:tcBorders>
          </w:tcPr>
          <w:p>
            <w:pPr>
              <w:spacing w:after="0"/>
              <w:rPr>
                <w:sz w:val="4"/>
                <w:szCs w:val="4"/>
                <w:color w:val="auto"/>
              </w:rPr>
            </w:pPr>
          </w:p>
        </w:tc>
        <w:tc>
          <w:tcPr>
            <w:tcW w:w="780" w:type="dxa"/>
            <w:vAlign w:val="bottom"/>
            <w:tcBorders>
              <w:bottom w:val="single" w:sz="8" w:color="005CB9"/>
            </w:tcBorders>
          </w:tcPr>
          <w:p>
            <w:pPr>
              <w:spacing w:after="0"/>
              <w:rPr>
                <w:sz w:val="4"/>
                <w:szCs w:val="4"/>
                <w:color w:val="auto"/>
              </w:rPr>
            </w:pPr>
          </w:p>
        </w:tc>
        <w:tc>
          <w:tcPr>
            <w:tcW w:w="1560" w:type="dxa"/>
            <w:vAlign w:val="bottom"/>
            <w:tcBorders>
              <w:bottom w:val="single" w:sz="8" w:color="005CB9"/>
            </w:tcBorders>
          </w:tcPr>
          <w:p>
            <w:pPr>
              <w:spacing w:after="0"/>
              <w:rPr>
                <w:sz w:val="4"/>
                <w:szCs w:val="4"/>
                <w:color w:val="auto"/>
              </w:rPr>
            </w:pPr>
          </w:p>
        </w:tc>
        <w:tc>
          <w:tcPr>
            <w:tcW w:w="520" w:type="dxa"/>
            <w:vAlign w:val="bottom"/>
            <w:tcBorders>
              <w:bottom w:val="single" w:sz="8" w:color="005CB9"/>
            </w:tcBorders>
          </w:tcPr>
          <w:p>
            <w:pPr>
              <w:spacing w:after="0"/>
              <w:rPr>
                <w:sz w:val="4"/>
                <w:szCs w:val="4"/>
                <w:color w:val="auto"/>
              </w:rPr>
            </w:pPr>
          </w:p>
        </w:tc>
        <w:tc>
          <w:tcPr>
            <w:tcW w:w="420" w:type="dxa"/>
            <w:vAlign w:val="bottom"/>
            <w:tcBorders>
              <w:bottom w:val="single" w:sz="8" w:color="005CB9"/>
            </w:tcBorders>
          </w:tcPr>
          <w:p>
            <w:pPr>
              <w:spacing w:after="0"/>
              <w:rPr>
                <w:sz w:val="4"/>
                <w:szCs w:val="4"/>
                <w:color w:val="auto"/>
              </w:rPr>
            </w:pPr>
          </w:p>
        </w:tc>
        <w:tc>
          <w:tcPr>
            <w:tcW w:w="840" w:type="dxa"/>
            <w:vAlign w:val="bottom"/>
            <w:tcBorders>
              <w:bottom w:val="single" w:sz="8" w:color="005CB9"/>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320" w:type="dxa"/>
            <w:vAlign w:val="bottom"/>
            <w:shd w:val="clear" w:color="auto" w:fill="CCDEF1"/>
          </w:tcPr>
          <w:p>
            <w:pPr>
              <w:ind w:left="80"/>
              <w:spacing w:after="0"/>
              <w:rPr>
                <w:sz w:val="20"/>
                <w:szCs w:val="20"/>
                <w:color w:val="auto"/>
              </w:rPr>
            </w:pPr>
            <w:r>
              <w:rPr>
                <w:rFonts w:ascii="Arial" w:cs="Arial" w:eastAsia="Arial" w:hAnsi="Arial"/>
                <w:sz w:val="14"/>
                <w:szCs w:val="14"/>
                <w:b w:val="1"/>
                <w:bCs w:val="1"/>
                <w:color w:val="auto"/>
              </w:rPr>
              <w:t>L. Neil Hunn</w:t>
            </w:r>
          </w:p>
        </w:tc>
        <w:tc>
          <w:tcPr>
            <w:tcW w:w="560" w:type="dxa"/>
            <w:vAlign w:val="bottom"/>
            <w:shd w:val="clear" w:color="auto" w:fill="CCDEF1"/>
          </w:tcPr>
          <w:p>
            <w:pPr>
              <w:spacing w:after="0"/>
              <w:rPr>
                <w:sz w:val="16"/>
                <w:szCs w:val="16"/>
                <w:color w:val="auto"/>
              </w:rPr>
            </w:pPr>
          </w:p>
        </w:tc>
        <w:tc>
          <w:tcPr>
            <w:tcW w:w="700" w:type="dxa"/>
            <w:vAlign w:val="bottom"/>
            <w:shd w:val="clear" w:color="auto" w:fill="CCDEF1"/>
          </w:tcPr>
          <w:p>
            <w:pPr>
              <w:spacing w:after="0"/>
              <w:rPr>
                <w:sz w:val="16"/>
                <w:szCs w:val="16"/>
                <w:color w:val="auto"/>
              </w:rPr>
            </w:pPr>
          </w:p>
        </w:tc>
        <w:tc>
          <w:tcPr>
            <w:tcW w:w="940" w:type="dxa"/>
            <w:vAlign w:val="bottom"/>
            <w:tcBorders>
              <w:right w:val="single" w:sz="8" w:color="CCDEF1"/>
            </w:tcBorders>
            <w:shd w:val="clear" w:color="auto" w:fill="CCDEF1"/>
          </w:tcPr>
          <w:p>
            <w:pPr>
              <w:spacing w:after="0"/>
              <w:rPr>
                <w:sz w:val="16"/>
                <w:szCs w:val="16"/>
                <w:color w:val="auto"/>
              </w:rPr>
            </w:pPr>
          </w:p>
        </w:tc>
        <w:tc>
          <w:tcPr>
            <w:tcW w:w="780" w:type="dxa"/>
            <w:vAlign w:val="bottom"/>
            <w:shd w:val="clear" w:color="auto" w:fill="CCDEF1"/>
          </w:tcPr>
          <w:p>
            <w:pPr>
              <w:spacing w:after="0"/>
              <w:rPr>
                <w:sz w:val="16"/>
                <w:szCs w:val="16"/>
                <w:color w:val="auto"/>
              </w:rPr>
            </w:pPr>
          </w:p>
        </w:tc>
        <w:tc>
          <w:tcPr>
            <w:tcW w:w="1560" w:type="dxa"/>
            <w:vAlign w:val="bottom"/>
            <w:shd w:val="clear" w:color="auto" w:fill="CCDEF1"/>
          </w:tcPr>
          <w:p>
            <w:pPr>
              <w:spacing w:after="0"/>
              <w:rPr>
                <w:sz w:val="16"/>
                <w:szCs w:val="16"/>
                <w:color w:val="auto"/>
              </w:rPr>
            </w:pPr>
          </w:p>
        </w:tc>
        <w:tc>
          <w:tcPr>
            <w:tcW w:w="520" w:type="dxa"/>
            <w:vAlign w:val="bottom"/>
            <w:shd w:val="clear" w:color="auto" w:fill="CCDEF1"/>
          </w:tcPr>
          <w:p>
            <w:pPr>
              <w:spacing w:after="0"/>
              <w:rPr>
                <w:sz w:val="16"/>
                <w:szCs w:val="16"/>
                <w:color w:val="auto"/>
              </w:rPr>
            </w:pPr>
          </w:p>
        </w:tc>
        <w:tc>
          <w:tcPr>
            <w:tcW w:w="420" w:type="dxa"/>
            <w:vAlign w:val="bottom"/>
            <w:shd w:val="clear" w:color="auto" w:fill="CCDEF1"/>
          </w:tcPr>
          <w:p>
            <w:pPr>
              <w:spacing w:after="0"/>
              <w:rPr>
                <w:sz w:val="16"/>
                <w:szCs w:val="16"/>
                <w:color w:val="auto"/>
              </w:rPr>
            </w:pPr>
          </w:p>
        </w:tc>
        <w:tc>
          <w:tcPr>
            <w:tcW w:w="840" w:type="dxa"/>
            <w:vAlign w:val="bottom"/>
            <w:tcBorders>
              <w:right w:val="single" w:sz="8" w:color="CCDEF1"/>
            </w:tcBorders>
            <w:shd w:val="clear" w:color="auto" w:fill="CCDEF1"/>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shd w:val="clear" w:color="auto" w:fill="CCDEF1"/>
          </w:tcPr>
          <w:p>
            <w:pPr>
              <w:ind w:left="80"/>
              <w:spacing w:after="0"/>
              <w:rPr>
                <w:sz w:val="20"/>
                <w:szCs w:val="20"/>
                <w:color w:val="auto"/>
              </w:rPr>
            </w:pPr>
            <w:r>
              <w:rPr>
                <w:rFonts w:ascii="Arial" w:cs="Arial" w:eastAsia="Arial" w:hAnsi="Arial"/>
                <w:sz w:val="14"/>
                <w:szCs w:val="14"/>
                <w:color w:val="auto"/>
              </w:rPr>
              <w:t>President and Chief Executive Officer,</w:t>
            </w:r>
          </w:p>
        </w:tc>
        <w:tc>
          <w:tcPr>
            <w:tcW w:w="560" w:type="dxa"/>
            <w:vAlign w:val="bottom"/>
            <w:shd w:val="clear" w:color="auto" w:fill="CCDEF1"/>
          </w:tcPr>
          <w:p>
            <w:pPr>
              <w:jc w:val="center"/>
              <w:ind w:left="8"/>
              <w:spacing w:after="0"/>
              <w:rPr>
                <w:sz w:val="20"/>
                <w:szCs w:val="20"/>
                <w:color w:val="auto"/>
              </w:rPr>
            </w:pPr>
            <w:r>
              <w:rPr>
                <w:rFonts w:ascii="Arial" w:cs="Arial" w:eastAsia="Arial" w:hAnsi="Arial"/>
                <w:sz w:val="14"/>
                <w:szCs w:val="14"/>
                <w:color w:val="auto"/>
              </w:rPr>
              <w:t>50</w:t>
            </w:r>
          </w:p>
        </w:tc>
        <w:tc>
          <w:tcPr>
            <w:tcW w:w="700" w:type="dxa"/>
            <w:vAlign w:val="bottom"/>
            <w:shd w:val="clear" w:color="auto" w:fill="CCDEF1"/>
          </w:tcPr>
          <w:p>
            <w:pPr>
              <w:jc w:val="center"/>
              <w:spacing w:after="0"/>
              <w:rPr>
                <w:sz w:val="20"/>
                <w:szCs w:val="20"/>
                <w:color w:val="auto"/>
              </w:rPr>
            </w:pPr>
            <w:r>
              <w:rPr>
                <w:rFonts w:ascii="Arial" w:cs="Arial" w:eastAsia="Arial" w:hAnsi="Arial"/>
                <w:sz w:val="14"/>
                <w:szCs w:val="14"/>
                <w:color w:val="auto"/>
              </w:rPr>
              <w:t>2018</w:t>
            </w:r>
          </w:p>
        </w:tc>
        <w:tc>
          <w:tcPr>
            <w:tcW w:w="940" w:type="dxa"/>
            <w:vAlign w:val="bottom"/>
            <w:tcBorders>
              <w:right w:val="single" w:sz="8" w:color="CCDEF1"/>
            </w:tcBorders>
            <w:shd w:val="clear" w:color="auto" w:fill="CCDEF1"/>
          </w:tcPr>
          <w:p>
            <w:pPr>
              <w:spacing w:after="0"/>
              <w:rPr>
                <w:sz w:val="14"/>
                <w:szCs w:val="14"/>
                <w:color w:val="auto"/>
              </w:rPr>
            </w:pPr>
          </w:p>
        </w:tc>
        <w:tc>
          <w:tcPr>
            <w:tcW w:w="780" w:type="dxa"/>
            <w:vAlign w:val="bottom"/>
            <w:shd w:val="clear" w:color="auto" w:fill="CCDEF1"/>
          </w:tcPr>
          <w:p>
            <w:pPr>
              <w:spacing w:after="0"/>
              <w:rPr>
                <w:sz w:val="14"/>
                <w:szCs w:val="14"/>
                <w:color w:val="auto"/>
              </w:rPr>
            </w:pPr>
          </w:p>
        </w:tc>
        <w:tc>
          <w:tcPr>
            <w:tcW w:w="1560" w:type="dxa"/>
            <w:vAlign w:val="bottom"/>
            <w:shd w:val="clear" w:color="auto" w:fill="CCDEF1"/>
          </w:tcPr>
          <w:p>
            <w:pPr>
              <w:spacing w:after="0"/>
              <w:rPr>
                <w:sz w:val="14"/>
                <w:szCs w:val="14"/>
                <w:color w:val="auto"/>
              </w:rPr>
            </w:pPr>
          </w:p>
        </w:tc>
        <w:tc>
          <w:tcPr>
            <w:tcW w:w="520" w:type="dxa"/>
            <w:vAlign w:val="bottom"/>
            <w:shd w:val="clear" w:color="auto" w:fill="CCDEF1"/>
          </w:tcPr>
          <w:p>
            <w:pPr>
              <w:spacing w:after="0"/>
              <w:rPr>
                <w:sz w:val="14"/>
                <w:szCs w:val="14"/>
                <w:color w:val="auto"/>
              </w:rPr>
            </w:pPr>
          </w:p>
        </w:tc>
        <w:tc>
          <w:tcPr>
            <w:tcW w:w="420" w:type="dxa"/>
            <w:vAlign w:val="bottom"/>
            <w:shd w:val="clear" w:color="auto" w:fill="CCDEF1"/>
          </w:tcPr>
          <w:p>
            <w:pPr>
              <w:spacing w:after="0"/>
              <w:rPr>
                <w:sz w:val="14"/>
                <w:szCs w:val="14"/>
                <w:color w:val="auto"/>
              </w:rPr>
            </w:pPr>
          </w:p>
        </w:tc>
        <w:tc>
          <w:tcPr>
            <w:tcW w:w="840" w:type="dxa"/>
            <w:vAlign w:val="bottom"/>
            <w:tcBorders>
              <w:right w:val="single" w:sz="8" w:color="CCDEF1"/>
            </w:tcBorders>
            <w:shd w:val="clear" w:color="auto" w:fill="CCDEF1"/>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CDEF1"/>
            </w:tcBorders>
            <w:shd w:val="clear" w:color="auto" w:fill="CCDEF1"/>
          </w:tcPr>
          <w:p>
            <w:pPr>
              <w:ind w:left="80"/>
              <w:spacing w:after="0"/>
              <w:rPr>
                <w:sz w:val="20"/>
                <w:szCs w:val="20"/>
                <w:color w:val="auto"/>
              </w:rPr>
            </w:pPr>
            <w:r>
              <w:rPr>
                <w:rFonts w:ascii="Arial" w:cs="Arial" w:eastAsia="Arial" w:hAnsi="Arial"/>
                <w:sz w:val="14"/>
                <w:szCs w:val="14"/>
                <w:color w:val="auto"/>
              </w:rPr>
              <w:t>Roper Technologies, Inc.</w:t>
            </w:r>
          </w:p>
        </w:tc>
        <w:tc>
          <w:tcPr>
            <w:tcW w:w="560" w:type="dxa"/>
            <w:vAlign w:val="bottom"/>
            <w:tcBorders>
              <w:bottom w:val="single" w:sz="8" w:color="CCDEF1"/>
            </w:tcBorders>
            <w:shd w:val="clear" w:color="auto" w:fill="CCDEF1"/>
          </w:tcPr>
          <w:p>
            <w:pPr>
              <w:spacing w:after="0"/>
              <w:rPr>
                <w:sz w:val="19"/>
                <w:szCs w:val="19"/>
                <w:color w:val="auto"/>
              </w:rPr>
            </w:pPr>
          </w:p>
        </w:tc>
        <w:tc>
          <w:tcPr>
            <w:tcW w:w="700" w:type="dxa"/>
            <w:vAlign w:val="bottom"/>
            <w:tcBorders>
              <w:bottom w:val="single" w:sz="8" w:color="CCDEF1"/>
            </w:tcBorders>
            <w:shd w:val="clear" w:color="auto" w:fill="CCDEF1"/>
          </w:tcPr>
          <w:p>
            <w:pPr>
              <w:spacing w:after="0"/>
              <w:rPr>
                <w:sz w:val="19"/>
                <w:szCs w:val="19"/>
                <w:color w:val="auto"/>
              </w:rPr>
            </w:pPr>
          </w:p>
        </w:tc>
        <w:tc>
          <w:tcPr>
            <w:tcW w:w="940" w:type="dxa"/>
            <w:vAlign w:val="bottom"/>
            <w:tcBorders>
              <w:bottom w:val="single" w:sz="8" w:color="CCDEF1"/>
              <w:right w:val="single" w:sz="8" w:color="CCDEF1"/>
            </w:tcBorders>
            <w:shd w:val="clear" w:color="auto" w:fill="CCDEF1"/>
          </w:tcPr>
          <w:p>
            <w:pPr>
              <w:spacing w:after="0"/>
              <w:rPr>
                <w:sz w:val="19"/>
                <w:szCs w:val="19"/>
                <w:color w:val="auto"/>
              </w:rPr>
            </w:pPr>
          </w:p>
        </w:tc>
        <w:tc>
          <w:tcPr>
            <w:tcW w:w="780" w:type="dxa"/>
            <w:vAlign w:val="bottom"/>
            <w:tcBorders>
              <w:bottom w:val="single" w:sz="8" w:color="CCDEF1"/>
            </w:tcBorders>
            <w:shd w:val="clear" w:color="auto" w:fill="CCDEF1"/>
          </w:tcPr>
          <w:p>
            <w:pPr>
              <w:spacing w:after="0"/>
              <w:rPr>
                <w:sz w:val="19"/>
                <w:szCs w:val="19"/>
                <w:color w:val="auto"/>
              </w:rPr>
            </w:pPr>
          </w:p>
        </w:tc>
        <w:tc>
          <w:tcPr>
            <w:tcW w:w="1560" w:type="dxa"/>
            <w:vAlign w:val="bottom"/>
            <w:tcBorders>
              <w:bottom w:val="single" w:sz="8" w:color="CCDEF1"/>
            </w:tcBorders>
            <w:shd w:val="clear" w:color="auto" w:fill="CCDEF1"/>
          </w:tcPr>
          <w:p>
            <w:pPr>
              <w:spacing w:after="0"/>
              <w:rPr>
                <w:sz w:val="19"/>
                <w:szCs w:val="19"/>
                <w:color w:val="auto"/>
              </w:rPr>
            </w:pPr>
          </w:p>
        </w:tc>
        <w:tc>
          <w:tcPr>
            <w:tcW w:w="520" w:type="dxa"/>
            <w:vAlign w:val="bottom"/>
            <w:tcBorders>
              <w:bottom w:val="single" w:sz="8" w:color="CCDEF1"/>
            </w:tcBorders>
            <w:shd w:val="clear" w:color="auto" w:fill="CCDEF1"/>
          </w:tcPr>
          <w:p>
            <w:pPr>
              <w:spacing w:after="0"/>
              <w:rPr>
                <w:sz w:val="19"/>
                <w:szCs w:val="19"/>
                <w:color w:val="auto"/>
              </w:rPr>
            </w:pPr>
          </w:p>
        </w:tc>
        <w:tc>
          <w:tcPr>
            <w:tcW w:w="420" w:type="dxa"/>
            <w:vAlign w:val="bottom"/>
            <w:tcBorders>
              <w:bottom w:val="single" w:sz="8" w:color="CCDEF1"/>
            </w:tcBorders>
            <w:shd w:val="clear" w:color="auto" w:fill="CCDEF1"/>
          </w:tcPr>
          <w:p>
            <w:pPr>
              <w:spacing w:after="0"/>
              <w:rPr>
                <w:sz w:val="19"/>
                <w:szCs w:val="19"/>
                <w:color w:val="auto"/>
              </w:rPr>
            </w:pPr>
          </w:p>
        </w:tc>
        <w:tc>
          <w:tcPr>
            <w:tcW w:w="840" w:type="dxa"/>
            <w:vAlign w:val="bottom"/>
            <w:tcBorders>
              <w:bottom w:val="single" w:sz="8" w:color="CCDEF1"/>
              <w:right w:val="single" w:sz="8" w:color="CCDEF1"/>
            </w:tcBorders>
            <w:shd w:val="clear" w:color="auto" w:fill="CCDEF1"/>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320" w:type="dxa"/>
            <w:vAlign w:val="bottom"/>
            <w:tcBorders>
              <w:top w:val="single" w:sz="8" w:color="005CB9"/>
            </w:tcBorders>
          </w:tcPr>
          <w:p>
            <w:pPr>
              <w:ind w:left="80"/>
              <w:spacing w:after="0"/>
              <w:rPr>
                <w:sz w:val="20"/>
                <w:szCs w:val="20"/>
                <w:color w:val="auto"/>
              </w:rPr>
            </w:pPr>
            <w:r>
              <w:rPr>
                <w:rFonts w:ascii="Arial" w:cs="Arial" w:eastAsia="Arial" w:hAnsi="Arial"/>
                <w:sz w:val="14"/>
                <w:szCs w:val="14"/>
                <w:b w:val="1"/>
                <w:bCs w:val="1"/>
                <w:color w:val="auto"/>
              </w:rPr>
              <w:t>Robert D. Johnson</w:t>
            </w:r>
          </w:p>
        </w:tc>
        <w:tc>
          <w:tcPr>
            <w:tcW w:w="560" w:type="dxa"/>
            <w:vAlign w:val="bottom"/>
            <w:tcBorders>
              <w:top w:val="single" w:sz="8" w:color="005CB9"/>
            </w:tcBorders>
          </w:tcPr>
          <w:p>
            <w:pPr>
              <w:spacing w:after="0"/>
              <w:rPr>
                <w:sz w:val="16"/>
                <w:szCs w:val="16"/>
                <w:color w:val="auto"/>
              </w:rPr>
            </w:pPr>
          </w:p>
        </w:tc>
        <w:tc>
          <w:tcPr>
            <w:tcW w:w="700" w:type="dxa"/>
            <w:vAlign w:val="bottom"/>
            <w:tcBorders>
              <w:top w:val="single" w:sz="8" w:color="005CB9"/>
            </w:tcBorders>
          </w:tcPr>
          <w:p>
            <w:pPr>
              <w:spacing w:after="0"/>
              <w:rPr>
                <w:sz w:val="16"/>
                <w:szCs w:val="16"/>
                <w:color w:val="auto"/>
              </w:rPr>
            </w:pPr>
          </w:p>
        </w:tc>
        <w:tc>
          <w:tcPr>
            <w:tcW w:w="940" w:type="dxa"/>
            <w:vAlign w:val="bottom"/>
            <w:tcBorders>
              <w:top w:val="single" w:sz="8" w:color="005CB9"/>
            </w:tcBorders>
          </w:tcPr>
          <w:p>
            <w:pPr>
              <w:spacing w:after="0"/>
              <w:rPr>
                <w:sz w:val="16"/>
                <w:szCs w:val="16"/>
                <w:color w:val="auto"/>
              </w:rPr>
            </w:pPr>
          </w:p>
        </w:tc>
        <w:tc>
          <w:tcPr>
            <w:tcW w:w="780" w:type="dxa"/>
            <w:vAlign w:val="bottom"/>
            <w:tcBorders>
              <w:top w:val="single" w:sz="8" w:color="005CB9"/>
            </w:tcBorders>
          </w:tcPr>
          <w:p>
            <w:pPr>
              <w:spacing w:after="0"/>
              <w:rPr>
                <w:sz w:val="16"/>
                <w:szCs w:val="16"/>
                <w:color w:val="auto"/>
              </w:rPr>
            </w:pPr>
          </w:p>
        </w:tc>
        <w:tc>
          <w:tcPr>
            <w:tcW w:w="1560" w:type="dxa"/>
            <w:vAlign w:val="bottom"/>
            <w:tcBorders>
              <w:top w:val="single" w:sz="8" w:color="005CB9"/>
            </w:tcBorders>
          </w:tcPr>
          <w:p>
            <w:pPr>
              <w:spacing w:after="0"/>
              <w:rPr>
                <w:sz w:val="16"/>
                <w:szCs w:val="16"/>
                <w:color w:val="auto"/>
              </w:rPr>
            </w:pPr>
          </w:p>
        </w:tc>
        <w:tc>
          <w:tcPr>
            <w:tcW w:w="520" w:type="dxa"/>
            <w:vAlign w:val="bottom"/>
            <w:tcBorders>
              <w:top w:val="single" w:sz="8" w:color="005CB9"/>
            </w:tcBorders>
          </w:tcPr>
          <w:p>
            <w:pPr>
              <w:spacing w:after="0"/>
              <w:rPr>
                <w:sz w:val="16"/>
                <w:szCs w:val="16"/>
                <w:color w:val="auto"/>
              </w:rPr>
            </w:pPr>
          </w:p>
        </w:tc>
        <w:tc>
          <w:tcPr>
            <w:tcW w:w="420" w:type="dxa"/>
            <w:vAlign w:val="bottom"/>
            <w:tcBorders>
              <w:top w:val="single" w:sz="8" w:color="005CB9"/>
            </w:tcBorders>
          </w:tcPr>
          <w:p>
            <w:pPr>
              <w:spacing w:after="0"/>
              <w:rPr>
                <w:sz w:val="16"/>
                <w:szCs w:val="16"/>
                <w:color w:val="auto"/>
              </w:rPr>
            </w:pPr>
          </w:p>
        </w:tc>
        <w:tc>
          <w:tcPr>
            <w:tcW w:w="840" w:type="dxa"/>
            <w:vAlign w:val="bottom"/>
            <w:tcBorders>
              <w:top w:val="single" w:sz="8" w:color="005CB9"/>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ind w:left="80"/>
              <w:spacing w:after="0"/>
              <w:rPr>
                <w:sz w:val="20"/>
                <w:szCs w:val="20"/>
                <w:color w:val="auto"/>
              </w:rPr>
            </w:pPr>
            <w:r>
              <w:rPr>
                <w:rFonts w:ascii="Arial" w:cs="Arial" w:eastAsia="Arial" w:hAnsi="Arial"/>
                <w:sz w:val="14"/>
                <w:szCs w:val="14"/>
                <w:color w:val="auto"/>
              </w:rPr>
              <w:t>Chairman, Spirit AeroSystems Holdings,</w:t>
            </w:r>
          </w:p>
        </w:tc>
        <w:tc>
          <w:tcPr>
            <w:tcW w:w="560" w:type="dxa"/>
            <w:vAlign w:val="bottom"/>
          </w:tcPr>
          <w:p>
            <w:pPr>
              <w:jc w:val="center"/>
              <w:ind w:left="8"/>
              <w:spacing w:after="0"/>
              <w:rPr>
                <w:sz w:val="20"/>
                <w:szCs w:val="20"/>
                <w:color w:val="auto"/>
              </w:rPr>
            </w:pPr>
            <w:r>
              <w:rPr>
                <w:rFonts w:ascii="Arial" w:cs="Arial" w:eastAsia="Arial" w:hAnsi="Arial"/>
                <w:sz w:val="14"/>
                <w:szCs w:val="14"/>
                <w:color w:val="auto"/>
              </w:rPr>
              <w:t>74</w:t>
            </w:r>
          </w:p>
        </w:tc>
        <w:tc>
          <w:tcPr>
            <w:tcW w:w="700" w:type="dxa"/>
            <w:vAlign w:val="bottom"/>
          </w:tcPr>
          <w:p>
            <w:pPr>
              <w:jc w:val="center"/>
              <w:spacing w:after="0"/>
              <w:rPr>
                <w:sz w:val="20"/>
                <w:szCs w:val="20"/>
                <w:color w:val="auto"/>
              </w:rPr>
            </w:pPr>
            <w:r>
              <w:rPr>
                <w:rFonts w:ascii="Arial" w:cs="Arial" w:eastAsia="Arial" w:hAnsi="Arial"/>
                <w:sz w:val="14"/>
                <w:szCs w:val="14"/>
                <w:color w:val="auto"/>
              </w:rPr>
              <w:t>2005</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20" w:type="dxa"/>
            <w:vAlign w:val="bottom"/>
          </w:tcPr>
          <w:p>
            <w:pPr>
              <w:ind w:left="80"/>
              <w:spacing w:after="0"/>
              <w:rPr>
                <w:sz w:val="20"/>
                <w:szCs w:val="20"/>
                <w:color w:val="auto"/>
              </w:rPr>
            </w:pPr>
            <w:r>
              <w:rPr>
                <w:rFonts w:ascii="Arial" w:cs="Arial" w:eastAsia="Arial" w:hAnsi="Arial"/>
                <w:sz w:val="14"/>
                <w:szCs w:val="14"/>
                <w:color w:val="auto"/>
              </w:rPr>
              <w:t>Inc.</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320" w:type="dxa"/>
            <w:vAlign w:val="bottom"/>
            <w:tcBorders>
              <w:bottom w:val="single" w:sz="8" w:color="005CB9"/>
            </w:tcBorders>
          </w:tcPr>
          <w:p>
            <w:pPr>
              <w:spacing w:after="0"/>
              <w:rPr>
                <w:sz w:val="4"/>
                <w:szCs w:val="4"/>
                <w:color w:val="auto"/>
              </w:rPr>
            </w:pPr>
          </w:p>
        </w:tc>
        <w:tc>
          <w:tcPr>
            <w:tcW w:w="560" w:type="dxa"/>
            <w:vAlign w:val="bottom"/>
            <w:tcBorders>
              <w:bottom w:val="single" w:sz="8" w:color="005CB9"/>
            </w:tcBorders>
          </w:tcPr>
          <w:p>
            <w:pPr>
              <w:spacing w:after="0"/>
              <w:rPr>
                <w:sz w:val="4"/>
                <w:szCs w:val="4"/>
                <w:color w:val="auto"/>
              </w:rPr>
            </w:pPr>
          </w:p>
        </w:tc>
        <w:tc>
          <w:tcPr>
            <w:tcW w:w="700" w:type="dxa"/>
            <w:vAlign w:val="bottom"/>
            <w:tcBorders>
              <w:bottom w:val="single" w:sz="8" w:color="005CB9"/>
            </w:tcBorders>
          </w:tcPr>
          <w:p>
            <w:pPr>
              <w:spacing w:after="0"/>
              <w:rPr>
                <w:sz w:val="4"/>
                <w:szCs w:val="4"/>
                <w:color w:val="auto"/>
              </w:rPr>
            </w:pPr>
          </w:p>
        </w:tc>
        <w:tc>
          <w:tcPr>
            <w:tcW w:w="940" w:type="dxa"/>
            <w:vAlign w:val="bottom"/>
            <w:tcBorders>
              <w:bottom w:val="single" w:sz="8" w:color="005CB9"/>
            </w:tcBorders>
          </w:tcPr>
          <w:p>
            <w:pPr>
              <w:spacing w:after="0"/>
              <w:rPr>
                <w:sz w:val="4"/>
                <w:szCs w:val="4"/>
                <w:color w:val="auto"/>
              </w:rPr>
            </w:pPr>
          </w:p>
        </w:tc>
        <w:tc>
          <w:tcPr>
            <w:tcW w:w="780" w:type="dxa"/>
            <w:vAlign w:val="bottom"/>
            <w:tcBorders>
              <w:bottom w:val="single" w:sz="8" w:color="005CB9"/>
            </w:tcBorders>
          </w:tcPr>
          <w:p>
            <w:pPr>
              <w:spacing w:after="0"/>
              <w:rPr>
                <w:sz w:val="4"/>
                <w:szCs w:val="4"/>
                <w:color w:val="auto"/>
              </w:rPr>
            </w:pPr>
          </w:p>
        </w:tc>
        <w:tc>
          <w:tcPr>
            <w:tcW w:w="1560" w:type="dxa"/>
            <w:vAlign w:val="bottom"/>
            <w:tcBorders>
              <w:bottom w:val="single" w:sz="8" w:color="005CB9"/>
            </w:tcBorders>
          </w:tcPr>
          <w:p>
            <w:pPr>
              <w:spacing w:after="0"/>
              <w:rPr>
                <w:sz w:val="4"/>
                <w:szCs w:val="4"/>
                <w:color w:val="auto"/>
              </w:rPr>
            </w:pPr>
          </w:p>
        </w:tc>
        <w:tc>
          <w:tcPr>
            <w:tcW w:w="520" w:type="dxa"/>
            <w:vAlign w:val="bottom"/>
            <w:tcBorders>
              <w:bottom w:val="single" w:sz="8" w:color="005CB9"/>
            </w:tcBorders>
          </w:tcPr>
          <w:p>
            <w:pPr>
              <w:spacing w:after="0"/>
              <w:rPr>
                <w:sz w:val="4"/>
                <w:szCs w:val="4"/>
                <w:color w:val="auto"/>
              </w:rPr>
            </w:pPr>
          </w:p>
        </w:tc>
        <w:tc>
          <w:tcPr>
            <w:tcW w:w="420" w:type="dxa"/>
            <w:vAlign w:val="bottom"/>
            <w:tcBorders>
              <w:bottom w:val="single" w:sz="8" w:color="005CB9"/>
            </w:tcBorders>
          </w:tcPr>
          <w:p>
            <w:pPr>
              <w:spacing w:after="0"/>
              <w:rPr>
                <w:sz w:val="4"/>
                <w:szCs w:val="4"/>
                <w:color w:val="auto"/>
              </w:rPr>
            </w:pPr>
          </w:p>
        </w:tc>
        <w:tc>
          <w:tcPr>
            <w:tcW w:w="840" w:type="dxa"/>
            <w:vAlign w:val="bottom"/>
            <w:tcBorders>
              <w:bottom w:val="single" w:sz="8" w:color="005CB9"/>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320" w:type="dxa"/>
            <w:vAlign w:val="bottom"/>
            <w:shd w:val="clear" w:color="auto" w:fill="CCDEF1"/>
          </w:tcPr>
          <w:p>
            <w:pPr>
              <w:ind w:left="80"/>
              <w:spacing w:after="0"/>
              <w:rPr>
                <w:sz w:val="20"/>
                <w:szCs w:val="20"/>
                <w:color w:val="auto"/>
              </w:rPr>
            </w:pPr>
            <w:r>
              <w:rPr>
                <w:rFonts w:ascii="Arial" w:cs="Arial" w:eastAsia="Arial" w:hAnsi="Arial"/>
                <w:sz w:val="14"/>
                <w:szCs w:val="14"/>
                <w:b w:val="1"/>
                <w:bCs w:val="1"/>
                <w:color w:val="auto"/>
              </w:rPr>
              <w:t>Thomas P. Joyce, Jr.</w:t>
            </w:r>
          </w:p>
        </w:tc>
        <w:tc>
          <w:tcPr>
            <w:tcW w:w="560" w:type="dxa"/>
            <w:vAlign w:val="bottom"/>
            <w:shd w:val="clear" w:color="auto" w:fill="CCDEF1"/>
          </w:tcPr>
          <w:p>
            <w:pPr>
              <w:spacing w:after="0"/>
              <w:rPr>
                <w:sz w:val="16"/>
                <w:szCs w:val="16"/>
                <w:color w:val="auto"/>
              </w:rPr>
            </w:pPr>
          </w:p>
        </w:tc>
        <w:tc>
          <w:tcPr>
            <w:tcW w:w="700" w:type="dxa"/>
            <w:vAlign w:val="bottom"/>
            <w:shd w:val="clear" w:color="auto" w:fill="CCDEF1"/>
          </w:tcPr>
          <w:p>
            <w:pPr>
              <w:spacing w:after="0"/>
              <w:rPr>
                <w:sz w:val="16"/>
                <w:szCs w:val="16"/>
                <w:color w:val="auto"/>
              </w:rPr>
            </w:pPr>
          </w:p>
        </w:tc>
        <w:tc>
          <w:tcPr>
            <w:tcW w:w="940" w:type="dxa"/>
            <w:vAlign w:val="bottom"/>
            <w:tcBorders>
              <w:right w:val="single" w:sz="8" w:color="CCDEF1"/>
            </w:tcBorders>
            <w:shd w:val="clear" w:color="auto" w:fill="CCDEF1"/>
          </w:tcPr>
          <w:p>
            <w:pPr>
              <w:spacing w:after="0"/>
              <w:rPr>
                <w:sz w:val="16"/>
                <w:szCs w:val="16"/>
                <w:color w:val="auto"/>
              </w:rPr>
            </w:pPr>
          </w:p>
        </w:tc>
        <w:tc>
          <w:tcPr>
            <w:tcW w:w="780" w:type="dxa"/>
            <w:vAlign w:val="bottom"/>
            <w:shd w:val="clear" w:color="auto" w:fill="CCDEF1"/>
          </w:tcPr>
          <w:p>
            <w:pPr>
              <w:spacing w:after="0"/>
              <w:rPr>
                <w:sz w:val="16"/>
                <w:szCs w:val="16"/>
                <w:color w:val="auto"/>
              </w:rPr>
            </w:pPr>
          </w:p>
        </w:tc>
        <w:tc>
          <w:tcPr>
            <w:tcW w:w="1560" w:type="dxa"/>
            <w:vAlign w:val="bottom"/>
            <w:shd w:val="clear" w:color="auto" w:fill="CCDEF1"/>
          </w:tcPr>
          <w:p>
            <w:pPr>
              <w:spacing w:after="0"/>
              <w:rPr>
                <w:sz w:val="16"/>
                <w:szCs w:val="16"/>
                <w:color w:val="auto"/>
              </w:rPr>
            </w:pPr>
          </w:p>
        </w:tc>
        <w:tc>
          <w:tcPr>
            <w:tcW w:w="520" w:type="dxa"/>
            <w:vAlign w:val="bottom"/>
            <w:shd w:val="clear" w:color="auto" w:fill="CCDEF1"/>
          </w:tcPr>
          <w:p>
            <w:pPr>
              <w:spacing w:after="0"/>
              <w:rPr>
                <w:sz w:val="16"/>
                <w:szCs w:val="16"/>
                <w:color w:val="auto"/>
              </w:rPr>
            </w:pPr>
          </w:p>
        </w:tc>
        <w:tc>
          <w:tcPr>
            <w:tcW w:w="420" w:type="dxa"/>
            <w:vAlign w:val="bottom"/>
            <w:shd w:val="clear" w:color="auto" w:fill="CCDEF1"/>
          </w:tcPr>
          <w:p>
            <w:pPr>
              <w:spacing w:after="0"/>
              <w:rPr>
                <w:sz w:val="16"/>
                <w:szCs w:val="16"/>
                <w:color w:val="auto"/>
              </w:rPr>
            </w:pPr>
          </w:p>
        </w:tc>
        <w:tc>
          <w:tcPr>
            <w:tcW w:w="840" w:type="dxa"/>
            <w:vAlign w:val="bottom"/>
            <w:tcBorders>
              <w:right w:val="single" w:sz="8" w:color="CCDEF1"/>
            </w:tcBorders>
            <w:shd w:val="clear" w:color="auto" w:fill="CCDEF1"/>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shd w:val="clear" w:color="auto" w:fill="CCDEF1"/>
          </w:tcPr>
          <w:p>
            <w:pPr>
              <w:ind w:left="80"/>
              <w:spacing w:after="0"/>
              <w:rPr>
                <w:sz w:val="20"/>
                <w:szCs w:val="20"/>
                <w:color w:val="auto"/>
              </w:rPr>
            </w:pPr>
            <w:r>
              <w:rPr>
                <w:rFonts w:ascii="Arial" w:cs="Arial" w:eastAsia="Arial" w:hAnsi="Arial"/>
                <w:sz w:val="14"/>
                <w:szCs w:val="14"/>
                <w:color w:val="auto"/>
              </w:rPr>
              <w:t>Retired President and Chief Executive</w:t>
            </w:r>
          </w:p>
        </w:tc>
        <w:tc>
          <w:tcPr>
            <w:tcW w:w="560" w:type="dxa"/>
            <w:vAlign w:val="bottom"/>
            <w:shd w:val="clear" w:color="auto" w:fill="CCDEF1"/>
          </w:tcPr>
          <w:p>
            <w:pPr>
              <w:jc w:val="center"/>
              <w:ind w:left="8"/>
              <w:spacing w:after="0"/>
              <w:rPr>
                <w:sz w:val="20"/>
                <w:szCs w:val="20"/>
                <w:color w:val="auto"/>
              </w:rPr>
            </w:pPr>
            <w:r>
              <w:rPr>
                <w:rFonts w:ascii="Arial" w:cs="Arial" w:eastAsia="Arial" w:hAnsi="Arial"/>
                <w:sz w:val="14"/>
                <w:szCs w:val="14"/>
                <w:color w:val="auto"/>
              </w:rPr>
              <w:t>61</w:t>
            </w:r>
          </w:p>
        </w:tc>
        <w:tc>
          <w:tcPr>
            <w:tcW w:w="700" w:type="dxa"/>
            <w:vAlign w:val="bottom"/>
            <w:shd w:val="clear" w:color="auto" w:fill="CCDEF1"/>
          </w:tcPr>
          <w:p>
            <w:pPr>
              <w:jc w:val="center"/>
              <w:spacing w:after="0"/>
              <w:rPr>
                <w:sz w:val="20"/>
                <w:szCs w:val="20"/>
                <w:color w:val="auto"/>
              </w:rPr>
            </w:pPr>
            <w:r>
              <w:rPr>
                <w:rFonts w:ascii="Arial" w:cs="Arial" w:eastAsia="Arial" w:hAnsi="Arial"/>
                <w:sz w:val="14"/>
                <w:szCs w:val="14"/>
                <w:color w:val="auto"/>
              </w:rPr>
              <w:t>2021</w:t>
            </w:r>
          </w:p>
        </w:tc>
        <w:tc>
          <w:tcPr>
            <w:tcW w:w="940" w:type="dxa"/>
            <w:vAlign w:val="bottom"/>
            <w:tcBorders>
              <w:right w:val="single" w:sz="8" w:color="CCDEF1"/>
            </w:tcBorders>
            <w:shd w:val="clear" w:color="auto" w:fill="CCDEF1"/>
          </w:tcPr>
          <w:p>
            <w:pPr>
              <w:spacing w:after="0"/>
              <w:rPr>
                <w:sz w:val="14"/>
                <w:szCs w:val="14"/>
                <w:color w:val="auto"/>
              </w:rPr>
            </w:pPr>
          </w:p>
        </w:tc>
        <w:tc>
          <w:tcPr>
            <w:tcW w:w="780" w:type="dxa"/>
            <w:vAlign w:val="bottom"/>
            <w:shd w:val="clear" w:color="auto" w:fill="CCDEF1"/>
          </w:tcPr>
          <w:p>
            <w:pPr>
              <w:spacing w:after="0"/>
              <w:rPr>
                <w:sz w:val="14"/>
                <w:szCs w:val="14"/>
                <w:color w:val="auto"/>
              </w:rPr>
            </w:pPr>
          </w:p>
        </w:tc>
        <w:tc>
          <w:tcPr>
            <w:tcW w:w="1560" w:type="dxa"/>
            <w:vAlign w:val="bottom"/>
            <w:shd w:val="clear" w:color="auto" w:fill="CCDEF1"/>
          </w:tcPr>
          <w:p>
            <w:pPr>
              <w:spacing w:after="0"/>
              <w:rPr>
                <w:sz w:val="14"/>
                <w:szCs w:val="14"/>
                <w:color w:val="auto"/>
              </w:rPr>
            </w:pPr>
          </w:p>
        </w:tc>
        <w:tc>
          <w:tcPr>
            <w:tcW w:w="520" w:type="dxa"/>
            <w:vAlign w:val="bottom"/>
            <w:shd w:val="clear" w:color="auto" w:fill="CCDEF1"/>
          </w:tcPr>
          <w:p>
            <w:pPr>
              <w:spacing w:after="0"/>
              <w:rPr>
                <w:sz w:val="14"/>
                <w:szCs w:val="14"/>
                <w:color w:val="auto"/>
              </w:rPr>
            </w:pPr>
          </w:p>
        </w:tc>
        <w:tc>
          <w:tcPr>
            <w:tcW w:w="420" w:type="dxa"/>
            <w:vAlign w:val="bottom"/>
            <w:shd w:val="clear" w:color="auto" w:fill="CCDEF1"/>
          </w:tcPr>
          <w:p>
            <w:pPr>
              <w:spacing w:after="0"/>
              <w:rPr>
                <w:sz w:val="14"/>
                <w:szCs w:val="14"/>
                <w:color w:val="auto"/>
              </w:rPr>
            </w:pPr>
          </w:p>
        </w:tc>
        <w:tc>
          <w:tcPr>
            <w:tcW w:w="840" w:type="dxa"/>
            <w:vAlign w:val="bottom"/>
            <w:tcBorders>
              <w:right w:val="single" w:sz="8" w:color="CCDEF1"/>
            </w:tcBorders>
            <w:shd w:val="clear" w:color="auto" w:fill="CCDEF1"/>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CDEF1"/>
            </w:tcBorders>
            <w:shd w:val="clear" w:color="auto" w:fill="CCDEF1"/>
          </w:tcPr>
          <w:p>
            <w:pPr>
              <w:ind w:left="80"/>
              <w:spacing w:after="0"/>
              <w:rPr>
                <w:sz w:val="20"/>
                <w:szCs w:val="20"/>
                <w:color w:val="auto"/>
              </w:rPr>
            </w:pPr>
            <w:r>
              <w:rPr>
                <w:rFonts w:ascii="Arial" w:cs="Arial" w:eastAsia="Arial" w:hAnsi="Arial"/>
                <w:sz w:val="14"/>
                <w:szCs w:val="14"/>
                <w:color w:val="auto"/>
              </w:rPr>
              <w:t>Officer, Danaher Corporation</w:t>
            </w:r>
          </w:p>
        </w:tc>
        <w:tc>
          <w:tcPr>
            <w:tcW w:w="560" w:type="dxa"/>
            <w:vAlign w:val="bottom"/>
            <w:tcBorders>
              <w:bottom w:val="single" w:sz="8" w:color="CCDEF1"/>
            </w:tcBorders>
            <w:shd w:val="clear" w:color="auto" w:fill="CCDEF1"/>
          </w:tcPr>
          <w:p>
            <w:pPr>
              <w:spacing w:after="0"/>
              <w:rPr>
                <w:sz w:val="19"/>
                <w:szCs w:val="19"/>
                <w:color w:val="auto"/>
              </w:rPr>
            </w:pPr>
          </w:p>
        </w:tc>
        <w:tc>
          <w:tcPr>
            <w:tcW w:w="700" w:type="dxa"/>
            <w:vAlign w:val="bottom"/>
            <w:tcBorders>
              <w:bottom w:val="single" w:sz="8" w:color="CCDEF1"/>
            </w:tcBorders>
            <w:shd w:val="clear" w:color="auto" w:fill="CCDEF1"/>
          </w:tcPr>
          <w:p>
            <w:pPr>
              <w:spacing w:after="0"/>
              <w:rPr>
                <w:sz w:val="19"/>
                <w:szCs w:val="19"/>
                <w:color w:val="auto"/>
              </w:rPr>
            </w:pPr>
          </w:p>
        </w:tc>
        <w:tc>
          <w:tcPr>
            <w:tcW w:w="940" w:type="dxa"/>
            <w:vAlign w:val="bottom"/>
            <w:tcBorders>
              <w:bottom w:val="single" w:sz="8" w:color="CCDEF1"/>
              <w:right w:val="single" w:sz="8" w:color="CCDEF1"/>
            </w:tcBorders>
            <w:shd w:val="clear" w:color="auto" w:fill="CCDEF1"/>
          </w:tcPr>
          <w:p>
            <w:pPr>
              <w:spacing w:after="0"/>
              <w:rPr>
                <w:sz w:val="19"/>
                <w:szCs w:val="19"/>
                <w:color w:val="auto"/>
              </w:rPr>
            </w:pPr>
          </w:p>
        </w:tc>
        <w:tc>
          <w:tcPr>
            <w:tcW w:w="780" w:type="dxa"/>
            <w:vAlign w:val="bottom"/>
            <w:tcBorders>
              <w:bottom w:val="single" w:sz="8" w:color="CCDEF1"/>
            </w:tcBorders>
            <w:shd w:val="clear" w:color="auto" w:fill="CCDEF1"/>
          </w:tcPr>
          <w:p>
            <w:pPr>
              <w:spacing w:after="0"/>
              <w:rPr>
                <w:sz w:val="19"/>
                <w:szCs w:val="19"/>
                <w:color w:val="auto"/>
              </w:rPr>
            </w:pPr>
          </w:p>
        </w:tc>
        <w:tc>
          <w:tcPr>
            <w:tcW w:w="1560" w:type="dxa"/>
            <w:vAlign w:val="bottom"/>
            <w:tcBorders>
              <w:bottom w:val="single" w:sz="8" w:color="CCDEF1"/>
            </w:tcBorders>
            <w:shd w:val="clear" w:color="auto" w:fill="CCDEF1"/>
          </w:tcPr>
          <w:p>
            <w:pPr>
              <w:spacing w:after="0"/>
              <w:rPr>
                <w:sz w:val="19"/>
                <w:szCs w:val="19"/>
                <w:color w:val="auto"/>
              </w:rPr>
            </w:pPr>
          </w:p>
        </w:tc>
        <w:tc>
          <w:tcPr>
            <w:tcW w:w="520" w:type="dxa"/>
            <w:vAlign w:val="bottom"/>
            <w:tcBorders>
              <w:bottom w:val="single" w:sz="8" w:color="CCDEF1"/>
            </w:tcBorders>
            <w:shd w:val="clear" w:color="auto" w:fill="CCDEF1"/>
          </w:tcPr>
          <w:p>
            <w:pPr>
              <w:spacing w:after="0"/>
              <w:rPr>
                <w:sz w:val="19"/>
                <w:szCs w:val="19"/>
                <w:color w:val="auto"/>
              </w:rPr>
            </w:pPr>
          </w:p>
        </w:tc>
        <w:tc>
          <w:tcPr>
            <w:tcW w:w="420" w:type="dxa"/>
            <w:vAlign w:val="bottom"/>
            <w:tcBorders>
              <w:bottom w:val="single" w:sz="8" w:color="CCDEF1"/>
            </w:tcBorders>
            <w:shd w:val="clear" w:color="auto" w:fill="CCDEF1"/>
          </w:tcPr>
          <w:p>
            <w:pPr>
              <w:spacing w:after="0"/>
              <w:rPr>
                <w:sz w:val="19"/>
                <w:szCs w:val="19"/>
                <w:color w:val="auto"/>
              </w:rPr>
            </w:pPr>
          </w:p>
        </w:tc>
        <w:tc>
          <w:tcPr>
            <w:tcW w:w="840" w:type="dxa"/>
            <w:vAlign w:val="bottom"/>
            <w:tcBorders>
              <w:bottom w:val="single" w:sz="8" w:color="CCDEF1"/>
              <w:right w:val="single" w:sz="8" w:color="CCDEF1"/>
            </w:tcBorders>
            <w:shd w:val="clear" w:color="auto" w:fill="CCDEF1"/>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320" w:type="dxa"/>
            <w:vAlign w:val="bottom"/>
            <w:tcBorders>
              <w:top w:val="single" w:sz="8" w:color="005CB9"/>
            </w:tcBorders>
          </w:tcPr>
          <w:p>
            <w:pPr>
              <w:ind w:left="80"/>
              <w:spacing w:after="0"/>
              <w:rPr>
                <w:sz w:val="20"/>
                <w:szCs w:val="20"/>
                <w:color w:val="auto"/>
              </w:rPr>
            </w:pPr>
            <w:r>
              <w:rPr>
                <w:rFonts w:ascii="Arial" w:cs="Arial" w:eastAsia="Arial" w:hAnsi="Arial"/>
                <w:sz w:val="14"/>
                <w:szCs w:val="14"/>
                <w:b w:val="1"/>
                <w:bCs w:val="1"/>
                <w:color w:val="auto"/>
              </w:rPr>
              <w:t>Laura G. Thatcher</w:t>
            </w:r>
          </w:p>
        </w:tc>
        <w:tc>
          <w:tcPr>
            <w:tcW w:w="560" w:type="dxa"/>
            <w:vAlign w:val="bottom"/>
            <w:tcBorders>
              <w:top w:val="single" w:sz="8" w:color="005CB9"/>
            </w:tcBorders>
          </w:tcPr>
          <w:p>
            <w:pPr>
              <w:spacing w:after="0"/>
              <w:rPr>
                <w:sz w:val="16"/>
                <w:szCs w:val="16"/>
                <w:color w:val="auto"/>
              </w:rPr>
            </w:pPr>
          </w:p>
        </w:tc>
        <w:tc>
          <w:tcPr>
            <w:tcW w:w="700" w:type="dxa"/>
            <w:vAlign w:val="bottom"/>
            <w:tcBorders>
              <w:top w:val="single" w:sz="8" w:color="005CB9"/>
            </w:tcBorders>
          </w:tcPr>
          <w:p>
            <w:pPr>
              <w:spacing w:after="0"/>
              <w:rPr>
                <w:sz w:val="16"/>
                <w:szCs w:val="16"/>
                <w:color w:val="auto"/>
              </w:rPr>
            </w:pPr>
          </w:p>
        </w:tc>
        <w:tc>
          <w:tcPr>
            <w:tcW w:w="940" w:type="dxa"/>
            <w:vAlign w:val="bottom"/>
            <w:tcBorders>
              <w:top w:val="single" w:sz="8" w:color="005CB9"/>
            </w:tcBorders>
          </w:tcPr>
          <w:p>
            <w:pPr>
              <w:spacing w:after="0"/>
              <w:rPr>
                <w:sz w:val="16"/>
                <w:szCs w:val="16"/>
                <w:color w:val="auto"/>
              </w:rPr>
            </w:pPr>
          </w:p>
        </w:tc>
        <w:tc>
          <w:tcPr>
            <w:tcW w:w="780" w:type="dxa"/>
            <w:vAlign w:val="bottom"/>
            <w:tcBorders>
              <w:top w:val="single" w:sz="8" w:color="005CB9"/>
            </w:tcBorders>
          </w:tcPr>
          <w:p>
            <w:pPr>
              <w:spacing w:after="0"/>
              <w:rPr>
                <w:sz w:val="16"/>
                <w:szCs w:val="16"/>
                <w:color w:val="auto"/>
              </w:rPr>
            </w:pPr>
          </w:p>
        </w:tc>
        <w:tc>
          <w:tcPr>
            <w:tcW w:w="1560" w:type="dxa"/>
            <w:vAlign w:val="bottom"/>
            <w:tcBorders>
              <w:top w:val="single" w:sz="8" w:color="005CB9"/>
            </w:tcBorders>
          </w:tcPr>
          <w:p>
            <w:pPr>
              <w:spacing w:after="0"/>
              <w:rPr>
                <w:sz w:val="16"/>
                <w:szCs w:val="16"/>
                <w:color w:val="auto"/>
              </w:rPr>
            </w:pPr>
          </w:p>
        </w:tc>
        <w:tc>
          <w:tcPr>
            <w:tcW w:w="520" w:type="dxa"/>
            <w:vAlign w:val="bottom"/>
            <w:tcBorders>
              <w:top w:val="single" w:sz="8" w:color="005CB9"/>
            </w:tcBorders>
          </w:tcPr>
          <w:p>
            <w:pPr>
              <w:spacing w:after="0"/>
              <w:rPr>
                <w:sz w:val="16"/>
                <w:szCs w:val="16"/>
                <w:color w:val="auto"/>
              </w:rPr>
            </w:pPr>
          </w:p>
        </w:tc>
        <w:tc>
          <w:tcPr>
            <w:tcW w:w="420" w:type="dxa"/>
            <w:vAlign w:val="bottom"/>
            <w:tcBorders>
              <w:top w:val="single" w:sz="8" w:color="005CB9"/>
            </w:tcBorders>
          </w:tcPr>
          <w:p>
            <w:pPr>
              <w:spacing w:after="0"/>
              <w:rPr>
                <w:sz w:val="16"/>
                <w:szCs w:val="16"/>
                <w:color w:val="auto"/>
              </w:rPr>
            </w:pPr>
          </w:p>
        </w:tc>
        <w:tc>
          <w:tcPr>
            <w:tcW w:w="840" w:type="dxa"/>
            <w:vAlign w:val="bottom"/>
            <w:tcBorders>
              <w:top w:val="single" w:sz="8" w:color="005CB9"/>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ind w:left="80"/>
              <w:spacing w:after="0"/>
              <w:rPr>
                <w:sz w:val="20"/>
                <w:szCs w:val="20"/>
                <w:color w:val="auto"/>
              </w:rPr>
            </w:pPr>
            <w:r>
              <w:rPr>
                <w:rFonts w:ascii="Arial" w:cs="Arial" w:eastAsia="Arial" w:hAnsi="Arial"/>
                <w:sz w:val="14"/>
                <w:szCs w:val="14"/>
                <w:color w:val="auto"/>
              </w:rPr>
              <w:t>Retired Head of Executive</w:t>
            </w:r>
          </w:p>
        </w:tc>
        <w:tc>
          <w:tcPr>
            <w:tcW w:w="560" w:type="dxa"/>
            <w:vAlign w:val="bottom"/>
            <w:vMerge w:val="restart"/>
          </w:tcPr>
          <w:p>
            <w:pPr>
              <w:jc w:val="center"/>
              <w:ind w:left="8"/>
              <w:spacing w:after="0"/>
              <w:rPr>
                <w:sz w:val="20"/>
                <w:szCs w:val="20"/>
                <w:color w:val="auto"/>
              </w:rPr>
            </w:pPr>
            <w:r>
              <w:rPr>
                <w:rFonts w:ascii="Arial" w:cs="Arial" w:eastAsia="Arial" w:hAnsi="Arial"/>
                <w:sz w:val="14"/>
                <w:szCs w:val="14"/>
                <w:color w:val="auto"/>
              </w:rPr>
              <w:t>66</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2015</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005CB9"/>
              </w:rPr>
              <w:t>Chair</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4320" w:type="dxa"/>
            <w:vAlign w:val="bottom"/>
            <w:vMerge w:val="restart"/>
          </w:tcPr>
          <w:p>
            <w:pPr>
              <w:ind w:left="80"/>
              <w:spacing w:after="0"/>
              <w:rPr>
                <w:sz w:val="20"/>
                <w:szCs w:val="20"/>
                <w:color w:val="auto"/>
              </w:rPr>
            </w:pPr>
            <w:r>
              <w:rPr>
                <w:rFonts w:ascii="Arial" w:cs="Arial" w:eastAsia="Arial" w:hAnsi="Arial"/>
                <w:sz w:val="14"/>
                <w:szCs w:val="14"/>
                <w:color w:val="auto"/>
              </w:rPr>
              <w:t>Compensation Practice, Alston &amp; Bird</w:t>
            </w:r>
          </w:p>
        </w:tc>
        <w:tc>
          <w:tcPr>
            <w:tcW w:w="5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43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4320" w:type="dxa"/>
            <w:vAlign w:val="bottom"/>
          </w:tcPr>
          <w:p>
            <w:pPr>
              <w:ind w:left="80"/>
              <w:spacing w:after="0"/>
              <w:rPr>
                <w:sz w:val="20"/>
                <w:szCs w:val="20"/>
                <w:color w:val="auto"/>
              </w:rPr>
            </w:pPr>
            <w:r>
              <w:rPr>
                <w:rFonts w:ascii="Arial" w:cs="Arial" w:eastAsia="Arial" w:hAnsi="Arial"/>
                <w:sz w:val="14"/>
                <w:szCs w:val="14"/>
                <w:color w:val="auto"/>
              </w:rPr>
              <w:t>LLP</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320" w:type="dxa"/>
            <w:vAlign w:val="bottom"/>
            <w:tcBorders>
              <w:bottom w:val="single" w:sz="8" w:color="005CB9"/>
            </w:tcBorders>
          </w:tcPr>
          <w:p>
            <w:pPr>
              <w:spacing w:after="0"/>
              <w:rPr>
                <w:sz w:val="4"/>
                <w:szCs w:val="4"/>
                <w:color w:val="auto"/>
              </w:rPr>
            </w:pPr>
          </w:p>
        </w:tc>
        <w:tc>
          <w:tcPr>
            <w:tcW w:w="560" w:type="dxa"/>
            <w:vAlign w:val="bottom"/>
            <w:tcBorders>
              <w:bottom w:val="single" w:sz="8" w:color="005CB9"/>
            </w:tcBorders>
          </w:tcPr>
          <w:p>
            <w:pPr>
              <w:spacing w:after="0"/>
              <w:rPr>
                <w:sz w:val="4"/>
                <w:szCs w:val="4"/>
                <w:color w:val="auto"/>
              </w:rPr>
            </w:pPr>
          </w:p>
        </w:tc>
        <w:tc>
          <w:tcPr>
            <w:tcW w:w="700" w:type="dxa"/>
            <w:vAlign w:val="bottom"/>
            <w:tcBorders>
              <w:bottom w:val="single" w:sz="8" w:color="005CB9"/>
            </w:tcBorders>
          </w:tcPr>
          <w:p>
            <w:pPr>
              <w:spacing w:after="0"/>
              <w:rPr>
                <w:sz w:val="4"/>
                <w:szCs w:val="4"/>
                <w:color w:val="auto"/>
              </w:rPr>
            </w:pPr>
          </w:p>
        </w:tc>
        <w:tc>
          <w:tcPr>
            <w:tcW w:w="940" w:type="dxa"/>
            <w:vAlign w:val="bottom"/>
            <w:tcBorders>
              <w:bottom w:val="single" w:sz="8" w:color="005CB9"/>
            </w:tcBorders>
          </w:tcPr>
          <w:p>
            <w:pPr>
              <w:spacing w:after="0"/>
              <w:rPr>
                <w:sz w:val="4"/>
                <w:szCs w:val="4"/>
                <w:color w:val="auto"/>
              </w:rPr>
            </w:pPr>
          </w:p>
        </w:tc>
        <w:tc>
          <w:tcPr>
            <w:tcW w:w="780" w:type="dxa"/>
            <w:vAlign w:val="bottom"/>
            <w:tcBorders>
              <w:bottom w:val="single" w:sz="8" w:color="005CB9"/>
            </w:tcBorders>
          </w:tcPr>
          <w:p>
            <w:pPr>
              <w:spacing w:after="0"/>
              <w:rPr>
                <w:sz w:val="4"/>
                <w:szCs w:val="4"/>
                <w:color w:val="auto"/>
              </w:rPr>
            </w:pPr>
          </w:p>
        </w:tc>
        <w:tc>
          <w:tcPr>
            <w:tcW w:w="1560" w:type="dxa"/>
            <w:vAlign w:val="bottom"/>
            <w:tcBorders>
              <w:bottom w:val="single" w:sz="8" w:color="005CB9"/>
            </w:tcBorders>
          </w:tcPr>
          <w:p>
            <w:pPr>
              <w:spacing w:after="0"/>
              <w:rPr>
                <w:sz w:val="4"/>
                <w:szCs w:val="4"/>
                <w:color w:val="auto"/>
              </w:rPr>
            </w:pPr>
          </w:p>
        </w:tc>
        <w:tc>
          <w:tcPr>
            <w:tcW w:w="520" w:type="dxa"/>
            <w:vAlign w:val="bottom"/>
            <w:tcBorders>
              <w:bottom w:val="single" w:sz="8" w:color="005CB9"/>
            </w:tcBorders>
          </w:tcPr>
          <w:p>
            <w:pPr>
              <w:spacing w:after="0"/>
              <w:rPr>
                <w:sz w:val="4"/>
                <w:szCs w:val="4"/>
                <w:color w:val="auto"/>
              </w:rPr>
            </w:pPr>
          </w:p>
        </w:tc>
        <w:tc>
          <w:tcPr>
            <w:tcW w:w="420" w:type="dxa"/>
            <w:vAlign w:val="bottom"/>
            <w:tcBorders>
              <w:bottom w:val="single" w:sz="8" w:color="005CB9"/>
            </w:tcBorders>
          </w:tcPr>
          <w:p>
            <w:pPr>
              <w:spacing w:after="0"/>
              <w:rPr>
                <w:sz w:val="4"/>
                <w:szCs w:val="4"/>
                <w:color w:val="auto"/>
              </w:rPr>
            </w:pPr>
          </w:p>
        </w:tc>
        <w:tc>
          <w:tcPr>
            <w:tcW w:w="840" w:type="dxa"/>
            <w:vAlign w:val="bottom"/>
            <w:tcBorders>
              <w:bottom w:val="single" w:sz="8" w:color="005CB9"/>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320" w:type="dxa"/>
            <w:vAlign w:val="bottom"/>
            <w:shd w:val="clear" w:color="auto" w:fill="CCDEF1"/>
          </w:tcPr>
          <w:p>
            <w:pPr>
              <w:ind w:left="80"/>
              <w:spacing w:after="0"/>
              <w:rPr>
                <w:sz w:val="20"/>
                <w:szCs w:val="20"/>
                <w:color w:val="auto"/>
              </w:rPr>
            </w:pPr>
            <w:r>
              <w:rPr>
                <w:rFonts w:ascii="Arial" w:cs="Arial" w:eastAsia="Arial" w:hAnsi="Arial"/>
                <w:sz w:val="14"/>
                <w:szCs w:val="14"/>
                <w:b w:val="1"/>
                <w:bCs w:val="1"/>
                <w:color w:val="auto"/>
              </w:rPr>
              <w:t>Richard F. Wallman</w:t>
            </w:r>
          </w:p>
        </w:tc>
        <w:tc>
          <w:tcPr>
            <w:tcW w:w="560" w:type="dxa"/>
            <w:vAlign w:val="bottom"/>
            <w:shd w:val="clear" w:color="auto" w:fill="CCDEF1"/>
          </w:tcPr>
          <w:p>
            <w:pPr>
              <w:spacing w:after="0"/>
              <w:rPr>
                <w:sz w:val="16"/>
                <w:szCs w:val="16"/>
                <w:color w:val="auto"/>
              </w:rPr>
            </w:pPr>
          </w:p>
        </w:tc>
        <w:tc>
          <w:tcPr>
            <w:tcW w:w="700" w:type="dxa"/>
            <w:vAlign w:val="bottom"/>
            <w:shd w:val="clear" w:color="auto" w:fill="CCDEF1"/>
          </w:tcPr>
          <w:p>
            <w:pPr>
              <w:spacing w:after="0"/>
              <w:rPr>
                <w:sz w:val="16"/>
                <w:szCs w:val="16"/>
                <w:color w:val="auto"/>
              </w:rPr>
            </w:pPr>
          </w:p>
        </w:tc>
        <w:tc>
          <w:tcPr>
            <w:tcW w:w="940" w:type="dxa"/>
            <w:vAlign w:val="bottom"/>
            <w:tcBorders>
              <w:right w:val="single" w:sz="8" w:color="CCDEF1"/>
            </w:tcBorders>
            <w:shd w:val="clear" w:color="auto" w:fill="CCDEF1"/>
          </w:tcPr>
          <w:p>
            <w:pPr>
              <w:spacing w:after="0"/>
              <w:rPr>
                <w:sz w:val="16"/>
                <w:szCs w:val="16"/>
                <w:color w:val="auto"/>
              </w:rPr>
            </w:pPr>
          </w:p>
        </w:tc>
        <w:tc>
          <w:tcPr>
            <w:tcW w:w="780" w:type="dxa"/>
            <w:vAlign w:val="bottom"/>
            <w:shd w:val="clear" w:color="auto" w:fill="CCDEF1"/>
          </w:tcPr>
          <w:p>
            <w:pPr>
              <w:spacing w:after="0"/>
              <w:rPr>
                <w:sz w:val="16"/>
                <w:szCs w:val="16"/>
                <w:color w:val="auto"/>
              </w:rPr>
            </w:pPr>
          </w:p>
        </w:tc>
        <w:tc>
          <w:tcPr>
            <w:tcW w:w="1560" w:type="dxa"/>
            <w:vAlign w:val="bottom"/>
            <w:shd w:val="clear" w:color="auto" w:fill="CCDEF1"/>
          </w:tcPr>
          <w:p>
            <w:pPr>
              <w:spacing w:after="0"/>
              <w:rPr>
                <w:sz w:val="16"/>
                <w:szCs w:val="16"/>
                <w:color w:val="auto"/>
              </w:rPr>
            </w:pPr>
          </w:p>
        </w:tc>
        <w:tc>
          <w:tcPr>
            <w:tcW w:w="520" w:type="dxa"/>
            <w:vAlign w:val="bottom"/>
            <w:shd w:val="clear" w:color="auto" w:fill="CCDEF1"/>
          </w:tcPr>
          <w:p>
            <w:pPr>
              <w:spacing w:after="0"/>
              <w:rPr>
                <w:sz w:val="16"/>
                <w:szCs w:val="16"/>
                <w:color w:val="auto"/>
              </w:rPr>
            </w:pPr>
          </w:p>
        </w:tc>
        <w:tc>
          <w:tcPr>
            <w:tcW w:w="420" w:type="dxa"/>
            <w:vAlign w:val="bottom"/>
            <w:shd w:val="clear" w:color="auto" w:fill="CCDEF1"/>
          </w:tcPr>
          <w:p>
            <w:pPr>
              <w:spacing w:after="0"/>
              <w:rPr>
                <w:sz w:val="16"/>
                <w:szCs w:val="16"/>
                <w:color w:val="auto"/>
              </w:rPr>
            </w:pPr>
          </w:p>
        </w:tc>
        <w:tc>
          <w:tcPr>
            <w:tcW w:w="840" w:type="dxa"/>
            <w:vAlign w:val="bottom"/>
            <w:tcBorders>
              <w:right w:val="single" w:sz="8" w:color="CCDEF1"/>
            </w:tcBorders>
            <w:shd w:val="clear" w:color="auto" w:fill="CCDEF1"/>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shd w:val="clear" w:color="auto" w:fill="CCDEF1"/>
          </w:tcPr>
          <w:p>
            <w:pPr>
              <w:ind w:left="80"/>
              <w:spacing w:after="0"/>
              <w:rPr>
                <w:sz w:val="20"/>
                <w:szCs w:val="20"/>
                <w:color w:val="auto"/>
              </w:rPr>
            </w:pPr>
            <w:r>
              <w:rPr>
                <w:rFonts w:ascii="Arial" w:cs="Arial" w:eastAsia="Arial" w:hAnsi="Arial"/>
                <w:sz w:val="14"/>
                <w:szCs w:val="14"/>
                <w:color w:val="auto"/>
              </w:rPr>
              <w:t>Retired Chief Financial Officer and</w:t>
            </w:r>
          </w:p>
        </w:tc>
        <w:tc>
          <w:tcPr>
            <w:tcW w:w="560" w:type="dxa"/>
            <w:vAlign w:val="bottom"/>
            <w:vMerge w:val="restart"/>
            <w:shd w:val="clear" w:color="auto" w:fill="CCDEF1"/>
          </w:tcPr>
          <w:p>
            <w:pPr>
              <w:jc w:val="center"/>
              <w:ind w:left="8"/>
              <w:spacing w:after="0"/>
              <w:rPr>
                <w:sz w:val="20"/>
                <w:szCs w:val="20"/>
                <w:color w:val="auto"/>
              </w:rPr>
            </w:pPr>
            <w:r>
              <w:rPr>
                <w:rFonts w:ascii="Arial" w:cs="Arial" w:eastAsia="Arial" w:hAnsi="Arial"/>
                <w:sz w:val="14"/>
                <w:szCs w:val="14"/>
                <w:color w:val="auto"/>
              </w:rPr>
              <w:t>71</w:t>
            </w:r>
          </w:p>
        </w:tc>
        <w:tc>
          <w:tcPr>
            <w:tcW w:w="700" w:type="dxa"/>
            <w:vAlign w:val="bottom"/>
            <w:vMerge w:val="restart"/>
            <w:shd w:val="clear" w:color="auto" w:fill="CCDEF1"/>
          </w:tcPr>
          <w:p>
            <w:pPr>
              <w:jc w:val="center"/>
              <w:spacing w:after="0"/>
              <w:rPr>
                <w:sz w:val="20"/>
                <w:szCs w:val="20"/>
                <w:color w:val="auto"/>
              </w:rPr>
            </w:pPr>
            <w:r>
              <w:rPr>
                <w:rFonts w:ascii="Arial" w:cs="Arial" w:eastAsia="Arial" w:hAnsi="Arial"/>
                <w:sz w:val="14"/>
                <w:szCs w:val="14"/>
                <w:color w:val="auto"/>
              </w:rPr>
              <w:t>2007</w:t>
            </w:r>
          </w:p>
        </w:tc>
        <w:tc>
          <w:tcPr>
            <w:tcW w:w="940" w:type="dxa"/>
            <w:vAlign w:val="bottom"/>
            <w:tcBorders>
              <w:right w:val="single" w:sz="8" w:color="CCDEF1"/>
            </w:tcBorders>
            <w:shd w:val="clear" w:color="auto" w:fill="CCDEF1"/>
          </w:tcPr>
          <w:p>
            <w:pPr>
              <w:spacing w:after="0"/>
              <w:rPr>
                <w:sz w:val="14"/>
                <w:szCs w:val="14"/>
                <w:color w:val="auto"/>
              </w:rPr>
            </w:pPr>
          </w:p>
        </w:tc>
        <w:tc>
          <w:tcPr>
            <w:tcW w:w="780" w:type="dxa"/>
            <w:vAlign w:val="bottom"/>
            <w:vMerge w:val="restart"/>
            <w:shd w:val="clear" w:color="auto" w:fill="CCDEF1"/>
          </w:tcPr>
          <w:p>
            <w:pPr>
              <w:jc w:val="center"/>
              <w:ind w:left="308"/>
              <w:spacing w:after="0"/>
              <w:rPr>
                <w:sz w:val="20"/>
                <w:szCs w:val="20"/>
                <w:color w:val="auto"/>
              </w:rPr>
            </w:pPr>
            <w:r>
              <w:rPr>
                <w:rFonts w:ascii="Arial" w:cs="Arial" w:eastAsia="Arial" w:hAnsi="Arial"/>
                <w:sz w:val="14"/>
                <w:szCs w:val="14"/>
                <w:b w:val="1"/>
                <w:bCs w:val="1"/>
                <w:color w:val="005CB9"/>
              </w:rPr>
              <w:t>Chair</w:t>
            </w:r>
          </w:p>
        </w:tc>
        <w:tc>
          <w:tcPr>
            <w:tcW w:w="1560" w:type="dxa"/>
            <w:vAlign w:val="bottom"/>
            <w:shd w:val="clear" w:color="auto" w:fill="CCDEF1"/>
          </w:tcPr>
          <w:p>
            <w:pPr>
              <w:spacing w:after="0"/>
              <w:rPr>
                <w:sz w:val="14"/>
                <w:szCs w:val="14"/>
                <w:color w:val="auto"/>
              </w:rPr>
            </w:pPr>
          </w:p>
        </w:tc>
        <w:tc>
          <w:tcPr>
            <w:tcW w:w="520" w:type="dxa"/>
            <w:vAlign w:val="bottom"/>
            <w:shd w:val="clear" w:color="auto" w:fill="CCDEF1"/>
          </w:tcPr>
          <w:p>
            <w:pPr>
              <w:spacing w:after="0"/>
              <w:rPr>
                <w:sz w:val="14"/>
                <w:szCs w:val="14"/>
                <w:color w:val="auto"/>
              </w:rPr>
            </w:pPr>
          </w:p>
        </w:tc>
        <w:tc>
          <w:tcPr>
            <w:tcW w:w="420" w:type="dxa"/>
            <w:vAlign w:val="bottom"/>
            <w:shd w:val="clear" w:color="auto" w:fill="CCDEF1"/>
          </w:tcPr>
          <w:p>
            <w:pPr>
              <w:spacing w:after="0"/>
              <w:rPr>
                <w:sz w:val="14"/>
                <w:szCs w:val="14"/>
                <w:color w:val="auto"/>
              </w:rPr>
            </w:pPr>
          </w:p>
        </w:tc>
        <w:tc>
          <w:tcPr>
            <w:tcW w:w="840" w:type="dxa"/>
            <w:vAlign w:val="bottom"/>
            <w:tcBorders>
              <w:right w:val="single" w:sz="8" w:color="CCDEF1"/>
            </w:tcBorders>
            <w:shd w:val="clear" w:color="auto" w:fill="CCDEF1"/>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4320" w:type="dxa"/>
            <w:vAlign w:val="bottom"/>
            <w:vMerge w:val="restart"/>
            <w:shd w:val="clear" w:color="auto" w:fill="CCDEF1"/>
          </w:tcPr>
          <w:p>
            <w:pPr>
              <w:ind w:left="80"/>
              <w:spacing w:after="0"/>
              <w:rPr>
                <w:sz w:val="20"/>
                <w:szCs w:val="20"/>
                <w:color w:val="auto"/>
              </w:rPr>
            </w:pPr>
            <w:r>
              <w:rPr>
                <w:rFonts w:ascii="Arial" w:cs="Arial" w:eastAsia="Arial" w:hAnsi="Arial"/>
                <w:sz w:val="14"/>
                <w:szCs w:val="14"/>
                <w:color w:val="auto"/>
              </w:rPr>
              <w:t>Senior Vice President, Honeywell</w:t>
            </w:r>
          </w:p>
        </w:tc>
        <w:tc>
          <w:tcPr>
            <w:tcW w:w="560" w:type="dxa"/>
            <w:vAlign w:val="bottom"/>
            <w:vMerge w:val="continue"/>
            <w:shd w:val="clear" w:color="auto" w:fill="CCDEF1"/>
          </w:tcPr>
          <w:p>
            <w:pPr>
              <w:spacing w:after="0"/>
              <w:rPr>
                <w:sz w:val="7"/>
                <w:szCs w:val="7"/>
                <w:color w:val="auto"/>
              </w:rPr>
            </w:pPr>
          </w:p>
        </w:tc>
        <w:tc>
          <w:tcPr>
            <w:tcW w:w="700" w:type="dxa"/>
            <w:vAlign w:val="bottom"/>
            <w:vMerge w:val="continue"/>
            <w:shd w:val="clear" w:color="auto" w:fill="CCDEF1"/>
          </w:tcPr>
          <w:p>
            <w:pPr>
              <w:spacing w:after="0"/>
              <w:rPr>
                <w:sz w:val="7"/>
                <w:szCs w:val="7"/>
                <w:color w:val="auto"/>
              </w:rPr>
            </w:pPr>
          </w:p>
        </w:tc>
        <w:tc>
          <w:tcPr>
            <w:tcW w:w="940" w:type="dxa"/>
            <w:vAlign w:val="bottom"/>
            <w:tcBorders>
              <w:right w:val="single" w:sz="8" w:color="CCDEF1"/>
            </w:tcBorders>
            <w:shd w:val="clear" w:color="auto" w:fill="CCDEF1"/>
          </w:tcPr>
          <w:p>
            <w:pPr>
              <w:spacing w:after="0"/>
              <w:rPr>
                <w:sz w:val="7"/>
                <w:szCs w:val="7"/>
                <w:color w:val="auto"/>
              </w:rPr>
            </w:pPr>
          </w:p>
        </w:tc>
        <w:tc>
          <w:tcPr>
            <w:tcW w:w="780" w:type="dxa"/>
            <w:vAlign w:val="bottom"/>
            <w:vMerge w:val="continue"/>
            <w:shd w:val="clear" w:color="auto" w:fill="CCDEF1"/>
          </w:tcPr>
          <w:p>
            <w:pPr>
              <w:spacing w:after="0"/>
              <w:rPr>
                <w:sz w:val="7"/>
                <w:szCs w:val="7"/>
                <w:color w:val="auto"/>
              </w:rPr>
            </w:pPr>
          </w:p>
        </w:tc>
        <w:tc>
          <w:tcPr>
            <w:tcW w:w="1560" w:type="dxa"/>
            <w:vAlign w:val="bottom"/>
            <w:shd w:val="clear" w:color="auto" w:fill="CCDEF1"/>
          </w:tcPr>
          <w:p>
            <w:pPr>
              <w:spacing w:after="0"/>
              <w:rPr>
                <w:sz w:val="7"/>
                <w:szCs w:val="7"/>
                <w:color w:val="auto"/>
              </w:rPr>
            </w:pPr>
          </w:p>
        </w:tc>
        <w:tc>
          <w:tcPr>
            <w:tcW w:w="520" w:type="dxa"/>
            <w:vAlign w:val="bottom"/>
            <w:shd w:val="clear" w:color="auto" w:fill="CCDEF1"/>
          </w:tcPr>
          <w:p>
            <w:pPr>
              <w:spacing w:after="0"/>
              <w:rPr>
                <w:sz w:val="7"/>
                <w:szCs w:val="7"/>
                <w:color w:val="auto"/>
              </w:rPr>
            </w:pPr>
          </w:p>
        </w:tc>
        <w:tc>
          <w:tcPr>
            <w:tcW w:w="420" w:type="dxa"/>
            <w:vAlign w:val="bottom"/>
            <w:shd w:val="clear" w:color="auto" w:fill="CCDEF1"/>
          </w:tcPr>
          <w:p>
            <w:pPr>
              <w:spacing w:after="0"/>
              <w:rPr>
                <w:sz w:val="7"/>
                <w:szCs w:val="7"/>
                <w:color w:val="auto"/>
              </w:rPr>
            </w:pPr>
          </w:p>
        </w:tc>
        <w:tc>
          <w:tcPr>
            <w:tcW w:w="840" w:type="dxa"/>
            <w:vAlign w:val="bottom"/>
            <w:tcBorders>
              <w:right w:val="single" w:sz="8" w:color="CCDEF1"/>
            </w:tcBorders>
            <w:shd w:val="clear" w:color="auto" w:fill="CCDEF1"/>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4320" w:type="dxa"/>
            <w:vAlign w:val="bottom"/>
            <w:vMerge w:val="continue"/>
            <w:shd w:val="clear" w:color="auto" w:fill="CCDEF1"/>
          </w:tcPr>
          <w:p>
            <w:pPr>
              <w:spacing w:after="0"/>
              <w:rPr>
                <w:sz w:val="6"/>
                <w:szCs w:val="6"/>
                <w:color w:val="auto"/>
              </w:rPr>
            </w:pPr>
          </w:p>
        </w:tc>
        <w:tc>
          <w:tcPr>
            <w:tcW w:w="560" w:type="dxa"/>
            <w:vAlign w:val="bottom"/>
            <w:shd w:val="clear" w:color="auto" w:fill="CCDEF1"/>
          </w:tcPr>
          <w:p>
            <w:pPr>
              <w:spacing w:after="0"/>
              <w:rPr>
                <w:sz w:val="6"/>
                <w:szCs w:val="6"/>
                <w:color w:val="auto"/>
              </w:rPr>
            </w:pPr>
          </w:p>
        </w:tc>
        <w:tc>
          <w:tcPr>
            <w:tcW w:w="700" w:type="dxa"/>
            <w:vAlign w:val="bottom"/>
            <w:shd w:val="clear" w:color="auto" w:fill="CCDEF1"/>
          </w:tcPr>
          <w:p>
            <w:pPr>
              <w:spacing w:after="0"/>
              <w:rPr>
                <w:sz w:val="6"/>
                <w:szCs w:val="6"/>
                <w:color w:val="auto"/>
              </w:rPr>
            </w:pPr>
          </w:p>
        </w:tc>
        <w:tc>
          <w:tcPr>
            <w:tcW w:w="940" w:type="dxa"/>
            <w:vAlign w:val="bottom"/>
            <w:tcBorders>
              <w:right w:val="single" w:sz="8" w:color="CCDEF1"/>
            </w:tcBorders>
            <w:shd w:val="clear" w:color="auto" w:fill="CCDEF1"/>
          </w:tcPr>
          <w:p>
            <w:pPr>
              <w:spacing w:after="0"/>
              <w:rPr>
                <w:sz w:val="6"/>
                <w:szCs w:val="6"/>
                <w:color w:val="auto"/>
              </w:rPr>
            </w:pPr>
          </w:p>
        </w:tc>
        <w:tc>
          <w:tcPr>
            <w:tcW w:w="780" w:type="dxa"/>
            <w:vAlign w:val="bottom"/>
            <w:shd w:val="clear" w:color="auto" w:fill="CCDEF1"/>
          </w:tcPr>
          <w:p>
            <w:pPr>
              <w:spacing w:after="0"/>
              <w:rPr>
                <w:sz w:val="6"/>
                <w:szCs w:val="6"/>
                <w:color w:val="auto"/>
              </w:rPr>
            </w:pPr>
          </w:p>
        </w:tc>
        <w:tc>
          <w:tcPr>
            <w:tcW w:w="1560" w:type="dxa"/>
            <w:vAlign w:val="bottom"/>
            <w:shd w:val="clear" w:color="auto" w:fill="CCDEF1"/>
          </w:tcPr>
          <w:p>
            <w:pPr>
              <w:spacing w:after="0"/>
              <w:rPr>
                <w:sz w:val="6"/>
                <w:szCs w:val="6"/>
                <w:color w:val="auto"/>
              </w:rPr>
            </w:pPr>
          </w:p>
        </w:tc>
        <w:tc>
          <w:tcPr>
            <w:tcW w:w="520" w:type="dxa"/>
            <w:vAlign w:val="bottom"/>
            <w:shd w:val="clear" w:color="auto" w:fill="CCDEF1"/>
          </w:tcPr>
          <w:p>
            <w:pPr>
              <w:spacing w:after="0"/>
              <w:rPr>
                <w:sz w:val="6"/>
                <w:szCs w:val="6"/>
                <w:color w:val="auto"/>
              </w:rPr>
            </w:pPr>
          </w:p>
        </w:tc>
        <w:tc>
          <w:tcPr>
            <w:tcW w:w="420" w:type="dxa"/>
            <w:vAlign w:val="bottom"/>
            <w:shd w:val="clear" w:color="auto" w:fill="CCDEF1"/>
          </w:tcPr>
          <w:p>
            <w:pPr>
              <w:spacing w:after="0"/>
              <w:rPr>
                <w:sz w:val="6"/>
                <w:szCs w:val="6"/>
                <w:color w:val="auto"/>
              </w:rPr>
            </w:pPr>
          </w:p>
        </w:tc>
        <w:tc>
          <w:tcPr>
            <w:tcW w:w="840" w:type="dxa"/>
            <w:vAlign w:val="bottom"/>
            <w:tcBorders>
              <w:right w:val="single" w:sz="8" w:color="CCDEF1"/>
            </w:tcBorders>
            <w:shd w:val="clear" w:color="auto" w:fill="CCDEF1"/>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CDEF1"/>
            </w:tcBorders>
            <w:shd w:val="clear" w:color="auto" w:fill="CCDEF1"/>
          </w:tcPr>
          <w:p>
            <w:pPr>
              <w:ind w:left="80"/>
              <w:spacing w:after="0"/>
              <w:rPr>
                <w:sz w:val="20"/>
                <w:szCs w:val="20"/>
                <w:color w:val="auto"/>
              </w:rPr>
            </w:pPr>
            <w:r>
              <w:rPr>
                <w:rFonts w:ascii="Arial" w:cs="Arial" w:eastAsia="Arial" w:hAnsi="Arial"/>
                <w:sz w:val="14"/>
                <w:szCs w:val="14"/>
                <w:color w:val="auto"/>
              </w:rPr>
              <w:t>International Inc.</w:t>
            </w:r>
          </w:p>
        </w:tc>
        <w:tc>
          <w:tcPr>
            <w:tcW w:w="560" w:type="dxa"/>
            <w:vAlign w:val="bottom"/>
            <w:tcBorders>
              <w:bottom w:val="single" w:sz="8" w:color="CCDEF1"/>
            </w:tcBorders>
            <w:shd w:val="clear" w:color="auto" w:fill="CCDEF1"/>
          </w:tcPr>
          <w:p>
            <w:pPr>
              <w:spacing w:after="0"/>
              <w:rPr>
                <w:sz w:val="19"/>
                <w:szCs w:val="19"/>
                <w:color w:val="auto"/>
              </w:rPr>
            </w:pPr>
          </w:p>
        </w:tc>
        <w:tc>
          <w:tcPr>
            <w:tcW w:w="700" w:type="dxa"/>
            <w:vAlign w:val="bottom"/>
            <w:tcBorders>
              <w:bottom w:val="single" w:sz="8" w:color="CCDEF1"/>
            </w:tcBorders>
            <w:shd w:val="clear" w:color="auto" w:fill="CCDEF1"/>
          </w:tcPr>
          <w:p>
            <w:pPr>
              <w:spacing w:after="0"/>
              <w:rPr>
                <w:sz w:val="19"/>
                <w:szCs w:val="19"/>
                <w:color w:val="auto"/>
              </w:rPr>
            </w:pPr>
          </w:p>
        </w:tc>
        <w:tc>
          <w:tcPr>
            <w:tcW w:w="940" w:type="dxa"/>
            <w:vAlign w:val="bottom"/>
            <w:tcBorders>
              <w:bottom w:val="single" w:sz="8" w:color="CCDEF1"/>
              <w:right w:val="single" w:sz="8" w:color="CCDEF1"/>
            </w:tcBorders>
            <w:shd w:val="clear" w:color="auto" w:fill="CCDEF1"/>
          </w:tcPr>
          <w:p>
            <w:pPr>
              <w:spacing w:after="0"/>
              <w:rPr>
                <w:sz w:val="19"/>
                <w:szCs w:val="19"/>
                <w:color w:val="auto"/>
              </w:rPr>
            </w:pPr>
          </w:p>
        </w:tc>
        <w:tc>
          <w:tcPr>
            <w:tcW w:w="780" w:type="dxa"/>
            <w:vAlign w:val="bottom"/>
            <w:tcBorders>
              <w:bottom w:val="single" w:sz="8" w:color="CCDEF1"/>
            </w:tcBorders>
            <w:shd w:val="clear" w:color="auto" w:fill="CCDEF1"/>
          </w:tcPr>
          <w:p>
            <w:pPr>
              <w:spacing w:after="0"/>
              <w:rPr>
                <w:sz w:val="19"/>
                <w:szCs w:val="19"/>
                <w:color w:val="auto"/>
              </w:rPr>
            </w:pPr>
          </w:p>
        </w:tc>
        <w:tc>
          <w:tcPr>
            <w:tcW w:w="1560" w:type="dxa"/>
            <w:vAlign w:val="bottom"/>
            <w:tcBorders>
              <w:bottom w:val="single" w:sz="8" w:color="CCDEF1"/>
            </w:tcBorders>
            <w:shd w:val="clear" w:color="auto" w:fill="CCDEF1"/>
          </w:tcPr>
          <w:p>
            <w:pPr>
              <w:spacing w:after="0"/>
              <w:rPr>
                <w:sz w:val="19"/>
                <w:szCs w:val="19"/>
                <w:color w:val="auto"/>
              </w:rPr>
            </w:pPr>
          </w:p>
        </w:tc>
        <w:tc>
          <w:tcPr>
            <w:tcW w:w="520" w:type="dxa"/>
            <w:vAlign w:val="bottom"/>
            <w:tcBorders>
              <w:bottom w:val="single" w:sz="8" w:color="CCDEF1"/>
            </w:tcBorders>
            <w:shd w:val="clear" w:color="auto" w:fill="CCDEF1"/>
          </w:tcPr>
          <w:p>
            <w:pPr>
              <w:spacing w:after="0"/>
              <w:rPr>
                <w:sz w:val="19"/>
                <w:szCs w:val="19"/>
                <w:color w:val="auto"/>
              </w:rPr>
            </w:pPr>
          </w:p>
        </w:tc>
        <w:tc>
          <w:tcPr>
            <w:tcW w:w="420" w:type="dxa"/>
            <w:vAlign w:val="bottom"/>
            <w:tcBorders>
              <w:bottom w:val="single" w:sz="8" w:color="CCDEF1"/>
            </w:tcBorders>
            <w:shd w:val="clear" w:color="auto" w:fill="CCDEF1"/>
          </w:tcPr>
          <w:p>
            <w:pPr>
              <w:spacing w:after="0"/>
              <w:rPr>
                <w:sz w:val="19"/>
                <w:szCs w:val="19"/>
                <w:color w:val="auto"/>
              </w:rPr>
            </w:pPr>
          </w:p>
        </w:tc>
        <w:tc>
          <w:tcPr>
            <w:tcW w:w="840" w:type="dxa"/>
            <w:vAlign w:val="bottom"/>
            <w:tcBorders>
              <w:bottom w:val="single" w:sz="8" w:color="CCDEF1"/>
              <w:right w:val="single" w:sz="8" w:color="CCDEF1"/>
            </w:tcBorders>
            <w:shd w:val="clear" w:color="auto" w:fill="CCDEF1"/>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320" w:type="dxa"/>
            <w:vAlign w:val="bottom"/>
            <w:tcBorders>
              <w:top w:val="single" w:sz="8" w:color="005CB9"/>
            </w:tcBorders>
          </w:tcPr>
          <w:p>
            <w:pPr>
              <w:ind w:left="80"/>
              <w:spacing w:after="0"/>
              <w:rPr>
                <w:sz w:val="20"/>
                <w:szCs w:val="20"/>
                <w:color w:val="auto"/>
              </w:rPr>
            </w:pPr>
            <w:r>
              <w:rPr>
                <w:rFonts w:ascii="Arial" w:cs="Arial" w:eastAsia="Arial" w:hAnsi="Arial"/>
                <w:sz w:val="14"/>
                <w:szCs w:val="14"/>
                <w:b w:val="1"/>
                <w:bCs w:val="1"/>
                <w:color w:val="auto"/>
              </w:rPr>
              <w:t>Christopher Wright</w:t>
            </w:r>
          </w:p>
        </w:tc>
        <w:tc>
          <w:tcPr>
            <w:tcW w:w="560" w:type="dxa"/>
            <w:vAlign w:val="bottom"/>
            <w:tcBorders>
              <w:top w:val="single" w:sz="8" w:color="005CB9"/>
            </w:tcBorders>
          </w:tcPr>
          <w:p>
            <w:pPr>
              <w:spacing w:after="0"/>
              <w:rPr>
                <w:sz w:val="16"/>
                <w:szCs w:val="16"/>
                <w:color w:val="auto"/>
              </w:rPr>
            </w:pPr>
          </w:p>
        </w:tc>
        <w:tc>
          <w:tcPr>
            <w:tcW w:w="700" w:type="dxa"/>
            <w:vAlign w:val="bottom"/>
            <w:tcBorders>
              <w:top w:val="single" w:sz="8" w:color="005CB9"/>
            </w:tcBorders>
          </w:tcPr>
          <w:p>
            <w:pPr>
              <w:spacing w:after="0"/>
              <w:rPr>
                <w:sz w:val="16"/>
                <w:szCs w:val="16"/>
                <w:color w:val="auto"/>
              </w:rPr>
            </w:pPr>
          </w:p>
        </w:tc>
        <w:tc>
          <w:tcPr>
            <w:tcW w:w="940" w:type="dxa"/>
            <w:vAlign w:val="bottom"/>
            <w:tcBorders>
              <w:top w:val="single" w:sz="8" w:color="005CB9"/>
            </w:tcBorders>
          </w:tcPr>
          <w:p>
            <w:pPr>
              <w:spacing w:after="0"/>
              <w:rPr>
                <w:sz w:val="16"/>
                <w:szCs w:val="16"/>
                <w:color w:val="auto"/>
              </w:rPr>
            </w:pPr>
          </w:p>
        </w:tc>
        <w:tc>
          <w:tcPr>
            <w:tcW w:w="780" w:type="dxa"/>
            <w:vAlign w:val="bottom"/>
            <w:tcBorders>
              <w:top w:val="single" w:sz="8" w:color="005CB9"/>
            </w:tcBorders>
          </w:tcPr>
          <w:p>
            <w:pPr>
              <w:spacing w:after="0"/>
              <w:rPr>
                <w:sz w:val="16"/>
                <w:szCs w:val="16"/>
                <w:color w:val="auto"/>
              </w:rPr>
            </w:pPr>
          </w:p>
        </w:tc>
        <w:tc>
          <w:tcPr>
            <w:tcW w:w="1560" w:type="dxa"/>
            <w:vAlign w:val="bottom"/>
            <w:tcBorders>
              <w:top w:val="single" w:sz="8" w:color="005CB9"/>
            </w:tcBorders>
          </w:tcPr>
          <w:p>
            <w:pPr>
              <w:spacing w:after="0"/>
              <w:rPr>
                <w:sz w:val="16"/>
                <w:szCs w:val="16"/>
                <w:color w:val="auto"/>
              </w:rPr>
            </w:pPr>
          </w:p>
        </w:tc>
        <w:tc>
          <w:tcPr>
            <w:tcW w:w="520" w:type="dxa"/>
            <w:vAlign w:val="bottom"/>
            <w:tcBorders>
              <w:top w:val="single" w:sz="8" w:color="005CB9"/>
            </w:tcBorders>
          </w:tcPr>
          <w:p>
            <w:pPr>
              <w:spacing w:after="0"/>
              <w:rPr>
                <w:sz w:val="16"/>
                <w:szCs w:val="16"/>
                <w:color w:val="auto"/>
              </w:rPr>
            </w:pPr>
          </w:p>
        </w:tc>
        <w:tc>
          <w:tcPr>
            <w:tcW w:w="420" w:type="dxa"/>
            <w:vAlign w:val="bottom"/>
            <w:tcBorders>
              <w:top w:val="single" w:sz="8" w:color="005CB9"/>
            </w:tcBorders>
          </w:tcPr>
          <w:p>
            <w:pPr>
              <w:spacing w:after="0"/>
              <w:rPr>
                <w:sz w:val="16"/>
                <w:szCs w:val="16"/>
                <w:color w:val="auto"/>
              </w:rPr>
            </w:pPr>
          </w:p>
        </w:tc>
        <w:tc>
          <w:tcPr>
            <w:tcW w:w="840" w:type="dxa"/>
            <w:vAlign w:val="bottom"/>
            <w:tcBorders>
              <w:top w:val="single" w:sz="8" w:color="005CB9"/>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ind w:left="80"/>
              <w:spacing w:after="0"/>
              <w:rPr>
                <w:sz w:val="20"/>
                <w:szCs w:val="20"/>
                <w:color w:val="auto"/>
              </w:rPr>
            </w:pPr>
            <w:r>
              <w:rPr>
                <w:rFonts w:ascii="Arial" w:cs="Arial" w:eastAsia="Arial" w:hAnsi="Arial"/>
                <w:sz w:val="14"/>
                <w:szCs w:val="14"/>
                <w:color w:val="auto"/>
              </w:rPr>
              <w:t>Executive Chairman, Kestrel Partners and</w:t>
            </w:r>
          </w:p>
        </w:tc>
        <w:tc>
          <w:tcPr>
            <w:tcW w:w="560" w:type="dxa"/>
            <w:vAlign w:val="bottom"/>
          </w:tcPr>
          <w:p>
            <w:pPr>
              <w:jc w:val="center"/>
              <w:ind w:left="8"/>
              <w:spacing w:after="0"/>
              <w:rPr>
                <w:sz w:val="20"/>
                <w:szCs w:val="20"/>
                <w:color w:val="auto"/>
              </w:rPr>
            </w:pPr>
            <w:r>
              <w:rPr>
                <w:rFonts w:ascii="Arial" w:cs="Arial" w:eastAsia="Arial" w:hAnsi="Arial"/>
                <w:sz w:val="14"/>
                <w:szCs w:val="14"/>
                <w:color w:val="auto"/>
              </w:rPr>
              <w:t>64</w:t>
            </w:r>
          </w:p>
        </w:tc>
        <w:tc>
          <w:tcPr>
            <w:tcW w:w="700" w:type="dxa"/>
            <w:vAlign w:val="bottom"/>
          </w:tcPr>
          <w:p>
            <w:pPr>
              <w:jc w:val="center"/>
              <w:spacing w:after="0"/>
              <w:rPr>
                <w:sz w:val="20"/>
                <w:szCs w:val="20"/>
                <w:color w:val="auto"/>
              </w:rPr>
            </w:pPr>
            <w:r>
              <w:rPr>
                <w:rFonts w:ascii="Arial" w:cs="Arial" w:eastAsia="Arial" w:hAnsi="Arial"/>
                <w:sz w:val="14"/>
                <w:szCs w:val="14"/>
                <w:color w:val="auto"/>
              </w:rPr>
              <w:t>1991</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20" w:type="dxa"/>
            <w:vAlign w:val="bottom"/>
          </w:tcPr>
          <w:p>
            <w:pPr>
              <w:ind w:left="80"/>
              <w:spacing w:after="0"/>
              <w:rPr>
                <w:sz w:val="20"/>
                <w:szCs w:val="20"/>
                <w:color w:val="auto"/>
              </w:rPr>
            </w:pPr>
            <w:r>
              <w:rPr>
                <w:rFonts w:ascii="Arial" w:cs="Arial" w:eastAsia="Arial" w:hAnsi="Arial"/>
                <w:sz w:val="14"/>
                <w:szCs w:val="14"/>
                <w:color w:val="auto"/>
              </w:rPr>
              <w:t>Director, Merifin Capital</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320" w:type="dxa"/>
            <w:vAlign w:val="bottom"/>
            <w:tcBorders>
              <w:bottom w:val="single" w:sz="8" w:color="005CB9"/>
            </w:tcBorders>
          </w:tcPr>
          <w:p>
            <w:pPr>
              <w:spacing w:after="0"/>
              <w:rPr>
                <w:sz w:val="4"/>
                <w:szCs w:val="4"/>
                <w:color w:val="auto"/>
              </w:rPr>
            </w:pPr>
          </w:p>
        </w:tc>
        <w:tc>
          <w:tcPr>
            <w:tcW w:w="560" w:type="dxa"/>
            <w:vAlign w:val="bottom"/>
            <w:tcBorders>
              <w:bottom w:val="single" w:sz="8" w:color="005CB9"/>
            </w:tcBorders>
          </w:tcPr>
          <w:p>
            <w:pPr>
              <w:spacing w:after="0"/>
              <w:rPr>
                <w:sz w:val="4"/>
                <w:szCs w:val="4"/>
                <w:color w:val="auto"/>
              </w:rPr>
            </w:pPr>
          </w:p>
        </w:tc>
        <w:tc>
          <w:tcPr>
            <w:tcW w:w="700" w:type="dxa"/>
            <w:vAlign w:val="bottom"/>
            <w:tcBorders>
              <w:bottom w:val="single" w:sz="8" w:color="005CB9"/>
            </w:tcBorders>
          </w:tcPr>
          <w:p>
            <w:pPr>
              <w:spacing w:after="0"/>
              <w:rPr>
                <w:sz w:val="4"/>
                <w:szCs w:val="4"/>
                <w:color w:val="auto"/>
              </w:rPr>
            </w:pPr>
          </w:p>
        </w:tc>
        <w:tc>
          <w:tcPr>
            <w:tcW w:w="940" w:type="dxa"/>
            <w:vAlign w:val="bottom"/>
            <w:tcBorders>
              <w:bottom w:val="single" w:sz="8" w:color="005CB9"/>
            </w:tcBorders>
          </w:tcPr>
          <w:p>
            <w:pPr>
              <w:spacing w:after="0"/>
              <w:rPr>
                <w:sz w:val="4"/>
                <w:szCs w:val="4"/>
                <w:color w:val="auto"/>
              </w:rPr>
            </w:pPr>
          </w:p>
        </w:tc>
        <w:tc>
          <w:tcPr>
            <w:tcW w:w="780" w:type="dxa"/>
            <w:vAlign w:val="bottom"/>
            <w:tcBorders>
              <w:bottom w:val="single" w:sz="8" w:color="005CB9"/>
            </w:tcBorders>
          </w:tcPr>
          <w:p>
            <w:pPr>
              <w:spacing w:after="0"/>
              <w:rPr>
                <w:sz w:val="4"/>
                <w:szCs w:val="4"/>
                <w:color w:val="auto"/>
              </w:rPr>
            </w:pPr>
          </w:p>
        </w:tc>
        <w:tc>
          <w:tcPr>
            <w:tcW w:w="1560" w:type="dxa"/>
            <w:vAlign w:val="bottom"/>
            <w:tcBorders>
              <w:bottom w:val="single" w:sz="8" w:color="005CB9"/>
            </w:tcBorders>
          </w:tcPr>
          <w:p>
            <w:pPr>
              <w:spacing w:after="0"/>
              <w:rPr>
                <w:sz w:val="4"/>
                <w:szCs w:val="4"/>
                <w:color w:val="auto"/>
              </w:rPr>
            </w:pPr>
          </w:p>
        </w:tc>
        <w:tc>
          <w:tcPr>
            <w:tcW w:w="520" w:type="dxa"/>
            <w:vAlign w:val="bottom"/>
            <w:tcBorders>
              <w:bottom w:val="single" w:sz="8" w:color="005CB9"/>
            </w:tcBorders>
          </w:tcPr>
          <w:p>
            <w:pPr>
              <w:spacing w:after="0"/>
              <w:rPr>
                <w:sz w:val="4"/>
                <w:szCs w:val="4"/>
                <w:color w:val="auto"/>
              </w:rPr>
            </w:pPr>
          </w:p>
        </w:tc>
        <w:tc>
          <w:tcPr>
            <w:tcW w:w="420" w:type="dxa"/>
            <w:vAlign w:val="bottom"/>
            <w:tcBorders>
              <w:bottom w:val="single" w:sz="8" w:color="005CB9"/>
            </w:tcBorders>
          </w:tcPr>
          <w:p>
            <w:pPr>
              <w:spacing w:after="0"/>
              <w:rPr>
                <w:sz w:val="4"/>
                <w:szCs w:val="4"/>
                <w:color w:val="auto"/>
              </w:rPr>
            </w:pPr>
          </w:p>
        </w:tc>
        <w:tc>
          <w:tcPr>
            <w:tcW w:w="840" w:type="dxa"/>
            <w:vAlign w:val="bottom"/>
            <w:tcBorders>
              <w:bottom w:val="single" w:sz="8" w:color="005CB9"/>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 xml:space="preserve">AC </w:t>
      </w:r>
      <w:r>
        <w:rPr>
          <w:rFonts w:ascii="Arial" w:cs="Arial" w:eastAsia="Arial" w:hAnsi="Arial"/>
          <w:sz w:val="14"/>
          <w:szCs w:val="14"/>
          <w:color w:val="auto"/>
        </w:rPr>
        <w:t>= Audit Committee</w:t>
      </w:r>
      <w:r>
        <w:rPr>
          <w:rFonts w:ascii="Arial" w:cs="Arial" w:eastAsia="Arial" w:hAnsi="Arial"/>
          <w:sz w:val="14"/>
          <w:szCs w:val="14"/>
          <w:b w:val="1"/>
          <w:bCs w:val="1"/>
          <w:color w:val="auto"/>
        </w:rPr>
        <w:t xml:space="preserve"> CC </w:t>
      </w:r>
      <w:r>
        <w:rPr>
          <w:rFonts w:ascii="Arial" w:cs="Arial" w:eastAsia="Arial" w:hAnsi="Arial"/>
          <w:sz w:val="14"/>
          <w:szCs w:val="14"/>
          <w:color w:val="auto"/>
        </w:rPr>
        <w:t>= Compensation Committee</w:t>
      </w:r>
      <w:r>
        <w:rPr>
          <w:rFonts w:ascii="Arial" w:cs="Arial" w:eastAsia="Arial" w:hAnsi="Arial"/>
          <w:sz w:val="14"/>
          <w:szCs w:val="14"/>
          <w:b w:val="1"/>
          <w:bCs w:val="1"/>
          <w:color w:val="auto"/>
        </w:rPr>
        <w:t xml:space="preserve"> NGC </w:t>
      </w:r>
      <w:r>
        <w:rPr>
          <w:rFonts w:ascii="Arial" w:cs="Arial" w:eastAsia="Arial" w:hAnsi="Arial"/>
          <w:sz w:val="14"/>
          <w:szCs w:val="14"/>
          <w:color w:val="auto"/>
        </w:rPr>
        <w:t>= Nominating and Governance Committee</w:t>
      </w:r>
      <w:r>
        <w:rPr>
          <w:rFonts w:ascii="Arial" w:cs="Arial" w:eastAsia="Arial" w:hAnsi="Arial"/>
          <w:sz w:val="14"/>
          <w:szCs w:val="14"/>
          <w:b w:val="1"/>
          <w:bCs w:val="1"/>
          <w:color w:val="auto"/>
        </w:rPr>
        <w:t xml:space="preserve"> EC </w:t>
      </w:r>
      <w:r>
        <w:rPr>
          <w:rFonts w:ascii="Arial" w:cs="Arial" w:eastAsia="Arial" w:hAnsi="Arial"/>
          <w:sz w:val="14"/>
          <w:szCs w:val="14"/>
          <w:color w:val="auto"/>
        </w:rPr>
        <w:t>= Executive Committee</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CORPORATE GOVERNANCE</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strive to maintain effective corporate governance practices and policies, including:</w:t>
      </w:r>
    </w:p>
    <w:p>
      <w:pPr>
        <w:spacing w:after="0" w:line="82" w:lineRule="exact"/>
        <w:rPr>
          <w:sz w:val="20"/>
          <w:szCs w:val="20"/>
          <w:color w:val="auto"/>
        </w:rPr>
      </w:pPr>
    </w:p>
    <w:p>
      <w:pPr>
        <w:ind w:left="300" w:right="980"/>
        <w:spacing w:after="0" w:line="267" w:lineRule="auto"/>
        <w:rPr>
          <w:sz w:val="20"/>
          <w:szCs w:val="20"/>
          <w:color w:val="auto"/>
        </w:rPr>
      </w:pPr>
      <w:r>
        <w:rPr>
          <w:rFonts w:ascii="Arial" w:cs="Arial" w:eastAsia="Arial" w:hAnsi="Arial"/>
          <w:sz w:val="17"/>
          <w:szCs w:val="17"/>
          <w:b w:val="1"/>
          <w:bCs w:val="1"/>
          <w:color w:val="auto"/>
        </w:rPr>
        <w:t xml:space="preserve">Shareholder Outreach: </w:t>
      </w:r>
      <w:r>
        <w:rPr>
          <w:rFonts w:ascii="Arial" w:cs="Arial" w:eastAsia="Arial" w:hAnsi="Arial"/>
          <w:sz w:val="17"/>
          <w:szCs w:val="17"/>
          <w:color w:val="auto"/>
        </w:rPr>
        <w:t>We regularly engage our shareholders for feedback to learn their views on the Company’s strategy and</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ESG program, as well as any other governance matters of concern.</w:t>
      </w:r>
    </w:p>
    <w:p>
      <w:pPr>
        <w:spacing w:after="0" w:line="5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One-Year Terms for Directors: </w:t>
      </w:r>
      <w:r>
        <w:rPr>
          <w:rFonts w:ascii="Arial" w:cs="Arial" w:eastAsia="Arial" w:hAnsi="Arial"/>
          <w:sz w:val="17"/>
          <w:szCs w:val="17"/>
          <w:color w:val="auto"/>
        </w:rPr>
        <w:t>All of our directors serve one-year terms.</w:t>
      </w:r>
    </w:p>
    <w:p>
      <w:pPr>
        <w:spacing w:after="0" w:line="102" w:lineRule="exact"/>
        <w:rPr>
          <w:sz w:val="20"/>
          <w:szCs w:val="20"/>
          <w:color w:val="auto"/>
        </w:rPr>
      </w:pPr>
    </w:p>
    <w:p>
      <w:pPr>
        <w:ind w:left="300" w:right="280"/>
        <w:spacing w:after="0" w:line="267" w:lineRule="auto"/>
        <w:rPr>
          <w:sz w:val="20"/>
          <w:szCs w:val="20"/>
          <w:color w:val="auto"/>
        </w:rPr>
      </w:pPr>
      <w:r>
        <w:rPr>
          <w:rFonts w:ascii="Arial" w:cs="Arial" w:eastAsia="Arial" w:hAnsi="Arial"/>
          <w:sz w:val="17"/>
          <w:szCs w:val="17"/>
          <w:b w:val="1"/>
          <w:bCs w:val="1"/>
          <w:color w:val="auto"/>
        </w:rPr>
        <w:t xml:space="preserve">Independent Directors: </w:t>
      </w:r>
      <w:r>
        <w:rPr>
          <w:rFonts w:ascii="Arial" w:cs="Arial" w:eastAsia="Arial" w:hAnsi="Arial"/>
          <w:sz w:val="17"/>
          <w:szCs w:val="17"/>
          <w:color w:val="auto"/>
        </w:rPr>
        <w:t>All of our directors except our CEO are independent, as is each member of the Audit, Compensation,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and Nominating and Governance Committees.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36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ii</w:t>
            </w:r>
          </w:p>
        </w:tc>
        <w:tc>
          <w:tcPr>
            <w:tcW w:w="4680" w:type="dxa"/>
            <w:vAlign w:val="bottom"/>
          </w:tcPr>
          <w:p>
            <w:pPr>
              <w:ind w:left="104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1"/>
        </w:trPr>
        <w:tc>
          <w:tcPr>
            <w:tcW w:w="360" w:type="dxa"/>
            <w:vAlign w:val="bottom"/>
            <w:tcBorders>
              <w:right w:val="single" w:sz="8" w:color="005CB9"/>
            </w:tcBorders>
          </w:tcPr>
          <w:p>
            <w:pPr>
              <w:spacing w:after="0"/>
              <w:rPr>
                <w:sz w:val="8"/>
                <w:szCs w:val="8"/>
                <w:color w:val="auto"/>
              </w:rPr>
            </w:pPr>
          </w:p>
        </w:tc>
        <w:tc>
          <w:tcPr>
            <w:tcW w:w="46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-205105</wp:posOffset>
            </wp:positionV>
            <wp:extent cx="42862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PROXY STATEMENT SUMMARY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318135</wp:posOffset>
            </wp:positionV>
            <wp:extent cx="7011670" cy="26314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167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Independent Chair of the Board: </w:t>
      </w:r>
      <w:r>
        <w:rPr>
          <w:rFonts w:ascii="Arial" w:cs="Arial" w:eastAsia="Arial" w:hAnsi="Arial"/>
          <w:sz w:val="17"/>
          <w:szCs w:val="17"/>
          <w:color w:val="auto"/>
        </w:rPr>
        <w:t>Our Chair of the Board is independent.</w:t>
      </w:r>
    </w:p>
    <w:p>
      <w:pPr>
        <w:spacing w:after="0" w:line="102" w:lineRule="exact"/>
        <w:rPr>
          <w:sz w:val="20"/>
          <w:szCs w:val="20"/>
          <w:color w:val="auto"/>
        </w:rPr>
      </w:pPr>
    </w:p>
    <w:p>
      <w:pPr>
        <w:ind w:left="300" w:right="400"/>
        <w:spacing w:after="0" w:line="267" w:lineRule="auto"/>
        <w:rPr>
          <w:sz w:val="20"/>
          <w:szCs w:val="20"/>
          <w:color w:val="auto"/>
        </w:rPr>
      </w:pPr>
      <w:r>
        <w:rPr>
          <w:rFonts w:ascii="Arial" w:cs="Arial" w:eastAsia="Arial" w:hAnsi="Arial"/>
          <w:sz w:val="17"/>
          <w:szCs w:val="17"/>
          <w:b w:val="1"/>
          <w:bCs w:val="1"/>
          <w:color w:val="auto"/>
        </w:rPr>
        <w:t xml:space="preserve">Majority Voting Standards for Uncontested Director Elections: </w:t>
      </w:r>
      <w:r>
        <w:rPr>
          <w:rFonts w:ascii="Arial" w:cs="Arial" w:eastAsia="Arial" w:hAnsi="Arial"/>
          <w:sz w:val="17"/>
          <w:szCs w:val="17"/>
          <w:color w:val="auto"/>
        </w:rPr>
        <w:t>We require any incumbent director who fails to obtain a majority vote in</w:t>
      </w:r>
      <w:r>
        <w:rPr>
          <w:rFonts w:ascii="Arial" w:cs="Arial" w:eastAsia="Arial" w:hAnsi="Arial"/>
          <w:sz w:val="17"/>
          <w:szCs w:val="17"/>
          <w:b w:val="1"/>
          <w:bCs w:val="1"/>
          <w:color w:val="auto"/>
        </w:rPr>
        <w:t xml:space="preserve"> </w:t>
      </w:r>
      <w:r>
        <w:rPr>
          <w:rFonts w:ascii="Arial" w:cs="Arial" w:eastAsia="Arial" w:hAnsi="Arial"/>
          <w:sz w:val="17"/>
          <w:szCs w:val="17"/>
          <w:color w:val="auto"/>
        </w:rPr>
        <w:t>uncontested elections to tender his or her resignation.</w:t>
      </w:r>
    </w:p>
    <w:p>
      <w:pPr>
        <w:spacing w:after="0" w:line="51" w:lineRule="exact"/>
        <w:rPr>
          <w:sz w:val="20"/>
          <w:szCs w:val="20"/>
          <w:color w:val="auto"/>
        </w:rPr>
      </w:pPr>
    </w:p>
    <w:p>
      <w:pPr>
        <w:ind w:left="300" w:right="280"/>
        <w:spacing w:after="0" w:line="244" w:lineRule="auto"/>
        <w:rPr>
          <w:sz w:val="20"/>
          <w:szCs w:val="20"/>
          <w:color w:val="auto"/>
        </w:rPr>
      </w:pPr>
      <w:r>
        <w:rPr>
          <w:rFonts w:ascii="Arial" w:cs="Arial" w:eastAsia="Arial" w:hAnsi="Arial"/>
          <w:sz w:val="17"/>
          <w:szCs w:val="17"/>
          <w:b w:val="1"/>
          <w:bCs w:val="1"/>
          <w:color w:val="auto"/>
        </w:rPr>
        <w:t xml:space="preserve">Proxy Access: </w:t>
      </w:r>
      <w:r>
        <w:rPr>
          <w:rFonts w:ascii="Arial" w:cs="Arial" w:eastAsia="Arial" w:hAnsi="Arial"/>
          <w:sz w:val="17"/>
          <w:szCs w:val="17"/>
          <w:color w:val="auto"/>
        </w:rPr>
        <w:t>In March 2016, we amended our By-laws to implement proxy access for eligible shareholders. Our proxy access provision</w:t>
      </w:r>
      <w:r>
        <w:rPr>
          <w:rFonts w:ascii="Arial" w:cs="Arial" w:eastAsia="Arial" w:hAnsi="Arial"/>
          <w:sz w:val="17"/>
          <w:szCs w:val="17"/>
          <w:b w:val="1"/>
          <w:bCs w:val="1"/>
          <w:color w:val="auto"/>
        </w:rPr>
        <w:t xml:space="preserve"> </w:t>
      </w:r>
      <w:r>
        <w:rPr>
          <w:rFonts w:ascii="Arial" w:cs="Arial" w:eastAsia="Arial" w:hAnsi="Arial"/>
          <w:sz w:val="17"/>
          <w:szCs w:val="17"/>
          <w:color w:val="auto"/>
        </w:rPr>
        <w:t>permits a shareholder, or a group of up to 20 shareholders, that has owned at least 3% of our outstanding common stock continuously for at least three years to nominate and include in our proxy materials up to the greater of two directors or 20% of the number of our directors then in office, provided that the shareholders and the nominees satisfy the requirements set forth in the By-laws.</w:t>
      </w:r>
    </w:p>
    <w:p>
      <w:pPr>
        <w:spacing w:after="0" w:line="69" w:lineRule="exact"/>
        <w:rPr>
          <w:sz w:val="20"/>
          <w:szCs w:val="20"/>
          <w:color w:val="auto"/>
        </w:rPr>
      </w:pPr>
    </w:p>
    <w:p>
      <w:pPr>
        <w:ind w:left="300" w:right="440"/>
        <w:spacing w:after="0" w:line="239" w:lineRule="auto"/>
        <w:rPr>
          <w:sz w:val="20"/>
          <w:szCs w:val="20"/>
          <w:color w:val="auto"/>
        </w:rPr>
      </w:pPr>
      <w:r>
        <w:rPr>
          <w:rFonts w:ascii="Arial" w:cs="Arial" w:eastAsia="Arial" w:hAnsi="Arial"/>
          <w:sz w:val="17"/>
          <w:szCs w:val="17"/>
          <w:b w:val="1"/>
          <w:bCs w:val="1"/>
          <w:color w:val="auto"/>
        </w:rPr>
        <w:t xml:space="preserve">Shareholder Engagement: </w:t>
      </w:r>
      <w:r>
        <w:rPr>
          <w:rFonts w:ascii="Arial" w:cs="Arial" w:eastAsia="Arial" w:hAnsi="Arial"/>
          <w:sz w:val="17"/>
          <w:szCs w:val="17"/>
          <w:color w:val="auto"/>
        </w:rPr>
        <w:t>We highly value feedback from our shareholders. In addition to our traditional Investor Relations engagement</w:t>
      </w:r>
      <w:r>
        <w:rPr>
          <w:rFonts w:ascii="Arial" w:cs="Arial" w:eastAsia="Arial" w:hAnsi="Arial"/>
          <w:sz w:val="17"/>
          <w:szCs w:val="17"/>
          <w:b w:val="1"/>
          <w:bCs w:val="1"/>
          <w:color w:val="auto"/>
        </w:rPr>
        <w:t xml:space="preserve"> </w:t>
      </w:r>
      <w:r>
        <w:rPr>
          <w:rFonts w:ascii="Arial" w:cs="Arial" w:eastAsia="Arial" w:hAnsi="Arial"/>
          <w:sz w:val="17"/>
          <w:szCs w:val="17"/>
          <w:color w:val="auto"/>
        </w:rPr>
        <w:t>efforts, since the beginning of 2020, we have had discussions with numerous shareholders on ESG topics including climate change and diversity and inclusion. These discussions have been extremely helpful in identifying issues of importance to our investors as we develop and evolve our ESG program. We also shared feedback received during these discussions with our Compensation Committee and Nominating and Governance Committee, informing their decision-making. We reached out to several of our largest shareholders that we believe voted against our 2021 Say-On-Pay proposal to better understand their concerns.</w:t>
      </w:r>
    </w:p>
    <w:p>
      <w:pPr>
        <w:spacing w:after="0" w:line="7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Anti-Hedging and Anti-Pledging Policy: </w:t>
      </w:r>
      <w:r>
        <w:rPr>
          <w:rFonts w:ascii="Arial" w:cs="Arial" w:eastAsia="Arial" w:hAnsi="Arial"/>
          <w:sz w:val="17"/>
          <w:szCs w:val="17"/>
          <w:color w:val="auto"/>
        </w:rPr>
        <w:t>We have both anti-hedging and anti-pledging policies.</w:t>
      </w:r>
    </w:p>
    <w:p>
      <w:pPr>
        <w:spacing w:after="0" w:line="102" w:lineRule="exact"/>
        <w:rPr>
          <w:sz w:val="20"/>
          <w:szCs w:val="20"/>
          <w:color w:val="auto"/>
        </w:rPr>
      </w:pPr>
    </w:p>
    <w:p>
      <w:pPr>
        <w:ind w:left="300" w:right="360"/>
        <w:spacing w:after="0" w:line="249" w:lineRule="auto"/>
        <w:rPr>
          <w:sz w:val="20"/>
          <w:szCs w:val="20"/>
          <w:color w:val="auto"/>
        </w:rPr>
      </w:pPr>
      <w:r>
        <w:rPr>
          <w:rFonts w:ascii="Arial" w:cs="Arial" w:eastAsia="Arial" w:hAnsi="Arial"/>
          <w:sz w:val="17"/>
          <w:szCs w:val="17"/>
          <w:b w:val="1"/>
          <w:bCs w:val="1"/>
          <w:color w:val="auto"/>
        </w:rPr>
        <w:t xml:space="preserve">Board Refreshment/Term Limits: </w:t>
      </w:r>
      <w:r>
        <w:rPr>
          <w:rFonts w:ascii="Arial" w:cs="Arial" w:eastAsia="Arial" w:hAnsi="Arial"/>
          <w:sz w:val="17"/>
          <w:szCs w:val="17"/>
          <w:color w:val="auto"/>
        </w:rPr>
        <w:t>The mandatory retirement age for directors joining the Board prior to 2020 is 80. Directors joining our</w:t>
      </w:r>
      <w:r>
        <w:rPr>
          <w:rFonts w:ascii="Arial" w:cs="Arial" w:eastAsia="Arial" w:hAnsi="Arial"/>
          <w:sz w:val="17"/>
          <w:szCs w:val="17"/>
          <w:b w:val="1"/>
          <w:bCs w:val="1"/>
          <w:color w:val="auto"/>
        </w:rPr>
        <w:t xml:space="preserve"> </w:t>
      </w:r>
      <w:r>
        <w:rPr>
          <w:rFonts w:ascii="Arial" w:cs="Arial" w:eastAsia="Arial" w:hAnsi="Arial"/>
          <w:sz w:val="17"/>
          <w:szCs w:val="17"/>
          <w:color w:val="auto"/>
        </w:rPr>
        <w:t>Board after January 1, 2020 are required to retire upon the earlier of (i) the attainment of age 80, and (ii) the 15-year anniversary of the first annual meeting following the date the director joined the Board.</w:t>
      </w:r>
    </w:p>
    <w:p>
      <w:pPr>
        <w:spacing w:after="0" w:line="309" w:lineRule="exact"/>
        <w:rPr>
          <w:sz w:val="20"/>
          <w:szCs w:val="20"/>
          <w:color w:val="auto"/>
        </w:rPr>
      </w:pPr>
    </w:p>
    <w:tbl>
      <w:tblPr>
        <w:tblLayout w:type="fixed"/>
        <w:tblInd w:w="6980" w:type="dxa"/>
        <w:tblCellMar>
          <w:top w:w="0" w:type="dxa"/>
          <w:left w:w="0" w:type="dxa"/>
          <w:bottom w:w="0" w:type="dxa"/>
          <w:right w:w="0" w:type="dxa"/>
        </w:tblCellMar>
      </w:tblPr>
      <w:tr>
        <w:trPr>
          <w:trHeight w:val="291"/>
        </w:trPr>
        <w:tc>
          <w:tcPr>
            <w:tcW w:w="392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240" w:type="dxa"/>
            <w:vAlign w:val="bottom"/>
          </w:tcPr>
          <w:p>
            <w:pPr>
              <w:ind w:left="100"/>
              <w:spacing w:after="0"/>
              <w:rPr>
                <w:sz w:val="20"/>
                <w:szCs w:val="20"/>
                <w:color w:val="auto"/>
              </w:rPr>
            </w:pPr>
            <w:r>
              <w:rPr>
                <w:rFonts w:ascii="Arial" w:cs="Arial" w:eastAsia="Arial" w:hAnsi="Arial"/>
                <w:sz w:val="16"/>
                <w:szCs w:val="16"/>
                <w:b w:val="1"/>
                <w:bCs w:val="1"/>
                <w:color w:val="005CB9"/>
                <w:w w:val="89"/>
              </w:rPr>
              <w:t>iii</w:t>
            </w:r>
          </w:p>
        </w:tc>
      </w:tr>
      <w:tr>
        <w:trPr>
          <w:trHeight w:val="100"/>
        </w:trPr>
        <w:tc>
          <w:tcPr>
            <w:tcW w:w="3920" w:type="dxa"/>
            <w:vAlign w:val="bottom"/>
            <w:tcBorders>
              <w:right w:val="single" w:sz="8" w:color="005CB9"/>
            </w:tcBorders>
          </w:tcPr>
          <w:p>
            <w:pPr>
              <w:spacing w:after="0"/>
              <w:rPr>
                <w:sz w:val="8"/>
                <w:szCs w:val="8"/>
                <w:color w:val="auto"/>
              </w:rPr>
            </w:pPr>
          </w:p>
        </w:tc>
        <w:tc>
          <w:tcPr>
            <w:tcW w:w="2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-205105</wp:posOffset>
            </wp:positionV>
            <wp:extent cx="42862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PROXY STATEMENT SUMMARY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318135</wp:posOffset>
            </wp:positionV>
            <wp:extent cx="7011670" cy="49028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1670" cy="4902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BOARD SNAPSHOT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20" w:hanging="422"/>
        <w:spacing w:after="0"/>
        <w:tabs>
          <w:tab w:leader="none" w:pos="720" w:val="left"/>
        </w:tabs>
        <w:numPr>
          <w:ilvl w:val="0"/>
          <w:numId w:val="7"/>
        </w:numPr>
        <w:rPr>
          <w:rFonts w:ascii="Arial" w:cs="Arial" w:eastAsia="Arial" w:hAnsi="Arial"/>
          <w:sz w:val="14"/>
          <w:szCs w:val="14"/>
          <w:color w:val="auto"/>
        </w:rPr>
      </w:pPr>
      <w:r>
        <w:rPr>
          <w:rFonts w:ascii="Arial" w:cs="Arial" w:eastAsia="Arial" w:hAnsi="Arial"/>
          <w:sz w:val="14"/>
          <w:szCs w:val="14"/>
          <w:color w:val="auto"/>
        </w:rPr>
        <w:t>Does not include John F. Fort, who is retiring at the Annual Meeting</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4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iv</w:t>
            </w:r>
          </w:p>
        </w:tc>
        <w:tc>
          <w:tcPr>
            <w:tcW w:w="4700" w:type="dxa"/>
            <w:vAlign w:val="bottom"/>
          </w:tcPr>
          <w:p>
            <w:pPr>
              <w:ind w:left="106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0"/>
        </w:trPr>
        <w:tc>
          <w:tcPr>
            <w:tcW w:w="400" w:type="dxa"/>
            <w:vAlign w:val="bottom"/>
            <w:tcBorders>
              <w:right w:val="single" w:sz="8" w:color="005CB9"/>
            </w:tcBorders>
          </w:tcPr>
          <w:p>
            <w:pPr>
              <w:spacing w:after="0"/>
              <w:rPr>
                <w:sz w:val="8"/>
                <w:szCs w:val="8"/>
                <w:color w:val="auto"/>
              </w:rPr>
            </w:pPr>
          </w:p>
        </w:tc>
        <w:tc>
          <w:tcPr>
            <w:tcW w:w="47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PROXY STATEMENT SUMMARY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318135</wp:posOffset>
            </wp:positionV>
            <wp:extent cx="7011670" cy="54089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1670" cy="5408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BUSINESS HIGHLIGHTS</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We achieved another year of strong results in 2021 despite the continuing challenges of COVID-19: </w:t>
      </w:r>
      <w:r>
        <w:rPr>
          <w:rFonts w:ascii="Arial" w:cs="Arial" w:eastAsia="Arial" w:hAnsi="Arial"/>
          <w:sz w:val="14"/>
          <w:szCs w:val="14"/>
          <w:color w:val="auto"/>
        </w:rPr>
        <w:t>(1)</w:t>
      </w:r>
    </w:p>
    <w:p>
      <w:pPr>
        <w:spacing w:after="0" w:line="115" w:lineRule="exact"/>
        <w:rPr>
          <w:sz w:val="20"/>
          <w:szCs w:val="20"/>
          <w:color w:val="auto"/>
        </w:rPr>
      </w:pPr>
    </w:p>
    <w:p>
      <w:pPr>
        <w:ind w:left="800" w:hanging="407"/>
        <w:spacing w:after="0"/>
        <w:tabs>
          <w:tab w:leader="none" w:pos="800" w:val="left"/>
        </w:tabs>
        <w:numPr>
          <w:ilvl w:val="1"/>
          <w:numId w:val="8"/>
        </w:numPr>
        <w:rPr>
          <w:rFonts w:ascii="Arial" w:cs="Arial" w:eastAsia="Arial" w:hAnsi="Arial"/>
          <w:sz w:val="17"/>
          <w:szCs w:val="17"/>
          <w:color w:val="auto"/>
        </w:rPr>
      </w:pPr>
      <w:r>
        <w:rPr>
          <w:rFonts w:ascii="Arial" w:cs="Arial" w:eastAsia="Arial" w:hAnsi="Arial"/>
          <w:sz w:val="17"/>
          <w:szCs w:val="17"/>
          <w:color w:val="auto"/>
        </w:rPr>
        <w:t>Annual shareholder return of 14.7%</w:t>
      </w:r>
    </w:p>
    <w:p>
      <w:pPr>
        <w:spacing w:after="0" w:line="115" w:lineRule="exact"/>
        <w:rPr>
          <w:rFonts w:ascii="Arial" w:cs="Arial" w:eastAsia="Arial" w:hAnsi="Arial"/>
          <w:sz w:val="17"/>
          <w:szCs w:val="17"/>
          <w:color w:val="auto"/>
        </w:rPr>
      </w:pPr>
    </w:p>
    <w:p>
      <w:pPr>
        <w:ind w:left="800" w:hanging="407"/>
        <w:spacing w:after="0"/>
        <w:tabs>
          <w:tab w:leader="none" w:pos="800" w:val="left"/>
        </w:tabs>
        <w:numPr>
          <w:ilvl w:val="1"/>
          <w:numId w:val="8"/>
        </w:numPr>
        <w:rPr>
          <w:rFonts w:ascii="Arial" w:cs="Arial" w:eastAsia="Arial" w:hAnsi="Arial"/>
          <w:sz w:val="17"/>
          <w:szCs w:val="17"/>
          <w:color w:val="auto"/>
        </w:rPr>
      </w:pPr>
      <w:r>
        <w:rPr>
          <w:rFonts w:ascii="Arial" w:cs="Arial" w:eastAsia="Arial" w:hAnsi="Arial"/>
          <w:sz w:val="17"/>
          <w:szCs w:val="17"/>
          <w:color w:val="auto"/>
        </w:rPr>
        <w:t>GAAP revenue increased 19% to $5.78 billion and organic revenue increased 9%</w:t>
      </w:r>
    </w:p>
    <w:p>
      <w:pPr>
        <w:spacing w:after="0" w:line="115" w:lineRule="exact"/>
        <w:rPr>
          <w:rFonts w:ascii="Arial" w:cs="Arial" w:eastAsia="Arial" w:hAnsi="Arial"/>
          <w:sz w:val="17"/>
          <w:szCs w:val="17"/>
          <w:color w:val="auto"/>
        </w:rPr>
      </w:pPr>
    </w:p>
    <w:p>
      <w:pPr>
        <w:ind w:left="800" w:hanging="407"/>
        <w:spacing w:after="0"/>
        <w:tabs>
          <w:tab w:leader="none" w:pos="800" w:val="left"/>
        </w:tabs>
        <w:numPr>
          <w:ilvl w:val="1"/>
          <w:numId w:val="8"/>
        </w:numPr>
        <w:rPr>
          <w:rFonts w:ascii="Arial" w:cs="Arial" w:eastAsia="Arial" w:hAnsi="Arial"/>
          <w:sz w:val="17"/>
          <w:szCs w:val="17"/>
          <w:color w:val="auto"/>
        </w:rPr>
      </w:pPr>
      <w:r>
        <w:rPr>
          <w:rFonts w:ascii="Arial" w:cs="Arial" w:eastAsia="Arial" w:hAnsi="Arial"/>
          <w:sz w:val="17"/>
          <w:szCs w:val="17"/>
          <w:color w:val="auto"/>
        </w:rPr>
        <w:t>Adjusted EBITDA increased 22% to $2.21 billion and adjusted EBITDA margin improved 90 basis points to 38.2%</w:t>
      </w:r>
    </w:p>
    <w:p>
      <w:pPr>
        <w:spacing w:after="0" w:line="115" w:lineRule="exact"/>
        <w:rPr>
          <w:rFonts w:ascii="Arial" w:cs="Arial" w:eastAsia="Arial" w:hAnsi="Arial"/>
          <w:sz w:val="17"/>
          <w:szCs w:val="17"/>
          <w:color w:val="auto"/>
        </w:rPr>
      </w:pPr>
    </w:p>
    <w:p>
      <w:pPr>
        <w:ind w:left="800" w:hanging="407"/>
        <w:spacing w:after="0"/>
        <w:tabs>
          <w:tab w:leader="none" w:pos="800" w:val="left"/>
        </w:tabs>
        <w:numPr>
          <w:ilvl w:val="1"/>
          <w:numId w:val="8"/>
        </w:numPr>
        <w:rPr>
          <w:rFonts w:ascii="Arial" w:cs="Arial" w:eastAsia="Arial" w:hAnsi="Arial"/>
          <w:sz w:val="17"/>
          <w:szCs w:val="17"/>
          <w:color w:val="auto"/>
        </w:rPr>
      </w:pPr>
      <w:r>
        <w:rPr>
          <w:rFonts w:ascii="Arial" w:cs="Arial" w:eastAsia="Arial" w:hAnsi="Arial"/>
          <w:sz w:val="17"/>
          <w:szCs w:val="17"/>
          <w:color w:val="auto"/>
        </w:rPr>
        <w:t>Adjusted operating cash flow increased 20% to $1.87 billion and adjusted free cash flow increased 19% to $1.80 billion</w:t>
      </w:r>
    </w:p>
    <w:p>
      <w:pPr>
        <w:spacing w:after="0" w:line="115" w:lineRule="exact"/>
        <w:rPr>
          <w:rFonts w:ascii="Arial" w:cs="Arial" w:eastAsia="Arial" w:hAnsi="Arial"/>
          <w:sz w:val="17"/>
          <w:szCs w:val="17"/>
          <w:color w:val="auto"/>
        </w:rPr>
      </w:pPr>
    </w:p>
    <w:p>
      <w:pPr>
        <w:ind w:left="800" w:right="980" w:hanging="407"/>
        <w:spacing w:after="0" w:line="238" w:lineRule="auto"/>
        <w:tabs>
          <w:tab w:leader="none" w:pos="800" w:val="left"/>
        </w:tabs>
        <w:numPr>
          <w:ilvl w:val="1"/>
          <w:numId w:val="8"/>
        </w:numPr>
        <w:rPr>
          <w:rFonts w:ascii="Arial" w:cs="Arial" w:eastAsia="Arial" w:hAnsi="Arial"/>
          <w:sz w:val="17"/>
          <w:szCs w:val="17"/>
          <w:color w:val="auto"/>
        </w:rPr>
      </w:pPr>
      <w:r>
        <w:rPr>
          <w:rFonts w:ascii="Arial" w:cs="Arial" w:eastAsia="Arial" w:hAnsi="Arial"/>
          <w:sz w:val="17"/>
          <w:szCs w:val="17"/>
          <w:color w:val="auto"/>
        </w:rPr>
        <w:t>We made strategic adjustments to our portfolio of businesses, entering into agreements to divest our CIVCO Radiotherapy, TransCore and Zetec businesses pursuant to which we received $3.15 billion in pre-tax proceeds, of which $110 million was received in 2021 and $3.04 billion in early 2022</w:t>
      </w:r>
    </w:p>
    <w:p>
      <w:pPr>
        <w:spacing w:after="0" w:line="106" w:lineRule="exact"/>
        <w:rPr>
          <w:rFonts w:ascii="Arial" w:cs="Arial" w:eastAsia="Arial" w:hAnsi="Arial"/>
          <w:sz w:val="17"/>
          <w:szCs w:val="17"/>
          <w:color w:val="auto"/>
        </w:rPr>
      </w:pPr>
    </w:p>
    <w:p>
      <w:pPr>
        <w:ind w:left="800" w:hanging="407"/>
        <w:spacing w:after="0"/>
        <w:tabs>
          <w:tab w:leader="none" w:pos="800" w:val="left"/>
        </w:tabs>
        <w:numPr>
          <w:ilvl w:val="1"/>
          <w:numId w:val="8"/>
        </w:numPr>
        <w:rPr>
          <w:rFonts w:ascii="Arial" w:cs="Arial" w:eastAsia="Arial" w:hAnsi="Arial"/>
          <w:sz w:val="17"/>
          <w:szCs w:val="17"/>
          <w:color w:val="auto"/>
        </w:rPr>
      </w:pPr>
      <w:r>
        <w:rPr>
          <w:rFonts w:ascii="Arial" w:cs="Arial" w:eastAsia="Arial" w:hAnsi="Arial"/>
          <w:sz w:val="17"/>
          <w:szCs w:val="17"/>
          <w:color w:val="auto"/>
        </w:rPr>
        <w:t>Net debt was reduced by $1.7 billion</w:t>
      </w:r>
    </w:p>
    <w:p>
      <w:pPr>
        <w:spacing w:after="0" w:line="115" w:lineRule="exact"/>
        <w:rPr>
          <w:rFonts w:ascii="Arial" w:cs="Arial" w:eastAsia="Arial" w:hAnsi="Arial"/>
          <w:sz w:val="17"/>
          <w:szCs w:val="17"/>
          <w:color w:val="auto"/>
        </w:rPr>
      </w:pPr>
    </w:p>
    <w:p>
      <w:pPr>
        <w:ind w:left="800" w:hanging="407"/>
        <w:spacing w:after="0"/>
        <w:tabs>
          <w:tab w:leader="none" w:pos="800" w:val="left"/>
        </w:tabs>
        <w:numPr>
          <w:ilvl w:val="1"/>
          <w:numId w:val="8"/>
        </w:numPr>
        <w:rPr>
          <w:rFonts w:ascii="Arial" w:cs="Arial" w:eastAsia="Arial" w:hAnsi="Arial"/>
          <w:sz w:val="17"/>
          <w:szCs w:val="17"/>
          <w:color w:val="auto"/>
        </w:rPr>
      </w:pPr>
      <w:r>
        <w:rPr>
          <w:rFonts w:ascii="Arial" w:cs="Arial" w:eastAsia="Arial" w:hAnsi="Arial"/>
          <w:sz w:val="17"/>
          <w:szCs w:val="17"/>
          <w:color w:val="auto"/>
        </w:rPr>
        <w:t>Our annual dividend increased by 10%, increasing for the 29</w:t>
      </w:r>
      <w:r>
        <w:rPr>
          <w:rFonts w:ascii="Arial" w:cs="Arial" w:eastAsia="Arial" w:hAnsi="Arial"/>
          <w:sz w:val="14"/>
          <w:szCs w:val="14"/>
          <w:color w:val="auto"/>
        </w:rPr>
        <w:t>th</w:t>
      </w:r>
      <w:r>
        <w:rPr>
          <w:rFonts w:ascii="Arial" w:cs="Arial" w:eastAsia="Arial" w:hAnsi="Arial"/>
          <w:sz w:val="17"/>
          <w:szCs w:val="17"/>
          <w:color w:val="auto"/>
        </w:rPr>
        <w:t xml:space="preserve"> consecutive year</w:t>
      </w:r>
    </w:p>
    <w:p>
      <w:pPr>
        <w:spacing w:after="0" w:line="111" w:lineRule="exact"/>
        <w:rPr>
          <w:rFonts w:ascii="Arial" w:cs="Arial" w:eastAsia="Arial" w:hAnsi="Arial"/>
          <w:sz w:val="17"/>
          <w:szCs w:val="17"/>
          <w:color w:val="auto"/>
        </w:rPr>
      </w:pPr>
    </w:p>
    <w:p>
      <w:pPr>
        <w:ind w:left="720" w:right="300" w:hanging="422"/>
        <w:spacing w:after="0" w:line="191" w:lineRule="auto"/>
        <w:tabs>
          <w:tab w:leader="none" w:pos="720" w:val="left"/>
        </w:tabs>
        <w:numPr>
          <w:ilvl w:val="0"/>
          <w:numId w:val="8"/>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This financial information is presented on a continuing operations basis and an adjusted (non-GAAP) basis. A reconciliation from non-GAAP financial measures to the most comparable GAAP measure and other related information is available in “Appendix A—Reconciliations.”</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COMPENSATION HIGHLIGHTS</w:t>
      </w:r>
    </w:p>
    <w:p>
      <w:pPr>
        <w:spacing w:after="0" w:line="228" w:lineRule="exact"/>
        <w:rPr>
          <w:sz w:val="20"/>
          <w:szCs w:val="20"/>
          <w:color w:val="auto"/>
        </w:rPr>
      </w:pPr>
    </w:p>
    <w:p>
      <w:pPr>
        <w:ind w:left="300" w:right="360"/>
        <w:spacing w:after="0" w:line="243" w:lineRule="auto"/>
        <w:rPr>
          <w:sz w:val="20"/>
          <w:szCs w:val="20"/>
          <w:color w:val="auto"/>
        </w:rPr>
      </w:pPr>
      <w:r>
        <w:rPr>
          <w:rFonts w:ascii="Arial" w:cs="Arial" w:eastAsia="Arial" w:hAnsi="Arial"/>
          <w:sz w:val="17"/>
          <w:szCs w:val="17"/>
          <w:color w:val="auto"/>
        </w:rPr>
        <w:t>The creation of shareholder value is the foundation and driver of our executive compensation program. Aspects of our program that closely align the compensation of our executive officers with the long-term interests of our shareholders include the following:</w:t>
      </w:r>
    </w:p>
    <w:p>
      <w:pPr>
        <w:spacing w:after="0" w:line="70" w:lineRule="exact"/>
        <w:rPr>
          <w:sz w:val="20"/>
          <w:szCs w:val="20"/>
          <w:color w:val="auto"/>
        </w:rPr>
      </w:pPr>
    </w:p>
    <w:p>
      <w:pPr>
        <w:ind w:left="300" w:right="460"/>
        <w:spacing w:after="0" w:line="249" w:lineRule="auto"/>
        <w:rPr>
          <w:sz w:val="20"/>
          <w:szCs w:val="20"/>
          <w:color w:val="auto"/>
        </w:rPr>
      </w:pPr>
      <w:r>
        <w:rPr>
          <w:rFonts w:ascii="Arial" w:cs="Arial" w:eastAsia="Arial" w:hAnsi="Arial"/>
          <w:sz w:val="17"/>
          <w:szCs w:val="17"/>
          <w:b w:val="1"/>
          <w:bCs w:val="1"/>
          <w:color w:val="auto"/>
        </w:rPr>
        <w:t xml:space="preserve">Pay for Performance: </w:t>
      </w:r>
      <w:r>
        <w:rPr>
          <w:rFonts w:ascii="Arial" w:cs="Arial" w:eastAsia="Arial" w:hAnsi="Arial"/>
          <w:sz w:val="17"/>
          <w:szCs w:val="17"/>
          <w:color w:val="auto"/>
        </w:rPr>
        <w:t>Almost all of our executive officer compensation is tied to pre-set, objective performance criteria and long-term</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 value creation. In 2021, total direct compensation at target that was at risk and tied to stock price and performance objectives was 95% for our CEO, and 88% on average for our other named executive officers.</w:t>
      </w:r>
    </w:p>
    <w:p>
      <w:pPr>
        <w:spacing w:after="0" w:line="67" w:lineRule="exact"/>
        <w:rPr>
          <w:sz w:val="20"/>
          <w:szCs w:val="20"/>
          <w:color w:val="auto"/>
        </w:rPr>
      </w:pPr>
    </w:p>
    <w:p>
      <w:pPr>
        <w:ind w:left="300" w:right="700"/>
        <w:spacing w:after="0" w:line="267" w:lineRule="auto"/>
        <w:rPr>
          <w:sz w:val="20"/>
          <w:szCs w:val="20"/>
          <w:color w:val="auto"/>
        </w:rPr>
      </w:pPr>
      <w:r>
        <w:rPr>
          <w:rFonts w:ascii="Arial" w:cs="Arial" w:eastAsia="Arial" w:hAnsi="Arial"/>
          <w:sz w:val="17"/>
          <w:szCs w:val="17"/>
          <w:b w:val="1"/>
          <w:bCs w:val="1"/>
          <w:color w:val="auto"/>
        </w:rPr>
        <w:t xml:space="preserve">Performance-Based Equity: </w:t>
      </w:r>
      <w:r>
        <w:rPr>
          <w:rFonts w:ascii="Arial" w:cs="Arial" w:eastAsia="Arial" w:hAnsi="Arial"/>
          <w:sz w:val="17"/>
          <w:szCs w:val="17"/>
          <w:color w:val="auto"/>
        </w:rPr>
        <w:t>All restricted stock awards to our executive officers are subject to satisfaction of performance criteria (no</w:t>
      </w:r>
      <w:r>
        <w:rPr>
          <w:rFonts w:ascii="Arial" w:cs="Arial" w:eastAsia="Arial" w:hAnsi="Arial"/>
          <w:sz w:val="17"/>
          <w:szCs w:val="17"/>
          <w:b w:val="1"/>
          <w:bCs w:val="1"/>
          <w:color w:val="auto"/>
        </w:rPr>
        <w:t xml:space="preserve"> </w:t>
      </w:r>
      <w:r>
        <w:rPr>
          <w:rFonts w:ascii="Arial" w:cs="Arial" w:eastAsia="Arial" w:hAnsi="Arial"/>
          <w:sz w:val="17"/>
          <w:szCs w:val="17"/>
          <w:color w:val="auto"/>
        </w:rPr>
        <w:t>awards are solely time-based).</w:t>
      </w:r>
    </w:p>
    <w:p>
      <w:pPr>
        <w:spacing w:after="0" w:line="51" w:lineRule="exact"/>
        <w:rPr>
          <w:sz w:val="20"/>
          <w:szCs w:val="20"/>
          <w:color w:val="auto"/>
        </w:rPr>
      </w:pPr>
    </w:p>
    <w:p>
      <w:pPr>
        <w:ind w:left="300" w:right="1500"/>
        <w:spacing w:after="0" w:line="267" w:lineRule="auto"/>
        <w:rPr>
          <w:sz w:val="20"/>
          <w:szCs w:val="20"/>
          <w:color w:val="auto"/>
        </w:rPr>
      </w:pPr>
      <w:r>
        <w:rPr>
          <w:rFonts w:ascii="Arial" w:cs="Arial" w:eastAsia="Arial" w:hAnsi="Arial"/>
          <w:sz w:val="17"/>
          <w:szCs w:val="17"/>
          <w:b w:val="1"/>
          <w:bCs w:val="1"/>
          <w:color w:val="auto"/>
        </w:rPr>
        <w:t xml:space="preserve">Double Trigger Vesting: </w:t>
      </w:r>
      <w:r>
        <w:rPr>
          <w:rFonts w:ascii="Arial" w:cs="Arial" w:eastAsia="Arial" w:hAnsi="Arial"/>
          <w:sz w:val="17"/>
          <w:szCs w:val="17"/>
          <w:color w:val="auto"/>
        </w:rPr>
        <w:t>“Double trigger” vesting of equity awards if a change in control occurs; no excise tax gross-ups for</w:t>
      </w:r>
      <w:r>
        <w:rPr>
          <w:rFonts w:ascii="Arial" w:cs="Arial" w:eastAsia="Arial" w:hAnsi="Arial"/>
          <w:sz w:val="17"/>
          <w:szCs w:val="17"/>
          <w:b w:val="1"/>
          <w:bCs w:val="1"/>
          <w:color w:val="auto"/>
        </w:rPr>
        <w:t xml:space="preserve"> </w:t>
      </w:r>
      <w:r>
        <w:rPr>
          <w:rFonts w:ascii="Arial" w:cs="Arial" w:eastAsia="Arial" w:hAnsi="Arial"/>
          <w:sz w:val="17"/>
          <w:szCs w:val="17"/>
          <w:color w:val="auto"/>
        </w:rPr>
        <w:t>change-in-control payments.</w:t>
      </w:r>
    </w:p>
    <w:p>
      <w:pPr>
        <w:spacing w:after="0" w:line="51" w:lineRule="exact"/>
        <w:rPr>
          <w:sz w:val="20"/>
          <w:szCs w:val="20"/>
          <w:color w:val="auto"/>
        </w:rPr>
      </w:pPr>
    </w:p>
    <w:p>
      <w:pPr>
        <w:jc w:val="both"/>
        <w:ind w:left="300" w:right="260"/>
        <w:spacing w:after="0" w:line="249" w:lineRule="auto"/>
        <w:rPr>
          <w:sz w:val="20"/>
          <w:szCs w:val="20"/>
          <w:color w:val="auto"/>
        </w:rPr>
      </w:pPr>
      <w:r>
        <w:rPr>
          <w:rFonts w:ascii="Arial" w:cs="Arial" w:eastAsia="Arial" w:hAnsi="Arial"/>
          <w:sz w:val="17"/>
          <w:szCs w:val="17"/>
          <w:b w:val="1"/>
          <w:bCs w:val="1"/>
          <w:color w:val="auto"/>
        </w:rPr>
        <w:t xml:space="preserve">Three Year Vesting for Equity Awards: </w:t>
      </w:r>
      <w:r>
        <w:rPr>
          <w:rFonts w:ascii="Arial" w:cs="Arial" w:eastAsia="Arial" w:hAnsi="Arial"/>
          <w:sz w:val="17"/>
          <w:szCs w:val="17"/>
          <w:color w:val="auto"/>
        </w:rPr>
        <w:t>Beginning in 2022, equity awards made to the other named executive officers vest only at the end</w:t>
      </w:r>
      <w:r>
        <w:rPr>
          <w:rFonts w:ascii="Arial" w:cs="Arial" w:eastAsia="Arial" w:hAnsi="Arial"/>
          <w:sz w:val="17"/>
          <w:szCs w:val="17"/>
          <w:b w:val="1"/>
          <w:bCs w:val="1"/>
          <w:color w:val="auto"/>
        </w:rPr>
        <w:t xml:space="preserve"> </w:t>
      </w:r>
      <w:r>
        <w:rPr>
          <w:rFonts w:ascii="Arial" w:cs="Arial" w:eastAsia="Arial" w:hAnsi="Arial"/>
          <w:sz w:val="17"/>
          <w:szCs w:val="17"/>
          <w:color w:val="auto"/>
        </w:rPr>
        <w:t>of a three-year period, making such vesting consistent with CEO equity awards which have historically vested only at the end of a three-year period.</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Stock Ownership Guidelines: </w:t>
      </w:r>
      <w:r>
        <w:rPr>
          <w:rFonts w:ascii="Arial" w:cs="Arial" w:eastAsia="Arial" w:hAnsi="Arial"/>
          <w:sz w:val="17"/>
          <w:szCs w:val="17"/>
          <w:color w:val="auto"/>
        </w:rPr>
        <w:t>Substantial share ownership and retention guidelines for our executive officers and non-employee directors.</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Clawback Policy: </w:t>
      </w:r>
      <w:r>
        <w:rPr>
          <w:rFonts w:ascii="Arial" w:cs="Arial" w:eastAsia="Arial" w:hAnsi="Arial"/>
          <w:sz w:val="17"/>
          <w:szCs w:val="17"/>
          <w:color w:val="auto"/>
        </w:rPr>
        <w:t>We have a clawback policy to recoup erroneously paid cash and equity compensation.</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Dividends Only on Shares Earned: </w:t>
      </w:r>
      <w:r>
        <w:rPr>
          <w:rFonts w:ascii="Arial" w:cs="Arial" w:eastAsia="Arial" w:hAnsi="Arial"/>
          <w:sz w:val="17"/>
          <w:szCs w:val="17"/>
          <w:color w:val="auto"/>
        </w:rPr>
        <w:t>Dividends on executive officers’ restricted shares are paid only if the shares are earned.</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Annual Bonus Caps: </w:t>
      </w:r>
      <w:r>
        <w:rPr>
          <w:rFonts w:ascii="Arial" w:cs="Arial" w:eastAsia="Arial" w:hAnsi="Arial"/>
          <w:sz w:val="17"/>
          <w:szCs w:val="17"/>
          <w:color w:val="auto"/>
        </w:rPr>
        <w:t>We have caps on annual bonuses to avoid an excessive short-term focus and potentially adverse risk-taking.</w:t>
      </w:r>
    </w:p>
    <w:p>
      <w:pPr>
        <w:spacing w:after="0" w:line="344" w:lineRule="exact"/>
        <w:rPr>
          <w:sz w:val="20"/>
          <w:szCs w:val="20"/>
          <w:color w:val="auto"/>
        </w:rPr>
      </w:pPr>
    </w:p>
    <w:tbl>
      <w:tblPr>
        <w:tblLayout w:type="fixed"/>
        <w:tblInd w:w="7000" w:type="dxa"/>
        <w:tblCellMar>
          <w:top w:w="0" w:type="dxa"/>
          <w:left w:w="0" w:type="dxa"/>
          <w:bottom w:w="0" w:type="dxa"/>
          <w:right w:w="0" w:type="dxa"/>
        </w:tblCellMar>
      </w:tblPr>
      <w:tr>
        <w:trPr>
          <w:trHeight w:val="29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240" w:type="dxa"/>
            <w:vAlign w:val="bottom"/>
          </w:tcPr>
          <w:p>
            <w:pPr>
              <w:ind w:left="140"/>
              <w:spacing w:after="0"/>
              <w:rPr>
                <w:sz w:val="20"/>
                <w:szCs w:val="20"/>
                <w:color w:val="auto"/>
              </w:rPr>
            </w:pPr>
            <w:r>
              <w:rPr>
                <w:rFonts w:ascii="Arial" w:cs="Arial" w:eastAsia="Arial" w:hAnsi="Arial"/>
                <w:sz w:val="16"/>
                <w:szCs w:val="16"/>
                <w:b w:val="1"/>
                <w:bCs w:val="1"/>
                <w:color w:val="005CB9"/>
                <w:w w:val="89"/>
              </w:rPr>
              <w:t>v</w:t>
            </w:r>
          </w:p>
        </w:tc>
      </w:tr>
      <w:tr>
        <w:trPr>
          <w:trHeight w:val="100"/>
        </w:trPr>
        <w:tc>
          <w:tcPr>
            <w:tcW w:w="3900" w:type="dxa"/>
            <w:vAlign w:val="bottom"/>
            <w:tcBorders>
              <w:right w:val="single" w:sz="8" w:color="005CB9"/>
            </w:tcBorders>
          </w:tcPr>
          <w:p>
            <w:pPr>
              <w:spacing w:after="0"/>
              <w:rPr>
                <w:sz w:val="8"/>
                <w:szCs w:val="8"/>
                <w:color w:val="auto"/>
              </w:rPr>
            </w:pPr>
          </w:p>
        </w:tc>
        <w:tc>
          <w:tcPr>
            <w:tcW w:w="2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PROXY STATEMENT SUMMARY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318135</wp:posOffset>
            </wp:positionV>
            <wp:extent cx="7011670" cy="2802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167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No Repricing: </w:t>
      </w:r>
      <w:r>
        <w:rPr>
          <w:rFonts w:ascii="Arial" w:cs="Arial" w:eastAsia="Arial" w:hAnsi="Arial"/>
          <w:sz w:val="17"/>
          <w:szCs w:val="17"/>
          <w:color w:val="auto"/>
        </w:rPr>
        <w:t>Repricing of stock options absent shareholder approval is prohibited.</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Limited Benefits: </w:t>
      </w:r>
      <w:r>
        <w:rPr>
          <w:rFonts w:ascii="Arial" w:cs="Arial" w:eastAsia="Arial" w:hAnsi="Arial"/>
          <w:sz w:val="17"/>
          <w:szCs w:val="17"/>
          <w:color w:val="auto"/>
        </w:rPr>
        <w:t>No defined pension benefit plan, few perquisites, and limited severance agreements.</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ESG HIGHLIGHTS</w:t>
      </w:r>
    </w:p>
    <w:p>
      <w:pPr>
        <w:spacing w:after="0" w:line="228" w:lineRule="exact"/>
        <w:rPr>
          <w:sz w:val="20"/>
          <w:szCs w:val="20"/>
          <w:color w:val="auto"/>
        </w:rPr>
      </w:pPr>
    </w:p>
    <w:p>
      <w:pPr>
        <w:ind w:left="300" w:right="520"/>
        <w:spacing w:after="0" w:line="243" w:lineRule="auto"/>
        <w:rPr>
          <w:sz w:val="20"/>
          <w:szCs w:val="20"/>
          <w:color w:val="auto"/>
        </w:rPr>
      </w:pPr>
      <w:r>
        <w:rPr>
          <w:rFonts w:ascii="Arial" w:cs="Arial" w:eastAsia="Arial" w:hAnsi="Arial"/>
          <w:sz w:val="17"/>
          <w:szCs w:val="17"/>
          <w:color w:val="auto"/>
        </w:rPr>
        <w:t>We are committed to conducting business in an ethically and socially responsible manner. We are in the early stages of our long-term, committed ESG journey and have taken the following steps to enhance our ESG program:</w:t>
      </w:r>
    </w:p>
    <w:p>
      <w:pPr>
        <w:spacing w:after="0" w:line="70" w:lineRule="exact"/>
        <w:rPr>
          <w:sz w:val="20"/>
          <w:szCs w:val="20"/>
          <w:color w:val="auto"/>
        </w:rPr>
      </w:pPr>
    </w:p>
    <w:p>
      <w:pPr>
        <w:ind w:left="300" w:right="160"/>
        <w:spacing w:after="0" w:line="249" w:lineRule="auto"/>
        <w:rPr>
          <w:sz w:val="20"/>
          <w:szCs w:val="20"/>
          <w:color w:val="auto"/>
        </w:rPr>
      </w:pPr>
      <w:r>
        <w:rPr>
          <w:rFonts w:ascii="Arial" w:cs="Arial" w:eastAsia="Arial" w:hAnsi="Arial"/>
          <w:sz w:val="17"/>
          <w:szCs w:val="17"/>
          <w:b w:val="1"/>
          <w:bCs w:val="1"/>
          <w:color w:val="auto"/>
        </w:rPr>
        <w:t xml:space="preserve">ESG Governance: </w:t>
      </w:r>
      <w:r>
        <w:rPr>
          <w:rFonts w:ascii="Arial" w:cs="Arial" w:eastAsia="Arial" w:hAnsi="Arial"/>
          <w:sz w:val="17"/>
          <w:szCs w:val="17"/>
          <w:color w:val="auto"/>
        </w:rPr>
        <w:t>In 2021 as a first step we appointed an ESG Officer to spearhead our efforts to enhance our ESG program. In addition,</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our businesses appointed an ESG Coordinator to assist in the development of the Roper ESG program. We also launched an enterprise-wide data collection effort that we plan to improve over time.</w:t>
      </w:r>
    </w:p>
    <w:p>
      <w:pPr>
        <w:spacing w:after="0" w:line="67" w:lineRule="exact"/>
        <w:rPr>
          <w:sz w:val="20"/>
          <w:szCs w:val="20"/>
          <w:color w:val="auto"/>
        </w:rPr>
      </w:pPr>
    </w:p>
    <w:p>
      <w:pPr>
        <w:ind w:left="300" w:right="400"/>
        <w:spacing w:after="0" w:line="249" w:lineRule="auto"/>
        <w:rPr>
          <w:sz w:val="20"/>
          <w:szCs w:val="20"/>
          <w:color w:val="auto"/>
        </w:rPr>
      </w:pPr>
      <w:r>
        <w:rPr>
          <w:rFonts w:ascii="Arial" w:cs="Arial" w:eastAsia="Arial" w:hAnsi="Arial"/>
          <w:sz w:val="17"/>
          <w:szCs w:val="17"/>
          <w:b w:val="1"/>
          <w:bCs w:val="1"/>
          <w:color w:val="auto"/>
        </w:rPr>
        <w:t>Inaugural ESG Report</w:t>
      </w:r>
      <w:r>
        <w:rPr>
          <w:rFonts w:ascii="Arial" w:cs="Arial" w:eastAsia="Arial" w:hAnsi="Arial"/>
          <w:sz w:val="17"/>
          <w:szCs w:val="17"/>
          <w:color w:val="auto"/>
        </w:rPr>
        <w:t>: In April 2022, we published our first comprehensive enterprise-wide ESG Report. In the report we provide an</w:t>
      </w:r>
      <w:r>
        <w:rPr>
          <w:rFonts w:ascii="Arial" w:cs="Arial" w:eastAsia="Arial" w:hAnsi="Arial"/>
          <w:sz w:val="17"/>
          <w:szCs w:val="17"/>
          <w:b w:val="1"/>
          <w:bCs w:val="1"/>
          <w:color w:val="auto"/>
        </w:rPr>
        <w:t xml:space="preserve"> </w:t>
      </w:r>
      <w:r>
        <w:rPr>
          <w:rFonts w:ascii="Arial" w:cs="Arial" w:eastAsia="Arial" w:hAnsi="Arial"/>
          <w:sz w:val="17"/>
          <w:szCs w:val="17"/>
          <w:color w:val="auto"/>
        </w:rPr>
        <w:t>overview of the issues of importance to our stakeholders, disclose data regarding our performance in these areas, highlight some of the impactful activities already in place in our 43 businesses, and identify areas where we aspire to improve.</w:t>
      </w:r>
    </w:p>
    <w:p>
      <w:pPr>
        <w:spacing w:after="0" w:line="67" w:lineRule="exact"/>
        <w:rPr>
          <w:sz w:val="20"/>
          <w:szCs w:val="20"/>
          <w:color w:val="auto"/>
        </w:rPr>
      </w:pPr>
    </w:p>
    <w:p>
      <w:pPr>
        <w:ind w:left="300"/>
        <w:spacing w:after="0" w:line="241" w:lineRule="auto"/>
        <w:rPr>
          <w:sz w:val="20"/>
          <w:szCs w:val="20"/>
          <w:color w:val="auto"/>
        </w:rPr>
      </w:pPr>
      <w:r>
        <w:rPr>
          <w:rFonts w:ascii="Arial" w:cs="Arial" w:eastAsia="Arial" w:hAnsi="Arial"/>
          <w:sz w:val="17"/>
          <w:szCs w:val="17"/>
          <w:b w:val="1"/>
          <w:bCs w:val="1"/>
          <w:color w:val="auto"/>
        </w:rPr>
        <w:t xml:space="preserve">OneTen Coalition: </w:t>
      </w:r>
      <w:r>
        <w:rPr>
          <w:rFonts w:ascii="Arial" w:cs="Arial" w:eastAsia="Arial" w:hAnsi="Arial"/>
          <w:sz w:val="17"/>
          <w:szCs w:val="17"/>
          <w:color w:val="auto"/>
        </w:rPr>
        <w:t>In December 2020, Roper became a founding member of OneTen, a coalition of leading companies working together to</w:t>
      </w:r>
      <w:r>
        <w:rPr>
          <w:rFonts w:ascii="Arial" w:cs="Arial" w:eastAsia="Arial" w:hAnsi="Arial"/>
          <w:sz w:val="17"/>
          <w:szCs w:val="17"/>
          <w:b w:val="1"/>
          <w:bCs w:val="1"/>
          <w:color w:val="auto"/>
        </w:rPr>
        <w:t xml:space="preserve"> </w:t>
      </w:r>
      <w:r>
        <w:rPr>
          <w:rFonts w:ascii="Arial" w:cs="Arial" w:eastAsia="Arial" w:hAnsi="Arial"/>
          <w:sz w:val="17"/>
          <w:szCs w:val="17"/>
          <w:color w:val="auto"/>
        </w:rPr>
        <w:t>upskill, hire and promote one million Black individuals without four-year degrees into family sustaining jobs with opportunities for advancement over the next ten years. Our CEO, Neil Hunn, serves on the coalition’s Board of Directors and Advisory Board. In our inaugural first year, eight of our businesses engaged with OneTen directly to refine hiring and promotion practices and to better calibrate compensation, onboarding and cultural practices to align with and support OneTen’s mission.</w:t>
      </w:r>
    </w:p>
    <w:p>
      <w:pPr>
        <w:spacing w:after="0" w:line="200" w:lineRule="exact"/>
        <w:rPr>
          <w:sz w:val="20"/>
          <w:szCs w:val="20"/>
          <w:color w:val="auto"/>
        </w:rPr>
      </w:pP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4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vi</w:t>
            </w:r>
          </w:p>
        </w:tc>
        <w:tc>
          <w:tcPr>
            <w:tcW w:w="4700" w:type="dxa"/>
            <w:vAlign w:val="bottom"/>
          </w:tcPr>
          <w:p>
            <w:pPr>
              <w:ind w:left="106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0"/>
        </w:trPr>
        <w:tc>
          <w:tcPr>
            <w:tcW w:w="400" w:type="dxa"/>
            <w:vAlign w:val="bottom"/>
            <w:tcBorders>
              <w:right w:val="single" w:sz="8" w:color="005CB9"/>
            </w:tcBorders>
          </w:tcPr>
          <w:p>
            <w:pPr>
              <w:spacing w:after="0"/>
              <w:rPr>
                <w:sz w:val="8"/>
                <w:szCs w:val="8"/>
                <w:color w:val="auto"/>
              </w:rPr>
            </w:pPr>
          </w:p>
        </w:tc>
        <w:tc>
          <w:tcPr>
            <w:tcW w:w="47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PROPOSAL 1: ELECTION OF DIRECTORS</w:t>
      </w:r>
    </w:p>
    <w:p>
      <w:pPr>
        <w:spacing w:after="0" w:line="326"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Our Certificate of Incorporation provides that the Board of Directors of the Company (the “Board of Directors” or the “Board”) will consist of a number of members to be fixed, from time to time, by the Board of Directors, but not less than the minimum number required under Delaware law. The Board of Directors is currently comprised of ten directors who are elected on an annual basis.</w:t>
      </w:r>
    </w:p>
    <w:p>
      <w:pPr>
        <w:spacing w:after="0" w:line="20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With the exception of John F. Fort, who will retire at the Annual Meeting, our Board unanimously recommended each incumbent director for reelection at the 2022 Annual Meeting. If reelected, the director nominees will serve until the 2023 Annual Meeting and until their successors have been duly elected and qualified. Certain information about our director nominees is set forth under “Board of Directors.” This information includes the business experience, qualifications, attributes and skills that each individual brings to our Board. Mr. Fort, who has served as a director since 1995, is retiring effective at the Annual Meeting consistent with the retirement provisions of our Corporate Governance Guidelines. As a result, our Board size will be reduced from ten to nine members effective at the Annual Meeting.</w:t>
      </w:r>
    </w:p>
    <w:p>
      <w:pPr>
        <w:spacing w:after="0" w:line="202"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Although not anticipated, if prior to the meeting a director nominee is unable to serve, the proxy will be voted for a substitute nominee selected by the Board of Directors or the Board may choose to reduce its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133985</wp:posOffset>
            </wp:positionV>
            <wp:extent cx="7020560" cy="419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20560" cy="419735"/>
                    </a:xfrm>
                    <a:prstGeom prst="rect">
                      <a:avLst/>
                    </a:prstGeom>
                    <a:noFill/>
                  </pic:spPr>
                </pic:pic>
              </a:graphicData>
            </a:graphic>
          </wp:anchor>
        </w:drawing>
      </w:r>
    </w:p>
    <w:p>
      <w:pPr>
        <w:spacing w:after="0" w:line="296" w:lineRule="exact"/>
        <w:rPr>
          <w:sz w:val="20"/>
          <w:szCs w:val="20"/>
          <w:color w:val="auto"/>
        </w:rPr>
      </w:pPr>
    </w:p>
    <w:p>
      <w:pPr>
        <w:ind w:left="560" w:right="1000"/>
        <w:spacing w:after="0" w:line="271" w:lineRule="auto"/>
        <w:rPr>
          <w:sz w:val="20"/>
          <w:szCs w:val="20"/>
          <w:color w:val="auto"/>
        </w:rPr>
      </w:pPr>
      <w:r>
        <w:rPr>
          <w:rFonts w:ascii="Arial" w:cs="Arial" w:eastAsia="Arial" w:hAnsi="Arial"/>
          <w:sz w:val="18"/>
          <w:szCs w:val="18"/>
          <w:b w:val="1"/>
          <w:bCs w:val="1"/>
          <w:color w:val="auto"/>
        </w:rPr>
        <w:t>The Board of Directors recommends a vote “FOR” the election to the Board of Directors of each of the following director nominees:</w:t>
      </w: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2140" w:type="dxa"/>
            <w:vAlign w:val="bottom"/>
            <w:shd w:val="clear" w:color="auto" w:fill="005CB9"/>
          </w:tcPr>
          <w:p>
            <w:pPr>
              <w:spacing w:after="0"/>
              <w:rPr>
                <w:sz w:val="18"/>
                <w:szCs w:val="18"/>
                <w:color w:val="auto"/>
              </w:rPr>
            </w:pPr>
          </w:p>
        </w:tc>
        <w:tc>
          <w:tcPr>
            <w:tcW w:w="880" w:type="dxa"/>
            <w:vAlign w:val="bottom"/>
            <w:shd w:val="clear" w:color="auto" w:fill="005CB9"/>
          </w:tcPr>
          <w:p>
            <w:pPr>
              <w:spacing w:after="0"/>
              <w:rPr>
                <w:sz w:val="18"/>
                <w:szCs w:val="18"/>
                <w:color w:val="auto"/>
              </w:rPr>
            </w:pPr>
          </w:p>
        </w:tc>
        <w:tc>
          <w:tcPr>
            <w:tcW w:w="980" w:type="dxa"/>
            <w:vAlign w:val="bottom"/>
            <w:shd w:val="clear" w:color="auto" w:fill="005CB9"/>
          </w:tcPr>
          <w:p>
            <w:pPr>
              <w:jc w:val="center"/>
              <w:spacing w:after="0"/>
              <w:rPr>
                <w:sz w:val="20"/>
                <w:szCs w:val="20"/>
                <w:color w:val="auto"/>
              </w:rPr>
            </w:pPr>
            <w:r>
              <w:rPr>
                <w:rFonts w:ascii="Arial" w:cs="Arial" w:eastAsia="Arial" w:hAnsi="Arial"/>
                <w:sz w:val="16"/>
                <w:szCs w:val="16"/>
                <w:color w:val="FFFFFF"/>
              </w:rPr>
              <w:t>Director</w:t>
            </w:r>
          </w:p>
        </w:tc>
        <w:tc>
          <w:tcPr>
            <w:tcW w:w="1500" w:type="dxa"/>
            <w:vAlign w:val="bottom"/>
            <w:shd w:val="clear" w:color="auto" w:fill="005CB9"/>
          </w:tcPr>
          <w:p>
            <w:pPr>
              <w:spacing w:after="0"/>
              <w:rPr>
                <w:sz w:val="18"/>
                <w:szCs w:val="18"/>
                <w:color w:val="auto"/>
              </w:rPr>
            </w:pPr>
          </w:p>
        </w:tc>
        <w:tc>
          <w:tcPr>
            <w:tcW w:w="5260" w:type="dxa"/>
            <w:vAlign w:val="bottom"/>
            <w:shd w:val="clear" w:color="auto" w:fill="005CB9"/>
          </w:tcPr>
          <w:p>
            <w:pPr>
              <w:spacing w:after="0"/>
              <w:rPr>
                <w:sz w:val="18"/>
                <w:szCs w:val="18"/>
                <w:color w:val="auto"/>
              </w:rPr>
            </w:pPr>
          </w:p>
        </w:tc>
        <w:tc>
          <w:tcPr>
            <w:tcW w:w="260" w:type="dxa"/>
            <w:vAlign w:val="bottom"/>
            <w:tcBorders>
              <w:left w:val="single" w:sz="8" w:color="005CB9"/>
            </w:tcBorders>
            <w:shd w:val="clear" w:color="auto" w:fill="005CB9"/>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140" w:type="dxa"/>
            <w:vAlign w:val="bottom"/>
            <w:tcBorders>
              <w:bottom w:val="single" w:sz="8" w:color="005CB9"/>
            </w:tcBorders>
            <w:shd w:val="clear" w:color="auto" w:fill="005CB9"/>
          </w:tcPr>
          <w:p>
            <w:pPr>
              <w:ind w:left="860"/>
              <w:spacing w:after="0"/>
              <w:rPr>
                <w:sz w:val="20"/>
                <w:szCs w:val="20"/>
                <w:color w:val="auto"/>
              </w:rPr>
            </w:pPr>
            <w:r>
              <w:rPr>
                <w:rFonts w:ascii="Arial" w:cs="Arial" w:eastAsia="Arial" w:hAnsi="Arial"/>
                <w:sz w:val="16"/>
                <w:szCs w:val="16"/>
                <w:color w:val="FFFFFF"/>
              </w:rPr>
              <w:t>Name</w:t>
            </w:r>
          </w:p>
        </w:tc>
        <w:tc>
          <w:tcPr>
            <w:tcW w:w="880" w:type="dxa"/>
            <w:vAlign w:val="bottom"/>
            <w:tcBorders>
              <w:bottom w:val="single" w:sz="8" w:color="005CB9"/>
            </w:tcBorders>
            <w:shd w:val="clear" w:color="auto" w:fill="005CB9"/>
          </w:tcPr>
          <w:p>
            <w:pPr>
              <w:jc w:val="center"/>
              <w:ind w:left="115"/>
              <w:spacing w:after="0"/>
              <w:rPr>
                <w:sz w:val="20"/>
                <w:szCs w:val="20"/>
                <w:color w:val="auto"/>
              </w:rPr>
            </w:pPr>
            <w:r>
              <w:rPr>
                <w:rFonts w:ascii="Arial" w:cs="Arial" w:eastAsia="Arial" w:hAnsi="Arial"/>
                <w:sz w:val="16"/>
                <w:szCs w:val="16"/>
                <w:color w:val="FFFFFF"/>
                <w:w w:val="98"/>
              </w:rPr>
              <w:t>Age</w:t>
            </w:r>
          </w:p>
        </w:tc>
        <w:tc>
          <w:tcPr>
            <w:tcW w:w="98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6"/>
                <w:szCs w:val="16"/>
                <w:color w:val="FFFFFF"/>
                <w:w w:val="99"/>
              </w:rPr>
              <w:t>Since</w:t>
            </w:r>
          </w:p>
        </w:tc>
        <w:tc>
          <w:tcPr>
            <w:tcW w:w="1500" w:type="dxa"/>
            <w:vAlign w:val="bottom"/>
            <w:tcBorders>
              <w:bottom w:val="single" w:sz="8" w:color="005CB9"/>
            </w:tcBorders>
            <w:shd w:val="clear" w:color="auto" w:fill="005CB9"/>
          </w:tcPr>
          <w:p>
            <w:pPr>
              <w:jc w:val="center"/>
              <w:ind w:right="115"/>
              <w:spacing w:after="0"/>
              <w:rPr>
                <w:sz w:val="20"/>
                <w:szCs w:val="20"/>
                <w:color w:val="auto"/>
              </w:rPr>
            </w:pPr>
            <w:r>
              <w:rPr>
                <w:rFonts w:ascii="Arial" w:cs="Arial" w:eastAsia="Arial" w:hAnsi="Arial"/>
                <w:sz w:val="16"/>
                <w:szCs w:val="16"/>
                <w:color w:val="FFFFFF"/>
              </w:rPr>
              <w:t>Independent</w:t>
            </w:r>
          </w:p>
        </w:tc>
        <w:tc>
          <w:tcPr>
            <w:tcW w:w="5260" w:type="dxa"/>
            <w:vAlign w:val="bottom"/>
            <w:tcBorders>
              <w:bottom w:val="single" w:sz="8" w:color="005CB9"/>
            </w:tcBorders>
            <w:shd w:val="clear" w:color="auto" w:fill="005CB9"/>
          </w:tcPr>
          <w:p>
            <w:pPr>
              <w:ind w:left="2040"/>
              <w:spacing w:after="0"/>
              <w:rPr>
                <w:sz w:val="20"/>
                <w:szCs w:val="20"/>
                <w:color w:val="auto"/>
              </w:rPr>
            </w:pPr>
            <w:r>
              <w:rPr>
                <w:rFonts w:ascii="Arial" w:cs="Arial" w:eastAsia="Arial" w:hAnsi="Arial"/>
                <w:sz w:val="16"/>
                <w:szCs w:val="16"/>
                <w:color w:val="FFFFFF"/>
              </w:rPr>
              <w:t>Primary Occupation</w:t>
            </w:r>
          </w:p>
        </w:tc>
        <w:tc>
          <w:tcPr>
            <w:tcW w:w="260" w:type="dxa"/>
            <w:vAlign w:val="bottom"/>
            <w:tcBorders>
              <w:left w:val="single" w:sz="8" w:color="005CB9"/>
              <w:bottom w:val="single" w:sz="8" w:color="005CB9"/>
            </w:tcBorders>
            <w:shd w:val="clear" w:color="auto" w:fill="005CB9"/>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140" w:type="dxa"/>
            <w:vAlign w:val="bottom"/>
          </w:tcPr>
          <w:p>
            <w:pPr>
              <w:spacing w:after="0"/>
              <w:rPr>
                <w:sz w:val="20"/>
                <w:szCs w:val="20"/>
                <w:color w:val="auto"/>
              </w:rPr>
            </w:pPr>
            <w:r>
              <w:rPr>
                <w:rFonts w:ascii="Arial" w:cs="Arial" w:eastAsia="Arial" w:hAnsi="Arial"/>
                <w:sz w:val="17"/>
                <w:szCs w:val="17"/>
                <w:color w:val="005CB9"/>
              </w:rPr>
              <w:t>Shellye L. Archambeau</w:t>
            </w:r>
          </w:p>
        </w:tc>
        <w:tc>
          <w:tcPr>
            <w:tcW w:w="880" w:type="dxa"/>
            <w:vAlign w:val="bottom"/>
          </w:tcPr>
          <w:p>
            <w:pPr>
              <w:jc w:val="center"/>
              <w:ind w:left="115"/>
              <w:spacing w:after="0"/>
              <w:rPr>
                <w:sz w:val="20"/>
                <w:szCs w:val="20"/>
                <w:color w:val="auto"/>
              </w:rPr>
            </w:pPr>
            <w:r>
              <w:rPr>
                <w:rFonts w:ascii="Arial" w:cs="Arial" w:eastAsia="Arial" w:hAnsi="Arial"/>
                <w:sz w:val="17"/>
                <w:szCs w:val="17"/>
                <w:color w:val="auto"/>
              </w:rPr>
              <w:t>59</w:t>
            </w:r>
          </w:p>
        </w:tc>
        <w:tc>
          <w:tcPr>
            <w:tcW w:w="980" w:type="dxa"/>
            <w:vAlign w:val="bottom"/>
          </w:tcPr>
          <w:p>
            <w:pPr>
              <w:jc w:val="center"/>
              <w:spacing w:after="0"/>
              <w:rPr>
                <w:sz w:val="20"/>
                <w:szCs w:val="20"/>
                <w:color w:val="auto"/>
              </w:rPr>
            </w:pPr>
            <w:r>
              <w:rPr>
                <w:rFonts w:ascii="Arial" w:cs="Arial" w:eastAsia="Arial" w:hAnsi="Arial"/>
                <w:sz w:val="17"/>
                <w:szCs w:val="17"/>
                <w:color w:val="auto"/>
              </w:rPr>
              <w:t>2018</w:t>
            </w:r>
          </w:p>
        </w:tc>
        <w:tc>
          <w:tcPr>
            <w:tcW w:w="1500" w:type="dxa"/>
            <w:vAlign w:val="bottom"/>
          </w:tcPr>
          <w:p>
            <w:pPr>
              <w:jc w:val="center"/>
              <w:ind w:right="135"/>
              <w:spacing w:after="0"/>
              <w:rPr>
                <w:sz w:val="20"/>
                <w:szCs w:val="20"/>
                <w:color w:val="auto"/>
              </w:rPr>
            </w:pPr>
            <w:r>
              <w:rPr>
                <w:rFonts w:ascii="Arial" w:cs="Arial" w:eastAsia="Arial" w:hAnsi="Arial"/>
                <w:sz w:val="17"/>
                <w:szCs w:val="17"/>
                <w:color w:val="auto"/>
                <w:w w:val="95"/>
              </w:rPr>
              <w:t>Yes</w:t>
            </w:r>
          </w:p>
        </w:tc>
        <w:tc>
          <w:tcPr>
            <w:tcW w:w="5260" w:type="dxa"/>
            <w:vAlign w:val="bottom"/>
          </w:tcPr>
          <w:p>
            <w:pPr>
              <w:spacing w:after="0"/>
              <w:rPr>
                <w:sz w:val="20"/>
                <w:szCs w:val="20"/>
                <w:color w:val="auto"/>
              </w:rPr>
            </w:pPr>
            <w:r>
              <w:rPr>
                <w:rFonts w:ascii="Arial" w:cs="Arial" w:eastAsia="Arial" w:hAnsi="Arial"/>
                <w:sz w:val="17"/>
                <w:szCs w:val="17"/>
                <w:color w:val="auto"/>
              </w:rPr>
              <w:t>Former Chief Executive Officer, MetricStream, Inc.</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214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980" w:type="dxa"/>
            <w:vAlign w:val="bottom"/>
            <w:tcBorders>
              <w:bottom w:val="single" w:sz="8" w:color="005CB9"/>
            </w:tcBorders>
          </w:tcPr>
          <w:p>
            <w:pPr>
              <w:spacing w:after="0"/>
              <w:rPr>
                <w:sz w:val="3"/>
                <w:szCs w:val="3"/>
                <w:color w:val="auto"/>
              </w:rPr>
            </w:pPr>
          </w:p>
        </w:tc>
        <w:tc>
          <w:tcPr>
            <w:tcW w:w="1500" w:type="dxa"/>
            <w:vAlign w:val="bottom"/>
            <w:tcBorders>
              <w:bottom w:val="single" w:sz="8" w:color="005CB9"/>
            </w:tcBorders>
          </w:tcPr>
          <w:p>
            <w:pPr>
              <w:spacing w:after="0"/>
              <w:rPr>
                <w:sz w:val="3"/>
                <w:szCs w:val="3"/>
                <w:color w:val="auto"/>
              </w:rPr>
            </w:pPr>
          </w:p>
        </w:tc>
        <w:tc>
          <w:tcPr>
            <w:tcW w:w="5260" w:type="dxa"/>
            <w:vAlign w:val="bottom"/>
            <w:tcBorders>
              <w:bottom w:val="single" w:sz="8" w:color="005CB9"/>
            </w:tcBorders>
          </w:tcPr>
          <w:p>
            <w:pPr>
              <w:spacing w:after="0"/>
              <w:rPr>
                <w:sz w:val="3"/>
                <w:szCs w:val="3"/>
                <w:color w:val="auto"/>
              </w:rPr>
            </w:pPr>
          </w:p>
        </w:tc>
        <w:tc>
          <w:tcPr>
            <w:tcW w:w="26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140" w:type="dxa"/>
            <w:vAlign w:val="bottom"/>
          </w:tcPr>
          <w:p>
            <w:pPr>
              <w:spacing w:after="0"/>
              <w:rPr>
                <w:sz w:val="20"/>
                <w:szCs w:val="20"/>
                <w:color w:val="auto"/>
              </w:rPr>
            </w:pPr>
            <w:r>
              <w:rPr>
                <w:rFonts w:ascii="Arial" w:cs="Arial" w:eastAsia="Arial" w:hAnsi="Arial"/>
                <w:sz w:val="17"/>
                <w:szCs w:val="17"/>
                <w:color w:val="005CB9"/>
              </w:rPr>
              <w:t>Amy Woods Brinkley</w:t>
            </w:r>
          </w:p>
        </w:tc>
        <w:tc>
          <w:tcPr>
            <w:tcW w:w="880" w:type="dxa"/>
            <w:vAlign w:val="bottom"/>
          </w:tcPr>
          <w:p>
            <w:pPr>
              <w:jc w:val="center"/>
              <w:ind w:left="115"/>
              <w:spacing w:after="0"/>
              <w:rPr>
                <w:sz w:val="20"/>
                <w:szCs w:val="20"/>
                <w:color w:val="auto"/>
              </w:rPr>
            </w:pPr>
            <w:r>
              <w:rPr>
                <w:rFonts w:ascii="Arial" w:cs="Arial" w:eastAsia="Arial" w:hAnsi="Arial"/>
                <w:sz w:val="17"/>
                <w:szCs w:val="17"/>
                <w:color w:val="auto"/>
              </w:rPr>
              <w:t>66</w:t>
            </w:r>
          </w:p>
        </w:tc>
        <w:tc>
          <w:tcPr>
            <w:tcW w:w="980" w:type="dxa"/>
            <w:vAlign w:val="bottom"/>
          </w:tcPr>
          <w:p>
            <w:pPr>
              <w:jc w:val="center"/>
              <w:spacing w:after="0"/>
              <w:rPr>
                <w:sz w:val="20"/>
                <w:szCs w:val="20"/>
                <w:color w:val="auto"/>
              </w:rPr>
            </w:pPr>
            <w:r>
              <w:rPr>
                <w:rFonts w:ascii="Arial" w:cs="Arial" w:eastAsia="Arial" w:hAnsi="Arial"/>
                <w:sz w:val="17"/>
                <w:szCs w:val="17"/>
                <w:color w:val="auto"/>
              </w:rPr>
              <w:t>2015</w:t>
            </w:r>
          </w:p>
        </w:tc>
        <w:tc>
          <w:tcPr>
            <w:tcW w:w="1500" w:type="dxa"/>
            <w:vAlign w:val="bottom"/>
          </w:tcPr>
          <w:p>
            <w:pPr>
              <w:jc w:val="center"/>
              <w:ind w:right="135"/>
              <w:spacing w:after="0"/>
              <w:rPr>
                <w:sz w:val="20"/>
                <w:szCs w:val="20"/>
                <w:color w:val="auto"/>
              </w:rPr>
            </w:pPr>
            <w:r>
              <w:rPr>
                <w:rFonts w:ascii="Arial" w:cs="Arial" w:eastAsia="Arial" w:hAnsi="Arial"/>
                <w:sz w:val="17"/>
                <w:szCs w:val="17"/>
                <w:color w:val="auto"/>
                <w:w w:val="95"/>
              </w:rPr>
              <w:t>Yes</w:t>
            </w:r>
          </w:p>
        </w:tc>
        <w:tc>
          <w:tcPr>
            <w:tcW w:w="5260" w:type="dxa"/>
            <w:vAlign w:val="bottom"/>
          </w:tcPr>
          <w:p>
            <w:pPr>
              <w:spacing w:after="0"/>
              <w:rPr>
                <w:sz w:val="20"/>
                <w:szCs w:val="20"/>
                <w:color w:val="auto"/>
              </w:rPr>
            </w:pPr>
            <w:r>
              <w:rPr>
                <w:rFonts w:ascii="Arial" w:cs="Arial" w:eastAsia="Arial" w:hAnsi="Arial"/>
                <w:sz w:val="17"/>
                <w:szCs w:val="17"/>
                <w:color w:val="auto"/>
              </w:rPr>
              <w:t>Retired Chief Risk Officer, Bank of America Corp.</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
        </w:trPr>
        <w:tc>
          <w:tcPr>
            <w:tcW w:w="214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980" w:type="dxa"/>
            <w:vAlign w:val="bottom"/>
            <w:tcBorders>
              <w:bottom w:val="single" w:sz="8" w:color="005CB9"/>
            </w:tcBorders>
          </w:tcPr>
          <w:p>
            <w:pPr>
              <w:spacing w:after="0"/>
              <w:rPr>
                <w:sz w:val="3"/>
                <w:szCs w:val="3"/>
                <w:color w:val="auto"/>
              </w:rPr>
            </w:pPr>
          </w:p>
        </w:tc>
        <w:tc>
          <w:tcPr>
            <w:tcW w:w="1500" w:type="dxa"/>
            <w:vAlign w:val="bottom"/>
            <w:tcBorders>
              <w:bottom w:val="single" w:sz="8" w:color="005CB9"/>
            </w:tcBorders>
          </w:tcPr>
          <w:p>
            <w:pPr>
              <w:spacing w:after="0"/>
              <w:rPr>
                <w:sz w:val="3"/>
                <w:szCs w:val="3"/>
                <w:color w:val="auto"/>
              </w:rPr>
            </w:pPr>
          </w:p>
        </w:tc>
        <w:tc>
          <w:tcPr>
            <w:tcW w:w="5260" w:type="dxa"/>
            <w:vAlign w:val="bottom"/>
            <w:tcBorders>
              <w:bottom w:val="single" w:sz="8" w:color="005CB9"/>
            </w:tcBorders>
          </w:tcPr>
          <w:p>
            <w:pPr>
              <w:spacing w:after="0"/>
              <w:rPr>
                <w:sz w:val="3"/>
                <w:szCs w:val="3"/>
                <w:color w:val="auto"/>
              </w:rPr>
            </w:pPr>
          </w:p>
        </w:tc>
        <w:tc>
          <w:tcPr>
            <w:tcW w:w="26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140" w:type="dxa"/>
            <w:vAlign w:val="bottom"/>
          </w:tcPr>
          <w:p>
            <w:pPr>
              <w:spacing w:after="0"/>
              <w:rPr>
                <w:sz w:val="20"/>
                <w:szCs w:val="20"/>
                <w:color w:val="auto"/>
              </w:rPr>
            </w:pPr>
            <w:r>
              <w:rPr>
                <w:rFonts w:ascii="Arial" w:cs="Arial" w:eastAsia="Arial" w:hAnsi="Arial"/>
                <w:sz w:val="17"/>
                <w:szCs w:val="17"/>
                <w:color w:val="005CB9"/>
              </w:rPr>
              <w:t>Irene M. Esteves</w:t>
            </w:r>
          </w:p>
        </w:tc>
        <w:tc>
          <w:tcPr>
            <w:tcW w:w="880" w:type="dxa"/>
            <w:vAlign w:val="bottom"/>
          </w:tcPr>
          <w:p>
            <w:pPr>
              <w:jc w:val="center"/>
              <w:ind w:left="115"/>
              <w:spacing w:after="0"/>
              <w:rPr>
                <w:sz w:val="20"/>
                <w:szCs w:val="20"/>
                <w:color w:val="auto"/>
              </w:rPr>
            </w:pPr>
            <w:r>
              <w:rPr>
                <w:rFonts w:ascii="Arial" w:cs="Arial" w:eastAsia="Arial" w:hAnsi="Arial"/>
                <w:sz w:val="17"/>
                <w:szCs w:val="17"/>
                <w:color w:val="auto"/>
              </w:rPr>
              <w:t>63</w:t>
            </w:r>
          </w:p>
        </w:tc>
        <w:tc>
          <w:tcPr>
            <w:tcW w:w="980" w:type="dxa"/>
            <w:vAlign w:val="bottom"/>
          </w:tcPr>
          <w:p>
            <w:pPr>
              <w:jc w:val="center"/>
              <w:spacing w:after="0"/>
              <w:rPr>
                <w:sz w:val="20"/>
                <w:szCs w:val="20"/>
                <w:color w:val="auto"/>
              </w:rPr>
            </w:pPr>
            <w:r>
              <w:rPr>
                <w:rFonts w:ascii="Arial" w:cs="Arial" w:eastAsia="Arial" w:hAnsi="Arial"/>
                <w:sz w:val="17"/>
                <w:szCs w:val="17"/>
                <w:color w:val="auto"/>
              </w:rPr>
              <w:t>2021</w:t>
            </w:r>
          </w:p>
        </w:tc>
        <w:tc>
          <w:tcPr>
            <w:tcW w:w="1500" w:type="dxa"/>
            <w:vAlign w:val="bottom"/>
          </w:tcPr>
          <w:p>
            <w:pPr>
              <w:jc w:val="center"/>
              <w:ind w:right="135"/>
              <w:spacing w:after="0"/>
              <w:rPr>
                <w:sz w:val="20"/>
                <w:szCs w:val="20"/>
                <w:color w:val="auto"/>
              </w:rPr>
            </w:pPr>
            <w:r>
              <w:rPr>
                <w:rFonts w:ascii="Arial" w:cs="Arial" w:eastAsia="Arial" w:hAnsi="Arial"/>
                <w:sz w:val="17"/>
                <w:szCs w:val="17"/>
                <w:color w:val="auto"/>
                <w:w w:val="95"/>
              </w:rPr>
              <w:t>Yes</w:t>
            </w:r>
          </w:p>
        </w:tc>
        <w:tc>
          <w:tcPr>
            <w:tcW w:w="5260" w:type="dxa"/>
            <w:vAlign w:val="bottom"/>
          </w:tcPr>
          <w:p>
            <w:pPr>
              <w:spacing w:after="0"/>
              <w:rPr>
                <w:sz w:val="20"/>
                <w:szCs w:val="20"/>
                <w:color w:val="auto"/>
              </w:rPr>
            </w:pPr>
            <w:r>
              <w:rPr>
                <w:rFonts w:ascii="Arial" w:cs="Arial" w:eastAsia="Arial" w:hAnsi="Arial"/>
                <w:sz w:val="17"/>
                <w:szCs w:val="17"/>
                <w:color w:val="auto"/>
              </w:rPr>
              <w:t>Former Chief Financial Officer, Time Warner Cable Inc.</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214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980" w:type="dxa"/>
            <w:vAlign w:val="bottom"/>
            <w:tcBorders>
              <w:bottom w:val="single" w:sz="8" w:color="005CB9"/>
            </w:tcBorders>
          </w:tcPr>
          <w:p>
            <w:pPr>
              <w:spacing w:after="0"/>
              <w:rPr>
                <w:sz w:val="3"/>
                <w:szCs w:val="3"/>
                <w:color w:val="auto"/>
              </w:rPr>
            </w:pPr>
          </w:p>
        </w:tc>
        <w:tc>
          <w:tcPr>
            <w:tcW w:w="1500" w:type="dxa"/>
            <w:vAlign w:val="bottom"/>
            <w:tcBorders>
              <w:bottom w:val="single" w:sz="8" w:color="005CB9"/>
            </w:tcBorders>
          </w:tcPr>
          <w:p>
            <w:pPr>
              <w:spacing w:after="0"/>
              <w:rPr>
                <w:sz w:val="3"/>
                <w:szCs w:val="3"/>
                <w:color w:val="auto"/>
              </w:rPr>
            </w:pPr>
          </w:p>
        </w:tc>
        <w:tc>
          <w:tcPr>
            <w:tcW w:w="5260" w:type="dxa"/>
            <w:vAlign w:val="bottom"/>
            <w:tcBorders>
              <w:bottom w:val="single" w:sz="8" w:color="005CB9"/>
            </w:tcBorders>
          </w:tcPr>
          <w:p>
            <w:pPr>
              <w:spacing w:after="0"/>
              <w:rPr>
                <w:sz w:val="3"/>
                <w:szCs w:val="3"/>
                <w:color w:val="auto"/>
              </w:rPr>
            </w:pPr>
          </w:p>
        </w:tc>
        <w:tc>
          <w:tcPr>
            <w:tcW w:w="26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7"/>
                <w:szCs w:val="17"/>
                <w:color w:val="005CB9"/>
              </w:rPr>
              <w:t>L. Neil Hunn</w:t>
            </w:r>
          </w:p>
        </w:tc>
        <w:tc>
          <w:tcPr>
            <w:tcW w:w="880" w:type="dxa"/>
            <w:vAlign w:val="bottom"/>
          </w:tcPr>
          <w:p>
            <w:pPr>
              <w:jc w:val="center"/>
              <w:ind w:left="115"/>
              <w:spacing w:after="0"/>
              <w:rPr>
                <w:sz w:val="20"/>
                <w:szCs w:val="20"/>
                <w:color w:val="auto"/>
              </w:rPr>
            </w:pPr>
            <w:r>
              <w:rPr>
                <w:rFonts w:ascii="Arial" w:cs="Arial" w:eastAsia="Arial" w:hAnsi="Arial"/>
                <w:sz w:val="17"/>
                <w:szCs w:val="17"/>
                <w:color w:val="auto"/>
              </w:rPr>
              <w:t>50</w:t>
            </w:r>
          </w:p>
        </w:tc>
        <w:tc>
          <w:tcPr>
            <w:tcW w:w="980" w:type="dxa"/>
            <w:vAlign w:val="bottom"/>
          </w:tcPr>
          <w:p>
            <w:pPr>
              <w:jc w:val="center"/>
              <w:spacing w:after="0"/>
              <w:rPr>
                <w:sz w:val="20"/>
                <w:szCs w:val="20"/>
                <w:color w:val="auto"/>
              </w:rPr>
            </w:pPr>
            <w:r>
              <w:rPr>
                <w:rFonts w:ascii="Arial" w:cs="Arial" w:eastAsia="Arial" w:hAnsi="Arial"/>
                <w:sz w:val="17"/>
                <w:szCs w:val="17"/>
                <w:color w:val="auto"/>
              </w:rPr>
              <w:t>2018</w:t>
            </w:r>
          </w:p>
        </w:tc>
        <w:tc>
          <w:tcPr>
            <w:tcW w:w="1500" w:type="dxa"/>
            <w:vAlign w:val="bottom"/>
          </w:tcPr>
          <w:p>
            <w:pPr>
              <w:jc w:val="center"/>
              <w:ind w:right="115"/>
              <w:spacing w:after="0"/>
              <w:rPr>
                <w:sz w:val="20"/>
                <w:szCs w:val="20"/>
                <w:color w:val="auto"/>
              </w:rPr>
            </w:pPr>
            <w:r>
              <w:rPr>
                <w:rFonts w:ascii="Arial" w:cs="Arial" w:eastAsia="Arial" w:hAnsi="Arial"/>
                <w:sz w:val="17"/>
                <w:szCs w:val="17"/>
                <w:color w:val="auto"/>
              </w:rPr>
              <w:t>No</w:t>
            </w:r>
          </w:p>
        </w:tc>
        <w:tc>
          <w:tcPr>
            <w:tcW w:w="5260" w:type="dxa"/>
            <w:vAlign w:val="bottom"/>
          </w:tcPr>
          <w:p>
            <w:pPr>
              <w:spacing w:after="0"/>
              <w:rPr>
                <w:sz w:val="20"/>
                <w:szCs w:val="20"/>
                <w:color w:val="auto"/>
              </w:rPr>
            </w:pPr>
            <w:r>
              <w:rPr>
                <w:rFonts w:ascii="Arial" w:cs="Arial" w:eastAsia="Arial" w:hAnsi="Arial"/>
                <w:sz w:val="17"/>
                <w:szCs w:val="17"/>
                <w:color w:val="auto"/>
              </w:rPr>
              <w:t>President and Chief Executive Officer,</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Roper Technologies, Inc.</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140" w:type="dxa"/>
            <w:vAlign w:val="bottom"/>
            <w:tcBorders>
              <w:bottom w:val="single" w:sz="8" w:color="005CB9"/>
            </w:tcBorders>
          </w:tcPr>
          <w:p>
            <w:pPr>
              <w:spacing w:after="0"/>
              <w:rPr>
                <w:sz w:val="5"/>
                <w:szCs w:val="5"/>
                <w:color w:val="auto"/>
              </w:rPr>
            </w:pPr>
          </w:p>
        </w:tc>
        <w:tc>
          <w:tcPr>
            <w:tcW w:w="880" w:type="dxa"/>
            <w:vAlign w:val="bottom"/>
            <w:tcBorders>
              <w:bottom w:val="single" w:sz="8" w:color="005CB9"/>
            </w:tcBorders>
          </w:tcPr>
          <w:p>
            <w:pPr>
              <w:spacing w:after="0"/>
              <w:rPr>
                <w:sz w:val="5"/>
                <w:szCs w:val="5"/>
                <w:color w:val="auto"/>
              </w:rPr>
            </w:pPr>
          </w:p>
        </w:tc>
        <w:tc>
          <w:tcPr>
            <w:tcW w:w="980" w:type="dxa"/>
            <w:vAlign w:val="bottom"/>
            <w:tcBorders>
              <w:bottom w:val="single" w:sz="8" w:color="005CB9"/>
            </w:tcBorders>
          </w:tcPr>
          <w:p>
            <w:pPr>
              <w:spacing w:after="0"/>
              <w:rPr>
                <w:sz w:val="5"/>
                <w:szCs w:val="5"/>
                <w:color w:val="auto"/>
              </w:rPr>
            </w:pPr>
          </w:p>
        </w:tc>
        <w:tc>
          <w:tcPr>
            <w:tcW w:w="1500" w:type="dxa"/>
            <w:vAlign w:val="bottom"/>
            <w:tcBorders>
              <w:bottom w:val="single" w:sz="8" w:color="005CB9"/>
            </w:tcBorders>
          </w:tcPr>
          <w:p>
            <w:pPr>
              <w:spacing w:after="0"/>
              <w:rPr>
                <w:sz w:val="5"/>
                <w:szCs w:val="5"/>
                <w:color w:val="auto"/>
              </w:rPr>
            </w:pPr>
          </w:p>
        </w:tc>
        <w:tc>
          <w:tcPr>
            <w:tcW w:w="5260" w:type="dxa"/>
            <w:vAlign w:val="bottom"/>
            <w:tcBorders>
              <w:bottom w:val="single" w:sz="8" w:color="005CB9"/>
            </w:tcBorders>
          </w:tcPr>
          <w:p>
            <w:pPr>
              <w:spacing w:after="0"/>
              <w:rPr>
                <w:sz w:val="5"/>
                <w:szCs w:val="5"/>
                <w:color w:val="auto"/>
              </w:rPr>
            </w:pPr>
          </w:p>
        </w:tc>
        <w:tc>
          <w:tcPr>
            <w:tcW w:w="260" w:type="dxa"/>
            <w:vAlign w:val="bottom"/>
            <w:tcBorders>
              <w:bottom w:val="single" w:sz="8" w:color="005CB9"/>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140" w:type="dxa"/>
            <w:vAlign w:val="bottom"/>
          </w:tcPr>
          <w:p>
            <w:pPr>
              <w:spacing w:after="0"/>
              <w:rPr>
                <w:sz w:val="20"/>
                <w:szCs w:val="20"/>
                <w:color w:val="auto"/>
              </w:rPr>
            </w:pPr>
            <w:r>
              <w:rPr>
                <w:rFonts w:ascii="Arial" w:cs="Arial" w:eastAsia="Arial" w:hAnsi="Arial"/>
                <w:sz w:val="17"/>
                <w:szCs w:val="17"/>
                <w:color w:val="005CB9"/>
              </w:rPr>
              <w:t>Robert D. Johnson</w:t>
            </w:r>
          </w:p>
        </w:tc>
        <w:tc>
          <w:tcPr>
            <w:tcW w:w="880" w:type="dxa"/>
            <w:vAlign w:val="bottom"/>
          </w:tcPr>
          <w:p>
            <w:pPr>
              <w:jc w:val="center"/>
              <w:ind w:left="115"/>
              <w:spacing w:after="0"/>
              <w:rPr>
                <w:sz w:val="20"/>
                <w:szCs w:val="20"/>
                <w:color w:val="auto"/>
              </w:rPr>
            </w:pPr>
            <w:r>
              <w:rPr>
                <w:rFonts w:ascii="Arial" w:cs="Arial" w:eastAsia="Arial" w:hAnsi="Arial"/>
                <w:sz w:val="17"/>
                <w:szCs w:val="17"/>
                <w:color w:val="auto"/>
              </w:rPr>
              <w:t>74</w:t>
            </w:r>
          </w:p>
        </w:tc>
        <w:tc>
          <w:tcPr>
            <w:tcW w:w="980" w:type="dxa"/>
            <w:vAlign w:val="bottom"/>
          </w:tcPr>
          <w:p>
            <w:pPr>
              <w:jc w:val="center"/>
              <w:spacing w:after="0"/>
              <w:rPr>
                <w:sz w:val="20"/>
                <w:szCs w:val="20"/>
                <w:color w:val="auto"/>
              </w:rPr>
            </w:pPr>
            <w:r>
              <w:rPr>
                <w:rFonts w:ascii="Arial" w:cs="Arial" w:eastAsia="Arial" w:hAnsi="Arial"/>
                <w:sz w:val="17"/>
                <w:szCs w:val="17"/>
                <w:color w:val="auto"/>
              </w:rPr>
              <w:t>2005</w:t>
            </w:r>
          </w:p>
        </w:tc>
        <w:tc>
          <w:tcPr>
            <w:tcW w:w="1500" w:type="dxa"/>
            <w:vAlign w:val="bottom"/>
          </w:tcPr>
          <w:p>
            <w:pPr>
              <w:jc w:val="center"/>
              <w:ind w:right="135"/>
              <w:spacing w:after="0"/>
              <w:rPr>
                <w:sz w:val="20"/>
                <w:szCs w:val="20"/>
                <w:color w:val="auto"/>
              </w:rPr>
            </w:pPr>
            <w:r>
              <w:rPr>
                <w:rFonts w:ascii="Arial" w:cs="Arial" w:eastAsia="Arial" w:hAnsi="Arial"/>
                <w:sz w:val="17"/>
                <w:szCs w:val="17"/>
                <w:color w:val="auto"/>
                <w:w w:val="95"/>
              </w:rPr>
              <w:t>Yes</w:t>
            </w:r>
          </w:p>
        </w:tc>
        <w:tc>
          <w:tcPr>
            <w:tcW w:w="5260" w:type="dxa"/>
            <w:vAlign w:val="bottom"/>
          </w:tcPr>
          <w:p>
            <w:pPr>
              <w:spacing w:after="0"/>
              <w:rPr>
                <w:sz w:val="20"/>
                <w:szCs w:val="20"/>
                <w:color w:val="auto"/>
              </w:rPr>
            </w:pPr>
            <w:r>
              <w:rPr>
                <w:rFonts w:ascii="Arial" w:cs="Arial" w:eastAsia="Arial" w:hAnsi="Arial"/>
                <w:sz w:val="17"/>
                <w:szCs w:val="17"/>
                <w:color w:val="auto"/>
              </w:rPr>
              <w:t>Chairman, Spirit AeroSystems Holdings, Inc.</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
        </w:trPr>
        <w:tc>
          <w:tcPr>
            <w:tcW w:w="214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980" w:type="dxa"/>
            <w:vAlign w:val="bottom"/>
            <w:tcBorders>
              <w:bottom w:val="single" w:sz="8" w:color="005CB9"/>
            </w:tcBorders>
          </w:tcPr>
          <w:p>
            <w:pPr>
              <w:spacing w:after="0"/>
              <w:rPr>
                <w:sz w:val="3"/>
                <w:szCs w:val="3"/>
                <w:color w:val="auto"/>
              </w:rPr>
            </w:pPr>
          </w:p>
        </w:tc>
        <w:tc>
          <w:tcPr>
            <w:tcW w:w="1500" w:type="dxa"/>
            <w:vAlign w:val="bottom"/>
            <w:tcBorders>
              <w:bottom w:val="single" w:sz="8" w:color="005CB9"/>
            </w:tcBorders>
          </w:tcPr>
          <w:p>
            <w:pPr>
              <w:spacing w:after="0"/>
              <w:rPr>
                <w:sz w:val="3"/>
                <w:szCs w:val="3"/>
                <w:color w:val="auto"/>
              </w:rPr>
            </w:pPr>
          </w:p>
        </w:tc>
        <w:tc>
          <w:tcPr>
            <w:tcW w:w="5260" w:type="dxa"/>
            <w:vAlign w:val="bottom"/>
            <w:tcBorders>
              <w:bottom w:val="single" w:sz="8" w:color="005CB9"/>
            </w:tcBorders>
          </w:tcPr>
          <w:p>
            <w:pPr>
              <w:spacing w:after="0"/>
              <w:rPr>
                <w:sz w:val="3"/>
                <w:szCs w:val="3"/>
                <w:color w:val="auto"/>
              </w:rPr>
            </w:pPr>
          </w:p>
        </w:tc>
        <w:tc>
          <w:tcPr>
            <w:tcW w:w="26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140" w:type="dxa"/>
            <w:vAlign w:val="bottom"/>
          </w:tcPr>
          <w:p>
            <w:pPr>
              <w:spacing w:after="0"/>
              <w:rPr>
                <w:sz w:val="20"/>
                <w:szCs w:val="20"/>
                <w:color w:val="auto"/>
              </w:rPr>
            </w:pPr>
            <w:r>
              <w:rPr>
                <w:rFonts w:ascii="Arial" w:cs="Arial" w:eastAsia="Arial" w:hAnsi="Arial"/>
                <w:sz w:val="17"/>
                <w:szCs w:val="17"/>
                <w:color w:val="005CB9"/>
              </w:rPr>
              <w:t>Thomas P. Joyce, Jr.</w:t>
            </w:r>
          </w:p>
        </w:tc>
        <w:tc>
          <w:tcPr>
            <w:tcW w:w="880" w:type="dxa"/>
            <w:vAlign w:val="bottom"/>
          </w:tcPr>
          <w:p>
            <w:pPr>
              <w:jc w:val="center"/>
              <w:ind w:left="115"/>
              <w:spacing w:after="0"/>
              <w:rPr>
                <w:sz w:val="20"/>
                <w:szCs w:val="20"/>
                <w:color w:val="auto"/>
              </w:rPr>
            </w:pPr>
            <w:r>
              <w:rPr>
                <w:rFonts w:ascii="Arial" w:cs="Arial" w:eastAsia="Arial" w:hAnsi="Arial"/>
                <w:sz w:val="17"/>
                <w:szCs w:val="17"/>
                <w:color w:val="auto"/>
              </w:rPr>
              <w:t>61</w:t>
            </w:r>
          </w:p>
        </w:tc>
        <w:tc>
          <w:tcPr>
            <w:tcW w:w="980" w:type="dxa"/>
            <w:vAlign w:val="bottom"/>
          </w:tcPr>
          <w:p>
            <w:pPr>
              <w:jc w:val="center"/>
              <w:spacing w:after="0"/>
              <w:rPr>
                <w:sz w:val="20"/>
                <w:szCs w:val="20"/>
                <w:color w:val="auto"/>
              </w:rPr>
            </w:pPr>
            <w:r>
              <w:rPr>
                <w:rFonts w:ascii="Arial" w:cs="Arial" w:eastAsia="Arial" w:hAnsi="Arial"/>
                <w:sz w:val="17"/>
                <w:szCs w:val="17"/>
                <w:color w:val="auto"/>
              </w:rPr>
              <w:t>2021</w:t>
            </w:r>
          </w:p>
        </w:tc>
        <w:tc>
          <w:tcPr>
            <w:tcW w:w="1500" w:type="dxa"/>
            <w:vAlign w:val="bottom"/>
          </w:tcPr>
          <w:p>
            <w:pPr>
              <w:jc w:val="center"/>
              <w:ind w:right="135"/>
              <w:spacing w:after="0"/>
              <w:rPr>
                <w:sz w:val="20"/>
                <w:szCs w:val="20"/>
                <w:color w:val="auto"/>
              </w:rPr>
            </w:pPr>
            <w:r>
              <w:rPr>
                <w:rFonts w:ascii="Arial" w:cs="Arial" w:eastAsia="Arial" w:hAnsi="Arial"/>
                <w:sz w:val="17"/>
                <w:szCs w:val="17"/>
                <w:color w:val="auto"/>
                <w:w w:val="95"/>
              </w:rPr>
              <w:t>Yes</w:t>
            </w:r>
          </w:p>
        </w:tc>
        <w:tc>
          <w:tcPr>
            <w:tcW w:w="5260" w:type="dxa"/>
            <w:vAlign w:val="bottom"/>
          </w:tcPr>
          <w:p>
            <w:pPr>
              <w:spacing w:after="0"/>
              <w:rPr>
                <w:sz w:val="20"/>
                <w:szCs w:val="20"/>
                <w:color w:val="auto"/>
              </w:rPr>
            </w:pPr>
            <w:r>
              <w:rPr>
                <w:rFonts w:ascii="Arial" w:cs="Arial" w:eastAsia="Arial" w:hAnsi="Arial"/>
                <w:sz w:val="17"/>
                <w:szCs w:val="17"/>
                <w:color w:val="auto"/>
              </w:rPr>
              <w:t>Retired President and Chief Executive, Danaher Corporation</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
        </w:trPr>
        <w:tc>
          <w:tcPr>
            <w:tcW w:w="214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980" w:type="dxa"/>
            <w:vAlign w:val="bottom"/>
            <w:tcBorders>
              <w:bottom w:val="single" w:sz="8" w:color="005CB9"/>
            </w:tcBorders>
          </w:tcPr>
          <w:p>
            <w:pPr>
              <w:spacing w:after="0"/>
              <w:rPr>
                <w:sz w:val="3"/>
                <w:szCs w:val="3"/>
                <w:color w:val="auto"/>
              </w:rPr>
            </w:pPr>
          </w:p>
        </w:tc>
        <w:tc>
          <w:tcPr>
            <w:tcW w:w="1500" w:type="dxa"/>
            <w:vAlign w:val="bottom"/>
            <w:tcBorders>
              <w:bottom w:val="single" w:sz="8" w:color="005CB9"/>
            </w:tcBorders>
          </w:tcPr>
          <w:p>
            <w:pPr>
              <w:spacing w:after="0"/>
              <w:rPr>
                <w:sz w:val="3"/>
                <w:szCs w:val="3"/>
                <w:color w:val="auto"/>
              </w:rPr>
            </w:pPr>
          </w:p>
        </w:tc>
        <w:tc>
          <w:tcPr>
            <w:tcW w:w="5260" w:type="dxa"/>
            <w:vAlign w:val="bottom"/>
            <w:tcBorders>
              <w:bottom w:val="single" w:sz="8" w:color="005CB9"/>
            </w:tcBorders>
          </w:tcPr>
          <w:p>
            <w:pPr>
              <w:spacing w:after="0"/>
              <w:rPr>
                <w:sz w:val="3"/>
                <w:szCs w:val="3"/>
                <w:color w:val="auto"/>
              </w:rPr>
            </w:pPr>
          </w:p>
        </w:tc>
        <w:tc>
          <w:tcPr>
            <w:tcW w:w="26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7"/>
                <w:szCs w:val="17"/>
                <w:color w:val="005CB9"/>
              </w:rPr>
              <w:t>Laura G. Thatcher</w:t>
            </w:r>
          </w:p>
        </w:tc>
        <w:tc>
          <w:tcPr>
            <w:tcW w:w="880" w:type="dxa"/>
            <w:vAlign w:val="bottom"/>
          </w:tcPr>
          <w:p>
            <w:pPr>
              <w:jc w:val="center"/>
              <w:ind w:left="115"/>
              <w:spacing w:after="0"/>
              <w:rPr>
                <w:sz w:val="20"/>
                <w:szCs w:val="20"/>
                <w:color w:val="auto"/>
              </w:rPr>
            </w:pPr>
            <w:r>
              <w:rPr>
                <w:rFonts w:ascii="Arial" w:cs="Arial" w:eastAsia="Arial" w:hAnsi="Arial"/>
                <w:sz w:val="17"/>
                <w:szCs w:val="17"/>
                <w:color w:val="auto"/>
              </w:rPr>
              <w:t>66</w:t>
            </w:r>
          </w:p>
        </w:tc>
        <w:tc>
          <w:tcPr>
            <w:tcW w:w="980" w:type="dxa"/>
            <w:vAlign w:val="bottom"/>
          </w:tcPr>
          <w:p>
            <w:pPr>
              <w:jc w:val="center"/>
              <w:spacing w:after="0"/>
              <w:rPr>
                <w:sz w:val="20"/>
                <w:szCs w:val="20"/>
                <w:color w:val="auto"/>
              </w:rPr>
            </w:pPr>
            <w:r>
              <w:rPr>
                <w:rFonts w:ascii="Arial" w:cs="Arial" w:eastAsia="Arial" w:hAnsi="Arial"/>
                <w:sz w:val="17"/>
                <w:szCs w:val="17"/>
                <w:color w:val="auto"/>
              </w:rPr>
              <w:t>2015</w:t>
            </w:r>
          </w:p>
        </w:tc>
        <w:tc>
          <w:tcPr>
            <w:tcW w:w="1500" w:type="dxa"/>
            <w:vAlign w:val="bottom"/>
          </w:tcPr>
          <w:p>
            <w:pPr>
              <w:jc w:val="center"/>
              <w:ind w:right="135"/>
              <w:spacing w:after="0"/>
              <w:rPr>
                <w:sz w:val="20"/>
                <w:szCs w:val="20"/>
                <w:color w:val="auto"/>
              </w:rPr>
            </w:pPr>
            <w:r>
              <w:rPr>
                <w:rFonts w:ascii="Arial" w:cs="Arial" w:eastAsia="Arial" w:hAnsi="Arial"/>
                <w:sz w:val="17"/>
                <w:szCs w:val="17"/>
                <w:color w:val="auto"/>
                <w:w w:val="95"/>
              </w:rPr>
              <w:t>Yes</w:t>
            </w:r>
          </w:p>
        </w:tc>
        <w:tc>
          <w:tcPr>
            <w:tcW w:w="5260" w:type="dxa"/>
            <w:vAlign w:val="bottom"/>
          </w:tcPr>
          <w:p>
            <w:pPr>
              <w:spacing w:after="0"/>
              <w:rPr>
                <w:sz w:val="20"/>
                <w:szCs w:val="20"/>
                <w:color w:val="auto"/>
              </w:rPr>
            </w:pPr>
            <w:r>
              <w:rPr>
                <w:rFonts w:ascii="Arial" w:cs="Arial" w:eastAsia="Arial" w:hAnsi="Arial"/>
                <w:sz w:val="17"/>
                <w:szCs w:val="17"/>
                <w:color w:val="auto"/>
              </w:rPr>
              <w:t>Retired Head of Executive Compensation Practice,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Alston &amp; Bird LLP</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14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980" w:type="dxa"/>
            <w:vAlign w:val="bottom"/>
            <w:tcBorders>
              <w:bottom w:val="single" w:sz="8" w:color="005CB9"/>
            </w:tcBorders>
          </w:tcPr>
          <w:p>
            <w:pPr>
              <w:spacing w:after="0"/>
              <w:rPr>
                <w:sz w:val="3"/>
                <w:szCs w:val="3"/>
                <w:color w:val="auto"/>
              </w:rPr>
            </w:pPr>
          </w:p>
        </w:tc>
        <w:tc>
          <w:tcPr>
            <w:tcW w:w="1500" w:type="dxa"/>
            <w:vAlign w:val="bottom"/>
            <w:tcBorders>
              <w:bottom w:val="single" w:sz="8" w:color="005CB9"/>
            </w:tcBorders>
          </w:tcPr>
          <w:p>
            <w:pPr>
              <w:spacing w:after="0"/>
              <w:rPr>
                <w:sz w:val="3"/>
                <w:szCs w:val="3"/>
                <w:color w:val="auto"/>
              </w:rPr>
            </w:pPr>
          </w:p>
        </w:tc>
        <w:tc>
          <w:tcPr>
            <w:tcW w:w="5260" w:type="dxa"/>
            <w:vAlign w:val="bottom"/>
            <w:tcBorders>
              <w:bottom w:val="single" w:sz="8" w:color="005CB9"/>
            </w:tcBorders>
          </w:tcPr>
          <w:p>
            <w:pPr>
              <w:spacing w:after="0"/>
              <w:rPr>
                <w:sz w:val="3"/>
                <w:szCs w:val="3"/>
                <w:color w:val="auto"/>
              </w:rPr>
            </w:pPr>
          </w:p>
        </w:tc>
        <w:tc>
          <w:tcPr>
            <w:tcW w:w="26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7"/>
                <w:szCs w:val="17"/>
                <w:color w:val="005CB9"/>
              </w:rPr>
              <w:t>Richard F. Wallman</w:t>
            </w:r>
          </w:p>
        </w:tc>
        <w:tc>
          <w:tcPr>
            <w:tcW w:w="880" w:type="dxa"/>
            <w:vAlign w:val="bottom"/>
          </w:tcPr>
          <w:p>
            <w:pPr>
              <w:jc w:val="center"/>
              <w:ind w:left="115"/>
              <w:spacing w:after="0"/>
              <w:rPr>
                <w:sz w:val="20"/>
                <w:szCs w:val="20"/>
                <w:color w:val="auto"/>
              </w:rPr>
            </w:pPr>
            <w:r>
              <w:rPr>
                <w:rFonts w:ascii="Arial" w:cs="Arial" w:eastAsia="Arial" w:hAnsi="Arial"/>
                <w:sz w:val="17"/>
                <w:szCs w:val="17"/>
                <w:color w:val="auto"/>
              </w:rPr>
              <w:t>71</w:t>
            </w:r>
          </w:p>
        </w:tc>
        <w:tc>
          <w:tcPr>
            <w:tcW w:w="980" w:type="dxa"/>
            <w:vAlign w:val="bottom"/>
          </w:tcPr>
          <w:p>
            <w:pPr>
              <w:jc w:val="center"/>
              <w:spacing w:after="0"/>
              <w:rPr>
                <w:sz w:val="20"/>
                <w:szCs w:val="20"/>
                <w:color w:val="auto"/>
              </w:rPr>
            </w:pPr>
            <w:r>
              <w:rPr>
                <w:rFonts w:ascii="Arial" w:cs="Arial" w:eastAsia="Arial" w:hAnsi="Arial"/>
                <w:sz w:val="17"/>
                <w:szCs w:val="17"/>
                <w:color w:val="auto"/>
              </w:rPr>
              <w:t>2007</w:t>
            </w:r>
          </w:p>
        </w:tc>
        <w:tc>
          <w:tcPr>
            <w:tcW w:w="1500" w:type="dxa"/>
            <w:vAlign w:val="bottom"/>
          </w:tcPr>
          <w:p>
            <w:pPr>
              <w:jc w:val="center"/>
              <w:ind w:right="135"/>
              <w:spacing w:after="0"/>
              <w:rPr>
                <w:sz w:val="20"/>
                <w:szCs w:val="20"/>
                <w:color w:val="auto"/>
              </w:rPr>
            </w:pPr>
            <w:r>
              <w:rPr>
                <w:rFonts w:ascii="Arial" w:cs="Arial" w:eastAsia="Arial" w:hAnsi="Arial"/>
                <w:sz w:val="17"/>
                <w:szCs w:val="17"/>
                <w:color w:val="auto"/>
                <w:w w:val="95"/>
              </w:rPr>
              <w:t>Yes</w:t>
            </w:r>
          </w:p>
        </w:tc>
        <w:tc>
          <w:tcPr>
            <w:tcW w:w="5260" w:type="dxa"/>
            <w:vAlign w:val="bottom"/>
          </w:tcPr>
          <w:p>
            <w:pPr>
              <w:spacing w:after="0"/>
              <w:rPr>
                <w:sz w:val="20"/>
                <w:szCs w:val="20"/>
                <w:color w:val="auto"/>
              </w:rPr>
            </w:pPr>
            <w:r>
              <w:rPr>
                <w:rFonts w:ascii="Arial" w:cs="Arial" w:eastAsia="Arial" w:hAnsi="Arial"/>
                <w:sz w:val="17"/>
                <w:szCs w:val="17"/>
                <w:color w:val="auto"/>
              </w:rPr>
              <w:t>Retired Chief Financial Officer and Senior Vice President, Honeywell</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International Inc.</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14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980" w:type="dxa"/>
            <w:vAlign w:val="bottom"/>
            <w:tcBorders>
              <w:bottom w:val="single" w:sz="8" w:color="005CB9"/>
            </w:tcBorders>
          </w:tcPr>
          <w:p>
            <w:pPr>
              <w:spacing w:after="0"/>
              <w:rPr>
                <w:sz w:val="3"/>
                <w:szCs w:val="3"/>
                <w:color w:val="auto"/>
              </w:rPr>
            </w:pPr>
          </w:p>
        </w:tc>
        <w:tc>
          <w:tcPr>
            <w:tcW w:w="1500" w:type="dxa"/>
            <w:vAlign w:val="bottom"/>
            <w:tcBorders>
              <w:bottom w:val="single" w:sz="8" w:color="005CB9"/>
            </w:tcBorders>
          </w:tcPr>
          <w:p>
            <w:pPr>
              <w:spacing w:after="0"/>
              <w:rPr>
                <w:sz w:val="3"/>
                <w:szCs w:val="3"/>
                <w:color w:val="auto"/>
              </w:rPr>
            </w:pPr>
          </w:p>
        </w:tc>
        <w:tc>
          <w:tcPr>
            <w:tcW w:w="5260" w:type="dxa"/>
            <w:vAlign w:val="bottom"/>
            <w:tcBorders>
              <w:bottom w:val="single" w:sz="8" w:color="005CB9"/>
            </w:tcBorders>
          </w:tcPr>
          <w:p>
            <w:pPr>
              <w:spacing w:after="0"/>
              <w:rPr>
                <w:sz w:val="3"/>
                <w:szCs w:val="3"/>
                <w:color w:val="auto"/>
              </w:rPr>
            </w:pPr>
          </w:p>
        </w:tc>
        <w:tc>
          <w:tcPr>
            <w:tcW w:w="26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7"/>
                <w:szCs w:val="17"/>
                <w:color w:val="005CB9"/>
              </w:rPr>
              <w:t>Christopher Wright</w:t>
            </w:r>
          </w:p>
        </w:tc>
        <w:tc>
          <w:tcPr>
            <w:tcW w:w="880" w:type="dxa"/>
            <w:vAlign w:val="bottom"/>
          </w:tcPr>
          <w:p>
            <w:pPr>
              <w:jc w:val="center"/>
              <w:ind w:left="115"/>
              <w:spacing w:after="0"/>
              <w:rPr>
                <w:sz w:val="20"/>
                <w:szCs w:val="20"/>
                <w:color w:val="auto"/>
              </w:rPr>
            </w:pPr>
            <w:r>
              <w:rPr>
                <w:rFonts w:ascii="Arial" w:cs="Arial" w:eastAsia="Arial" w:hAnsi="Arial"/>
                <w:sz w:val="17"/>
                <w:szCs w:val="17"/>
                <w:color w:val="auto"/>
              </w:rPr>
              <w:t>64</w:t>
            </w:r>
          </w:p>
        </w:tc>
        <w:tc>
          <w:tcPr>
            <w:tcW w:w="980" w:type="dxa"/>
            <w:vAlign w:val="bottom"/>
          </w:tcPr>
          <w:p>
            <w:pPr>
              <w:jc w:val="center"/>
              <w:spacing w:after="0"/>
              <w:rPr>
                <w:sz w:val="20"/>
                <w:szCs w:val="20"/>
                <w:color w:val="auto"/>
              </w:rPr>
            </w:pPr>
            <w:r>
              <w:rPr>
                <w:rFonts w:ascii="Arial" w:cs="Arial" w:eastAsia="Arial" w:hAnsi="Arial"/>
                <w:sz w:val="17"/>
                <w:szCs w:val="17"/>
                <w:color w:val="auto"/>
              </w:rPr>
              <w:t>1991</w:t>
            </w:r>
          </w:p>
        </w:tc>
        <w:tc>
          <w:tcPr>
            <w:tcW w:w="1500" w:type="dxa"/>
            <w:vAlign w:val="bottom"/>
          </w:tcPr>
          <w:p>
            <w:pPr>
              <w:jc w:val="center"/>
              <w:ind w:right="135"/>
              <w:spacing w:after="0"/>
              <w:rPr>
                <w:sz w:val="20"/>
                <w:szCs w:val="20"/>
                <w:color w:val="auto"/>
              </w:rPr>
            </w:pPr>
            <w:r>
              <w:rPr>
                <w:rFonts w:ascii="Arial" w:cs="Arial" w:eastAsia="Arial" w:hAnsi="Arial"/>
                <w:sz w:val="17"/>
                <w:szCs w:val="17"/>
                <w:color w:val="auto"/>
                <w:w w:val="95"/>
              </w:rPr>
              <w:t>Yes</w:t>
            </w:r>
          </w:p>
        </w:tc>
        <w:tc>
          <w:tcPr>
            <w:tcW w:w="5260" w:type="dxa"/>
            <w:vAlign w:val="bottom"/>
          </w:tcPr>
          <w:p>
            <w:pPr>
              <w:spacing w:after="0"/>
              <w:rPr>
                <w:sz w:val="20"/>
                <w:szCs w:val="20"/>
                <w:color w:val="auto"/>
              </w:rPr>
            </w:pPr>
            <w:r>
              <w:rPr>
                <w:rFonts w:ascii="Arial" w:cs="Arial" w:eastAsia="Arial" w:hAnsi="Arial"/>
                <w:sz w:val="17"/>
                <w:szCs w:val="17"/>
                <w:color w:val="auto"/>
              </w:rPr>
              <w:t>Executive Chairman, Kestrel Partners and</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Director, Merifin Capital</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14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980" w:type="dxa"/>
            <w:vAlign w:val="bottom"/>
            <w:tcBorders>
              <w:bottom w:val="single" w:sz="8" w:color="005CB9"/>
            </w:tcBorders>
          </w:tcPr>
          <w:p>
            <w:pPr>
              <w:spacing w:after="0"/>
              <w:rPr>
                <w:sz w:val="3"/>
                <w:szCs w:val="3"/>
                <w:color w:val="auto"/>
              </w:rPr>
            </w:pPr>
          </w:p>
        </w:tc>
        <w:tc>
          <w:tcPr>
            <w:tcW w:w="1500" w:type="dxa"/>
            <w:vAlign w:val="bottom"/>
            <w:tcBorders>
              <w:bottom w:val="single" w:sz="8" w:color="005CB9"/>
            </w:tcBorders>
          </w:tcPr>
          <w:p>
            <w:pPr>
              <w:spacing w:after="0"/>
              <w:rPr>
                <w:sz w:val="3"/>
                <w:szCs w:val="3"/>
                <w:color w:val="auto"/>
              </w:rPr>
            </w:pPr>
          </w:p>
        </w:tc>
        <w:tc>
          <w:tcPr>
            <w:tcW w:w="5260" w:type="dxa"/>
            <w:vAlign w:val="bottom"/>
            <w:tcBorders>
              <w:bottom w:val="single" w:sz="8" w:color="005CB9"/>
            </w:tcBorders>
          </w:tcPr>
          <w:p>
            <w:pPr>
              <w:spacing w:after="0"/>
              <w:rPr>
                <w:sz w:val="3"/>
                <w:szCs w:val="3"/>
                <w:color w:val="auto"/>
              </w:rPr>
            </w:pPr>
          </w:p>
        </w:tc>
        <w:tc>
          <w:tcPr>
            <w:tcW w:w="26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260" w:type="dxa"/>
            <w:vAlign w:val="bottom"/>
            <w:vMerge w:val="restart"/>
          </w:tcPr>
          <w:p>
            <w:pPr>
              <w:ind w:left="1380"/>
              <w:spacing w:after="0"/>
              <w:rPr>
                <w:sz w:val="20"/>
                <w:szCs w:val="20"/>
                <w:color w:val="auto"/>
              </w:rPr>
            </w:pPr>
            <w:r>
              <w:rPr>
                <w:rFonts w:ascii="Arial" w:cs="Arial" w:eastAsia="Arial" w:hAnsi="Arial"/>
                <w:sz w:val="16"/>
                <w:szCs w:val="16"/>
                <w:b w:val="1"/>
                <w:bCs w:val="1"/>
                <w:color w:val="005CB9"/>
              </w:rPr>
              <w:t>Roper Technologies, Inc. 2022 Proxy Statement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260" w:type="dxa"/>
            <w:vAlign w:val="bottom"/>
            <w:tcBorders>
              <w:left w:val="single" w:sz="8" w:color="005CB9"/>
            </w:tcBorders>
          </w:tcPr>
          <w:p>
            <w:pPr>
              <w:jc w:val="right"/>
              <w:spacing w:after="0"/>
              <w:rPr>
                <w:sz w:val="20"/>
                <w:szCs w:val="20"/>
                <w:color w:val="auto"/>
              </w:rPr>
            </w:pPr>
            <w:r>
              <w:rPr>
                <w:rFonts w:ascii="Arial" w:cs="Arial" w:eastAsia="Arial" w:hAnsi="Arial"/>
                <w:sz w:val="16"/>
                <w:szCs w:val="16"/>
                <w:b w:val="1"/>
                <w:bCs w:val="1"/>
                <w:color w:val="005CB9"/>
              </w:rPr>
              <w:t>1</w:t>
            </w:r>
          </w:p>
        </w:tc>
        <w:tc>
          <w:tcPr>
            <w:tcW w:w="0" w:type="dxa"/>
            <w:vAlign w:val="bottom"/>
          </w:tcPr>
          <w:p>
            <w:pPr>
              <w:spacing w:after="0"/>
              <w:rPr>
                <w:sz w:val="1"/>
                <w:szCs w:val="1"/>
                <w:color w:val="auto"/>
              </w:rPr>
            </w:pPr>
          </w:p>
        </w:tc>
      </w:tr>
      <w:tr>
        <w:trPr>
          <w:trHeight w:val="100"/>
        </w:trPr>
        <w:tc>
          <w:tcPr>
            <w:tcW w:w="2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60" w:type="dxa"/>
            <w:vAlign w:val="bottom"/>
            <w:tcBorders>
              <w:left w:val="single" w:sz="8" w:color="005CB9"/>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BOARD OF DIRECTORS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Nominee Information</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005CB9"/>
        </w:rPr>
        <w:t>for terms expiring at the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167640</wp:posOffset>
            </wp:positionV>
            <wp:extent cx="6995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320" w:top="459" w:right="61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Shellye L. Archambeau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-239395</wp:posOffset>
            </wp:positionV>
            <wp:extent cx="4345940" cy="1036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45940" cy="1036955"/>
                    </a:xfrm>
                    <a:prstGeom prst="rect">
                      <a:avLst/>
                    </a:prstGeom>
                    <a:noFill/>
                  </pic:spPr>
                </pic:pic>
              </a:graphicData>
            </a:graphic>
          </wp:anchor>
        </w:drawing>
      </w:r>
    </w:p>
    <w:p>
      <w:pPr>
        <w:spacing w:after="0" w:line="80"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Former Chief Executive Officer, MetricStream,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178435</wp:posOffset>
            </wp:positionV>
            <wp:extent cx="34201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44" w:lineRule="exact"/>
        <w:rPr>
          <w:sz w:val="20"/>
          <w:szCs w:val="20"/>
          <w:color w:val="auto"/>
        </w:rPr>
      </w:pPr>
    </w:p>
    <w:p>
      <w:pPr>
        <w:ind w:left="1680" w:right="80"/>
        <w:spacing w:after="0" w:line="250" w:lineRule="auto"/>
        <w:rPr>
          <w:sz w:val="20"/>
          <w:szCs w:val="20"/>
          <w:color w:val="auto"/>
        </w:rPr>
      </w:pPr>
      <w:r>
        <w:rPr>
          <w:rFonts w:ascii="Arial" w:cs="Arial" w:eastAsia="Arial" w:hAnsi="Arial"/>
          <w:sz w:val="16"/>
          <w:szCs w:val="16"/>
          <w:color w:val="auto"/>
        </w:rPr>
        <w:t>Ms. Archambeau is the former Chief Executive Officer of MetricStream, Inc., a global provider of governance, risk, compliance and qualitymanagement solutions to organizations across diverse industries. She served</w:t>
      </w:r>
    </w:p>
    <w:p>
      <w:pPr>
        <w:spacing w:after="0" w:line="3"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in this role from the time she joined MetricStream in 2002 until 2018. Prior to joining MetricStream, Ms. Archambeau served as Chief Marketing Officer and Executive Vice President of Sales for Loudcloud, Inc., a provider of Internet infrastructure services; Chief Marketing Officer of NorthPoint Communications, a provider of local data network services; and President of Blockbuster, Inc.’s e-commerce division, where she launched the entertainment retailer’s first online presence. Before she joined Blockbuster, Ms. Archambeau held domestic and international executive positions during a 15-year career at IBM Corporation. Ms. Archambeau has served as director of Okta, Inc., a provider of identity management solutions, since 2018, Nordstrom, Inc., a leading fashion retailer, since 2015, and Verizon Communications, Inc., since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Director Since 2018</w:t>
      </w:r>
    </w:p>
    <w:p>
      <w:pPr>
        <w:spacing w:after="0" w:line="2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Age 59</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Committees:</w:t>
      </w:r>
    </w:p>
    <w:p>
      <w:pPr>
        <w:spacing w:after="0" w:line="66" w:lineRule="exact"/>
        <w:rPr>
          <w:sz w:val="20"/>
          <w:szCs w:val="20"/>
          <w:color w:val="auto"/>
        </w:rPr>
      </w:pPr>
    </w:p>
    <w:p>
      <w:pPr>
        <w:ind w:left="128" w:hanging="128"/>
        <w:spacing w:after="0"/>
        <w:tabs>
          <w:tab w:leader="none" w:pos="128" w:val="left"/>
        </w:tabs>
        <w:numPr>
          <w:ilvl w:val="0"/>
          <w:numId w:val="9"/>
        </w:numPr>
        <w:rPr>
          <w:rFonts w:ascii="Arial" w:cs="Arial" w:eastAsia="Arial" w:hAnsi="Arial"/>
          <w:sz w:val="16"/>
          <w:szCs w:val="16"/>
          <w:color w:val="005CB9"/>
        </w:rPr>
      </w:pPr>
      <w:r>
        <w:rPr>
          <w:rFonts w:ascii="Arial" w:cs="Arial" w:eastAsia="Arial" w:hAnsi="Arial"/>
          <w:sz w:val="16"/>
          <w:szCs w:val="16"/>
          <w:color w:val="auto"/>
        </w:rPr>
        <w:t>Nominating and Governance (Chair)</w:t>
      </w:r>
    </w:p>
    <w:p>
      <w:pPr>
        <w:spacing w:after="0" w:line="59" w:lineRule="exact"/>
        <w:rPr>
          <w:rFonts w:ascii="Arial" w:cs="Arial" w:eastAsia="Arial" w:hAnsi="Arial"/>
          <w:sz w:val="16"/>
          <w:szCs w:val="16"/>
          <w:color w:val="005CB9"/>
        </w:rPr>
      </w:pPr>
    </w:p>
    <w:p>
      <w:pPr>
        <w:ind w:left="128" w:hanging="128"/>
        <w:spacing w:after="0"/>
        <w:tabs>
          <w:tab w:leader="none" w:pos="128" w:val="left"/>
        </w:tabs>
        <w:numPr>
          <w:ilvl w:val="0"/>
          <w:numId w:val="9"/>
        </w:numPr>
        <w:rPr>
          <w:rFonts w:ascii="Arial" w:cs="Arial" w:eastAsia="Arial" w:hAnsi="Arial"/>
          <w:sz w:val="16"/>
          <w:szCs w:val="16"/>
          <w:color w:val="005CB9"/>
        </w:rPr>
      </w:pPr>
      <w:r>
        <w:rPr>
          <w:rFonts w:ascii="Arial" w:cs="Arial" w:eastAsia="Arial" w:hAnsi="Arial"/>
          <w:sz w:val="16"/>
          <w:szCs w:val="16"/>
          <w:color w:val="auto"/>
        </w:rPr>
        <w:t>Executive</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Current Public Directorships:</w:t>
      </w:r>
    </w:p>
    <w:p>
      <w:pPr>
        <w:spacing w:after="0" w:line="66" w:lineRule="exact"/>
        <w:rPr>
          <w:sz w:val="20"/>
          <w:szCs w:val="20"/>
          <w:color w:val="auto"/>
        </w:rPr>
      </w:pPr>
    </w:p>
    <w:p>
      <w:pPr>
        <w:ind w:left="128" w:hanging="128"/>
        <w:spacing w:after="0"/>
        <w:tabs>
          <w:tab w:leader="none" w:pos="128" w:val="left"/>
        </w:tabs>
        <w:numPr>
          <w:ilvl w:val="0"/>
          <w:numId w:val="10"/>
        </w:numPr>
        <w:rPr>
          <w:rFonts w:ascii="Arial" w:cs="Arial" w:eastAsia="Arial" w:hAnsi="Arial"/>
          <w:sz w:val="16"/>
          <w:szCs w:val="16"/>
          <w:color w:val="005CB9"/>
        </w:rPr>
      </w:pPr>
      <w:r>
        <w:rPr>
          <w:rFonts w:ascii="Arial" w:cs="Arial" w:eastAsia="Arial" w:hAnsi="Arial"/>
          <w:sz w:val="16"/>
          <w:szCs w:val="16"/>
          <w:color w:val="auto"/>
        </w:rPr>
        <w:t>Nordstrom Inc.</w:t>
      </w:r>
    </w:p>
    <w:p>
      <w:pPr>
        <w:spacing w:after="0" w:line="18" w:lineRule="exact"/>
        <w:rPr>
          <w:rFonts w:ascii="Arial" w:cs="Arial" w:eastAsia="Arial" w:hAnsi="Arial"/>
          <w:sz w:val="16"/>
          <w:szCs w:val="16"/>
          <w:color w:val="005CB9"/>
        </w:rPr>
      </w:pPr>
    </w:p>
    <w:p>
      <w:pPr>
        <w:ind w:left="128" w:hanging="128"/>
        <w:spacing w:after="0"/>
        <w:tabs>
          <w:tab w:leader="none" w:pos="128" w:val="left"/>
        </w:tabs>
        <w:numPr>
          <w:ilvl w:val="0"/>
          <w:numId w:val="10"/>
        </w:numPr>
        <w:rPr>
          <w:rFonts w:ascii="Arial" w:cs="Arial" w:eastAsia="Arial" w:hAnsi="Arial"/>
          <w:sz w:val="16"/>
          <w:szCs w:val="16"/>
          <w:color w:val="005CB9"/>
        </w:rPr>
      </w:pPr>
      <w:r>
        <w:rPr>
          <w:rFonts w:ascii="Arial" w:cs="Arial" w:eastAsia="Arial" w:hAnsi="Arial"/>
          <w:sz w:val="16"/>
          <w:szCs w:val="16"/>
          <w:color w:val="auto"/>
        </w:rPr>
        <w:t>Okta, Inc.</w:t>
      </w:r>
    </w:p>
    <w:p>
      <w:pPr>
        <w:spacing w:after="0" w:line="18" w:lineRule="exact"/>
        <w:rPr>
          <w:rFonts w:ascii="Arial" w:cs="Arial" w:eastAsia="Arial" w:hAnsi="Arial"/>
          <w:sz w:val="16"/>
          <w:szCs w:val="16"/>
          <w:color w:val="005CB9"/>
        </w:rPr>
      </w:pPr>
    </w:p>
    <w:p>
      <w:pPr>
        <w:ind w:left="128" w:hanging="128"/>
        <w:spacing w:after="0"/>
        <w:tabs>
          <w:tab w:leader="none" w:pos="128" w:val="left"/>
        </w:tabs>
        <w:numPr>
          <w:ilvl w:val="0"/>
          <w:numId w:val="10"/>
        </w:numPr>
        <w:rPr>
          <w:rFonts w:ascii="Arial" w:cs="Arial" w:eastAsia="Arial" w:hAnsi="Arial"/>
          <w:sz w:val="16"/>
          <w:szCs w:val="16"/>
          <w:color w:val="005CB9"/>
        </w:rPr>
      </w:pPr>
      <w:r>
        <w:rPr>
          <w:rFonts w:ascii="Arial" w:cs="Arial" w:eastAsia="Arial" w:hAnsi="Arial"/>
          <w:sz w:val="16"/>
          <w:szCs w:val="16"/>
          <w:color w:val="auto"/>
        </w:rPr>
        <w:t>Verizon Communications, Inc.</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Key Qualifications &amp; Expertise:</w:t>
      </w:r>
    </w:p>
    <w:p>
      <w:pPr>
        <w:spacing w:after="0" w:line="66" w:lineRule="exact"/>
        <w:rPr>
          <w:sz w:val="20"/>
          <w:szCs w:val="20"/>
          <w:color w:val="auto"/>
        </w:rPr>
      </w:pPr>
    </w:p>
    <w:p>
      <w:pPr>
        <w:ind w:left="168" w:right="640" w:hanging="168"/>
        <w:spacing w:after="0" w:line="274" w:lineRule="auto"/>
        <w:tabs>
          <w:tab w:leader="none" w:pos="128" w:val="left"/>
        </w:tabs>
        <w:numPr>
          <w:ilvl w:val="0"/>
          <w:numId w:val="11"/>
        </w:numPr>
        <w:rPr>
          <w:rFonts w:ascii="Arial" w:cs="Arial" w:eastAsia="Arial" w:hAnsi="Arial"/>
          <w:sz w:val="16"/>
          <w:szCs w:val="16"/>
          <w:color w:val="005CB9"/>
        </w:rPr>
      </w:pPr>
      <w:r>
        <w:rPr>
          <w:rFonts w:ascii="Arial" w:cs="Arial" w:eastAsia="Arial" w:hAnsi="Arial"/>
          <w:sz w:val="16"/>
          <w:szCs w:val="16"/>
          <w:color w:val="auto"/>
        </w:rPr>
        <w:t>Executive leadership and management experience</w:t>
      </w:r>
    </w:p>
    <w:p>
      <w:pPr>
        <w:spacing w:after="0" w:line="11" w:lineRule="exact"/>
        <w:rPr>
          <w:rFonts w:ascii="Arial" w:cs="Arial" w:eastAsia="Arial" w:hAnsi="Arial"/>
          <w:sz w:val="16"/>
          <w:szCs w:val="16"/>
          <w:color w:val="005CB9"/>
        </w:rPr>
      </w:pPr>
    </w:p>
    <w:p>
      <w:pPr>
        <w:ind w:left="128" w:hanging="128"/>
        <w:spacing w:after="0"/>
        <w:tabs>
          <w:tab w:leader="none" w:pos="128" w:val="left"/>
        </w:tabs>
        <w:numPr>
          <w:ilvl w:val="0"/>
          <w:numId w:val="11"/>
        </w:numPr>
        <w:rPr>
          <w:rFonts w:ascii="Arial" w:cs="Arial" w:eastAsia="Arial" w:hAnsi="Arial"/>
          <w:sz w:val="16"/>
          <w:szCs w:val="16"/>
          <w:color w:val="005CB9"/>
        </w:rPr>
      </w:pPr>
      <w:r>
        <w:rPr>
          <w:rFonts w:ascii="Arial" w:cs="Arial" w:eastAsia="Arial" w:hAnsi="Arial"/>
          <w:sz w:val="16"/>
          <w:szCs w:val="16"/>
          <w:color w:val="auto"/>
        </w:rPr>
        <w:t>Software, technology and e-commerce</w:t>
      </w:r>
    </w:p>
    <w:p>
      <w:pPr>
        <w:spacing w:after="0" w:line="59" w:lineRule="exact"/>
        <w:rPr>
          <w:rFonts w:ascii="Arial" w:cs="Arial" w:eastAsia="Arial" w:hAnsi="Arial"/>
          <w:sz w:val="16"/>
          <w:szCs w:val="16"/>
          <w:color w:val="005CB9"/>
        </w:rPr>
      </w:pPr>
    </w:p>
    <w:p>
      <w:pPr>
        <w:ind w:left="128" w:hanging="128"/>
        <w:spacing w:after="0"/>
        <w:tabs>
          <w:tab w:leader="none" w:pos="128" w:val="left"/>
        </w:tabs>
        <w:numPr>
          <w:ilvl w:val="0"/>
          <w:numId w:val="11"/>
        </w:numPr>
        <w:rPr>
          <w:rFonts w:ascii="Arial" w:cs="Arial" w:eastAsia="Arial" w:hAnsi="Arial"/>
          <w:sz w:val="16"/>
          <w:szCs w:val="16"/>
          <w:color w:val="005CB9"/>
        </w:rPr>
      </w:pPr>
      <w:r>
        <w:rPr>
          <w:rFonts w:ascii="Arial" w:cs="Arial" w:eastAsia="Arial" w:hAnsi="Arial"/>
          <w:sz w:val="16"/>
          <w:szCs w:val="16"/>
          <w:color w:val="auto"/>
        </w:rPr>
        <w:t>Cybersecurity experience</w:t>
      </w:r>
    </w:p>
    <w:p>
      <w:pPr>
        <w:spacing w:after="0" w:line="59" w:lineRule="exact"/>
        <w:rPr>
          <w:rFonts w:ascii="Arial" w:cs="Arial" w:eastAsia="Arial" w:hAnsi="Arial"/>
          <w:sz w:val="16"/>
          <w:szCs w:val="16"/>
          <w:color w:val="005CB9"/>
        </w:rPr>
      </w:pPr>
    </w:p>
    <w:p>
      <w:pPr>
        <w:ind w:left="168" w:hanging="168"/>
        <w:spacing w:after="0" w:line="274" w:lineRule="auto"/>
        <w:tabs>
          <w:tab w:leader="none" w:pos="128" w:val="left"/>
        </w:tabs>
        <w:numPr>
          <w:ilvl w:val="0"/>
          <w:numId w:val="11"/>
        </w:numPr>
        <w:rPr>
          <w:rFonts w:ascii="Arial" w:cs="Arial" w:eastAsia="Arial" w:hAnsi="Arial"/>
          <w:sz w:val="16"/>
          <w:szCs w:val="16"/>
          <w:color w:val="005CB9"/>
        </w:rPr>
      </w:pPr>
      <w:r>
        <w:rPr>
          <w:rFonts w:ascii="Arial" w:cs="Arial" w:eastAsia="Arial" w:hAnsi="Arial"/>
          <w:sz w:val="16"/>
          <w:szCs w:val="16"/>
          <w:color w:val="auto"/>
        </w:rPr>
        <w:t>Developing and marketing emerging technology software applications and solutions</w:t>
      </w:r>
    </w:p>
    <w:p>
      <w:pPr>
        <w:spacing w:after="0" w:line="11" w:lineRule="exact"/>
        <w:rPr>
          <w:rFonts w:ascii="Arial" w:cs="Arial" w:eastAsia="Arial" w:hAnsi="Arial"/>
          <w:sz w:val="16"/>
          <w:szCs w:val="16"/>
          <w:color w:val="005CB9"/>
        </w:rPr>
      </w:pPr>
    </w:p>
    <w:p>
      <w:pPr>
        <w:ind w:left="128" w:hanging="128"/>
        <w:spacing w:after="0"/>
        <w:tabs>
          <w:tab w:leader="none" w:pos="128" w:val="left"/>
        </w:tabs>
        <w:numPr>
          <w:ilvl w:val="0"/>
          <w:numId w:val="11"/>
        </w:numPr>
        <w:rPr>
          <w:rFonts w:ascii="Arial" w:cs="Arial" w:eastAsia="Arial" w:hAnsi="Arial"/>
          <w:sz w:val="16"/>
          <w:szCs w:val="16"/>
          <w:color w:val="005CB9"/>
        </w:rPr>
      </w:pPr>
      <w:r>
        <w:rPr>
          <w:rFonts w:ascii="Arial" w:cs="Arial" w:eastAsia="Arial" w:hAnsi="Arial"/>
          <w:sz w:val="16"/>
          <w:szCs w:val="16"/>
          <w:color w:val="auto"/>
        </w:rPr>
        <w:t>Innovation, digital media and communications</w:t>
      </w:r>
    </w:p>
    <w:p>
      <w:pPr>
        <w:spacing w:after="0" w:line="59" w:lineRule="exact"/>
        <w:rPr>
          <w:rFonts w:ascii="Arial" w:cs="Arial" w:eastAsia="Arial" w:hAnsi="Arial"/>
          <w:sz w:val="16"/>
          <w:szCs w:val="16"/>
          <w:color w:val="005CB9"/>
        </w:rPr>
      </w:pPr>
    </w:p>
    <w:p>
      <w:pPr>
        <w:ind w:left="168" w:right="580" w:hanging="168"/>
        <w:spacing w:after="0" w:line="274" w:lineRule="auto"/>
        <w:tabs>
          <w:tab w:leader="none" w:pos="128" w:val="left"/>
        </w:tabs>
        <w:numPr>
          <w:ilvl w:val="0"/>
          <w:numId w:val="11"/>
        </w:numPr>
        <w:rPr>
          <w:rFonts w:ascii="Arial" w:cs="Arial" w:eastAsia="Arial" w:hAnsi="Arial"/>
          <w:sz w:val="16"/>
          <w:szCs w:val="16"/>
          <w:color w:val="005CB9"/>
        </w:rPr>
      </w:pPr>
      <w:r>
        <w:rPr>
          <w:rFonts w:ascii="Arial" w:cs="Arial" w:eastAsia="Arial" w:hAnsi="Arial"/>
          <w:sz w:val="16"/>
          <w:szCs w:val="16"/>
          <w:color w:val="auto"/>
        </w:rPr>
        <w:t>Building and scaling consumer and B2B businesses in the technology industry</w:t>
      </w:r>
    </w:p>
    <w:p>
      <w:pPr>
        <w:spacing w:after="0" w:line="11" w:lineRule="exact"/>
        <w:rPr>
          <w:rFonts w:ascii="Arial" w:cs="Arial" w:eastAsia="Arial" w:hAnsi="Arial"/>
          <w:sz w:val="16"/>
          <w:szCs w:val="16"/>
          <w:color w:val="005CB9"/>
        </w:rPr>
      </w:pPr>
    </w:p>
    <w:p>
      <w:pPr>
        <w:ind w:left="128" w:hanging="128"/>
        <w:spacing w:after="0"/>
        <w:tabs>
          <w:tab w:leader="none" w:pos="128" w:val="left"/>
        </w:tabs>
        <w:numPr>
          <w:ilvl w:val="0"/>
          <w:numId w:val="11"/>
        </w:numPr>
        <w:rPr>
          <w:rFonts w:ascii="Arial" w:cs="Arial" w:eastAsia="Arial" w:hAnsi="Arial"/>
          <w:sz w:val="16"/>
          <w:szCs w:val="16"/>
          <w:color w:val="005CB9"/>
        </w:rPr>
      </w:pPr>
      <w:r>
        <w:rPr>
          <w:rFonts w:ascii="Arial" w:cs="Arial" w:eastAsia="Arial" w:hAnsi="Arial"/>
          <w:sz w:val="16"/>
          <w:szCs w:val="16"/>
          <w:color w:val="auto"/>
        </w:rPr>
        <w:t>Entrepreneurial perspective</w:t>
      </w:r>
    </w:p>
    <w:p>
      <w:pPr>
        <w:spacing w:after="0" w:line="59" w:lineRule="exact"/>
        <w:rPr>
          <w:rFonts w:ascii="Arial" w:cs="Arial" w:eastAsia="Arial" w:hAnsi="Arial"/>
          <w:sz w:val="16"/>
          <w:szCs w:val="16"/>
          <w:color w:val="005CB9"/>
        </w:rPr>
      </w:pPr>
    </w:p>
    <w:p>
      <w:pPr>
        <w:ind w:left="128" w:hanging="128"/>
        <w:spacing w:after="0"/>
        <w:tabs>
          <w:tab w:leader="none" w:pos="128" w:val="left"/>
        </w:tabs>
        <w:numPr>
          <w:ilvl w:val="0"/>
          <w:numId w:val="11"/>
        </w:numPr>
        <w:rPr>
          <w:rFonts w:ascii="Arial" w:cs="Arial" w:eastAsia="Arial" w:hAnsi="Arial"/>
          <w:sz w:val="16"/>
          <w:szCs w:val="16"/>
          <w:color w:val="005CB9"/>
        </w:rPr>
      </w:pPr>
      <w:r>
        <w:rPr>
          <w:rFonts w:ascii="Arial" w:cs="Arial" w:eastAsia="Arial" w:hAnsi="Arial"/>
          <w:sz w:val="16"/>
          <w:szCs w:val="16"/>
          <w:color w:val="auto"/>
        </w:rPr>
        <w:t>Public company board experience</w:t>
      </w:r>
    </w:p>
    <w:p>
      <w:pPr>
        <w:spacing w:after="0" w:line="200" w:lineRule="exact"/>
        <w:rPr>
          <w:sz w:val="20"/>
          <w:szCs w:val="20"/>
          <w:color w:val="auto"/>
        </w:rPr>
      </w:pPr>
    </w:p>
    <w:p>
      <w:pPr>
        <w:sectPr>
          <w:pgSz w:w="11900" w:h="16838" w:orient="portrait"/>
          <w:cols w:equalWidth="0" w:num="2">
            <w:col w:w="6920" w:space="472"/>
            <w:col w:w="3568"/>
          </w:cols>
          <w:pgMar w:left="320" w:top="459"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360" w:type="dxa"/>
            <w:vAlign w:val="bottom"/>
            <w:tcBorders>
              <w:right w:val="single" w:sz="8" w:color="005CB9"/>
            </w:tcBorders>
          </w:tcPr>
          <w:p>
            <w:pPr>
              <w:jc w:val="right"/>
              <w:ind w:right="204"/>
              <w:spacing w:after="0"/>
              <w:rPr>
                <w:sz w:val="20"/>
                <w:szCs w:val="20"/>
                <w:color w:val="auto"/>
              </w:rPr>
            </w:pPr>
            <w:r>
              <w:rPr>
                <w:rFonts w:ascii="Arial" w:cs="Arial" w:eastAsia="Arial" w:hAnsi="Arial"/>
                <w:sz w:val="15"/>
                <w:szCs w:val="15"/>
                <w:b w:val="1"/>
                <w:bCs w:val="1"/>
                <w:color w:val="005CB9"/>
                <w:w w:val="71"/>
              </w:rPr>
              <w:t>2</w:t>
            </w:r>
          </w:p>
        </w:tc>
        <w:tc>
          <w:tcPr>
            <w:tcW w:w="4680" w:type="dxa"/>
            <w:vAlign w:val="bottom"/>
          </w:tcPr>
          <w:p>
            <w:pPr>
              <w:ind w:left="104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0"/>
        </w:trPr>
        <w:tc>
          <w:tcPr>
            <w:tcW w:w="360" w:type="dxa"/>
            <w:vAlign w:val="bottom"/>
            <w:tcBorders>
              <w:right w:val="single" w:sz="8" w:color="005CB9"/>
            </w:tcBorders>
          </w:tcPr>
          <w:p>
            <w:pPr>
              <w:spacing w:after="0"/>
              <w:rPr>
                <w:sz w:val="8"/>
                <w:szCs w:val="8"/>
                <w:color w:val="auto"/>
              </w:rPr>
            </w:pPr>
          </w:p>
        </w:tc>
        <w:tc>
          <w:tcPr>
            <w:tcW w:w="46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-205105</wp:posOffset>
            </wp:positionV>
            <wp:extent cx="42862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0960"/>
          </w:cols>
          <w:pgMar w:left="320" w:top="459" w:right="61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color w:val="005CB9"/>
        </w:rPr>
        <w:t xml:space="preserve">BOARD OF DIRECTORS </w:t>
      </w:r>
      <w:r>
        <w:rPr>
          <w:rFonts w:ascii="Arial" w:cs="Arial" w:eastAsia="Arial" w:hAnsi="Arial"/>
          <w:sz w:val="17"/>
          <w:szCs w:val="17"/>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Amy Woods Brinkley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-248285</wp:posOffset>
            </wp:positionV>
            <wp:extent cx="4345940" cy="1028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80"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Founder, AWB Consulting,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229870</wp:posOffset>
            </wp:positionV>
            <wp:extent cx="34201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both"/>
        <w:ind w:left="1680"/>
        <w:spacing w:after="0" w:line="252" w:lineRule="auto"/>
        <w:rPr>
          <w:sz w:val="20"/>
          <w:szCs w:val="20"/>
          <w:color w:val="auto"/>
        </w:rPr>
      </w:pPr>
      <w:r>
        <w:rPr>
          <w:rFonts w:ascii="Arial" w:cs="Arial" w:eastAsia="Arial" w:hAnsi="Arial"/>
          <w:sz w:val="16"/>
          <w:szCs w:val="16"/>
          <w:color w:val="auto"/>
        </w:rPr>
        <w:t>Ms. Brinkley is the founder, owner and manager of AWB Consulting, LLC, an executive advising and risk management consulting firm. Ms. Brinkley served as Chief Risk Officer for Bank of America Corporation from</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Director Since 2015</w:t>
      </w:r>
    </w:p>
    <w:p>
      <w:pPr>
        <w:spacing w:after="0" w:line="2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Age 66</w:t>
      </w:r>
    </w:p>
    <w:p>
      <w:pPr>
        <w:spacing w:after="0" w:line="20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Committees:</w:t>
      </w:r>
    </w:p>
    <w:p>
      <w:pPr>
        <w:spacing w:after="0" w:line="66" w:lineRule="exact"/>
        <w:rPr>
          <w:sz w:val="20"/>
          <w:szCs w:val="20"/>
          <w:color w:val="auto"/>
        </w:rPr>
      </w:pPr>
    </w:p>
    <w:p>
      <w:pPr>
        <w:ind w:left="128" w:hanging="128"/>
        <w:spacing w:after="0"/>
        <w:tabs>
          <w:tab w:leader="none" w:pos="128" w:val="left"/>
        </w:tabs>
        <w:numPr>
          <w:ilvl w:val="0"/>
          <w:numId w:val="12"/>
        </w:numPr>
        <w:rPr>
          <w:rFonts w:ascii="Arial" w:cs="Arial" w:eastAsia="Arial" w:hAnsi="Arial"/>
          <w:sz w:val="16"/>
          <w:szCs w:val="16"/>
          <w:color w:val="005CB9"/>
        </w:rPr>
      </w:pPr>
      <w:r>
        <w:rPr>
          <w:rFonts w:ascii="Arial" w:cs="Arial" w:eastAsia="Arial" w:hAnsi="Arial"/>
          <w:sz w:val="16"/>
          <w:szCs w:val="16"/>
          <w:color w:val="auto"/>
        </w:rPr>
        <w:t>Compensation</w:t>
      </w:r>
    </w:p>
    <w:p>
      <w:pPr>
        <w:spacing w:after="0" w:line="59" w:lineRule="exact"/>
        <w:rPr>
          <w:rFonts w:ascii="Arial" w:cs="Arial" w:eastAsia="Arial" w:hAnsi="Arial"/>
          <w:sz w:val="16"/>
          <w:szCs w:val="16"/>
          <w:color w:val="005CB9"/>
        </w:rPr>
      </w:pPr>
    </w:p>
    <w:p>
      <w:pPr>
        <w:ind w:left="128" w:hanging="128"/>
        <w:spacing w:after="0"/>
        <w:tabs>
          <w:tab w:leader="none" w:pos="128" w:val="left"/>
        </w:tabs>
        <w:numPr>
          <w:ilvl w:val="0"/>
          <w:numId w:val="12"/>
        </w:numPr>
        <w:rPr>
          <w:rFonts w:ascii="Arial" w:cs="Arial" w:eastAsia="Arial" w:hAnsi="Arial"/>
          <w:sz w:val="16"/>
          <w:szCs w:val="16"/>
          <w:color w:val="005CB9"/>
        </w:rPr>
      </w:pPr>
      <w:r>
        <w:rPr>
          <w:rFonts w:ascii="Arial" w:cs="Arial" w:eastAsia="Arial" w:hAnsi="Arial"/>
          <w:sz w:val="16"/>
          <w:szCs w:val="16"/>
          <w:color w:val="auto"/>
        </w:rPr>
        <w:t>Nominating and Governance</w:t>
      </w:r>
    </w:p>
    <w:p>
      <w:pPr>
        <w:spacing w:after="0" w:line="59" w:lineRule="exact"/>
        <w:rPr>
          <w:rFonts w:ascii="Arial" w:cs="Arial" w:eastAsia="Arial" w:hAnsi="Arial"/>
          <w:sz w:val="16"/>
          <w:szCs w:val="16"/>
          <w:color w:val="005CB9"/>
        </w:rPr>
      </w:pPr>
    </w:p>
    <w:p>
      <w:pPr>
        <w:ind w:left="128" w:hanging="128"/>
        <w:spacing w:after="0"/>
        <w:tabs>
          <w:tab w:leader="none" w:pos="128" w:val="left"/>
        </w:tabs>
        <w:numPr>
          <w:ilvl w:val="0"/>
          <w:numId w:val="12"/>
        </w:numPr>
        <w:rPr>
          <w:rFonts w:ascii="Arial" w:cs="Arial" w:eastAsia="Arial" w:hAnsi="Arial"/>
          <w:sz w:val="16"/>
          <w:szCs w:val="16"/>
          <w:color w:val="005CB9"/>
        </w:rPr>
      </w:pPr>
      <w:r>
        <w:rPr>
          <w:rFonts w:ascii="Arial" w:cs="Arial" w:eastAsia="Arial" w:hAnsi="Arial"/>
          <w:sz w:val="16"/>
          <w:szCs w:val="16"/>
          <w:color w:val="auto"/>
        </w:rPr>
        <w:t>Executive</w:t>
      </w:r>
    </w:p>
    <w:p>
      <w:pPr>
        <w:spacing w:after="0" w:line="113" w:lineRule="exact"/>
        <w:rPr>
          <w:sz w:val="20"/>
          <w:szCs w:val="20"/>
          <w:color w:val="auto"/>
        </w:rPr>
      </w:pPr>
    </w:p>
    <w:p>
      <w:pPr>
        <w:sectPr>
          <w:pgSz w:w="11900" w:h="16838" w:orient="portrait"/>
          <w:cols w:equalWidth="0" w:num="2">
            <w:col w:w="6940" w:space="452"/>
            <w:col w:w="3748"/>
          </w:cols>
          <w:pgMar w:left="320" w:top="459" w:right="439" w:bottom="1440" w:gutter="0" w:footer="0" w:header="0"/>
          <w:type w:val="continuous"/>
        </w:sectPr>
      </w:pPr>
    </w:p>
    <w:p>
      <w:pPr>
        <w:ind w:left="120"/>
        <w:spacing w:after="0" w:line="247" w:lineRule="auto"/>
        <w:rPr>
          <w:sz w:val="20"/>
          <w:szCs w:val="20"/>
          <w:color w:val="auto"/>
        </w:rPr>
      </w:pPr>
      <w:r>
        <w:rPr>
          <w:rFonts w:ascii="Arial" w:cs="Arial" w:eastAsia="Arial" w:hAnsi="Arial"/>
          <w:sz w:val="16"/>
          <w:szCs w:val="16"/>
          <w:color w:val="auto"/>
        </w:rPr>
        <w:t>2002 until her retirement in 2009, after more than 30 years with the company. Prior to 2002, she served as President of Bank of America’s Consumer Products division and was responsible for the credit card, mortgage, consumer finance, telephone, and e-commerce businesses. During her employment at Bank of America, Ms. Brinkley also held the positions of Executive Vice President and Chief Marketing Officer overseeing the company’s Olympic sponsorship and its national rebranding and name change. Ms. Brinkley has served as director of TD Bank Group, since 2010. Ms. Brinkley also serves as a director of TD Bank Group’s subsidiaries: TD Group US Holdings, LLC, TD Bank US Holding Company, TD Bank, NA, and TD Bank, USA. In addition, she served as a director of Carter’s Inc., a branded marketer in North America of apparel and related products exclusively for babies and young children, from 2010 to 2021. She also served as a Commissioner for Atrium Health, a non-profit hospital network from 2001 to 2019 and as a Trustee for the Princeton Theological Seminary from 2002 to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930275</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
        <w:spacing w:after="0"/>
        <w:rPr>
          <w:sz w:val="20"/>
          <w:szCs w:val="20"/>
          <w:color w:val="auto"/>
        </w:rPr>
      </w:pPr>
      <w:r>
        <w:rPr>
          <w:rFonts w:ascii="Arial" w:cs="Arial" w:eastAsia="Arial" w:hAnsi="Arial"/>
          <w:sz w:val="16"/>
          <w:szCs w:val="16"/>
          <w:b w:val="1"/>
          <w:bCs w:val="1"/>
          <w:color w:val="auto"/>
        </w:rPr>
        <w:t>Current Public Directorships:</w:t>
      </w:r>
    </w:p>
    <w:p>
      <w:pPr>
        <w:spacing w:after="0" w:line="66" w:lineRule="exact"/>
        <w:rPr>
          <w:sz w:val="20"/>
          <w:szCs w:val="20"/>
          <w:color w:val="auto"/>
        </w:rPr>
      </w:pPr>
    </w:p>
    <w:p>
      <w:pPr>
        <w:ind w:left="128" w:hanging="128"/>
        <w:spacing w:after="0"/>
        <w:tabs>
          <w:tab w:leader="none" w:pos="128" w:val="left"/>
        </w:tabs>
        <w:numPr>
          <w:ilvl w:val="0"/>
          <w:numId w:val="13"/>
        </w:numPr>
        <w:rPr>
          <w:rFonts w:ascii="Arial" w:cs="Arial" w:eastAsia="Arial" w:hAnsi="Arial"/>
          <w:sz w:val="16"/>
          <w:szCs w:val="16"/>
          <w:color w:val="005CB9"/>
        </w:rPr>
      </w:pPr>
      <w:r>
        <w:rPr>
          <w:rFonts w:ascii="Arial" w:cs="Arial" w:eastAsia="Arial" w:hAnsi="Arial"/>
          <w:sz w:val="16"/>
          <w:szCs w:val="16"/>
          <w:color w:val="auto"/>
        </w:rPr>
        <w:t>TD Bank Group</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Key Qualifications &amp; Expertise:</w:t>
      </w:r>
    </w:p>
    <w:p>
      <w:pPr>
        <w:spacing w:after="0" w:line="66" w:lineRule="exact"/>
        <w:rPr>
          <w:sz w:val="20"/>
          <w:szCs w:val="20"/>
          <w:color w:val="auto"/>
        </w:rPr>
      </w:pPr>
    </w:p>
    <w:p>
      <w:pPr>
        <w:ind w:left="168" w:right="820" w:hanging="168"/>
        <w:spacing w:after="0" w:line="255" w:lineRule="auto"/>
        <w:tabs>
          <w:tab w:leader="none" w:pos="128" w:val="left"/>
        </w:tabs>
        <w:numPr>
          <w:ilvl w:val="0"/>
          <w:numId w:val="14"/>
        </w:numPr>
        <w:rPr>
          <w:rFonts w:ascii="Arial" w:cs="Arial" w:eastAsia="Arial" w:hAnsi="Arial"/>
          <w:sz w:val="16"/>
          <w:szCs w:val="16"/>
          <w:color w:val="005CB9"/>
        </w:rPr>
      </w:pPr>
      <w:r>
        <w:rPr>
          <w:rFonts w:ascii="Arial" w:cs="Arial" w:eastAsia="Arial" w:hAnsi="Arial"/>
          <w:sz w:val="16"/>
          <w:szCs w:val="16"/>
          <w:color w:val="auto"/>
        </w:rPr>
        <w:t>Executive leadership and management experience</w:t>
      </w:r>
    </w:p>
    <w:p>
      <w:pPr>
        <w:ind w:left="168" w:right="880" w:hanging="168"/>
        <w:spacing w:after="0" w:line="255" w:lineRule="auto"/>
        <w:tabs>
          <w:tab w:leader="none" w:pos="128" w:val="left"/>
        </w:tabs>
        <w:numPr>
          <w:ilvl w:val="0"/>
          <w:numId w:val="14"/>
        </w:numPr>
        <w:rPr>
          <w:rFonts w:ascii="Arial" w:cs="Arial" w:eastAsia="Arial" w:hAnsi="Arial"/>
          <w:sz w:val="16"/>
          <w:szCs w:val="16"/>
          <w:color w:val="005CB9"/>
        </w:rPr>
      </w:pPr>
      <w:r>
        <w:rPr>
          <w:rFonts w:ascii="Arial" w:cs="Arial" w:eastAsia="Arial" w:hAnsi="Arial"/>
          <w:sz w:val="16"/>
          <w:szCs w:val="16"/>
          <w:color w:val="auto"/>
        </w:rPr>
        <w:t>Risk management, controls, corporate governance</w:t>
      </w:r>
    </w:p>
    <w:p>
      <w:pPr>
        <w:ind w:left="168" w:right="20" w:hanging="168"/>
        <w:spacing w:after="0" w:line="255" w:lineRule="auto"/>
        <w:tabs>
          <w:tab w:leader="none" w:pos="128" w:val="left"/>
        </w:tabs>
        <w:numPr>
          <w:ilvl w:val="0"/>
          <w:numId w:val="14"/>
        </w:numPr>
        <w:rPr>
          <w:rFonts w:ascii="Arial" w:cs="Arial" w:eastAsia="Arial" w:hAnsi="Arial"/>
          <w:sz w:val="16"/>
          <w:szCs w:val="16"/>
          <w:color w:val="005CB9"/>
        </w:rPr>
      </w:pPr>
      <w:r>
        <w:rPr>
          <w:rFonts w:ascii="Arial" w:cs="Arial" w:eastAsia="Arial" w:hAnsi="Arial"/>
          <w:sz w:val="16"/>
          <w:szCs w:val="16"/>
          <w:color w:val="auto"/>
        </w:rPr>
        <w:t>Financial reporting rules and regulations and audit procedures</w:t>
      </w:r>
    </w:p>
    <w:p>
      <w:pPr>
        <w:ind w:left="168" w:right="120" w:hanging="168"/>
        <w:spacing w:after="0" w:line="255" w:lineRule="auto"/>
        <w:tabs>
          <w:tab w:leader="none" w:pos="128" w:val="left"/>
        </w:tabs>
        <w:numPr>
          <w:ilvl w:val="0"/>
          <w:numId w:val="14"/>
        </w:numPr>
        <w:rPr>
          <w:rFonts w:ascii="Arial" w:cs="Arial" w:eastAsia="Arial" w:hAnsi="Arial"/>
          <w:sz w:val="16"/>
          <w:szCs w:val="16"/>
          <w:color w:val="005CB9"/>
        </w:rPr>
      </w:pPr>
      <w:r>
        <w:rPr>
          <w:rFonts w:ascii="Arial" w:cs="Arial" w:eastAsia="Arial" w:hAnsi="Arial"/>
          <w:sz w:val="16"/>
          <w:szCs w:val="16"/>
          <w:color w:val="auto"/>
        </w:rPr>
        <w:t>Broad-based knowledge of banking and financial services</w:t>
      </w:r>
    </w:p>
    <w:p>
      <w:pPr>
        <w:ind w:left="128" w:hanging="128"/>
        <w:spacing w:after="0"/>
        <w:tabs>
          <w:tab w:leader="none" w:pos="128" w:val="left"/>
        </w:tabs>
        <w:numPr>
          <w:ilvl w:val="0"/>
          <w:numId w:val="14"/>
        </w:numPr>
        <w:rPr>
          <w:rFonts w:ascii="Arial" w:cs="Arial" w:eastAsia="Arial" w:hAnsi="Arial"/>
          <w:sz w:val="16"/>
          <w:szCs w:val="16"/>
          <w:color w:val="005CB9"/>
        </w:rPr>
      </w:pPr>
      <w:r>
        <w:rPr>
          <w:rFonts w:ascii="Arial" w:cs="Arial" w:eastAsia="Arial" w:hAnsi="Arial"/>
          <w:sz w:val="16"/>
          <w:szCs w:val="16"/>
          <w:color w:val="auto"/>
        </w:rPr>
        <w:t>Marketing and e-commerce</w:t>
      </w:r>
    </w:p>
    <w:p>
      <w:pPr>
        <w:spacing w:after="0" w:line="59" w:lineRule="exact"/>
        <w:rPr>
          <w:rFonts w:ascii="Arial" w:cs="Arial" w:eastAsia="Arial" w:hAnsi="Arial"/>
          <w:sz w:val="16"/>
          <w:szCs w:val="16"/>
          <w:color w:val="005CB9"/>
        </w:rPr>
      </w:pPr>
    </w:p>
    <w:p>
      <w:pPr>
        <w:ind w:left="128" w:hanging="128"/>
        <w:spacing w:after="0"/>
        <w:tabs>
          <w:tab w:leader="none" w:pos="128" w:val="left"/>
        </w:tabs>
        <w:numPr>
          <w:ilvl w:val="0"/>
          <w:numId w:val="14"/>
        </w:numPr>
        <w:rPr>
          <w:rFonts w:ascii="Arial" w:cs="Arial" w:eastAsia="Arial" w:hAnsi="Arial"/>
          <w:sz w:val="16"/>
          <w:szCs w:val="16"/>
          <w:color w:val="005CB9"/>
        </w:rPr>
      </w:pPr>
      <w:r>
        <w:rPr>
          <w:rFonts w:ascii="Arial" w:cs="Arial" w:eastAsia="Arial" w:hAnsi="Arial"/>
          <w:sz w:val="16"/>
          <w:szCs w:val="16"/>
          <w:color w:val="auto"/>
        </w:rPr>
        <w:t>Mergers &amp; Acquisitions</w:t>
      </w:r>
    </w:p>
    <w:p>
      <w:pPr>
        <w:spacing w:after="0" w:line="18" w:lineRule="exact"/>
        <w:rPr>
          <w:rFonts w:ascii="Arial" w:cs="Arial" w:eastAsia="Arial" w:hAnsi="Arial"/>
          <w:sz w:val="16"/>
          <w:szCs w:val="16"/>
          <w:color w:val="005CB9"/>
        </w:rPr>
      </w:pPr>
    </w:p>
    <w:p>
      <w:pPr>
        <w:ind w:left="128" w:hanging="128"/>
        <w:spacing w:after="0"/>
        <w:tabs>
          <w:tab w:leader="none" w:pos="128" w:val="left"/>
        </w:tabs>
        <w:numPr>
          <w:ilvl w:val="0"/>
          <w:numId w:val="14"/>
        </w:numPr>
        <w:rPr>
          <w:rFonts w:ascii="Arial" w:cs="Arial" w:eastAsia="Arial" w:hAnsi="Arial"/>
          <w:sz w:val="16"/>
          <w:szCs w:val="16"/>
          <w:color w:val="005CB9"/>
        </w:rPr>
      </w:pPr>
      <w:r>
        <w:rPr>
          <w:rFonts w:ascii="Arial" w:cs="Arial" w:eastAsia="Arial" w:hAnsi="Arial"/>
          <w:sz w:val="16"/>
          <w:szCs w:val="16"/>
          <w:color w:val="auto"/>
        </w:rPr>
        <w:t>Corporate governance</w:t>
      </w:r>
    </w:p>
    <w:p>
      <w:pPr>
        <w:spacing w:after="0" w:line="18" w:lineRule="exact"/>
        <w:rPr>
          <w:rFonts w:ascii="Arial" w:cs="Arial" w:eastAsia="Arial" w:hAnsi="Arial"/>
          <w:sz w:val="16"/>
          <w:szCs w:val="16"/>
          <w:color w:val="005CB9"/>
        </w:rPr>
      </w:pPr>
    </w:p>
    <w:p>
      <w:pPr>
        <w:ind w:left="128" w:hanging="128"/>
        <w:spacing w:after="0"/>
        <w:tabs>
          <w:tab w:leader="none" w:pos="128" w:val="left"/>
        </w:tabs>
        <w:numPr>
          <w:ilvl w:val="0"/>
          <w:numId w:val="14"/>
        </w:numPr>
        <w:rPr>
          <w:rFonts w:ascii="Arial" w:cs="Arial" w:eastAsia="Arial" w:hAnsi="Arial"/>
          <w:sz w:val="16"/>
          <w:szCs w:val="16"/>
          <w:color w:val="005CB9"/>
        </w:rPr>
      </w:pPr>
      <w:r>
        <w:rPr>
          <w:rFonts w:ascii="Arial" w:cs="Arial" w:eastAsia="Arial" w:hAnsi="Arial"/>
          <w:sz w:val="16"/>
          <w:szCs w:val="16"/>
          <w:color w:val="auto"/>
        </w:rPr>
        <w:t>Public company board experience</w:t>
      </w:r>
    </w:p>
    <w:p>
      <w:pPr>
        <w:spacing w:after="0" w:line="59" w:lineRule="exact"/>
        <w:rPr>
          <w:rFonts w:ascii="Arial" w:cs="Arial" w:eastAsia="Arial" w:hAnsi="Arial"/>
          <w:sz w:val="16"/>
          <w:szCs w:val="16"/>
          <w:color w:val="005CB9"/>
        </w:rPr>
      </w:pPr>
    </w:p>
    <w:p>
      <w:pPr>
        <w:ind w:left="128" w:hanging="128"/>
        <w:spacing w:after="0"/>
        <w:tabs>
          <w:tab w:leader="none" w:pos="128" w:val="left"/>
        </w:tabs>
        <w:numPr>
          <w:ilvl w:val="0"/>
          <w:numId w:val="14"/>
        </w:numPr>
        <w:rPr>
          <w:rFonts w:ascii="Arial" w:cs="Arial" w:eastAsia="Arial" w:hAnsi="Arial"/>
          <w:sz w:val="16"/>
          <w:szCs w:val="16"/>
          <w:color w:val="005CB9"/>
        </w:rPr>
      </w:pPr>
      <w:r>
        <w:rPr>
          <w:rFonts w:ascii="Arial" w:cs="Arial" w:eastAsia="Arial" w:hAnsi="Arial"/>
          <w:sz w:val="16"/>
          <w:szCs w:val="16"/>
          <w:color w:val="auto"/>
        </w:rPr>
        <w:t>Talent and team development</w:t>
      </w:r>
    </w:p>
    <w:p>
      <w:pPr>
        <w:spacing w:after="0" w:line="200" w:lineRule="exact"/>
        <w:rPr>
          <w:sz w:val="20"/>
          <w:szCs w:val="20"/>
          <w:color w:val="auto"/>
        </w:rPr>
      </w:pPr>
    </w:p>
    <w:p>
      <w:pPr>
        <w:sectPr>
          <w:pgSz w:w="11900" w:h="16838" w:orient="portrait"/>
          <w:cols w:equalWidth="0" w:num="2">
            <w:col w:w="6920" w:space="472"/>
            <w:col w:w="3748"/>
          </w:cols>
          <w:pgMar w:left="320" w:top="459" w:right="439" w:bottom="1440" w:gutter="0" w:footer="0" w:header="0"/>
          <w:type w:val="continuous"/>
        </w:sectPr>
      </w:pPr>
    </w:p>
    <w:p>
      <w:pPr>
        <w:spacing w:after="0" w:line="353"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Irene M. Esteves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-239395</wp:posOffset>
            </wp:positionV>
            <wp:extent cx="4345940" cy="1028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80"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Former Chief Financial Officer, Time Warner Cable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195580</wp:posOffset>
            </wp:positionV>
            <wp:extent cx="34201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680"/>
        <w:spacing w:after="0" w:line="252" w:lineRule="auto"/>
        <w:rPr>
          <w:sz w:val="20"/>
          <w:szCs w:val="20"/>
          <w:color w:val="auto"/>
        </w:rPr>
      </w:pPr>
      <w:r>
        <w:rPr>
          <w:rFonts w:ascii="Arial" w:cs="Arial" w:eastAsia="Arial" w:hAnsi="Arial"/>
          <w:sz w:val="16"/>
          <w:szCs w:val="16"/>
          <w:color w:val="auto"/>
        </w:rPr>
        <w:t>Ms. Esteves most recently served as Chief Financial Officer of Time Warner Cable Inc. from July 2011 to May 2013. She previously served as Executive Vice</w:t>
      </w:r>
    </w:p>
    <w:p>
      <w:pPr>
        <w:spacing w:after="0" w:line="1"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Financial Officer of XL Group plc and prior to that position, Ms. Esteves was Senior Vice President and Chief Financial Officer of Regions Financial Corporation. Ms. Esteves has served as a director of KKR Real Estate Finance Trust Inc. since 2018 and Spirit AeroSystems Holdings, Inc. since 2015. In the last five years, Ms. Esteves also served as director of Aramark, Level Three Communications, Inc., and R.R. Donnelly &amp; Sons Company.</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Director Since 2021</w:t>
      </w:r>
    </w:p>
    <w:p>
      <w:pPr>
        <w:spacing w:after="0" w:line="2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Age 63</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Committee:</w:t>
      </w:r>
    </w:p>
    <w:p>
      <w:pPr>
        <w:spacing w:after="0" w:line="66" w:lineRule="exact"/>
        <w:rPr>
          <w:sz w:val="20"/>
          <w:szCs w:val="20"/>
          <w:color w:val="auto"/>
        </w:rPr>
      </w:pPr>
    </w:p>
    <w:p>
      <w:pPr>
        <w:ind w:left="88" w:hanging="88"/>
        <w:spacing w:after="0"/>
        <w:tabs>
          <w:tab w:leader="none" w:pos="88" w:val="left"/>
        </w:tabs>
        <w:numPr>
          <w:ilvl w:val="0"/>
          <w:numId w:val="15"/>
        </w:numPr>
        <w:rPr>
          <w:rFonts w:ascii="Arial" w:cs="Arial" w:eastAsia="Arial" w:hAnsi="Arial"/>
          <w:sz w:val="16"/>
          <w:szCs w:val="16"/>
          <w:color w:val="005CB9"/>
        </w:rPr>
      </w:pPr>
      <w:r>
        <w:rPr>
          <w:rFonts w:ascii="Arial" w:cs="Arial" w:eastAsia="Arial" w:hAnsi="Arial"/>
          <w:sz w:val="16"/>
          <w:szCs w:val="16"/>
          <w:color w:val="auto"/>
        </w:rPr>
        <w:t>Audit</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Current Public Directorships:</w:t>
      </w:r>
    </w:p>
    <w:p>
      <w:pPr>
        <w:spacing w:after="0" w:line="66" w:lineRule="exact"/>
        <w:rPr>
          <w:sz w:val="20"/>
          <w:szCs w:val="20"/>
          <w:color w:val="auto"/>
        </w:rPr>
      </w:pPr>
    </w:p>
    <w:p>
      <w:pPr>
        <w:ind w:left="108" w:hanging="108"/>
        <w:spacing w:after="0"/>
        <w:tabs>
          <w:tab w:leader="none" w:pos="108" w:val="left"/>
        </w:tabs>
        <w:numPr>
          <w:ilvl w:val="0"/>
          <w:numId w:val="16"/>
        </w:numPr>
        <w:rPr>
          <w:rFonts w:ascii="Arial" w:cs="Arial" w:eastAsia="Arial" w:hAnsi="Arial"/>
          <w:sz w:val="16"/>
          <w:szCs w:val="16"/>
          <w:color w:val="005CB9"/>
        </w:rPr>
      </w:pPr>
      <w:r>
        <w:rPr>
          <w:rFonts w:ascii="Arial" w:cs="Arial" w:eastAsia="Arial" w:hAnsi="Arial"/>
          <w:sz w:val="16"/>
          <w:szCs w:val="16"/>
          <w:color w:val="auto"/>
        </w:rPr>
        <w:t>KKR Real Estate Finance Trust Inc.</w:t>
      </w:r>
    </w:p>
    <w:p>
      <w:pPr>
        <w:spacing w:after="0" w:line="18" w:lineRule="exact"/>
        <w:rPr>
          <w:rFonts w:ascii="Arial" w:cs="Arial" w:eastAsia="Arial" w:hAnsi="Arial"/>
          <w:sz w:val="16"/>
          <w:szCs w:val="16"/>
          <w:color w:val="005CB9"/>
        </w:rPr>
      </w:pPr>
    </w:p>
    <w:p>
      <w:pPr>
        <w:ind w:left="108" w:hanging="108"/>
        <w:spacing w:after="0"/>
        <w:tabs>
          <w:tab w:leader="none" w:pos="108" w:val="left"/>
        </w:tabs>
        <w:numPr>
          <w:ilvl w:val="0"/>
          <w:numId w:val="16"/>
        </w:numPr>
        <w:rPr>
          <w:rFonts w:ascii="Arial" w:cs="Arial" w:eastAsia="Arial" w:hAnsi="Arial"/>
          <w:sz w:val="16"/>
          <w:szCs w:val="16"/>
          <w:color w:val="005CB9"/>
        </w:rPr>
      </w:pPr>
      <w:r>
        <w:rPr>
          <w:rFonts w:ascii="Arial" w:cs="Arial" w:eastAsia="Arial" w:hAnsi="Arial"/>
          <w:sz w:val="16"/>
          <w:szCs w:val="16"/>
          <w:color w:val="auto"/>
        </w:rPr>
        <w:t>Spirit AeroSystems Holdings Inc.</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Key Qualifications &amp; Expertise:</w:t>
      </w:r>
    </w:p>
    <w:p>
      <w:pPr>
        <w:spacing w:after="0" w:line="66" w:lineRule="exact"/>
        <w:rPr>
          <w:sz w:val="20"/>
          <w:szCs w:val="20"/>
          <w:color w:val="auto"/>
        </w:rPr>
      </w:pPr>
    </w:p>
    <w:p>
      <w:pPr>
        <w:ind w:left="168" w:right="760" w:hanging="168"/>
        <w:spacing w:after="0" w:line="274" w:lineRule="auto"/>
        <w:tabs>
          <w:tab w:leader="none" w:pos="128" w:val="left"/>
        </w:tabs>
        <w:numPr>
          <w:ilvl w:val="0"/>
          <w:numId w:val="17"/>
        </w:numPr>
        <w:rPr>
          <w:rFonts w:ascii="Arial" w:cs="Arial" w:eastAsia="Arial" w:hAnsi="Arial"/>
          <w:sz w:val="16"/>
          <w:szCs w:val="16"/>
          <w:color w:val="005CB9"/>
        </w:rPr>
      </w:pPr>
      <w:r>
        <w:rPr>
          <w:rFonts w:ascii="Arial" w:cs="Arial" w:eastAsia="Arial" w:hAnsi="Arial"/>
          <w:sz w:val="16"/>
          <w:szCs w:val="16"/>
          <w:color w:val="auto"/>
        </w:rPr>
        <w:t>Executive Leadership and management experience</w:t>
      </w:r>
    </w:p>
    <w:p>
      <w:pPr>
        <w:spacing w:after="0" w:line="11" w:lineRule="exact"/>
        <w:rPr>
          <w:rFonts w:ascii="Arial" w:cs="Arial" w:eastAsia="Arial" w:hAnsi="Arial"/>
          <w:sz w:val="16"/>
          <w:szCs w:val="16"/>
          <w:color w:val="005CB9"/>
        </w:rPr>
      </w:pPr>
    </w:p>
    <w:p>
      <w:pPr>
        <w:ind w:left="128" w:hanging="128"/>
        <w:spacing w:after="0"/>
        <w:tabs>
          <w:tab w:leader="none" w:pos="128" w:val="left"/>
        </w:tabs>
        <w:numPr>
          <w:ilvl w:val="0"/>
          <w:numId w:val="17"/>
        </w:numPr>
        <w:rPr>
          <w:rFonts w:ascii="Arial" w:cs="Arial" w:eastAsia="Arial" w:hAnsi="Arial"/>
          <w:sz w:val="16"/>
          <w:szCs w:val="16"/>
          <w:color w:val="005CB9"/>
        </w:rPr>
      </w:pPr>
      <w:r>
        <w:rPr>
          <w:rFonts w:ascii="Arial" w:cs="Arial" w:eastAsia="Arial" w:hAnsi="Arial"/>
          <w:sz w:val="16"/>
          <w:szCs w:val="16"/>
          <w:color w:val="auto"/>
        </w:rPr>
        <w:t>Finance and accounting expertise</w:t>
      </w:r>
    </w:p>
    <w:p>
      <w:pPr>
        <w:spacing w:after="0" w:line="59" w:lineRule="exact"/>
        <w:rPr>
          <w:rFonts w:ascii="Arial" w:cs="Arial" w:eastAsia="Arial" w:hAnsi="Arial"/>
          <w:sz w:val="16"/>
          <w:szCs w:val="16"/>
          <w:color w:val="005CB9"/>
        </w:rPr>
      </w:pPr>
    </w:p>
    <w:p>
      <w:pPr>
        <w:ind w:left="128" w:hanging="128"/>
        <w:spacing w:after="0"/>
        <w:tabs>
          <w:tab w:leader="none" w:pos="128" w:val="left"/>
        </w:tabs>
        <w:numPr>
          <w:ilvl w:val="0"/>
          <w:numId w:val="17"/>
        </w:numPr>
        <w:rPr>
          <w:rFonts w:ascii="Arial" w:cs="Arial" w:eastAsia="Arial" w:hAnsi="Arial"/>
          <w:sz w:val="16"/>
          <w:szCs w:val="16"/>
          <w:color w:val="005CB9"/>
        </w:rPr>
      </w:pPr>
      <w:r>
        <w:rPr>
          <w:rFonts w:ascii="Arial" w:cs="Arial" w:eastAsia="Arial" w:hAnsi="Arial"/>
          <w:sz w:val="16"/>
          <w:szCs w:val="16"/>
          <w:color w:val="auto"/>
        </w:rPr>
        <w:t>Multi-industry perspective</w:t>
      </w:r>
    </w:p>
    <w:p>
      <w:pPr>
        <w:spacing w:after="0" w:line="59" w:lineRule="exact"/>
        <w:rPr>
          <w:rFonts w:ascii="Arial" w:cs="Arial" w:eastAsia="Arial" w:hAnsi="Arial"/>
          <w:sz w:val="16"/>
          <w:szCs w:val="16"/>
          <w:color w:val="005CB9"/>
        </w:rPr>
      </w:pPr>
    </w:p>
    <w:p>
      <w:pPr>
        <w:ind w:left="128" w:hanging="128"/>
        <w:spacing w:after="0"/>
        <w:tabs>
          <w:tab w:leader="none" w:pos="128" w:val="left"/>
        </w:tabs>
        <w:numPr>
          <w:ilvl w:val="0"/>
          <w:numId w:val="17"/>
        </w:numPr>
        <w:rPr>
          <w:rFonts w:ascii="Arial" w:cs="Arial" w:eastAsia="Arial" w:hAnsi="Arial"/>
          <w:sz w:val="16"/>
          <w:szCs w:val="16"/>
          <w:color w:val="005CB9"/>
        </w:rPr>
      </w:pPr>
      <w:r>
        <w:rPr>
          <w:rFonts w:ascii="Arial" w:cs="Arial" w:eastAsia="Arial" w:hAnsi="Arial"/>
          <w:sz w:val="16"/>
          <w:szCs w:val="16"/>
          <w:color w:val="auto"/>
        </w:rPr>
        <w:t>Global business experience</w:t>
      </w:r>
    </w:p>
    <w:p>
      <w:pPr>
        <w:spacing w:after="0" w:line="59" w:lineRule="exact"/>
        <w:rPr>
          <w:rFonts w:ascii="Arial" w:cs="Arial" w:eastAsia="Arial" w:hAnsi="Arial"/>
          <w:sz w:val="16"/>
          <w:szCs w:val="16"/>
          <w:color w:val="005CB9"/>
        </w:rPr>
      </w:pPr>
    </w:p>
    <w:p>
      <w:pPr>
        <w:ind w:left="128" w:hanging="128"/>
        <w:spacing w:after="0"/>
        <w:tabs>
          <w:tab w:leader="none" w:pos="128" w:val="left"/>
        </w:tabs>
        <w:numPr>
          <w:ilvl w:val="0"/>
          <w:numId w:val="17"/>
        </w:numPr>
        <w:rPr>
          <w:rFonts w:ascii="Arial" w:cs="Arial" w:eastAsia="Arial" w:hAnsi="Arial"/>
          <w:sz w:val="16"/>
          <w:szCs w:val="16"/>
          <w:color w:val="005CB9"/>
        </w:rPr>
      </w:pPr>
      <w:r>
        <w:rPr>
          <w:rFonts w:ascii="Arial" w:cs="Arial" w:eastAsia="Arial" w:hAnsi="Arial"/>
          <w:sz w:val="16"/>
          <w:szCs w:val="16"/>
          <w:color w:val="auto"/>
        </w:rPr>
        <w:t>Mergers &amp; Acquisitions</w:t>
      </w:r>
    </w:p>
    <w:p>
      <w:pPr>
        <w:spacing w:after="0" w:line="59" w:lineRule="exact"/>
        <w:rPr>
          <w:rFonts w:ascii="Arial" w:cs="Arial" w:eastAsia="Arial" w:hAnsi="Arial"/>
          <w:sz w:val="16"/>
          <w:szCs w:val="16"/>
          <w:color w:val="005CB9"/>
        </w:rPr>
      </w:pPr>
    </w:p>
    <w:p>
      <w:pPr>
        <w:ind w:left="128" w:hanging="128"/>
        <w:spacing w:after="0"/>
        <w:tabs>
          <w:tab w:leader="none" w:pos="128" w:val="left"/>
        </w:tabs>
        <w:numPr>
          <w:ilvl w:val="0"/>
          <w:numId w:val="17"/>
        </w:numPr>
        <w:rPr>
          <w:rFonts w:ascii="Arial" w:cs="Arial" w:eastAsia="Arial" w:hAnsi="Arial"/>
          <w:sz w:val="16"/>
          <w:szCs w:val="16"/>
          <w:color w:val="005CB9"/>
        </w:rPr>
      </w:pPr>
      <w:r>
        <w:rPr>
          <w:rFonts w:ascii="Arial" w:cs="Arial" w:eastAsia="Arial" w:hAnsi="Arial"/>
          <w:sz w:val="16"/>
          <w:szCs w:val="16"/>
          <w:color w:val="auto"/>
        </w:rPr>
        <w:t>Risk management and controls</w:t>
      </w:r>
    </w:p>
    <w:p>
      <w:pPr>
        <w:spacing w:after="0" w:line="59" w:lineRule="exact"/>
        <w:rPr>
          <w:rFonts w:ascii="Arial" w:cs="Arial" w:eastAsia="Arial" w:hAnsi="Arial"/>
          <w:sz w:val="16"/>
          <w:szCs w:val="16"/>
          <w:color w:val="005CB9"/>
        </w:rPr>
      </w:pPr>
    </w:p>
    <w:p>
      <w:pPr>
        <w:ind w:left="128" w:hanging="128"/>
        <w:spacing w:after="0"/>
        <w:tabs>
          <w:tab w:leader="none" w:pos="128" w:val="left"/>
        </w:tabs>
        <w:numPr>
          <w:ilvl w:val="0"/>
          <w:numId w:val="17"/>
        </w:numPr>
        <w:rPr>
          <w:rFonts w:ascii="Arial" w:cs="Arial" w:eastAsia="Arial" w:hAnsi="Arial"/>
          <w:sz w:val="16"/>
          <w:szCs w:val="16"/>
          <w:color w:val="005CB9"/>
        </w:rPr>
      </w:pPr>
      <w:r>
        <w:rPr>
          <w:rFonts w:ascii="Arial" w:cs="Arial" w:eastAsia="Arial" w:hAnsi="Arial"/>
          <w:sz w:val="16"/>
          <w:szCs w:val="16"/>
          <w:color w:val="auto"/>
        </w:rPr>
        <w:t>Public company board experience</w:t>
      </w:r>
    </w:p>
    <w:p>
      <w:pPr>
        <w:spacing w:after="0" w:line="59" w:lineRule="exact"/>
        <w:rPr>
          <w:rFonts w:ascii="Arial" w:cs="Arial" w:eastAsia="Arial" w:hAnsi="Arial"/>
          <w:sz w:val="16"/>
          <w:szCs w:val="16"/>
          <w:color w:val="005CB9"/>
        </w:rPr>
      </w:pPr>
    </w:p>
    <w:p>
      <w:pPr>
        <w:ind w:left="128" w:hanging="128"/>
        <w:spacing w:after="0"/>
        <w:tabs>
          <w:tab w:leader="none" w:pos="128" w:val="left"/>
        </w:tabs>
        <w:numPr>
          <w:ilvl w:val="0"/>
          <w:numId w:val="17"/>
        </w:numPr>
        <w:rPr>
          <w:rFonts w:ascii="Arial" w:cs="Arial" w:eastAsia="Arial" w:hAnsi="Arial"/>
          <w:sz w:val="16"/>
          <w:szCs w:val="16"/>
          <w:color w:val="005CB9"/>
        </w:rPr>
      </w:pPr>
      <w:r>
        <w:rPr>
          <w:rFonts w:ascii="Arial" w:cs="Arial" w:eastAsia="Arial" w:hAnsi="Arial"/>
          <w:sz w:val="16"/>
          <w:szCs w:val="16"/>
          <w:color w:val="auto"/>
        </w:rPr>
        <w:t>Talent and team development</w:t>
      </w:r>
    </w:p>
    <w:p>
      <w:pPr>
        <w:spacing w:after="0" w:line="200" w:lineRule="exact"/>
        <w:rPr>
          <w:sz w:val="20"/>
          <w:szCs w:val="20"/>
          <w:color w:val="auto"/>
        </w:rPr>
      </w:pPr>
    </w:p>
    <w:p>
      <w:pPr>
        <w:sectPr>
          <w:pgSz w:w="11900" w:h="16838" w:orient="portrait"/>
          <w:cols w:equalWidth="0" w:num="2">
            <w:col w:w="6920" w:space="472"/>
            <w:col w:w="3748"/>
          </w:cols>
          <w:pgMar w:left="320" w:top="459" w:right="439" w:bottom="1440" w:gutter="0" w:footer="0" w:header="0"/>
          <w:type w:val="continuous"/>
        </w:sectPr>
      </w:pPr>
    </w:p>
    <w:p>
      <w:pPr>
        <w:spacing w:after="0" w:line="222" w:lineRule="exact"/>
        <w:rPr>
          <w:sz w:val="20"/>
          <w:szCs w:val="20"/>
          <w:color w:val="auto"/>
        </w:rPr>
      </w:pPr>
    </w:p>
    <w:tbl>
      <w:tblPr>
        <w:tblLayout w:type="fixed"/>
        <w:tblInd w:w="7000" w:type="dxa"/>
        <w:tblCellMar>
          <w:top w:w="0" w:type="dxa"/>
          <w:left w:w="0" w:type="dxa"/>
          <w:bottom w:w="0" w:type="dxa"/>
          <w:right w:w="0" w:type="dxa"/>
        </w:tblCellMar>
      </w:tblPr>
      <w:tr>
        <w:trPr>
          <w:trHeight w:val="29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005CB9"/>
              </w:rPr>
              <w:t>3</w:t>
            </w:r>
          </w:p>
        </w:tc>
      </w:tr>
      <w:tr>
        <w:trPr>
          <w:trHeight w:val="101"/>
        </w:trPr>
        <w:tc>
          <w:tcPr>
            <w:tcW w:w="3900" w:type="dxa"/>
            <w:vAlign w:val="bottom"/>
            <w:tcBorders>
              <w:right w:val="single" w:sz="8" w:color="005CB9"/>
            </w:tcBorders>
          </w:tcPr>
          <w:p>
            <w:pPr>
              <w:spacing w:after="0"/>
              <w:rPr>
                <w:sz w:val="8"/>
                <w:szCs w:val="8"/>
                <w:color w:val="auto"/>
              </w:rPr>
            </w:pPr>
          </w:p>
        </w:tc>
        <w:tc>
          <w:tcPr>
            <w:tcW w:w="2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color w:val="005CB9"/>
        </w:rPr>
        <w:t xml:space="preserve">BOARD OF DIRECTORS </w:t>
      </w:r>
      <w:r>
        <w:rPr>
          <w:rFonts w:ascii="Arial" w:cs="Arial" w:eastAsia="Arial" w:hAnsi="Arial"/>
          <w:sz w:val="17"/>
          <w:szCs w:val="17"/>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0"/>
          </w:cols>
          <w:pgMar w:left="320" w:top="459" w:right="57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L. Neil Hunn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-273685</wp:posOffset>
            </wp:positionV>
            <wp:extent cx="4345940" cy="1028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80"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President and Chief Executive Officer, Roper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152400</wp:posOffset>
            </wp:positionV>
            <wp:extent cx="34201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57" w:lineRule="exact"/>
        <w:rPr>
          <w:sz w:val="20"/>
          <w:szCs w:val="20"/>
          <w:color w:val="auto"/>
        </w:rPr>
      </w:pPr>
    </w:p>
    <w:p>
      <w:pPr>
        <w:ind w:left="1680" w:right="60"/>
        <w:spacing w:after="0" w:line="252" w:lineRule="auto"/>
        <w:rPr>
          <w:sz w:val="20"/>
          <w:szCs w:val="20"/>
          <w:color w:val="auto"/>
        </w:rPr>
      </w:pPr>
      <w:r>
        <w:rPr>
          <w:rFonts w:ascii="Arial" w:cs="Arial" w:eastAsia="Arial" w:hAnsi="Arial"/>
          <w:sz w:val="16"/>
          <w:szCs w:val="16"/>
          <w:color w:val="auto"/>
        </w:rPr>
        <w:t>Prior to being named President and Chief Executive Officer in August 2018, Mr. Hunn served as Executive Vice President and Chief Operating Officer from 2017</w:t>
      </w:r>
    </w:p>
    <w:p>
      <w:pPr>
        <w:spacing w:after="0" w:line="1"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to 2018. Mr. Hunn also served as Group Vice President of Roper’s medical segment from 2011 to 2018 and helped drive significant growth in the Company’s medical technology and application software businesses. In addition to his operating responsibilities at Roper, Mr. Hunn led the execution of the majority of the company’s capital deployment since joining Roper. Prior to joining Roper, Mr. Hunn served 10 years as Executive Vice President and Chief Financial Officer at MedAssets, an Atlanta-based SaaS company, and as President of its revenue cycle technology businesses. He successfully led MedAssets’ initial public offering and the execution of several M&amp;A transactions. Mr. Hunn also held roles at CMGI, an incubator of Internet businesses, and Parthenon Group, a strategy consulting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Director Since 2018</w:t>
      </w:r>
    </w:p>
    <w:p>
      <w:pPr>
        <w:spacing w:after="0" w:line="2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Age 50</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Key Qualifications &amp; Expertise:</w:t>
      </w:r>
    </w:p>
    <w:p>
      <w:pPr>
        <w:spacing w:after="0" w:line="66" w:lineRule="exact"/>
        <w:rPr>
          <w:sz w:val="20"/>
          <w:szCs w:val="20"/>
          <w:color w:val="auto"/>
        </w:rPr>
      </w:pPr>
    </w:p>
    <w:p>
      <w:pPr>
        <w:ind w:left="168" w:right="680" w:hanging="168"/>
        <w:spacing w:after="0" w:line="255" w:lineRule="auto"/>
        <w:tabs>
          <w:tab w:leader="none" w:pos="128" w:val="left"/>
        </w:tabs>
        <w:numPr>
          <w:ilvl w:val="0"/>
          <w:numId w:val="18"/>
        </w:numPr>
        <w:rPr>
          <w:rFonts w:ascii="Arial" w:cs="Arial" w:eastAsia="Arial" w:hAnsi="Arial"/>
          <w:sz w:val="16"/>
          <w:szCs w:val="16"/>
          <w:color w:val="005CB9"/>
        </w:rPr>
      </w:pPr>
      <w:r>
        <w:rPr>
          <w:rFonts w:ascii="Arial" w:cs="Arial" w:eastAsia="Arial" w:hAnsi="Arial"/>
          <w:sz w:val="16"/>
          <w:szCs w:val="16"/>
          <w:color w:val="auto"/>
        </w:rPr>
        <w:t>Executive leadership and management experience</w:t>
      </w:r>
    </w:p>
    <w:p>
      <w:pPr>
        <w:ind w:left="128" w:hanging="128"/>
        <w:spacing w:after="0"/>
        <w:tabs>
          <w:tab w:leader="none" w:pos="128" w:val="left"/>
        </w:tabs>
        <w:numPr>
          <w:ilvl w:val="0"/>
          <w:numId w:val="18"/>
        </w:numPr>
        <w:rPr>
          <w:rFonts w:ascii="Arial" w:cs="Arial" w:eastAsia="Arial" w:hAnsi="Arial"/>
          <w:sz w:val="16"/>
          <w:szCs w:val="16"/>
          <w:color w:val="005CB9"/>
        </w:rPr>
      </w:pPr>
      <w:r>
        <w:rPr>
          <w:rFonts w:ascii="Arial" w:cs="Arial" w:eastAsia="Arial" w:hAnsi="Arial"/>
          <w:sz w:val="16"/>
          <w:szCs w:val="16"/>
          <w:color w:val="auto"/>
        </w:rPr>
        <w:t>Deep understanding of organization</w:t>
      </w:r>
    </w:p>
    <w:p>
      <w:pPr>
        <w:spacing w:after="0" w:line="18" w:lineRule="exact"/>
        <w:rPr>
          <w:rFonts w:ascii="Arial" w:cs="Arial" w:eastAsia="Arial" w:hAnsi="Arial"/>
          <w:sz w:val="16"/>
          <w:szCs w:val="16"/>
          <w:color w:val="005CB9"/>
        </w:rPr>
      </w:pPr>
    </w:p>
    <w:p>
      <w:pPr>
        <w:ind w:left="128" w:hanging="128"/>
        <w:spacing w:after="0"/>
        <w:tabs>
          <w:tab w:leader="none" w:pos="128" w:val="left"/>
        </w:tabs>
        <w:numPr>
          <w:ilvl w:val="0"/>
          <w:numId w:val="18"/>
        </w:numPr>
        <w:rPr>
          <w:rFonts w:ascii="Arial" w:cs="Arial" w:eastAsia="Arial" w:hAnsi="Arial"/>
          <w:sz w:val="16"/>
          <w:szCs w:val="16"/>
          <w:color w:val="005CB9"/>
        </w:rPr>
      </w:pPr>
      <w:r>
        <w:rPr>
          <w:rFonts w:ascii="Arial" w:cs="Arial" w:eastAsia="Arial" w:hAnsi="Arial"/>
          <w:sz w:val="16"/>
          <w:szCs w:val="16"/>
          <w:color w:val="auto"/>
        </w:rPr>
        <w:t>Software and technology expertise</w:t>
      </w:r>
    </w:p>
    <w:p>
      <w:pPr>
        <w:spacing w:after="0" w:line="18" w:lineRule="exact"/>
        <w:rPr>
          <w:rFonts w:ascii="Arial" w:cs="Arial" w:eastAsia="Arial" w:hAnsi="Arial"/>
          <w:sz w:val="16"/>
          <w:szCs w:val="16"/>
          <w:color w:val="005CB9"/>
        </w:rPr>
      </w:pPr>
    </w:p>
    <w:p>
      <w:pPr>
        <w:ind w:left="128" w:hanging="128"/>
        <w:spacing w:after="0"/>
        <w:tabs>
          <w:tab w:leader="none" w:pos="128" w:val="left"/>
        </w:tabs>
        <w:numPr>
          <w:ilvl w:val="0"/>
          <w:numId w:val="18"/>
        </w:numPr>
        <w:rPr>
          <w:rFonts w:ascii="Arial" w:cs="Arial" w:eastAsia="Arial" w:hAnsi="Arial"/>
          <w:sz w:val="16"/>
          <w:szCs w:val="16"/>
          <w:color w:val="005CB9"/>
        </w:rPr>
      </w:pPr>
      <w:r>
        <w:rPr>
          <w:rFonts w:ascii="Arial" w:cs="Arial" w:eastAsia="Arial" w:hAnsi="Arial"/>
          <w:sz w:val="16"/>
          <w:szCs w:val="16"/>
          <w:color w:val="auto"/>
        </w:rPr>
        <w:t>Strategic focus and planning</w:t>
      </w:r>
    </w:p>
    <w:p>
      <w:pPr>
        <w:spacing w:after="0" w:line="18" w:lineRule="exact"/>
        <w:rPr>
          <w:rFonts w:ascii="Arial" w:cs="Arial" w:eastAsia="Arial" w:hAnsi="Arial"/>
          <w:sz w:val="16"/>
          <w:szCs w:val="16"/>
          <w:color w:val="005CB9"/>
        </w:rPr>
      </w:pPr>
    </w:p>
    <w:p>
      <w:pPr>
        <w:ind w:left="128" w:hanging="128"/>
        <w:spacing w:after="0"/>
        <w:tabs>
          <w:tab w:leader="none" w:pos="128" w:val="left"/>
        </w:tabs>
        <w:numPr>
          <w:ilvl w:val="0"/>
          <w:numId w:val="18"/>
        </w:numPr>
        <w:rPr>
          <w:rFonts w:ascii="Arial" w:cs="Arial" w:eastAsia="Arial" w:hAnsi="Arial"/>
          <w:sz w:val="16"/>
          <w:szCs w:val="16"/>
          <w:color w:val="005CB9"/>
        </w:rPr>
      </w:pPr>
      <w:r>
        <w:rPr>
          <w:rFonts w:ascii="Arial" w:cs="Arial" w:eastAsia="Arial" w:hAnsi="Arial"/>
          <w:sz w:val="16"/>
          <w:szCs w:val="16"/>
          <w:color w:val="auto"/>
        </w:rPr>
        <w:t>Global industry and operational experience</w:t>
      </w:r>
    </w:p>
    <w:p>
      <w:pPr>
        <w:spacing w:after="0" w:line="18" w:lineRule="exact"/>
        <w:rPr>
          <w:rFonts w:ascii="Arial" w:cs="Arial" w:eastAsia="Arial" w:hAnsi="Arial"/>
          <w:sz w:val="16"/>
          <w:szCs w:val="16"/>
          <w:color w:val="005CB9"/>
        </w:rPr>
      </w:pPr>
    </w:p>
    <w:p>
      <w:pPr>
        <w:ind w:left="128" w:hanging="128"/>
        <w:spacing w:after="0"/>
        <w:tabs>
          <w:tab w:leader="none" w:pos="128" w:val="left"/>
        </w:tabs>
        <w:numPr>
          <w:ilvl w:val="0"/>
          <w:numId w:val="18"/>
        </w:numPr>
        <w:rPr>
          <w:rFonts w:ascii="Arial" w:cs="Arial" w:eastAsia="Arial" w:hAnsi="Arial"/>
          <w:sz w:val="16"/>
          <w:szCs w:val="16"/>
          <w:color w:val="005CB9"/>
        </w:rPr>
      </w:pPr>
      <w:r>
        <w:rPr>
          <w:rFonts w:ascii="Arial" w:cs="Arial" w:eastAsia="Arial" w:hAnsi="Arial"/>
          <w:sz w:val="16"/>
          <w:szCs w:val="16"/>
          <w:color w:val="auto"/>
        </w:rPr>
        <w:t>Mergers and acquisitions, capital markets</w:t>
      </w:r>
    </w:p>
    <w:p>
      <w:pPr>
        <w:spacing w:after="0" w:line="59" w:lineRule="exact"/>
        <w:rPr>
          <w:rFonts w:ascii="Arial" w:cs="Arial" w:eastAsia="Arial" w:hAnsi="Arial"/>
          <w:sz w:val="16"/>
          <w:szCs w:val="16"/>
          <w:color w:val="005CB9"/>
        </w:rPr>
      </w:pPr>
    </w:p>
    <w:p>
      <w:pPr>
        <w:ind w:left="168" w:hanging="168"/>
        <w:spacing w:after="0" w:line="255" w:lineRule="auto"/>
        <w:tabs>
          <w:tab w:leader="none" w:pos="128" w:val="left"/>
        </w:tabs>
        <w:numPr>
          <w:ilvl w:val="0"/>
          <w:numId w:val="18"/>
        </w:numPr>
        <w:rPr>
          <w:rFonts w:ascii="Arial" w:cs="Arial" w:eastAsia="Arial" w:hAnsi="Arial"/>
          <w:sz w:val="16"/>
          <w:szCs w:val="16"/>
          <w:color w:val="005CB9"/>
        </w:rPr>
      </w:pPr>
      <w:r>
        <w:rPr>
          <w:rFonts w:ascii="Arial" w:cs="Arial" w:eastAsia="Arial" w:hAnsi="Arial"/>
          <w:sz w:val="16"/>
          <w:szCs w:val="16"/>
          <w:color w:val="auto"/>
        </w:rPr>
        <w:t>Management development and understanding of business challenges and opportunities</w:t>
      </w:r>
    </w:p>
    <w:p>
      <w:pPr>
        <w:ind w:left="128" w:hanging="128"/>
        <w:spacing w:after="0"/>
        <w:tabs>
          <w:tab w:leader="none" w:pos="128" w:val="left"/>
        </w:tabs>
        <w:numPr>
          <w:ilvl w:val="0"/>
          <w:numId w:val="18"/>
        </w:numPr>
        <w:rPr>
          <w:rFonts w:ascii="Arial" w:cs="Arial" w:eastAsia="Arial" w:hAnsi="Arial"/>
          <w:sz w:val="16"/>
          <w:szCs w:val="16"/>
          <w:color w:val="005CB9"/>
        </w:rPr>
      </w:pPr>
      <w:r>
        <w:rPr>
          <w:rFonts w:ascii="Arial" w:cs="Arial" w:eastAsia="Arial" w:hAnsi="Arial"/>
          <w:sz w:val="16"/>
          <w:szCs w:val="16"/>
          <w:color w:val="auto"/>
        </w:rPr>
        <w:t>Healthcare experience</w:t>
      </w:r>
    </w:p>
    <w:p>
      <w:pPr>
        <w:spacing w:after="0" w:line="18" w:lineRule="exact"/>
        <w:rPr>
          <w:rFonts w:ascii="Arial" w:cs="Arial" w:eastAsia="Arial" w:hAnsi="Arial"/>
          <w:sz w:val="16"/>
          <w:szCs w:val="16"/>
          <w:color w:val="005CB9"/>
        </w:rPr>
      </w:pPr>
    </w:p>
    <w:p>
      <w:pPr>
        <w:ind w:left="168" w:right="240" w:hanging="168"/>
        <w:spacing w:after="0" w:line="278" w:lineRule="auto"/>
        <w:tabs>
          <w:tab w:leader="none" w:pos="128" w:val="left"/>
        </w:tabs>
        <w:numPr>
          <w:ilvl w:val="0"/>
          <w:numId w:val="18"/>
        </w:numPr>
        <w:rPr>
          <w:rFonts w:ascii="Arial" w:cs="Arial" w:eastAsia="Arial" w:hAnsi="Arial"/>
          <w:sz w:val="16"/>
          <w:szCs w:val="16"/>
          <w:color w:val="005CB9"/>
        </w:rPr>
      </w:pPr>
      <w:r>
        <w:rPr>
          <w:rFonts w:ascii="Arial" w:cs="Arial" w:eastAsia="Arial" w:hAnsi="Arial"/>
          <w:sz w:val="16"/>
          <w:szCs w:val="16"/>
          <w:color w:val="auto"/>
        </w:rPr>
        <w:t>Provides key leadership and guidance for the Company’s growth</w:t>
      </w:r>
    </w:p>
    <w:p>
      <w:pPr>
        <w:spacing w:after="0" w:line="377" w:lineRule="exact"/>
        <w:rPr>
          <w:sz w:val="20"/>
          <w:szCs w:val="20"/>
          <w:color w:val="auto"/>
        </w:rPr>
      </w:pPr>
    </w:p>
    <w:p>
      <w:pPr>
        <w:sectPr>
          <w:pgSz w:w="11900" w:h="16838" w:orient="portrait"/>
          <w:cols w:equalWidth="0" w:num="2">
            <w:col w:w="6920" w:space="472"/>
            <w:col w:w="3608"/>
          </w:cols>
          <w:pgMar w:left="320" w:top="459" w:right="57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Robert 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-256540</wp:posOffset>
            </wp:positionV>
            <wp:extent cx="4345940" cy="1028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80"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Chairman, Spirit AeroSystems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220980</wp:posOffset>
            </wp:positionV>
            <wp:extent cx="34201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680"/>
        <w:spacing w:after="0" w:line="252" w:lineRule="auto"/>
        <w:rPr>
          <w:sz w:val="20"/>
          <w:szCs w:val="20"/>
          <w:color w:val="auto"/>
        </w:rPr>
      </w:pPr>
      <w:r>
        <w:rPr>
          <w:rFonts w:ascii="Arial" w:cs="Arial" w:eastAsia="Arial" w:hAnsi="Arial"/>
          <w:sz w:val="16"/>
          <w:szCs w:val="16"/>
          <w:color w:val="auto"/>
        </w:rPr>
        <w:t>Mr. Johnson was Chief Executive Officer of Dubai Aerospace Enterprise Ltd., a global aerospace engineering and services company, from August 2006 to December 2008. Mr. Johnson also served as</w:t>
      </w:r>
    </w:p>
    <w:p>
      <w:pPr>
        <w:spacing w:after="0" w:line="1" w:lineRule="exact"/>
        <w:rPr>
          <w:sz w:val="20"/>
          <w:szCs w:val="20"/>
          <w:color w:val="auto"/>
        </w:rPr>
      </w:pPr>
    </w:p>
    <w:p>
      <w:pPr>
        <w:ind w:left="120" w:right="120"/>
        <w:spacing w:after="0" w:line="248" w:lineRule="auto"/>
        <w:rPr>
          <w:sz w:val="20"/>
          <w:szCs w:val="20"/>
          <w:color w:val="auto"/>
        </w:rPr>
      </w:pPr>
      <w:r>
        <w:rPr>
          <w:rFonts w:ascii="Arial" w:cs="Arial" w:eastAsia="Arial" w:hAnsi="Arial"/>
          <w:sz w:val="16"/>
          <w:szCs w:val="16"/>
          <w:color w:val="auto"/>
        </w:rPr>
        <w:t>Chairman of Honeywell Aerospace, a leading global supplier of aircraft engines, equipment, systems and services, from January 2005 to January 2006, and as its President and Chief Executive Officer from 1999 to 2005. Mr. Johnson similarly served as President and Chief Executive Officer for Honeywell Aerospace’s predecessor, AlliedSignal, an aerospace, automotive and engineering company. He also held management positions with AAR Corporation, a provider of aviation and expeditionary services to the global commercial, government and defense aviation industries, and GE Aviation, an aircraft engine supplier. Mr. Johnson has served as Chairman of the Board for Spirit AeroSystems Holdings, Inc., a global leader in aerostructures design and manufacturing, since 2006 and as a director of Spirit Airlines, Inc., since 2010.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Director Since 2005</w:t>
      </w:r>
    </w:p>
    <w:p>
      <w:pPr>
        <w:spacing w:after="0" w:line="2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Age 74</w:t>
      </w:r>
    </w:p>
    <w:p>
      <w:pPr>
        <w:spacing w:after="0" w:line="282"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Committees:</w:t>
      </w:r>
    </w:p>
    <w:p>
      <w:pPr>
        <w:spacing w:after="0" w:line="66" w:lineRule="exact"/>
        <w:rPr>
          <w:sz w:val="20"/>
          <w:szCs w:val="20"/>
          <w:color w:val="auto"/>
        </w:rPr>
      </w:pPr>
    </w:p>
    <w:p>
      <w:pPr>
        <w:ind w:left="128" w:hanging="128"/>
        <w:spacing w:after="0"/>
        <w:tabs>
          <w:tab w:leader="none" w:pos="128" w:val="left"/>
        </w:tabs>
        <w:numPr>
          <w:ilvl w:val="0"/>
          <w:numId w:val="19"/>
        </w:numPr>
        <w:rPr>
          <w:rFonts w:ascii="Arial" w:cs="Arial" w:eastAsia="Arial" w:hAnsi="Arial"/>
          <w:sz w:val="16"/>
          <w:szCs w:val="16"/>
          <w:color w:val="005CB9"/>
        </w:rPr>
      </w:pPr>
      <w:r>
        <w:rPr>
          <w:rFonts w:ascii="Arial" w:cs="Arial" w:eastAsia="Arial" w:hAnsi="Arial"/>
          <w:sz w:val="16"/>
          <w:szCs w:val="16"/>
          <w:color w:val="auto"/>
        </w:rPr>
        <w:t>Compensation</w:t>
      </w:r>
    </w:p>
    <w:p>
      <w:pPr>
        <w:spacing w:after="0" w:line="59" w:lineRule="exact"/>
        <w:rPr>
          <w:rFonts w:ascii="Arial" w:cs="Arial" w:eastAsia="Arial" w:hAnsi="Arial"/>
          <w:sz w:val="16"/>
          <w:szCs w:val="16"/>
          <w:color w:val="005CB9"/>
        </w:rPr>
      </w:pPr>
    </w:p>
    <w:p>
      <w:pPr>
        <w:ind w:left="128" w:hanging="128"/>
        <w:spacing w:after="0"/>
        <w:tabs>
          <w:tab w:leader="none" w:pos="128" w:val="left"/>
        </w:tabs>
        <w:numPr>
          <w:ilvl w:val="0"/>
          <w:numId w:val="19"/>
        </w:numPr>
        <w:rPr>
          <w:rFonts w:ascii="Arial" w:cs="Arial" w:eastAsia="Arial" w:hAnsi="Arial"/>
          <w:sz w:val="16"/>
          <w:szCs w:val="16"/>
          <w:color w:val="005CB9"/>
        </w:rPr>
      </w:pPr>
      <w:r>
        <w:rPr>
          <w:rFonts w:ascii="Arial" w:cs="Arial" w:eastAsia="Arial" w:hAnsi="Arial"/>
          <w:sz w:val="16"/>
          <w:szCs w:val="16"/>
          <w:color w:val="auto"/>
        </w:rPr>
        <w:t>Nominating and Governance</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Current Public Directorships:</w:t>
      </w:r>
    </w:p>
    <w:p>
      <w:pPr>
        <w:spacing w:after="0" w:line="66" w:lineRule="exact"/>
        <w:rPr>
          <w:sz w:val="20"/>
          <w:szCs w:val="20"/>
          <w:color w:val="auto"/>
        </w:rPr>
      </w:pPr>
    </w:p>
    <w:p>
      <w:pPr>
        <w:ind w:left="128" w:hanging="128"/>
        <w:spacing w:after="0"/>
        <w:tabs>
          <w:tab w:leader="none" w:pos="128" w:val="left"/>
        </w:tabs>
        <w:numPr>
          <w:ilvl w:val="0"/>
          <w:numId w:val="20"/>
        </w:numPr>
        <w:rPr>
          <w:rFonts w:ascii="Arial" w:cs="Arial" w:eastAsia="Arial" w:hAnsi="Arial"/>
          <w:sz w:val="16"/>
          <w:szCs w:val="16"/>
          <w:color w:val="005CB9"/>
        </w:rPr>
      </w:pPr>
      <w:r>
        <w:rPr>
          <w:rFonts w:ascii="Arial" w:cs="Arial" w:eastAsia="Arial" w:hAnsi="Arial"/>
          <w:sz w:val="16"/>
          <w:szCs w:val="16"/>
          <w:color w:val="auto"/>
        </w:rPr>
        <w:t>Spirit AeroSystems Holdings, Inc.</w:t>
      </w:r>
    </w:p>
    <w:p>
      <w:pPr>
        <w:spacing w:after="0" w:line="59" w:lineRule="exact"/>
        <w:rPr>
          <w:rFonts w:ascii="Arial" w:cs="Arial" w:eastAsia="Arial" w:hAnsi="Arial"/>
          <w:sz w:val="16"/>
          <w:szCs w:val="16"/>
          <w:color w:val="005CB9"/>
        </w:rPr>
      </w:pPr>
    </w:p>
    <w:p>
      <w:pPr>
        <w:ind w:left="128" w:hanging="128"/>
        <w:spacing w:after="0"/>
        <w:tabs>
          <w:tab w:leader="none" w:pos="128" w:val="left"/>
        </w:tabs>
        <w:numPr>
          <w:ilvl w:val="0"/>
          <w:numId w:val="20"/>
        </w:numPr>
        <w:rPr>
          <w:rFonts w:ascii="Arial" w:cs="Arial" w:eastAsia="Arial" w:hAnsi="Arial"/>
          <w:sz w:val="16"/>
          <w:szCs w:val="16"/>
          <w:color w:val="005CB9"/>
        </w:rPr>
      </w:pPr>
      <w:r>
        <w:rPr>
          <w:rFonts w:ascii="Arial" w:cs="Arial" w:eastAsia="Arial" w:hAnsi="Arial"/>
          <w:sz w:val="16"/>
          <w:szCs w:val="16"/>
          <w:color w:val="auto"/>
        </w:rPr>
        <w:t>Spirit Airlines, Inc.</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Key Qualifications &amp; Expertise:</w:t>
      </w:r>
    </w:p>
    <w:p>
      <w:pPr>
        <w:spacing w:after="0" w:line="66" w:lineRule="exact"/>
        <w:rPr>
          <w:sz w:val="20"/>
          <w:szCs w:val="20"/>
          <w:color w:val="auto"/>
        </w:rPr>
      </w:pPr>
    </w:p>
    <w:p>
      <w:pPr>
        <w:ind w:left="168" w:right="680" w:hanging="168"/>
        <w:spacing w:after="0" w:line="274" w:lineRule="auto"/>
        <w:tabs>
          <w:tab w:leader="none" w:pos="128" w:val="left"/>
        </w:tabs>
        <w:numPr>
          <w:ilvl w:val="0"/>
          <w:numId w:val="21"/>
        </w:numPr>
        <w:rPr>
          <w:rFonts w:ascii="Arial" w:cs="Arial" w:eastAsia="Arial" w:hAnsi="Arial"/>
          <w:sz w:val="16"/>
          <w:szCs w:val="16"/>
          <w:color w:val="005CB9"/>
        </w:rPr>
      </w:pPr>
      <w:r>
        <w:rPr>
          <w:rFonts w:ascii="Arial" w:cs="Arial" w:eastAsia="Arial" w:hAnsi="Arial"/>
          <w:sz w:val="16"/>
          <w:szCs w:val="16"/>
          <w:color w:val="auto"/>
        </w:rPr>
        <w:t>Executive leadership and management experience</w:t>
      </w:r>
    </w:p>
    <w:p>
      <w:pPr>
        <w:spacing w:after="0" w:line="11" w:lineRule="exact"/>
        <w:rPr>
          <w:rFonts w:ascii="Arial" w:cs="Arial" w:eastAsia="Arial" w:hAnsi="Arial"/>
          <w:sz w:val="16"/>
          <w:szCs w:val="16"/>
          <w:color w:val="005CB9"/>
        </w:rPr>
      </w:pPr>
    </w:p>
    <w:p>
      <w:pPr>
        <w:ind w:left="168" w:right="200" w:hanging="168"/>
        <w:spacing w:after="0" w:line="274" w:lineRule="auto"/>
        <w:tabs>
          <w:tab w:leader="none" w:pos="128" w:val="left"/>
        </w:tabs>
        <w:numPr>
          <w:ilvl w:val="0"/>
          <w:numId w:val="21"/>
        </w:numPr>
        <w:rPr>
          <w:rFonts w:ascii="Arial" w:cs="Arial" w:eastAsia="Arial" w:hAnsi="Arial"/>
          <w:sz w:val="16"/>
          <w:szCs w:val="16"/>
          <w:color w:val="005CB9"/>
        </w:rPr>
      </w:pPr>
      <w:r>
        <w:rPr>
          <w:rFonts w:ascii="Arial" w:cs="Arial" w:eastAsia="Arial" w:hAnsi="Arial"/>
          <w:sz w:val="16"/>
          <w:szCs w:val="16"/>
          <w:color w:val="auto"/>
        </w:rPr>
        <w:t>Manufacturing, supply chain, engineering and production</w:t>
      </w:r>
    </w:p>
    <w:p>
      <w:pPr>
        <w:spacing w:after="0" w:line="11" w:lineRule="exact"/>
        <w:rPr>
          <w:rFonts w:ascii="Arial" w:cs="Arial" w:eastAsia="Arial" w:hAnsi="Arial"/>
          <w:sz w:val="16"/>
          <w:szCs w:val="16"/>
          <w:color w:val="005CB9"/>
        </w:rPr>
      </w:pPr>
    </w:p>
    <w:p>
      <w:pPr>
        <w:ind w:left="128" w:hanging="128"/>
        <w:spacing w:after="0"/>
        <w:tabs>
          <w:tab w:leader="none" w:pos="128" w:val="left"/>
        </w:tabs>
        <w:numPr>
          <w:ilvl w:val="0"/>
          <w:numId w:val="21"/>
        </w:numPr>
        <w:rPr>
          <w:rFonts w:ascii="Arial" w:cs="Arial" w:eastAsia="Arial" w:hAnsi="Arial"/>
          <w:sz w:val="16"/>
          <w:szCs w:val="16"/>
          <w:color w:val="005CB9"/>
        </w:rPr>
      </w:pPr>
      <w:r>
        <w:rPr>
          <w:rFonts w:ascii="Arial" w:cs="Arial" w:eastAsia="Arial" w:hAnsi="Arial"/>
          <w:sz w:val="16"/>
          <w:szCs w:val="16"/>
          <w:color w:val="auto"/>
        </w:rPr>
        <w:t>Mergers and acquisitions</w:t>
      </w:r>
    </w:p>
    <w:p>
      <w:pPr>
        <w:spacing w:after="0" w:line="59" w:lineRule="exact"/>
        <w:rPr>
          <w:rFonts w:ascii="Arial" w:cs="Arial" w:eastAsia="Arial" w:hAnsi="Arial"/>
          <w:sz w:val="16"/>
          <w:szCs w:val="16"/>
          <w:color w:val="005CB9"/>
        </w:rPr>
      </w:pPr>
    </w:p>
    <w:p>
      <w:pPr>
        <w:ind w:left="168" w:right="520" w:hanging="168"/>
        <w:spacing w:after="0" w:line="274" w:lineRule="auto"/>
        <w:tabs>
          <w:tab w:leader="none" w:pos="128" w:val="left"/>
        </w:tabs>
        <w:numPr>
          <w:ilvl w:val="0"/>
          <w:numId w:val="21"/>
        </w:numPr>
        <w:rPr>
          <w:rFonts w:ascii="Arial" w:cs="Arial" w:eastAsia="Arial" w:hAnsi="Arial"/>
          <w:sz w:val="16"/>
          <w:szCs w:val="16"/>
          <w:color w:val="005CB9"/>
        </w:rPr>
      </w:pPr>
      <w:r>
        <w:rPr>
          <w:rFonts w:ascii="Arial" w:cs="Arial" w:eastAsia="Arial" w:hAnsi="Arial"/>
          <w:sz w:val="16"/>
          <w:szCs w:val="16"/>
          <w:color w:val="auto"/>
        </w:rPr>
        <w:t>Global business, industry, and operations experience</w:t>
      </w:r>
    </w:p>
    <w:p>
      <w:pPr>
        <w:spacing w:after="0" w:line="11" w:lineRule="exact"/>
        <w:rPr>
          <w:rFonts w:ascii="Arial" w:cs="Arial" w:eastAsia="Arial" w:hAnsi="Arial"/>
          <w:sz w:val="16"/>
          <w:szCs w:val="16"/>
          <w:color w:val="005CB9"/>
        </w:rPr>
      </w:pPr>
    </w:p>
    <w:p>
      <w:pPr>
        <w:ind w:left="128" w:hanging="128"/>
        <w:spacing w:after="0"/>
        <w:tabs>
          <w:tab w:leader="none" w:pos="128" w:val="left"/>
        </w:tabs>
        <w:numPr>
          <w:ilvl w:val="0"/>
          <w:numId w:val="21"/>
        </w:numPr>
        <w:rPr>
          <w:rFonts w:ascii="Arial" w:cs="Arial" w:eastAsia="Arial" w:hAnsi="Arial"/>
          <w:sz w:val="16"/>
          <w:szCs w:val="16"/>
          <w:color w:val="005CB9"/>
        </w:rPr>
      </w:pPr>
      <w:r>
        <w:rPr>
          <w:rFonts w:ascii="Arial" w:cs="Arial" w:eastAsia="Arial" w:hAnsi="Arial"/>
          <w:sz w:val="16"/>
          <w:szCs w:val="16"/>
          <w:color w:val="auto"/>
        </w:rPr>
        <w:t>Extensive business acumen</w:t>
      </w:r>
    </w:p>
    <w:p>
      <w:pPr>
        <w:spacing w:after="0" w:line="59" w:lineRule="exact"/>
        <w:rPr>
          <w:rFonts w:ascii="Arial" w:cs="Arial" w:eastAsia="Arial" w:hAnsi="Arial"/>
          <w:sz w:val="16"/>
          <w:szCs w:val="16"/>
          <w:color w:val="005CB9"/>
        </w:rPr>
      </w:pPr>
    </w:p>
    <w:p>
      <w:pPr>
        <w:ind w:left="168" w:right="300" w:hanging="168"/>
        <w:spacing w:after="0" w:line="262" w:lineRule="auto"/>
        <w:tabs>
          <w:tab w:leader="none" w:pos="128" w:val="left"/>
        </w:tabs>
        <w:numPr>
          <w:ilvl w:val="0"/>
          <w:numId w:val="21"/>
        </w:numPr>
        <w:rPr>
          <w:rFonts w:ascii="Arial" w:cs="Arial" w:eastAsia="Arial" w:hAnsi="Arial"/>
          <w:sz w:val="16"/>
          <w:szCs w:val="16"/>
          <w:color w:val="005CB9"/>
        </w:rPr>
      </w:pPr>
      <w:r>
        <w:rPr>
          <w:rFonts w:ascii="Arial" w:cs="Arial" w:eastAsia="Arial" w:hAnsi="Arial"/>
          <w:sz w:val="16"/>
          <w:szCs w:val="16"/>
          <w:color w:val="auto"/>
        </w:rPr>
        <w:t>Public company board experience, including governance and executive compensation expertise</w:t>
      </w:r>
    </w:p>
    <w:p>
      <w:pPr>
        <w:spacing w:after="0" w:line="18" w:lineRule="exact"/>
        <w:rPr>
          <w:rFonts w:ascii="Arial" w:cs="Arial" w:eastAsia="Arial" w:hAnsi="Arial"/>
          <w:sz w:val="16"/>
          <w:szCs w:val="16"/>
          <w:color w:val="005CB9"/>
        </w:rPr>
      </w:pPr>
    </w:p>
    <w:p>
      <w:pPr>
        <w:ind w:left="128" w:hanging="128"/>
        <w:spacing w:after="0"/>
        <w:tabs>
          <w:tab w:leader="none" w:pos="128" w:val="left"/>
        </w:tabs>
        <w:numPr>
          <w:ilvl w:val="0"/>
          <w:numId w:val="21"/>
        </w:numPr>
        <w:rPr>
          <w:rFonts w:ascii="Arial" w:cs="Arial" w:eastAsia="Arial" w:hAnsi="Arial"/>
          <w:sz w:val="16"/>
          <w:szCs w:val="16"/>
          <w:color w:val="005CB9"/>
        </w:rPr>
      </w:pPr>
      <w:r>
        <w:rPr>
          <w:rFonts w:ascii="Arial" w:cs="Arial" w:eastAsia="Arial" w:hAnsi="Arial"/>
          <w:sz w:val="16"/>
          <w:szCs w:val="16"/>
          <w:color w:val="auto"/>
        </w:rPr>
        <w:t>Talent and team development</w:t>
      </w:r>
    </w:p>
    <w:p>
      <w:pPr>
        <w:spacing w:after="0" w:line="179" w:lineRule="exact"/>
        <w:rPr>
          <w:sz w:val="20"/>
          <w:szCs w:val="20"/>
          <w:color w:val="auto"/>
        </w:rPr>
      </w:pPr>
    </w:p>
    <w:p>
      <w:pPr>
        <w:sectPr>
          <w:pgSz w:w="11900" w:h="16838" w:orient="portrait"/>
          <w:cols w:equalWidth="0" w:num="2">
            <w:col w:w="6920" w:space="472"/>
            <w:col w:w="3608"/>
          </w:cols>
          <w:pgMar w:left="320" w:top="459" w:right="579" w:bottom="1440" w:gutter="0" w:footer="0" w:header="0"/>
          <w:type w:val="continuous"/>
        </w:sectPr>
      </w:pPr>
    </w:p>
    <w:tbl>
      <w:tblPr>
        <w:tblLayout w:type="fixed"/>
        <w:tblInd w:w="120" w:type="dxa"/>
        <w:tblCellMar>
          <w:top w:w="0" w:type="dxa"/>
          <w:left w:w="0" w:type="dxa"/>
          <w:bottom w:w="0" w:type="dxa"/>
          <w:right w:w="0" w:type="dxa"/>
        </w:tblCellMar>
      </w:tblPr>
      <w:tr>
        <w:trPr>
          <w:trHeight w:val="291"/>
        </w:trPr>
        <w:tc>
          <w:tcPr>
            <w:tcW w:w="360" w:type="dxa"/>
            <w:vAlign w:val="bottom"/>
            <w:tcBorders>
              <w:right w:val="single" w:sz="8" w:color="005CB9"/>
            </w:tcBorders>
          </w:tcPr>
          <w:p>
            <w:pPr>
              <w:jc w:val="right"/>
              <w:ind w:right="204"/>
              <w:spacing w:after="0"/>
              <w:rPr>
                <w:sz w:val="20"/>
                <w:szCs w:val="20"/>
                <w:color w:val="auto"/>
              </w:rPr>
            </w:pPr>
            <w:r>
              <w:rPr>
                <w:rFonts w:ascii="Arial" w:cs="Arial" w:eastAsia="Arial" w:hAnsi="Arial"/>
                <w:sz w:val="15"/>
                <w:szCs w:val="15"/>
                <w:b w:val="1"/>
                <w:bCs w:val="1"/>
                <w:color w:val="005CB9"/>
                <w:w w:val="71"/>
              </w:rPr>
              <w:t>4</w:t>
            </w:r>
          </w:p>
        </w:tc>
        <w:tc>
          <w:tcPr>
            <w:tcW w:w="4680" w:type="dxa"/>
            <w:vAlign w:val="bottom"/>
          </w:tcPr>
          <w:p>
            <w:pPr>
              <w:ind w:left="104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1"/>
        </w:trPr>
        <w:tc>
          <w:tcPr>
            <w:tcW w:w="360" w:type="dxa"/>
            <w:vAlign w:val="bottom"/>
            <w:tcBorders>
              <w:right w:val="single" w:sz="8" w:color="005CB9"/>
            </w:tcBorders>
          </w:tcPr>
          <w:p>
            <w:pPr>
              <w:spacing w:after="0"/>
              <w:rPr>
                <w:sz w:val="8"/>
                <w:szCs w:val="8"/>
                <w:color w:val="auto"/>
              </w:rPr>
            </w:pPr>
          </w:p>
        </w:tc>
        <w:tc>
          <w:tcPr>
            <w:tcW w:w="46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-205105</wp:posOffset>
            </wp:positionV>
            <wp:extent cx="42862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000"/>
          </w:cols>
          <w:pgMar w:left="320" w:top="459" w:right="57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color w:val="005CB9"/>
        </w:rPr>
        <w:t xml:space="preserve">BOARD OF DIRECTORS </w:t>
      </w:r>
      <w:r>
        <w:rPr>
          <w:rFonts w:ascii="Arial" w:cs="Arial" w:eastAsia="Arial" w:hAnsi="Arial"/>
          <w:sz w:val="17"/>
          <w:szCs w:val="17"/>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Thomas P. Joyce,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-239395</wp:posOffset>
            </wp:positionV>
            <wp:extent cx="4345940" cy="10198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45940" cy="1019810"/>
                    </a:xfrm>
                    <a:prstGeom prst="rect">
                      <a:avLst/>
                    </a:prstGeom>
                    <a:noFill/>
                  </pic:spPr>
                </pic:pic>
              </a:graphicData>
            </a:graphic>
          </wp:anchor>
        </w:drawing>
      </w:r>
    </w:p>
    <w:p>
      <w:pPr>
        <w:spacing w:after="0" w:line="80"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Retired President and Chief Executive, Danaher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178435</wp:posOffset>
            </wp:positionV>
            <wp:extent cx="34201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57" w:lineRule="exact"/>
        <w:rPr>
          <w:sz w:val="20"/>
          <w:szCs w:val="20"/>
          <w:color w:val="auto"/>
        </w:rPr>
      </w:pPr>
    </w:p>
    <w:p>
      <w:pPr>
        <w:ind w:left="1680" w:right="92"/>
        <w:spacing w:after="0" w:line="252" w:lineRule="auto"/>
        <w:rPr>
          <w:sz w:val="20"/>
          <w:szCs w:val="20"/>
          <w:color w:val="auto"/>
        </w:rPr>
      </w:pPr>
      <w:r>
        <w:rPr>
          <w:rFonts w:ascii="Arial" w:cs="Arial" w:eastAsia="Arial" w:hAnsi="Arial"/>
          <w:sz w:val="16"/>
          <w:szCs w:val="16"/>
          <w:color w:val="auto"/>
        </w:rPr>
        <w:t>Mr. Joyce served as Danaher Corporation’s President and Chief Executive Officer from September 2014 to September 2020. He also served as a senior advisor to</w:t>
      </w:r>
    </w:p>
    <w:p>
      <w:pPr>
        <w:spacing w:after="0" w:line="1" w:lineRule="exact"/>
        <w:rPr>
          <w:sz w:val="20"/>
          <w:szCs w:val="20"/>
          <w:color w:val="auto"/>
        </w:rPr>
      </w:pPr>
    </w:p>
    <w:p>
      <w:pPr>
        <w:jc w:val="both"/>
        <w:ind w:left="120" w:right="152"/>
        <w:spacing w:after="0" w:line="251" w:lineRule="auto"/>
        <w:rPr>
          <w:sz w:val="20"/>
          <w:szCs w:val="20"/>
          <w:color w:val="auto"/>
        </w:rPr>
      </w:pPr>
      <w:r>
        <w:rPr>
          <w:rFonts w:ascii="Arial" w:cs="Arial" w:eastAsia="Arial" w:hAnsi="Arial"/>
          <w:sz w:val="16"/>
          <w:szCs w:val="16"/>
          <w:color w:val="auto"/>
        </w:rPr>
        <w:t>Danaher from September 2020 to February 2021. Mr. Joyce joined Danaher in 1989 and served in leadership positions in a variety of different functions and businesses before his promotion to President and Chief Executive Officer. Mr. Joyce also served as a director of Danaher from 2014 to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1327150</wp:posOffset>
            </wp:positionV>
            <wp:extent cx="6995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Director Since 2021</w:t>
      </w:r>
    </w:p>
    <w:p>
      <w:pPr>
        <w:spacing w:after="0" w:line="2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Age 61</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Committee:</w:t>
      </w:r>
    </w:p>
    <w:p>
      <w:pPr>
        <w:spacing w:after="0" w:line="66" w:lineRule="exact"/>
        <w:rPr>
          <w:sz w:val="20"/>
          <w:szCs w:val="20"/>
          <w:color w:val="auto"/>
        </w:rPr>
      </w:pPr>
    </w:p>
    <w:p>
      <w:pPr>
        <w:ind w:left="88" w:hanging="88"/>
        <w:spacing w:after="0"/>
        <w:tabs>
          <w:tab w:leader="none" w:pos="88" w:val="left"/>
        </w:tabs>
        <w:numPr>
          <w:ilvl w:val="0"/>
          <w:numId w:val="22"/>
        </w:numPr>
        <w:rPr>
          <w:rFonts w:ascii="Arial" w:cs="Arial" w:eastAsia="Arial" w:hAnsi="Arial"/>
          <w:sz w:val="16"/>
          <w:szCs w:val="16"/>
          <w:color w:val="005CB9"/>
        </w:rPr>
      </w:pPr>
      <w:r>
        <w:rPr>
          <w:rFonts w:ascii="Arial" w:cs="Arial" w:eastAsia="Arial" w:hAnsi="Arial"/>
          <w:sz w:val="16"/>
          <w:szCs w:val="16"/>
          <w:color w:val="auto"/>
        </w:rPr>
        <w:t>Audit</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Key Qualifications &amp; Expertise:</w:t>
      </w:r>
    </w:p>
    <w:p>
      <w:pPr>
        <w:spacing w:after="0" w:line="66" w:lineRule="exact"/>
        <w:rPr>
          <w:sz w:val="20"/>
          <w:szCs w:val="20"/>
          <w:color w:val="auto"/>
        </w:rPr>
      </w:pPr>
    </w:p>
    <w:p>
      <w:pPr>
        <w:ind w:left="168" w:right="760" w:hanging="168"/>
        <w:spacing w:after="0" w:line="274" w:lineRule="auto"/>
        <w:tabs>
          <w:tab w:leader="none" w:pos="128" w:val="left"/>
        </w:tabs>
        <w:numPr>
          <w:ilvl w:val="0"/>
          <w:numId w:val="23"/>
        </w:numPr>
        <w:rPr>
          <w:rFonts w:ascii="Arial" w:cs="Arial" w:eastAsia="Arial" w:hAnsi="Arial"/>
          <w:sz w:val="16"/>
          <w:szCs w:val="16"/>
          <w:color w:val="005CB9"/>
        </w:rPr>
      </w:pPr>
      <w:r>
        <w:rPr>
          <w:rFonts w:ascii="Arial" w:cs="Arial" w:eastAsia="Arial" w:hAnsi="Arial"/>
          <w:sz w:val="16"/>
          <w:szCs w:val="16"/>
          <w:color w:val="auto"/>
        </w:rPr>
        <w:t>Executive Leadership and management experience</w:t>
      </w:r>
    </w:p>
    <w:p>
      <w:pPr>
        <w:spacing w:after="0" w:line="11" w:lineRule="exact"/>
        <w:rPr>
          <w:rFonts w:ascii="Arial" w:cs="Arial" w:eastAsia="Arial" w:hAnsi="Arial"/>
          <w:sz w:val="16"/>
          <w:szCs w:val="16"/>
          <w:color w:val="005CB9"/>
        </w:rPr>
      </w:pPr>
    </w:p>
    <w:p>
      <w:pPr>
        <w:ind w:left="128" w:hanging="128"/>
        <w:spacing w:after="0"/>
        <w:tabs>
          <w:tab w:leader="none" w:pos="128" w:val="left"/>
        </w:tabs>
        <w:numPr>
          <w:ilvl w:val="0"/>
          <w:numId w:val="23"/>
        </w:numPr>
        <w:rPr>
          <w:rFonts w:ascii="Arial" w:cs="Arial" w:eastAsia="Arial" w:hAnsi="Arial"/>
          <w:sz w:val="16"/>
          <w:szCs w:val="16"/>
          <w:color w:val="005CB9"/>
        </w:rPr>
      </w:pPr>
      <w:r>
        <w:rPr>
          <w:rFonts w:ascii="Arial" w:cs="Arial" w:eastAsia="Arial" w:hAnsi="Arial"/>
          <w:sz w:val="16"/>
          <w:szCs w:val="16"/>
          <w:color w:val="auto"/>
        </w:rPr>
        <w:t>Multi-industry perspective</w:t>
      </w:r>
    </w:p>
    <w:p>
      <w:pPr>
        <w:spacing w:after="0" w:line="59" w:lineRule="exact"/>
        <w:rPr>
          <w:rFonts w:ascii="Arial" w:cs="Arial" w:eastAsia="Arial" w:hAnsi="Arial"/>
          <w:sz w:val="16"/>
          <w:szCs w:val="16"/>
          <w:color w:val="005CB9"/>
        </w:rPr>
      </w:pPr>
    </w:p>
    <w:p>
      <w:pPr>
        <w:ind w:left="128" w:hanging="128"/>
        <w:spacing w:after="0"/>
        <w:tabs>
          <w:tab w:leader="none" w:pos="128" w:val="left"/>
        </w:tabs>
        <w:numPr>
          <w:ilvl w:val="0"/>
          <w:numId w:val="23"/>
        </w:numPr>
        <w:rPr>
          <w:rFonts w:ascii="Arial" w:cs="Arial" w:eastAsia="Arial" w:hAnsi="Arial"/>
          <w:sz w:val="16"/>
          <w:szCs w:val="16"/>
          <w:color w:val="005CB9"/>
        </w:rPr>
      </w:pPr>
      <w:r>
        <w:rPr>
          <w:rFonts w:ascii="Arial" w:cs="Arial" w:eastAsia="Arial" w:hAnsi="Arial"/>
          <w:sz w:val="16"/>
          <w:szCs w:val="16"/>
          <w:color w:val="auto"/>
        </w:rPr>
        <w:t>Mergers and acquisitions</w:t>
      </w:r>
    </w:p>
    <w:p>
      <w:pPr>
        <w:spacing w:after="0" w:line="59" w:lineRule="exact"/>
        <w:rPr>
          <w:rFonts w:ascii="Arial" w:cs="Arial" w:eastAsia="Arial" w:hAnsi="Arial"/>
          <w:sz w:val="16"/>
          <w:szCs w:val="16"/>
          <w:color w:val="005CB9"/>
        </w:rPr>
      </w:pPr>
    </w:p>
    <w:p>
      <w:pPr>
        <w:ind w:left="128" w:hanging="128"/>
        <w:spacing w:after="0"/>
        <w:tabs>
          <w:tab w:leader="none" w:pos="128" w:val="left"/>
        </w:tabs>
        <w:numPr>
          <w:ilvl w:val="0"/>
          <w:numId w:val="23"/>
        </w:numPr>
        <w:rPr>
          <w:rFonts w:ascii="Arial" w:cs="Arial" w:eastAsia="Arial" w:hAnsi="Arial"/>
          <w:sz w:val="16"/>
          <w:szCs w:val="16"/>
          <w:color w:val="005CB9"/>
        </w:rPr>
      </w:pPr>
      <w:r>
        <w:rPr>
          <w:rFonts w:ascii="Arial" w:cs="Arial" w:eastAsia="Arial" w:hAnsi="Arial"/>
          <w:sz w:val="16"/>
          <w:szCs w:val="16"/>
          <w:color w:val="auto"/>
        </w:rPr>
        <w:t>Finance and accounting expertise</w:t>
      </w:r>
    </w:p>
    <w:p>
      <w:pPr>
        <w:spacing w:after="0" w:line="59" w:lineRule="exact"/>
        <w:rPr>
          <w:rFonts w:ascii="Arial" w:cs="Arial" w:eastAsia="Arial" w:hAnsi="Arial"/>
          <w:sz w:val="16"/>
          <w:szCs w:val="16"/>
          <w:color w:val="005CB9"/>
        </w:rPr>
      </w:pPr>
    </w:p>
    <w:p>
      <w:pPr>
        <w:ind w:left="168" w:right="380" w:hanging="168"/>
        <w:spacing w:after="0" w:line="274" w:lineRule="auto"/>
        <w:tabs>
          <w:tab w:leader="none" w:pos="128" w:val="left"/>
        </w:tabs>
        <w:numPr>
          <w:ilvl w:val="0"/>
          <w:numId w:val="23"/>
        </w:numPr>
        <w:rPr>
          <w:rFonts w:ascii="Arial" w:cs="Arial" w:eastAsia="Arial" w:hAnsi="Arial"/>
          <w:sz w:val="16"/>
          <w:szCs w:val="16"/>
          <w:color w:val="005CB9"/>
        </w:rPr>
      </w:pPr>
      <w:r>
        <w:rPr>
          <w:rFonts w:ascii="Arial" w:cs="Arial" w:eastAsia="Arial" w:hAnsi="Arial"/>
          <w:sz w:val="16"/>
          <w:szCs w:val="16"/>
          <w:color w:val="auto"/>
        </w:rPr>
        <w:t>Global business, industry, manufacturing and operations experience</w:t>
      </w:r>
    </w:p>
    <w:p>
      <w:pPr>
        <w:spacing w:after="0" w:line="11" w:lineRule="exact"/>
        <w:rPr>
          <w:rFonts w:ascii="Arial" w:cs="Arial" w:eastAsia="Arial" w:hAnsi="Arial"/>
          <w:sz w:val="16"/>
          <w:szCs w:val="16"/>
          <w:color w:val="005CB9"/>
        </w:rPr>
      </w:pPr>
    </w:p>
    <w:p>
      <w:pPr>
        <w:ind w:left="128" w:hanging="128"/>
        <w:spacing w:after="0"/>
        <w:tabs>
          <w:tab w:leader="none" w:pos="128" w:val="left"/>
        </w:tabs>
        <w:numPr>
          <w:ilvl w:val="0"/>
          <w:numId w:val="23"/>
        </w:numPr>
        <w:rPr>
          <w:rFonts w:ascii="Arial" w:cs="Arial" w:eastAsia="Arial" w:hAnsi="Arial"/>
          <w:sz w:val="16"/>
          <w:szCs w:val="16"/>
          <w:color w:val="005CB9"/>
        </w:rPr>
      </w:pPr>
      <w:r>
        <w:rPr>
          <w:rFonts w:ascii="Arial" w:cs="Arial" w:eastAsia="Arial" w:hAnsi="Arial"/>
          <w:sz w:val="16"/>
          <w:szCs w:val="16"/>
          <w:color w:val="auto"/>
        </w:rPr>
        <w:t>Business strategy expertise</w:t>
      </w:r>
    </w:p>
    <w:p>
      <w:pPr>
        <w:spacing w:after="0" w:line="59" w:lineRule="exact"/>
        <w:rPr>
          <w:rFonts w:ascii="Arial" w:cs="Arial" w:eastAsia="Arial" w:hAnsi="Arial"/>
          <w:sz w:val="16"/>
          <w:szCs w:val="16"/>
          <w:color w:val="005CB9"/>
        </w:rPr>
      </w:pPr>
    </w:p>
    <w:p>
      <w:pPr>
        <w:ind w:left="128" w:hanging="128"/>
        <w:spacing w:after="0"/>
        <w:tabs>
          <w:tab w:leader="none" w:pos="128" w:val="left"/>
        </w:tabs>
        <w:numPr>
          <w:ilvl w:val="0"/>
          <w:numId w:val="23"/>
        </w:numPr>
        <w:rPr>
          <w:rFonts w:ascii="Arial" w:cs="Arial" w:eastAsia="Arial" w:hAnsi="Arial"/>
          <w:sz w:val="16"/>
          <w:szCs w:val="16"/>
          <w:color w:val="005CB9"/>
        </w:rPr>
      </w:pPr>
      <w:r>
        <w:rPr>
          <w:rFonts w:ascii="Arial" w:cs="Arial" w:eastAsia="Arial" w:hAnsi="Arial"/>
          <w:sz w:val="16"/>
          <w:szCs w:val="16"/>
          <w:color w:val="auto"/>
        </w:rPr>
        <w:t>Risk management and controls</w:t>
      </w:r>
    </w:p>
    <w:p>
      <w:pPr>
        <w:spacing w:after="0" w:line="59" w:lineRule="exact"/>
        <w:rPr>
          <w:rFonts w:ascii="Arial" w:cs="Arial" w:eastAsia="Arial" w:hAnsi="Arial"/>
          <w:sz w:val="16"/>
          <w:szCs w:val="16"/>
          <w:color w:val="005CB9"/>
        </w:rPr>
      </w:pPr>
    </w:p>
    <w:p>
      <w:pPr>
        <w:ind w:left="168" w:right="140" w:hanging="168"/>
        <w:spacing w:after="0" w:line="278" w:lineRule="auto"/>
        <w:tabs>
          <w:tab w:leader="none" w:pos="128" w:val="left"/>
        </w:tabs>
        <w:numPr>
          <w:ilvl w:val="0"/>
          <w:numId w:val="23"/>
        </w:numPr>
        <w:rPr>
          <w:rFonts w:ascii="Arial" w:cs="Arial" w:eastAsia="Arial" w:hAnsi="Arial"/>
          <w:sz w:val="16"/>
          <w:szCs w:val="16"/>
          <w:color w:val="005CB9"/>
        </w:rPr>
      </w:pPr>
      <w:r>
        <w:rPr>
          <w:rFonts w:ascii="Arial" w:cs="Arial" w:eastAsia="Arial" w:hAnsi="Arial"/>
          <w:sz w:val="16"/>
          <w:szCs w:val="16"/>
          <w:color w:val="auto"/>
        </w:rPr>
        <w:t>Management development and understanding of global challenges and opportunities</w:t>
      </w:r>
    </w:p>
    <w:p>
      <w:pPr>
        <w:spacing w:after="0" w:line="200" w:lineRule="exact"/>
        <w:rPr>
          <w:sz w:val="20"/>
          <w:szCs w:val="20"/>
          <w:color w:val="auto"/>
        </w:rPr>
      </w:pPr>
    </w:p>
    <w:p>
      <w:pPr>
        <w:sectPr>
          <w:pgSz w:w="11900" w:h="16838" w:orient="portrait"/>
          <w:cols w:equalWidth="0" w:num="2">
            <w:col w:w="6672" w:space="720"/>
            <w:col w:w="3748"/>
          </w:cols>
          <w:pgMar w:left="320" w:top="459" w:right="439"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Laura G.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-265430</wp:posOffset>
            </wp:positionV>
            <wp:extent cx="4345940" cy="1028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80"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Retired Head of Executive Compensation Practice, Alston &amp; Bird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152400</wp:posOffset>
            </wp:positionV>
            <wp:extent cx="34201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30" w:lineRule="exact"/>
        <w:rPr>
          <w:sz w:val="20"/>
          <w:szCs w:val="20"/>
          <w:color w:val="auto"/>
        </w:rPr>
      </w:pPr>
    </w:p>
    <w:p>
      <w:pPr>
        <w:ind w:left="1680"/>
        <w:spacing w:after="0" w:line="252" w:lineRule="auto"/>
        <w:rPr>
          <w:sz w:val="20"/>
          <w:szCs w:val="20"/>
          <w:color w:val="auto"/>
        </w:rPr>
      </w:pPr>
      <w:r>
        <w:rPr>
          <w:rFonts w:ascii="Arial" w:cs="Arial" w:eastAsia="Arial" w:hAnsi="Arial"/>
          <w:sz w:val="16"/>
          <w:szCs w:val="16"/>
          <w:color w:val="auto"/>
        </w:rPr>
        <w:t>Ms. Thatcher retired in December 2013 after 33 years of legal practice at Alston &amp; Bird LLP, where she developed and led the firm’s executive compensation</w:t>
      </w:r>
    </w:p>
    <w:p>
      <w:pPr>
        <w:spacing w:after="0" w:line="1"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practice for 18 years and served as special executive compensation counsel to many U.S. and international publicly traded companies. Ms. Thatcher co-authored the Compensation Committee Handbook, 3rd edition (John Wiley &amp; Sons, 2008), which serves as a guidebook for executive compensation strategies and practices, addressing a full range of functional issues facing compensation committees of public companies, including organizing, planning, compliance and sound corporate governance.</w:t>
      </w:r>
    </w:p>
    <w:p>
      <w:pPr>
        <w:spacing w:after="0" w:line="110" w:lineRule="exact"/>
        <w:rPr>
          <w:sz w:val="20"/>
          <w:szCs w:val="20"/>
          <w:color w:val="auto"/>
        </w:rPr>
      </w:pPr>
    </w:p>
    <w:p>
      <w:pPr>
        <w:ind w:left="120" w:right="60"/>
        <w:spacing w:after="0" w:line="248" w:lineRule="auto"/>
        <w:rPr>
          <w:sz w:val="20"/>
          <w:szCs w:val="20"/>
          <w:color w:val="auto"/>
        </w:rPr>
      </w:pPr>
      <w:r>
        <w:rPr>
          <w:rFonts w:ascii="Arial" w:cs="Arial" w:eastAsia="Arial" w:hAnsi="Arial"/>
          <w:sz w:val="16"/>
          <w:szCs w:val="16"/>
          <w:color w:val="auto"/>
        </w:rPr>
        <w:t>Ms. Thatcher served on the Board of Directors of Batson-Cook Company, a regional commercial construction and development company, from 1994 to 2007. She also served on the Board of Directors of The Atlanta Legal Aid Society, Inc., from 2008 to 2014, and was a Past Chair of the Advisory Board of the Certified Equity Professional Institute (CEPI) of Santa Clara University and was on the Board of Review for a special project sponsored by CEPI that provided universally accepted industry guidance regarding areas of risk and appropriate controls in equity compensation.</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Director Since 2015</w:t>
      </w:r>
    </w:p>
    <w:p>
      <w:pPr>
        <w:spacing w:after="0" w:line="2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Age 66</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Committees:</w:t>
      </w:r>
    </w:p>
    <w:p>
      <w:pPr>
        <w:spacing w:after="0" w:line="66" w:lineRule="exact"/>
        <w:rPr>
          <w:sz w:val="20"/>
          <w:szCs w:val="20"/>
          <w:color w:val="auto"/>
        </w:rPr>
      </w:pPr>
    </w:p>
    <w:p>
      <w:pPr>
        <w:ind w:left="128" w:hanging="128"/>
        <w:spacing w:after="0"/>
        <w:tabs>
          <w:tab w:leader="none" w:pos="128" w:val="left"/>
        </w:tabs>
        <w:numPr>
          <w:ilvl w:val="0"/>
          <w:numId w:val="24"/>
        </w:numPr>
        <w:rPr>
          <w:rFonts w:ascii="Arial" w:cs="Arial" w:eastAsia="Arial" w:hAnsi="Arial"/>
          <w:sz w:val="16"/>
          <w:szCs w:val="16"/>
          <w:color w:val="005CB9"/>
        </w:rPr>
      </w:pPr>
      <w:r>
        <w:rPr>
          <w:rFonts w:ascii="Arial" w:cs="Arial" w:eastAsia="Arial" w:hAnsi="Arial"/>
          <w:sz w:val="16"/>
          <w:szCs w:val="16"/>
          <w:color w:val="auto"/>
        </w:rPr>
        <w:t>Compensation (Chair)</w:t>
      </w:r>
    </w:p>
    <w:p>
      <w:pPr>
        <w:spacing w:after="0" w:line="18" w:lineRule="exact"/>
        <w:rPr>
          <w:rFonts w:ascii="Arial" w:cs="Arial" w:eastAsia="Arial" w:hAnsi="Arial"/>
          <w:sz w:val="16"/>
          <w:szCs w:val="16"/>
          <w:color w:val="005CB9"/>
        </w:rPr>
      </w:pPr>
    </w:p>
    <w:p>
      <w:pPr>
        <w:ind w:left="128" w:hanging="128"/>
        <w:spacing w:after="0"/>
        <w:tabs>
          <w:tab w:leader="none" w:pos="128" w:val="left"/>
        </w:tabs>
        <w:numPr>
          <w:ilvl w:val="0"/>
          <w:numId w:val="24"/>
        </w:numPr>
        <w:rPr>
          <w:rFonts w:ascii="Arial" w:cs="Arial" w:eastAsia="Arial" w:hAnsi="Arial"/>
          <w:sz w:val="16"/>
          <w:szCs w:val="16"/>
          <w:color w:val="005CB9"/>
        </w:rPr>
      </w:pPr>
      <w:r>
        <w:rPr>
          <w:rFonts w:ascii="Arial" w:cs="Arial" w:eastAsia="Arial" w:hAnsi="Arial"/>
          <w:sz w:val="16"/>
          <w:szCs w:val="16"/>
          <w:color w:val="auto"/>
        </w:rPr>
        <w:t>Executive</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Key Qualifications &amp; Expertise:</w:t>
      </w:r>
    </w:p>
    <w:p>
      <w:pPr>
        <w:spacing w:after="0" w:line="66" w:lineRule="exact"/>
        <w:rPr>
          <w:sz w:val="20"/>
          <w:szCs w:val="20"/>
          <w:color w:val="auto"/>
        </w:rPr>
      </w:pPr>
    </w:p>
    <w:p>
      <w:pPr>
        <w:ind w:left="128" w:hanging="128"/>
        <w:spacing w:after="0"/>
        <w:tabs>
          <w:tab w:leader="none" w:pos="128" w:val="left"/>
        </w:tabs>
        <w:numPr>
          <w:ilvl w:val="0"/>
          <w:numId w:val="25"/>
        </w:numPr>
        <w:rPr>
          <w:rFonts w:ascii="Arial" w:cs="Arial" w:eastAsia="Arial" w:hAnsi="Arial"/>
          <w:sz w:val="16"/>
          <w:szCs w:val="16"/>
          <w:color w:val="005CB9"/>
        </w:rPr>
      </w:pPr>
      <w:r>
        <w:rPr>
          <w:rFonts w:ascii="Arial" w:cs="Arial" w:eastAsia="Arial" w:hAnsi="Arial"/>
          <w:sz w:val="16"/>
          <w:szCs w:val="16"/>
          <w:color w:val="auto"/>
        </w:rPr>
        <w:t>Executive compensation expertise</w:t>
      </w:r>
    </w:p>
    <w:p>
      <w:pPr>
        <w:spacing w:after="0" w:line="18" w:lineRule="exact"/>
        <w:rPr>
          <w:rFonts w:ascii="Arial" w:cs="Arial" w:eastAsia="Arial" w:hAnsi="Arial"/>
          <w:sz w:val="16"/>
          <w:szCs w:val="16"/>
          <w:color w:val="005CB9"/>
        </w:rPr>
      </w:pPr>
    </w:p>
    <w:p>
      <w:pPr>
        <w:ind w:left="128" w:hanging="128"/>
        <w:spacing w:after="0"/>
        <w:tabs>
          <w:tab w:leader="none" w:pos="128" w:val="left"/>
        </w:tabs>
        <w:numPr>
          <w:ilvl w:val="0"/>
          <w:numId w:val="25"/>
        </w:numPr>
        <w:rPr>
          <w:rFonts w:ascii="Arial" w:cs="Arial" w:eastAsia="Arial" w:hAnsi="Arial"/>
          <w:sz w:val="16"/>
          <w:szCs w:val="16"/>
          <w:color w:val="005CB9"/>
        </w:rPr>
      </w:pPr>
      <w:r>
        <w:rPr>
          <w:rFonts w:ascii="Arial" w:cs="Arial" w:eastAsia="Arial" w:hAnsi="Arial"/>
          <w:sz w:val="16"/>
          <w:szCs w:val="16"/>
          <w:color w:val="auto"/>
        </w:rPr>
        <w:t>Organizational development</w:t>
      </w:r>
    </w:p>
    <w:p>
      <w:pPr>
        <w:spacing w:after="0" w:line="18" w:lineRule="exact"/>
        <w:rPr>
          <w:rFonts w:ascii="Arial" w:cs="Arial" w:eastAsia="Arial" w:hAnsi="Arial"/>
          <w:sz w:val="16"/>
          <w:szCs w:val="16"/>
          <w:color w:val="005CB9"/>
        </w:rPr>
      </w:pPr>
    </w:p>
    <w:p>
      <w:pPr>
        <w:ind w:left="128" w:hanging="128"/>
        <w:spacing w:after="0"/>
        <w:tabs>
          <w:tab w:leader="none" w:pos="128" w:val="left"/>
        </w:tabs>
        <w:numPr>
          <w:ilvl w:val="0"/>
          <w:numId w:val="25"/>
        </w:numPr>
        <w:rPr>
          <w:rFonts w:ascii="Arial" w:cs="Arial" w:eastAsia="Arial" w:hAnsi="Arial"/>
          <w:sz w:val="16"/>
          <w:szCs w:val="16"/>
          <w:color w:val="005CB9"/>
        </w:rPr>
      </w:pPr>
      <w:r>
        <w:rPr>
          <w:rFonts w:ascii="Arial" w:cs="Arial" w:eastAsia="Arial" w:hAnsi="Arial"/>
          <w:sz w:val="16"/>
          <w:szCs w:val="16"/>
          <w:color w:val="auto"/>
        </w:rPr>
        <w:t>Senior leadership and management experience</w:t>
      </w:r>
    </w:p>
    <w:p>
      <w:pPr>
        <w:spacing w:after="0" w:line="18" w:lineRule="exact"/>
        <w:rPr>
          <w:rFonts w:ascii="Arial" w:cs="Arial" w:eastAsia="Arial" w:hAnsi="Arial"/>
          <w:sz w:val="16"/>
          <w:szCs w:val="16"/>
          <w:color w:val="005CB9"/>
        </w:rPr>
      </w:pPr>
    </w:p>
    <w:p>
      <w:pPr>
        <w:ind w:left="128" w:hanging="128"/>
        <w:spacing w:after="0"/>
        <w:tabs>
          <w:tab w:leader="none" w:pos="128" w:val="left"/>
        </w:tabs>
        <w:numPr>
          <w:ilvl w:val="0"/>
          <w:numId w:val="25"/>
        </w:numPr>
        <w:rPr>
          <w:rFonts w:ascii="Arial" w:cs="Arial" w:eastAsia="Arial" w:hAnsi="Arial"/>
          <w:sz w:val="16"/>
          <w:szCs w:val="16"/>
          <w:color w:val="005CB9"/>
        </w:rPr>
      </w:pPr>
      <w:r>
        <w:rPr>
          <w:rFonts w:ascii="Arial" w:cs="Arial" w:eastAsia="Arial" w:hAnsi="Arial"/>
          <w:sz w:val="16"/>
          <w:szCs w:val="16"/>
          <w:color w:val="auto"/>
        </w:rPr>
        <w:t>Corporate governance</w:t>
      </w:r>
    </w:p>
    <w:p>
      <w:pPr>
        <w:spacing w:after="0" w:line="18" w:lineRule="exact"/>
        <w:rPr>
          <w:rFonts w:ascii="Arial" w:cs="Arial" w:eastAsia="Arial" w:hAnsi="Arial"/>
          <w:sz w:val="16"/>
          <w:szCs w:val="16"/>
          <w:color w:val="005CB9"/>
        </w:rPr>
      </w:pPr>
    </w:p>
    <w:p>
      <w:pPr>
        <w:ind w:left="128" w:hanging="128"/>
        <w:spacing w:after="0"/>
        <w:tabs>
          <w:tab w:leader="none" w:pos="128" w:val="left"/>
        </w:tabs>
        <w:numPr>
          <w:ilvl w:val="0"/>
          <w:numId w:val="25"/>
        </w:numPr>
        <w:rPr>
          <w:rFonts w:ascii="Arial" w:cs="Arial" w:eastAsia="Arial" w:hAnsi="Arial"/>
          <w:sz w:val="16"/>
          <w:szCs w:val="16"/>
          <w:color w:val="005CB9"/>
        </w:rPr>
      </w:pPr>
      <w:r>
        <w:rPr>
          <w:rFonts w:ascii="Arial" w:cs="Arial" w:eastAsia="Arial" w:hAnsi="Arial"/>
          <w:sz w:val="16"/>
          <w:szCs w:val="16"/>
          <w:color w:val="auto"/>
        </w:rPr>
        <w:t>Mergers and acquisitions</w:t>
      </w:r>
    </w:p>
    <w:p>
      <w:pPr>
        <w:spacing w:after="0" w:line="59" w:lineRule="exact"/>
        <w:rPr>
          <w:rFonts w:ascii="Arial" w:cs="Arial" w:eastAsia="Arial" w:hAnsi="Arial"/>
          <w:sz w:val="16"/>
          <w:szCs w:val="16"/>
          <w:color w:val="005CB9"/>
        </w:rPr>
      </w:pPr>
    </w:p>
    <w:p>
      <w:pPr>
        <w:ind w:left="128" w:hanging="128"/>
        <w:spacing w:after="0"/>
        <w:tabs>
          <w:tab w:leader="none" w:pos="128" w:val="left"/>
        </w:tabs>
        <w:numPr>
          <w:ilvl w:val="0"/>
          <w:numId w:val="25"/>
        </w:numPr>
        <w:rPr>
          <w:rFonts w:ascii="Arial" w:cs="Arial" w:eastAsia="Arial" w:hAnsi="Arial"/>
          <w:sz w:val="16"/>
          <w:szCs w:val="16"/>
          <w:color w:val="005CB9"/>
        </w:rPr>
      </w:pPr>
      <w:r>
        <w:rPr>
          <w:rFonts w:ascii="Arial" w:cs="Arial" w:eastAsia="Arial" w:hAnsi="Arial"/>
          <w:sz w:val="16"/>
          <w:szCs w:val="16"/>
          <w:color w:val="auto"/>
        </w:rPr>
        <w:t>Talent and team development</w:t>
      </w:r>
    </w:p>
    <w:p>
      <w:pPr>
        <w:spacing w:after="0" w:line="1495" w:lineRule="exact"/>
        <w:rPr>
          <w:sz w:val="20"/>
          <w:szCs w:val="20"/>
          <w:color w:val="auto"/>
        </w:rPr>
      </w:pPr>
    </w:p>
    <w:p>
      <w:pPr>
        <w:sectPr>
          <w:pgSz w:w="11900" w:h="16838" w:orient="portrait"/>
          <w:cols w:equalWidth="0" w:num="2">
            <w:col w:w="6900" w:space="492"/>
            <w:col w:w="3748"/>
          </w:cols>
          <w:pgMar w:left="320" w:top="459" w:right="439" w:bottom="1440" w:gutter="0" w:footer="0" w:header="0"/>
          <w:type w:val="continuous"/>
        </w:sectPr>
      </w:pPr>
    </w:p>
    <w:p>
      <w:pPr>
        <w:spacing w:after="0" w:line="371" w:lineRule="exact"/>
        <w:rPr>
          <w:sz w:val="20"/>
          <w:szCs w:val="20"/>
          <w:color w:val="auto"/>
        </w:rPr>
      </w:pPr>
    </w:p>
    <w:tbl>
      <w:tblPr>
        <w:tblLayout w:type="fixed"/>
        <w:tblInd w:w="7000" w:type="dxa"/>
        <w:tblCellMar>
          <w:top w:w="0" w:type="dxa"/>
          <w:left w:w="0" w:type="dxa"/>
          <w:bottom w:w="0" w:type="dxa"/>
          <w:right w:w="0" w:type="dxa"/>
        </w:tblCellMar>
      </w:tblPr>
      <w:tr>
        <w:trPr>
          <w:trHeight w:val="29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005CB9"/>
              </w:rPr>
              <w:t>5</w:t>
            </w:r>
          </w:p>
        </w:tc>
      </w:tr>
      <w:tr>
        <w:trPr>
          <w:trHeight w:val="100"/>
        </w:trPr>
        <w:tc>
          <w:tcPr>
            <w:tcW w:w="3900" w:type="dxa"/>
            <w:vAlign w:val="bottom"/>
            <w:tcBorders>
              <w:right w:val="single" w:sz="8" w:color="005CB9"/>
            </w:tcBorders>
          </w:tcPr>
          <w:p>
            <w:pPr>
              <w:spacing w:after="0"/>
              <w:rPr>
                <w:sz w:val="8"/>
                <w:szCs w:val="8"/>
                <w:color w:val="auto"/>
              </w:rPr>
            </w:pPr>
          </w:p>
        </w:tc>
        <w:tc>
          <w:tcPr>
            <w:tcW w:w="2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color w:val="005CB9"/>
        </w:rPr>
        <w:t xml:space="preserve">BOARD OF DIRECTORS </w:t>
      </w:r>
      <w:r>
        <w:rPr>
          <w:rFonts w:ascii="Arial" w:cs="Arial" w:eastAsia="Arial" w:hAnsi="Arial"/>
          <w:sz w:val="17"/>
          <w:szCs w:val="17"/>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0"/>
          </w:cols>
          <w:pgMar w:left="320" w:top="459" w:right="57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Richard F. Wallman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-239395</wp:posOffset>
            </wp:positionV>
            <wp:extent cx="4345940" cy="1028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80" w:lineRule="exact"/>
        <w:rPr>
          <w:sz w:val="20"/>
          <w:szCs w:val="20"/>
          <w:color w:val="auto"/>
        </w:rPr>
      </w:pPr>
    </w:p>
    <w:p>
      <w:pPr>
        <w:ind w:left="1680" w:right="320"/>
        <w:spacing w:after="0" w:line="267" w:lineRule="auto"/>
        <w:rPr>
          <w:sz w:val="20"/>
          <w:szCs w:val="20"/>
          <w:color w:val="auto"/>
        </w:rPr>
      </w:pPr>
      <w:r>
        <w:rPr>
          <w:rFonts w:ascii="Arial" w:cs="Arial" w:eastAsia="Arial" w:hAnsi="Arial"/>
          <w:sz w:val="15"/>
          <w:szCs w:val="15"/>
          <w:b w:val="1"/>
          <w:bCs w:val="1"/>
          <w:color w:val="auto"/>
        </w:rPr>
        <w:t>Retired Chief Financial Officer and Senior Vice President, 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78740</wp:posOffset>
            </wp:positionV>
            <wp:extent cx="34201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0" w:lineRule="exact"/>
        <w:rPr>
          <w:sz w:val="20"/>
          <w:szCs w:val="20"/>
          <w:color w:val="auto"/>
        </w:rPr>
      </w:pPr>
    </w:p>
    <w:p>
      <w:pPr>
        <w:ind w:left="1680" w:right="540"/>
        <w:spacing w:after="0" w:line="252" w:lineRule="auto"/>
        <w:rPr>
          <w:sz w:val="20"/>
          <w:szCs w:val="20"/>
          <w:color w:val="auto"/>
        </w:rPr>
      </w:pPr>
      <w:r>
        <w:rPr>
          <w:rFonts w:ascii="Arial" w:cs="Arial" w:eastAsia="Arial" w:hAnsi="Arial"/>
          <w:sz w:val="16"/>
          <w:szCs w:val="16"/>
          <w:color w:val="auto"/>
        </w:rPr>
        <w:t>Mr. Wallman served as the Chief Financial Officer and Senior Vice President of Honeywell International Inc., a diversified industrial technology and manufacturing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and its predecessor AlliedSignal, Inc., from 1995 until his retirement in 2003.</w:t>
      </w:r>
    </w:p>
    <w:p>
      <w:pPr>
        <w:spacing w:after="0" w:line="5" w:lineRule="exact"/>
        <w:rPr>
          <w:sz w:val="20"/>
          <w:szCs w:val="20"/>
          <w:color w:val="auto"/>
        </w:rPr>
      </w:pPr>
    </w:p>
    <w:p>
      <w:pPr>
        <w:ind w:left="120" w:right="260"/>
        <w:spacing w:after="0" w:line="260" w:lineRule="auto"/>
        <w:rPr>
          <w:sz w:val="20"/>
          <w:szCs w:val="20"/>
          <w:color w:val="auto"/>
        </w:rPr>
      </w:pPr>
      <w:r>
        <w:rPr>
          <w:rFonts w:ascii="Arial" w:cs="Arial" w:eastAsia="Arial" w:hAnsi="Arial"/>
          <w:sz w:val="16"/>
          <w:szCs w:val="16"/>
          <w:color w:val="auto"/>
        </w:rPr>
        <w:t>Mr. Wallman has also served in senior financial positions with IBM Corporation and Chrysler Corporation.</w:t>
      </w:r>
    </w:p>
    <w:p>
      <w:pPr>
        <w:spacing w:after="0" w:line="101"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Mr. Wallman has served as a director of CECO Environmental Corp., a global air quality and fluid handling company, since 2021, SmileDirectClub, Inc., an oral care company, since 2019, and Charles River Laboratories International, Inc., a provider of laboratory services for the pharmaceutical, medical device and biotechnology industries, since 2011. In the last five years, Mr. Wallman served as a director of Wright Medical Group N.V., a global medical device company, Boart Longyear Ltd., a global mineral exploration company, Convergys Corporation, a provider of customer management and information management products and Extended Stay America, Inc., a hospitality and lodging company.</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Director Since 2007</w:t>
      </w:r>
    </w:p>
    <w:p>
      <w:pPr>
        <w:spacing w:after="0" w:line="2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Age 71</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Committees:</w:t>
      </w:r>
    </w:p>
    <w:p>
      <w:pPr>
        <w:spacing w:after="0" w:line="66" w:lineRule="exact"/>
        <w:rPr>
          <w:sz w:val="20"/>
          <w:szCs w:val="20"/>
          <w:color w:val="auto"/>
        </w:rPr>
      </w:pPr>
    </w:p>
    <w:p>
      <w:pPr>
        <w:ind w:left="128" w:hanging="128"/>
        <w:spacing w:after="0"/>
        <w:tabs>
          <w:tab w:leader="none" w:pos="128" w:val="left"/>
        </w:tabs>
        <w:numPr>
          <w:ilvl w:val="0"/>
          <w:numId w:val="26"/>
        </w:numPr>
        <w:rPr>
          <w:rFonts w:ascii="Arial" w:cs="Arial" w:eastAsia="Arial" w:hAnsi="Arial"/>
          <w:sz w:val="16"/>
          <w:szCs w:val="16"/>
          <w:color w:val="005CB9"/>
        </w:rPr>
      </w:pPr>
      <w:r>
        <w:rPr>
          <w:rFonts w:ascii="Arial" w:cs="Arial" w:eastAsia="Arial" w:hAnsi="Arial"/>
          <w:sz w:val="16"/>
          <w:szCs w:val="16"/>
          <w:color w:val="auto"/>
        </w:rPr>
        <w:t>Audit (Chair)</w:t>
      </w:r>
    </w:p>
    <w:p>
      <w:pPr>
        <w:spacing w:after="0" w:line="18" w:lineRule="exact"/>
        <w:rPr>
          <w:rFonts w:ascii="Arial" w:cs="Arial" w:eastAsia="Arial" w:hAnsi="Arial"/>
          <w:sz w:val="16"/>
          <w:szCs w:val="16"/>
          <w:color w:val="005CB9"/>
        </w:rPr>
      </w:pPr>
    </w:p>
    <w:p>
      <w:pPr>
        <w:ind w:left="128" w:hanging="128"/>
        <w:spacing w:after="0"/>
        <w:tabs>
          <w:tab w:leader="none" w:pos="128" w:val="left"/>
        </w:tabs>
        <w:numPr>
          <w:ilvl w:val="0"/>
          <w:numId w:val="26"/>
        </w:numPr>
        <w:rPr>
          <w:rFonts w:ascii="Arial" w:cs="Arial" w:eastAsia="Arial" w:hAnsi="Arial"/>
          <w:sz w:val="16"/>
          <w:szCs w:val="16"/>
          <w:color w:val="005CB9"/>
        </w:rPr>
      </w:pPr>
      <w:r>
        <w:rPr>
          <w:rFonts w:ascii="Arial" w:cs="Arial" w:eastAsia="Arial" w:hAnsi="Arial"/>
          <w:sz w:val="16"/>
          <w:szCs w:val="16"/>
          <w:color w:val="auto"/>
        </w:rPr>
        <w:t>Executive</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Current Public Directorships:</w:t>
      </w:r>
    </w:p>
    <w:p>
      <w:pPr>
        <w:spacing w:after="0" w:line="66" w:lineRule="exact"/>
        <w:rPr>
          <w:sz w:val="20"/>
          <w:szCs w:val="20"/>
          <w:color w:val="auto"/>
        </w:rPr>
      </w:pPr>
    </w:p>
    <w:p>
      <w:pPr>
        <w:ind w:left="128" w:hanging="128"/>
        <w:spacing w:after="0"/>
        <w:tabs>
          <w:tab w:leader="none" w:pos="128" w:val="left"/>
        </w:tabs>
        <w:numPr>
          <w:ilvl w:val="0"/>
          <w:numId w:val="27"/>
        </w:numPr>
        <w:rPr>
          <w:rFonts w:ascii="Arial" w:cs="Arial" w:eastAsia="Arial" w:hAnsi="Arial"/>
          <w:sz w:val="16"/>
          <w:szCs w:val="16"/>
          <w:color w:val="005CB9"/>
        </w:rPr>
      </w:pPr>
      <w:r>
        <w:rPr>
          <w:rFonts w:ascii="Arial" w:cs="Arial" w:eastAsia="Arial" w:hAnsi="Arial"/>
          <w:sz w:val="16"/>
          <w:szCs w:val="16"/>
          <w:color w:val="auto"/>
        </w:rPr>
        <w:t>CECO Environmental Corp.</w:t>
      </w:r>
    </w:p>
    <w:p>
      <w:pPr>
        <w:spacing w:after="0" w:line="18" w:lineRule="exact"/>
        <w:rPr>
          <w:rFonts w:ascii="Arial" w:cs="Arial" w:eastAsia="Arial" w:hAnsi="Arial"/>
          <w:sz w:val="16"/>
          <w:szCs w:val="16"/>
          <w:color w:val="005CB9"/>
        </w:rPr>
      </w:pPr>
    </w:p>
    <w:p>
      <w:pPr>
        <w:ind w:left="128" w:hanging="128"/>
        <w:spacing w:after="0"/>
        <w:tabs>
          <w:tab w:leader="none" w:pos="128" w:val="left"/>
        </w:tabs>
        <w:numPr>
          <w:ilvl w:val="0"/>
          <w:numId w:val="27"/>
        </w:numPr>
        <w:rPr>
          <w:rFonts w:ascii="Arial" w:cs="Arial" w:eastAsia="Arial" w:hAnsi="Arial"/>
          <w:sz w:val="16"/>
          <w:szCs w:val="16"/>
          <w:color w:val="005CB9"/>
        </w:rPr>
      </w:pPr>
      <w:r>
        <w:rPr>
          <w:rFonts w:ascii="Arial" w:cs="Arial" w:eastAsia="Arial" w:hAnsi="Arial"/>
          <w:sz w:val="16"/>
          <w:szCs w:val="16"/>
          <w:color w:val="auto"/>
        </w:rPr>
        <w:t>Charles River Laboratories International, Inc.</w:t>
      </w:r>
    </w:p>
    <w:p>
      <w:pPr>
        <w:spacing w:after="0" w:line="59" w:lineRule="exact"/>
        <w:rPr>
          <w:rFonts w:ascii="Arial" w:cs="Arial" w:eastAsia="Arial" w:hAnsi="Arial"/>
          <w:sz w:val="16"/>
          <w:szCs w:val="16"/>
          <w:color w:val="005CB9"/>
        </w:rPr>
      </w:pPr>
    </w:p>
    <w:p>
      <w:pPr>
        <w:ind w:left="128" w:hanging="128"/>
        <w:spacing w:after="0"/>
        <w:tabs>
          <w:tab w:leader="none" w:pos="128" w:val="left"/>
        </w:tabs>
        <w:numPr>
          <w:ilvl w:val="0"/>
          <w:numId w:val="27"/>
        </w:numPr>
        <w:rPr>
          <w:rFonts w:ascii="Arial" w:cs="Arial" w:eastAsia="Arial" w:hAnsi="Arial"/>
          <w:sz w:val="16"/>
          <w:szCs w:val="16"/>
          <w:color w:val="005CB9"/>
        </w:rPr>
      </w:pPr>
      <w:r>
        <w:rPr>
          <w:rFonts w:ascii="Arial" w:cs="Arial" w:eastAsia="Arial" w:hAnsi="Arial"/>
          <w:sz w:val="16"/>
          <w:szCs w:val="16"/>
          <w:color w:val="auto"/>
        </w:rPr>
        <w:t>SmileDirectClub, Inc.</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Key Qualifications &amp; Expertise:</w:t>
      </w:r>
    </w:p>
    <w:p>
      <w:pPr>
        <w:spacing w:after="0" w:line="66" w:lineRule="exact"/>
        <w:rPr>
          <w:sz w:val="20"/>
          <w:szCs w:val="20"/>
          <w:color w:val="auto"/>
        </w:rPr>
      </w:pPr>
    </w:p>
    <w:p>
      <w:pPr>
        <w:ind w:left="168" w:right="680" w:hanging="168"/>
        <w:spacing w:after="0" w:line="255" w:lineRule="auto"/>
        <w:tabs>
          <w:tab w:leader="none" w:pos="128" w:val="left"/>
        </w:tabs>
        <w:numPr>
          <w:ilvl w:val="0"/>
          <w:numId w:val="28"/>
        </w:numPr>
        <w:rPr>
          <w:rFonts w:ascii="Arial" w:cs="Arial" w:eastAsia="Arial" w:hAnsi="Arial"/>
          <w:sz w:val="16"/>
          <w:szCs w:val="16"/>
          <w:color w:val="005CB9"/>
        </w:rPr>
      </w:pPr>
      <w:r>
        <w:rPr>
          <w:rFonts w:ascii="Arial" w:cs="Arial" w:eastAsia="Arial" w:hAnsi="Arial"/>
          <w:sz w:val="16"/>
          <w:szCs w:val="16"/>
          <w:color w:val="auto"/>
        </w:rPr>
        <w:t>Executive leadership and management experience</w:t>
      </w:r>
    </w:p>
    <w:p>
      <w:pPr>
        <w:ind w:left="128" w:hanging="128"/>
        <w:spacing w:after="0"/>
        <w:tabs>
          <w:tab w:leader="none" w:pos="128" w:val="left"/>
        </w:tabs>
        <w:numPr>
          <w:ilvl w:val="0"/>
          <w:numId w:val="28"/>
        </w:numPr>
        <w:rPr>
          <w:rFonts w:ascii="Arial" w:cs="Arial" w:eastAsia="Arial" w:hAnsi="Arial"/>
          <w:sz w:val="16"/>
          <w:szCs w:val="16"/>
          <w:color w:val="005CB9"/>
        </w:rPr>
      </w:pPr>
      <w:r>
        <w:rPr>
          <w:rFonts w:ascii="Arial" w:cs="Arial" w:eastAsia="Arial" w:hAnsi="Arial"/>
          <w:sz w:val="16"/>
          <w:szCs w:val="16"/>
          <w:color w:val="auto"/>
        </w:rPr>
        <w:t>Finance and accounting expertise</w:t>
      </w:r>
    </w:p>
    <w:p>
      <w:pPr>
        <w:spacing w:after="0" w:line="18" w:lineRule="exact"/>
        <w:rPr>
          <w:rFonts w:ascii="Arial" w:cs="Arial" w:eastAsia="Arial" w:hAnsi="Arial"/>
          <w:sz w:val="16"/>
          <w:szCs w:val="16"/>
          <w:color w:val="005CB9"/>
        </w:rPr>
      </w:pPr>
    </w:p>
    <w:p>
      <w:pPr>
        <w:ind w:left="128" w:hanging="128"/>
        <w:spacing w:after="0"/>
        <w:tabs>
          <w:tab w:leader="none" w:pos="128" w:val="left"/>
        </w:tabs>
        <w:numPr>
          <w:ilvl w:val="0"/>
          <w:numId w:val="28"/>
        </w:numPr>
        <w:rPr>
          <w:rFonts w:ascii="Arial" w:cs="Arial" w:eastAsia="Arial" w:hAnsi="Arial"/>
          <w:sz w:val="16"/>
          <w:szCs w:val="16"/>
          <w:color w:val="005CB9"/>
        </w:rPr>
      </w:pPr>
      <w:r>
        <w:rPr>
          <w:rFonts w:ascii="Arial" w:cs="Arial" w:eastAsia="Arial" w:hAnsi="Arial"/>
          <w:sz w:val="16"/>
          <w:szCs w:val="16"/>
          <w:color w:val="auto"/>
        </w:rPr>
        <w:t>Multi-industry perspective</w:t>
      </w:r>
    </w:p>
    <w:p>
      <w:pPr>
        <w:spacing w:after="0" w:line="18" w:lineRule="exact"/>
        <w:rPr>
          <w:rFonts w:ascii="Arial" w:cs="Arial" w:eastAsia="Arial" w:hAnsi="Arial"/>
          <w:sz w:val="16"/>
          <w:szCs w:val="16"/>
          <w:color w:val="005CB9"/>
        </w:rPr>
      </w:pPr>
    </w:p>
    <w:p>
      <w:pPr>
        <w:ind w:left="168" w:right="240" w:hanging="168"/>
        <w:spacing w:after="0" w:line="274" w:lineRule="auto"/>
        <w:tabs>
          <w:tab w:leader="none" w:pos="128" w:val="left"/>
        </w:tabs>
        <w:numPr>
          <w:ilvl w:val="0"/>
          <w:numId w:val="28"/>
        </w:numPr>
        <w:rPr>
          <w:rFonts w:ascii="Arial" w:cs="Arial" w:eastAsia="Arial" w:hAnsi="Arial"/>
          <w:sz w:val="16"/>
          <w:szCs w:val="16"/>
          <w:color w:val="005CB9"/>
        </w:rPr>
      </w:pPr>
      <w:r>
        <w:rPr>
          <w:rFonts w:ascii="Arial" w:cs="Arial" w:eastAsia="Arial" w:hAnsi="Arial"/>
          <w:sz w:val="16"/>
          <w:szCs w:val="16"/>
          <w:color w:val="auto"/>
        </w:rPr>
        <w:t>Global business, industry, manufacturing and operations experience</w:t>
      </w:r>
    </w:p>
    <w:p>
      <w:pPr>
        <w:spacing w:after="0" w:line="11" w:lineRule="exact"/>
        <w:rPr>
          <w:rFonts w:ascii="Arial" w:cs="Arial" w:eastAsia="Arial" w:hAnsi="Arial"/>
          <w:sz w:val="16"/>
          <w:szCs w:val="16"/>
          <w:color w:val="005CB9"/>
        </w:rPr>
      </w:pPr>
    </w:p>
    <w:p>
      <w:pPr>
        <w:ind w:left="128" w:hanging="128"/>
        <w:spacing w:after="0"/>
        <w:tabs>
          <w:tab w:leader="none" w:pos="128" w:val="left"/>
        </w:tabs>
        <w:numPr>
          <w:ilvl w:val="0"/>
          <w:numId w:val="28"/>
        </w:numPr>
        <w:rPr>
          <w:rFonts w:ascii="Arial" w:cs="Arial" w:eastAsia="Arial" w:hAnsi="Arial"/>
          <w:sz w:val="16"/>
          <w:szCs w:val="16"/>
          <w:color w:val="005CB9"/>
        </w:rPr>
      </w:pPr>
      <w:r>
        <w:rPr>
          <w:rFonts w:ascii="Arial" w:cs="Arial" w:eastAsia="Arial" w:hAnsi="Arial"/>
          <w:sz w:val="16"/>
          <w:szCs w:val="16"/>
          <w:color w:val="auto"/>
        </w:rPr>
        <w:t>Mergers and acquisitions</w:t>
      </w:r>
    </w:p>
    <w:p>
      <w:pPr>
        <w:spacing w:after="0" w:line="18" w:lineRule="exact"/>
        <w:rPr>
          <w:rFonts w:ascii="Arial" w:cs="Arial" w:eastAsia="Arial" w:hAnsi="Arial"/>
          <w:sz w:val="16"/>
          <w:szCs w:val="16"/>
          <w:color w:val="005CB9"/>
        </w:rPr>
      </w:pPr>
    </w:p>
    <w:p>
      <w:pPr>
        <w:ind w:left="128" w:hanging="128"/>
        <w:spacing w:after="0"/>
        <w:tabs>
          <w:tab w:leader="none" w:pos="128" w:val="left"/>
        </w:tabs>
        <w:numPr>
          <w:ilvl w:val="0"/>
          <w:numId w:val="28"/>
        </w:numPr>
        <w:rPr>
          <w:rFonts w:ascii="Arial" w:cs="Arial" w:eastAsia="Arial" w:hAnsi="Arial"/>
          <w:sz w:val="16"/>
          <w:szCs w:val="16"/>
          <w:color w:val="005CB9"/>
        </w:rPr>
      </w:pPr>
      <w:r>
        <w:rPr>
          <w:rFonts w:ascii="Arial" w:cs="Arial" w:eastAsia="Arial" w:hAnsi="Arial"/>
          <w:sz w:val="16"/>
          <w:szCs w:val="16"/>
          <w:color w:val="auto"/>
        </w:rPr>
        <w:t>Risk management and controls</w:t>
      </w:r>
    </w:p>
    <w:p>
      <w:pPr>
        <w:spacing w:after="0" w:line="18" w:lineRule="exact"/>
        <w:rPr>
          <w:rFonts w:ascii="Arial" w:cs="Arial" w:eastAsia="Arial" w:hAnsi="Arial"/>
          <w:sz w:val="16"/>
          <w:szCs w:val="16"/>
          <w:color w:val="005CB9"/>
        </w:rPr>
      </w:pPr>
    </w:p>
    <w:p>
      <w:pPr>
        <w:ind w:left="168" w:hanging="168"/>
        <w:spacing w:after="0" w:line="255" w:lineRule="auto"/>
        <w:tabs>
          <w:tab w:leader="none" w:pos="128" w:val="left"/>
        </w:tabs>
        <w:numPr>
          <w:ilvl w:val="0"/>
          <w:numId w:val="28"/>
        </w:numPr>
        <w:rPr>
          <w:rFonts w:ascii="Arial" w:cs="Arial" w:eastAsia="Arial" w:hAnsi="Arial"/>
          <w:sz w:val="16"/>
          <w:szCs w:val="16"/>
          <w:color w:val="005CB9"/>
        </w:rPr>
      </w:pPr>
      <w:r>
        <w:rPr>
          <w:rFonts w:ascii="Arial" w:cs="Arial" w:eastAsia="Arial" w:hAnsi="Arial"/>
          <w:sz w:val="16"/>
          <w:szCs w:val="16"/>
          <w:color w:val="auto"/>
        </w:rPr>
        <w:t>Management development and understanding of global challenges and opportunities</w:t>
      </w:r>
    </w:p>
    <w:p>
      <w:pPr>
        <w:ind w:left="128" w:hanging="128"/>
        <w:spacing w:after="0"/>
        <w:tabs>
          <w:tab w:leader="none" w:pos="128" w:val="left"/>
        </w:tabs>
        <w:numPr>
          <w:ilvl w:val="0"/>
          <w:numId w:val="28"/>
        </w:numPr>
        <w:rPr>
          <w:rFonts w:ascii="Arial" w:cs="Arial" w:eastAsia="Arial" w:hAnsi="Arial"/>
          <w:sz w:val="16"/>
          <w:szCs w:val="16"/>
          <w:color w:val="005CB9"/>
        </w:rPr>
      </w:pPr>
      <w:r>
        <w:rPr>
          <w:rFonts w:ascii="Arial" w:cs="Arial" w:eastAsia="Arial" w:hAnsi="Arial"/>
          <w:sz w:val="16"/>
          <w:szCs w:val="16"/>
          <w:color w:val="auto"/>
        </w:rPr>
        <w:t>Public company board experience</w:t>
      </w:r>
    </w:p>
    <w:p>
      <w:pPr>
        <w:spacing w:after="0" w:line="200" w:lineRule="exact"/>
        <w:rPr>
          <w:sz w:val="20"/>
          <w:szCs w:val="20"/>
          <w:color w:val="auto"/>
        </w:rPr>
      </w:pPr>
    </w:p>
    <w:p>
      <w:pPr>
        <w:sectPr>
          <w:pgSz w:w="11900" w:h="16838" w:orient="portrait"/>
          <w:cols w:equalWidth="0" w:num="2">
            <w:col w:w="6960" w:space="432"/>
            <w:col w:w="3608"/>
          </w:cols>
          <w:pgMar w:left="320" w:top="459"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360" w:type="dxa"/>
            <w:vAlign w:val="bottom"/>
            <w:tcBorders>
              <w:right w:val="single" w:sz="8" w:color="005CB9"/>
            </w:tcBorders>
          </w:tcPr>
          <w:p>
            <w:pPr>
              <w:jc w:val="right"/>
              <w:ind w:right="204"/>
              <w:spacing w:after="0"/>
              <w:rPr>
                <w:sz w:val="20"/>
                <w:szCs w:val="20"/>
                <w:color w:val="auto"/>
              </w:rPr>
            </w:pPr>
            <w:r>
              <w:rPr>
                <w:rFonts w:ascii="Arial" w:cs="Arial" w:eastAsia="Arial" w:hAnsi="Arial"/>
                <w:sz w:val="15"/>
                <w:szCs w:val="15"/>
                <w:b w:val="1"/>
                <w:bCs w:val="1"/>
                <w:color w:val="005CB9"/>
                <w:w w:val="71"/>
              </w:rPr>
              <w:t>6</w:t>
            </w:r>
          </w:p>
        </w:tc>
        <w:tc>
          <w:tcPr>
            <w:tcW w:w="4680" w:type="dxa"/>
            <w:vAlign w:val="bottom"/>
          </w:tcPr>
          <w:p>
            <w:pPr>
              <w:ind w:left="104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1"/>
        </w:trPr>
        <w:tc>
          <w:tcPr>
            <w:tcW w:w="360" w:type="dxa"/>
            <w:vAlign w:val="bottom"/>
            <w:tcBorders>
              <w:right w:val="single" w:sz="8" w:color="005CB9"/>
            </w:tcBorders>
          </w:tcPr>
          <w:p>
            <w:pPr>
              <w:spacing w:after="0"/>
              <w:rPr>
                <w:sz w:val="8"/>
                <w:szCs w:val="8"/>
                <w:color w:val="auto"/>
              </w:rPr>
            </w:pPr>
          </w:p>
        </w:tc>
        <w:tc>
          <w:tcPr>
            <w:tcW w:w="46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-205105</wp:posOffset>
            </wp:positionV>
            <wp:extent cx="42862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000"/>
          </w:cols>
          <w:pgMar w:left="320" w:top="459" w:right="57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color w:val="005CB9"/>
        </w:rPr>
        <w:t xml:space="preserve">BOARD OF DIRECTORS </w:t>
      </w:r>
      <w:r>
        <w:rPr>
          <w:rFonts w:ascii="Arial" w:cs="Arial" w:eastAsia="Arial" w:hAnsi="Arial"/>
          <w:sz w:val="17"/>
          <w:szCs w:val="17"/>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Christopher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-248285</wp:posOffset>
            </wp:positionV>
            <wp:extent cx="4345940" cy="1028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80" w:lineRule="exact"/>
        <w:rPr>
          <w:sz w:val="20"/>
          <w:szCs w:val="20"/>
          <w:color w:val="auto"/>
        </w:rPr>
      </w:pPr>
    </w:p>
    <w:p>
      <w:pPr>
        <w:ind w:left="1680" w:right="2220"/>
        <w:spacing w:after="0" w:line="267" w:lineRule="auto"/>
        <w:rPr>
          <w:sz w:val="20"/>
          <w:szCs w:val="20"/>
          <w:color w:val="auto"/>
        </w:rPr>
      </w:pPr>
      <w:r>
        <w:rPr>
          <w:rFonts w:ascii="Arial" w:cs="Arial" w:eastAsia="Arial" w:hAnsi="Arial"/>
          <w:sz w:val="15"/>
          <w:szCs w:val="15"/>
          <w:b w:val="1"/>
          <w:bCs w:val="1"/>
          <w:color w:val="auto"/>
        </w:rPr>
        <w:t>Executive Chairman, Kestrel Partners and Director, Merifin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104140</wp:posOffset>
            </wp:positionV>
            <wp:extent cx="34201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0" w:lineRule="exact"/>
        <w:rPr>
          <w:sz w:val="20"/>
          <w:szCs w:val="20"/>
          <w:color w:val="auto"/>
        </w:rPr>
      </w:pPr>
    </w:p>
    <w:p>
      <w:pPr>
        <w:ind w:left="1680" w:right="80"/>
        <w:spacing w:after="0" w:line="253" w:lineRule="auto"/>
        <w:rPr>
          <w:sz w:val="20"/>
          <w:szCs w:val="20"/>
          <w:color w:val="auto"/>
        </w:rPr>
      </w:pPr>
      <w:r>
        <w:rPr>
          <w:rFonts w:ascii="Arial" w:cs="Arial" w:eastAsia="Arial" w:hAnsi="Arial"/>
          <w:sz w:val="16"/>
          <w:szCs w:val="16"/>
          <w:color w:val="auto"/>
        </w:rPr>
        <w:t>Mr. Wright is chairman of Kestrel Partners LLP, an asset management firm focused on the UK software sector, and a director of Merifin Capital, a single family</w:t>
      </w:r>
    </w:p>
    <w:p>
      <w:pPr>
        <w:spacing w:after="0" w:line="26"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investment company based in Europe. Until 2003 he was a Group Management Board Member of Dresdner Kleinwort, part of Allianz SE, and was CEO of its global alternative assets division working from NYC/ Frankfurt/London. He has sat on the boards of publicly listed and private companies across Europe and the USA, and of private companies in Brazil, South Africa, India and China. He is currently a director of Spice PE A.G. and also of GP Investments Ltd., both listed European companies. He previously served as a director of Yatra Ltd. (Euronext) from 2010 to 2018. He is Hon. Fellow, Corpus Christi College, University of Oxford, sitting also on its Endowment Board, and is (pro bono) a director of the Sutton Trust, an educational charity.</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Director Since 1991</w:t>
      </w:r>
    </w:p>
    <w:p>
      <w:pPr>
        <w:spacing w:after="0" w:line="2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Age 64</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Committees:</w:t>
      </w:r>
    </w:p>
    <w:p>
      <w:pPr>
        <w:spacing w:after="0" w:line="66" w:lineRule="exact"/>
        <w:rPr>
          <w:sz w:val="20"/>
          <w:szCs w:val="20"/>
          <w:color w:val="auto"/>
        </w:rPr>
      </w:pPr>
    </w:p>
    <w:p>
      <w:pPr>
        <w:ind w:left="128" w:hanging="128"/>
        <w:spacing w:after="0"/>
        <w:tabs>
          <w:tab w:leader="none" w:pos="128" w:val="left"/>
        </w:tabs>
        <w:numPr>
          <w:ilvl w:val="0"/>
          <w:numId w:val="29"/>
        </w:numPr>
        <w:rPr>
          <w:rFonts w:ascii="Arial" w:cs="Arial" w:eastAsia="Arial" w:hAnsi="Arial"/>
          <w:sz w:val="16"/>
          <w:szCs w:val="16"/>
          <w:color w:val="005CB9"/>
        </w:rPr>
      </w:pPr>
      <w:r>
        <w:rPr>
          <w:rFonts w:ascii="Arial" w:cs="Arial" w:eastAsia="Arial" w:hAnsi="Arial"/>
          <w:sz w:val="16"/>
          <w:szCs w:val="16"/>
          <w:color w:val="auto"/>
        </w:rPr>
        <w:t>Audit</w:t>
      </w:r>
    </w:p>
    <w:p>
      <w:pPr>
        <w:spacing w:after="0" w:line="18" w:lineRule="exact"/>
        <w:rPr>
          <w:rFonts w:ascii="Arial" w:cs="Arial" w:eastAsia="Arial" w:hAnsi="Arial"/>
          <w:sz w:val="16"/>
          <w:szCs w:val="16"/>
          <w:color w:val="005CB9"/>
        </w:rPr>
      </w:pPr>
    </w:p>
    <w:p>
      <w:pPr>
        <w:ind w:left="128" w:hanging="128"/>
        <w:spacing w:after="0"/>
        <w:tabs>
          <w:tab w:leader="none" w:pos="128" w:val="left"/>
        </w:tabs>
        <w:numPr>
          <w:ilvl w:val="0"/>
          <w:numId w:val="29"/>
        </w:numPr>
        <w:rPr>
          <w:rFonts w:ascii="Arial" w:cs="Arial" w:eastAsia="Arial" w:hAnsi="Arial"/>
          <w:sz w:val="16"/>
          <w:szCs w:val="16"/>
          <w:color w:val="005CB9"/>
        </w:rPr>
      </w:pPr>
      <w:r>
        <w:rPr>
          <w:rFonts w:ascii="Arial" w:cs="Arial" w:eastAsia="Arial" w:hAnsi="Arial"/>
          <w:sz w:val="16"/>
          <w:szCs w:val="16"/>
          <w:color w:val="auto"/>
        </w:rPr>
        <w:t>Compensation</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Current Public Directorships:</w:t>
      </w:r>
    </w:p>
    <w:p>
      <w:pPr>
        <w:spacing w:after="0" w:line="66" w:lineRule="exact"/>
        <w:rPr>
          <w:sz w:val="20"/>
          <w:szCs w:val="20"/>
          <w:color w:val="auto"/>
        </w:rPr>
      </w:pPr>
    </w:p>
    <w:p>
      <w:pPr>
        <w:ind w:left="128" w:hanging="128"/>
        <w:spacing w:after="0"/>
        <w:tabs>
          <w:tab w:leader="none" w:pos="128" w:val="left"/>
        </w:tabs>
        <w:numPr>
          <w:ilvl w:val="0"/>
          <w:numId w:val="30"/>
        </w:numPr>
        <w:rPr>
          <w:rFonts w:ascii="Arial" w:cs="Arial" w:eastAsia="Arial" w:hAnsi="Arial"/>
          <w:sz w:val="16"/>
          <w:szCs w:val="16"/>
          <w:color w:val="005CB9"/>
        </w:rPr>
      </w:pPr>
      <w:r>
        <w:rPr>
          <w:rFonts w:ascii="Arial" w:cs="Arial" w:eastAsia="Arial" w:hAnsi="Arial"/>
          <w:sz w:val="16"/>
          <w:szCs w:val="16"/>
          <w:color w:val="auto"/>
        </w:rPr>
        <w:t>G.P. Investments Limited (Luxembourg)</w:t>
      </w:r>
    </w:p>
    <w:p>
      <w:pPr>
        <w:spacing w:after="0" w:line="18" w:lineRule="exact"/>
        <w:rPr>
          <w:rFonts w:ascii="Arial" w:cs="Arial" w:eastAsia="Arial" w:hAnsi="Arial"/>
          <w:sz w:val="16"/>
          <w:szCs w:val="16"/>
          <w:color w:val="005CB9"/>
        </w:rPr>
      </w:pPr>
    </w:p>
    <w:p>
      <w:pPr>
        <w:ind w:left="128" w:hanging="128"/>
        <w:spacing w:after="0"/>
        <w:tabs>
          <w:tab w:leader="none" w:pos="128" w:val="left"/>
        </w:tabs>
        <w:numPr>
          <w:ilvl w:val="0"/>
          <w:numId w:val="30"/>
        </w:numPr>
        <w:rPr>
          <w:rFonts w:ascii="Arial" w:cs="Arial" w:eastAsia="Arial" w:hAnsi="Arial"/>
          <w:sz w:val="16"/>
          <w:szCs w:val="16"/>
          <w:color w:val="005CB9"/>
        </w:rPr>
      </w:pPr>
      <w:r>
        <w:rPr>
          <w:rFonts w:ascii="Arial" w:cs="Arial" w:eastAsia="Arial" w:hAnsi="Arial"/>
          <w:sz w:val="16"/>
          <w:szCs w:val="16"/>
          <w:color w:val="auto"/>
        </w:rPr>
        <w:t>Spice Private Equity A.G. (Zurich)</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Key Qualifications &amp; Expertise:</w:t>
      </w:r>
    </w:p>
    <w:p>
      <w:pPr>
        <w:spacing w:after="0" w:line="66" w:lineRule="exact"/>
        <w:rPr>
          <w:sz w:val="20"/>
          <w:szCs w:val="20"/>
          <w:color w:val="auto"/>
        </w:rPr>
      </w:pPr>
    </w:p>
    <w:p>
      <w:pPr>
        <w:ind w:left="128" w:hanging="128"/>
        <w:spacing w:after="0"/>
        <w:tabs>
          <w:tab w:leader="none" w:pos="128" w:val="left"/>
        </w:tabs>
        <w:numPr>
          <w:ilvl w:val="0"/>
          <w:numId w:val="31"/>
        </w:numPr>
        <w:rPr>
          <w:rFonts w:ascii="Arial" w:cs="Arial" w:eastAsia="Arial" w:hAnsi="Arial"/>
          <w:sz w:val="16"/>
          <w:szCs w:val="16"/>
          <w:color w:val="005CB9"/>
        </w:rPr>
      </w:pPr>
      <w:r>
        <w:rPr>
          <w:rFonts w:ascii="Arial" w:cs="Arial" w:eastAsia="Arial" w:hAnsi="Arial"/>
          <w:sz w:val="16"/>
          <w:szCs w:val="16"/>
          <w:color w:val="auto"/>
        </w:rPr>
        <w:t>Executive and management experience</w:t>
      </w:r>
    </w:p>
    <w:p>
      <w:pPr>
        <w:spacing w:after="0" w:line="59" w:lineRule="exact"/>
        <w:rPr>
          <w:rFonts w:ascii="Arial" w:cs="Arial" w:eastAsia="Arial" w:hAnsi="Arial"/>
          <w:sz w:val="16"/>
          <w:szCs w:val="16"/>
          <w:color w:val="005CB9"/>
        </w:rPr>
      </w:pPr>
    </w:p>
    <w:p>
      <w:pPr>
        <w:ind w:left="168" w:right="680" w:hanging="168"/>
        <w:spacing w:after="0" w:line="274" w:lineRule="auto"/>
        <w:tabs>
          <w:tab w:leader="none" w:pos="128" w:val="left"/>
        </w:tabs>
        <w:numPr>
          <w:ilvl w:val="0"/>
          <w:numId w:val="31"/>
        </w:numPr>
        <w:rPr>
          <w:rFonts w:ascii="Arial" w:cs="Arial" w:eastAsia="Arial" w:hAnsi="Arial"/>
          <w:sz w:val="16"/>
          <w:szCs w:val="16"/>
          <w:color w:val="005CB9"/>
        </w:rPr>
      </w:pPr>
      <w:r>
        <w:rPr>
          <w:rFonts w:ascii="Arial" w:cs="Arial" w:eastAsia="Arial" w:hAnsi="Arial"/>
          <w:sz w:val="16"/>
          <w:szCs w:val="16"/>
          <w:color w:val="auto"/>
        </w:rPr>
        <w:t>Global public and private company board experience</w:t>
      </w:r>
    </w:p>
    <w:p>
      <w:pPr>
        <w:spacing w:after="0" w:line="11" w:lineRule="exact"/>
        <w:rPr>
          <w:rFonts w:ascii="Arial" w:cs="Arial" w:eastAsia="Arial" w:hAnsi="Arial"/>
          <w:sz w:val="16"/>
          <w:szCs w:val="16"/>
          <w:color w:val="005CB9"/>
        </w:rPr>
      </w:pPr>
    </w:p>
    <w:p>
      <w:pPr>
        <w:ind w:left="128" w:hanging="128"/>
        <w:spacing w:after="0"/>
        <w:tabs>
          <w:tab w:leader="none" w:pos="128" w:val="left"/>
        </w:tabs>
        <w:numPr>
          <w:ilvl w:val="0"/>
          <w:numId w:val="31"/>
        </w:numPr>
        <w:rPr>
          <w:rFonts w:ascii="Arial" w:cs="Arial" w:eastAsia="Arial" w:hAnsi="Arial"/>
          <w:sz w:val="16"/>
          <w:szCs w:val="16"/>
          <w:color w:val="005CB9"/>
        </w:rPr>
      </w:pPr>
      <w:r>
        <w:rPr>
          <w:rFonts w:ascii="Arial" w:cs="Arial" w:eastAsia="Arial" w:hAnsi="Arial"/>
          <w:sz w:val="16"/>
          <w:szCs w:val="16"/>
          <w:color w:val="auto"/>
        </w:rPr>
        <w:t>Finance and accounting expertise</w:t>
      </w:r>
    </w:p>
    <w:p>
      <w:pPr>
        <w:spacing w:after="0" w:line="59" w:lineRule="exact"/>
        <w:rPr>
          <w:rFonts w:ascii="Arial" w:cs="Arial" w:eastAsia="Arial" w:hAnsi="Arial"/>
          <w:sz w:val="16"/>
          <w:szCs w:val="16"/>
          <w:color w:val="005CB9"/>
        </w:rPr>
      </w:pPr>
    </w:p>
    <w:p>
      <w:pPr>
        <w:ind w:left="128" w:hanging="128"/>
        <w:spacing w:after="0"/>
        <w:tabs>
          <w:tab w:leader="none" w:pos="128" w:val="left"/>
        </w:tabs>
        <w:numPr>
          <w:ilvl w:val="0"/>
          <w:numId w:val="31"/>
        </w:numPr>
        <w:rPr>
          <w:rFonts w:ascii="Arial" w:cs="Arial" w:eastAsia="Arial" w:hAnsi="Arial"/>
          <w:sz w:val="16"/>
          <w:szCs w:val="16"/>
          <w:color w:val="005CB9"/>
        </w:rPr>
      </w:pPr>
      <w:r>
        <w:rPr>
          <w:rFonts w:ascii="Arial" w:cs="Arial" w:eastAsia="Arial" w:hAnsi="Arial"/>
          <w:sz w:val="16"/>
          <w:szCs w:val="16"/>
          <w:color w:val="auto"/>
        </w:rPr>
        <w:t>Mergers and acquisitions</w:t>
      </w:r>
    </w:p>
    <w:p>
      <w:pPr>
        <w:spacing w:after="0" w:line="59" w:lineRule="exact"/>
        <w:rPr>
          <w:rFonts w:ascii="Arial" w:cs="Arial" w:eastAsia="Arial" w:hAnsi="Arial"/>
          <w:sz w:val="16"/>
          <w:szCs w:val="16"/>
          <w:color w:val="005CB9"/>
        </w:rPr>
      </w:pPr>
    </w:p>
    <w:p>
      <w:pPr>
        <w:ind w:left="128" w:hanging="128"/>
        <w:spacing w:after="0"/>
        <w:tabs>
          <w:tab w:leader="none" w:pos="128" w:val="left"/>
        </w:tabs>
        <w:numPr>
          <w:ilvl w:val="0"/>
          <w:numId w:val="31"/>
        </w:numPr>
        <w:rPr>
          <w:rFonts w:ascii="Arial" w:cs="Arial" w:eastAsia="Arial" w:hAnsi="Arial"/>
          <w:sz w:val="16"/>
          <w:szCs w:val="16"/>
          <w:color w:val="005CB9"/>
        </w:rPr>
      </w:pPr>
      <w:r>
        <w:rPr>
          <w:rFonts w:ascii="Arial" w:cs="Arial" w:eastAsia="Arial" w:hAnsi="Arial"/>
          <w:sz w:val="16"/>
          <w:szCs w:val="16"/>
          <w:color w:val="auto"/>
        </w:rPr>
        <w:t>In-depth knowledge of Company</w:t>
      </w:r>
    </w:p>
    <w:p>
      <w:pPr>
        <w:spacing w:after="0" w:line="59" w:lineRule="exact"/>
        <w:rPr>
          <w:rFonts w:ascii="Arial" w:cs="Arial" w:eastAsia="Arial" w:hAnsi="Arial"/>
          <w:sz w:val="16"/>
          <w:szCs w:val="16"/>
          <w:color w:val="005CB9"/>
        </w:rPr>
      </w:pPr>
    </w:p>
    <w:p>
      <w:pPr>
        <w:ind w:left="168" w:right="340" w:hanging="168"/>
        <w:spacing w:after="0" w:line="274" w:lineRule="auto"/>
        <w:tabs>
          <w:tab w:leader="none" w:pos="128" w:val="left"/>
        </w:tabs>
        <w:numPr>
          <w:ilvl w:val="0"/>
          <w:numId w:val="31"/>
        </w:numPr>
        <w:rPr>
          <w:rFonts w:ascii="Arial" w:cs="Arial" w:eastAsia="Arial" w:hAnsi="Arial"/>
          <w:sz w:val="16"/>
          <w:szCs w:val="16"/>
          <w:color w:val="005CB9"/>
        </w:rPr>
      </w:pPr>
      <w:r>
        <w:rPr>
          <w:rFonts w:ascii="Arial" w:cs="Arial" w:eastAsia="Arial" w:hAnsi="Arial"/>
          <w:sz w:val="16"/>
          <w:szCs w:val="16"/>
          <w:color w:val="auto"/>
        </w:rPr>
        <w:t>Broad experience in technology, software and healthcare sectors</w:t>
      </w:r>
    </w:p>
    <w:p>
      <w:pPr>
        <w:spacing w:after="0" w:line="11" w:lineRule="exact"/>
        <w:rPr>
          <w:rFonts w:ascii="Arial" w:cs="Arial" w:eastAsia="Arial" w:hAnsi="Arial"/>
          <w:sz w:val="16"/>
          <w:szCs w:val="16"/>
          <w:color w:val="005CB9"/>
        </w:rPr>
      </w:pPr>
    </w:p>
    <w:p>
      <w:pPr>
        <w:ind w:left="128" w:hanging="128"/>
        <w:spacing w:after="0"/>
        <w:tabs>
          <w:tab w:leader="none" w:pos="128" w:val="left"/>
        </w:tabs>
        <w:numPr>
          <w:ilvl w:val="0"/>
          <w:numId w:val="31"/>
        </w:numPr>
        <w:rPr>
          <w:rFonts w:ascii="Arial" w:cs="Arial" w:eastAsia="Arial" w:hAnsi="Arial"/>
          <w:sz w:val="16"/>
          <w:szCs w:val="16"/>
          <w:color w:val="005CB9"/>
        </w:rPr>
      </w:pPr>
      <w:r>
        <w:rPr>
          <w:rFonts w:ascii="Arial" w:cs="Arial" w:eastAsia="Arial" w:hAnsi="Arial"/>
          <w:sz w:val="16"/>
          <w:szCs w:val="16"/>
          <w:color w:val="auto"/>
        </w:rPr>
        <w:t>Cybersecurity experience</w:t>
      </w:r>
    </w:p>
    <w:p>
      <w:pPr>
        <w:spacing w:after="0" w:line="59" w:lineRule="exact"/>
        <w:rPr>
          <w:rFonts w:ascii="Arial" w:cs="Arial" w:eastAsia="Arial" w:hAnsi="Arial"/>
          <w:sz w:val="16"/>
          <w:szCs w:val="16"/>
          <w:color w:val="005CB9"/>
        </w:rPr>
      </w:pPr>
    </w:p>
    <w:p>
      <w:pPr>
        <w:ind w:left="168" w:right="420" w:hanging="168"/>
        <w:spacing w:after="0" w:line="278" w:lineRule="auto"/>
        <w:tabs>
          <w:tab w:leader="none" w:pos="128" w:val="left"/>
        </w:tabs>
        <w:numPr>
          <w:ilvl w:val="0"/>
          <w:numId w:val="31"/>
        </w:numPr>
        <w:rPr>
          <w:rFonts w:ascii="Arial" w:cs="Arial" w:eastAsia="Arial" w:hAnsi="Arial"/>
          <w:sz w:val="16"/>
          <w:szCs w:val="16"/>
          <w:color w:val="005CB9"/>
        </w:rPr>
      </w:pPr>
      <w:r>
        <w:rPr>
          <w:rFonts w:ascii="Arial" w:cs="Arial" w:eastAsia="Arial" w:hAnsi="Arial"/>
          <w:sz w:val="16"/>
          <w:szCs w:val="16"/>
          <w:color w:val="auto"/>
        </w:rPr>
        <w:t>Understanding of global challenges, risk and opportunities</w:t>
      </w:r>
    </w:p>
    <w:p>
      <w:pPr>
        <w:spacing w:after="0" w:line="125" w:lineRule="exact"/>
        <w:rPr>
          <w:sz w:val="20"/>
          <w:szCs w:val="20"/>
          <w:color w:val="auto"/>
        </w:rPr>
      </w:pPr>
    </w:p>
    <w:p>
      <w:pPr>
        <w:sectPr>
          <w:pgSz w:w="11900" w:h="16838" w:orient="portrait"/>
          <w:cols w:equalWidth="0" w:num="2">
            <w:col w:w="6940" w:space="452"/>
            <w:col w:w="3748"/>
          </w:cols>
          <w:pgMar w:left="320" w:top="459" w:right="439" w:bottom="1440" w:gutter="0" w:footer="0" w:header="0"/>
          <w:type w:val="continuous"/>
        </w:sectPr>
      </w:pPr>
    </w:p>
    <w:tbl>
      <w:tblPr>
        <w:tblLayout w:type="fixed"/>
        <w:tblInd w:w="7000" w:type="dxa"/>
        <w:tblCellMar>
          <w:top w:w="0" w:type="dxa"/>
          <w:left w:w="0" w:type="dxa"/>
          <w:bottom w:w="0" w:type="dxa"/>
          <w:right w:w="0" w:type="dxa"/>
        </w:tblCellMar>
      </w:tblPr>
      <w:tr>
        <w:trPr>
          <w:trHeight w:val="29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005CB9"/>
              </w:rPr>
              <w:t>7</w:t>
            </w:r>
          </w:p>
        </w:tc>
      </w:tr>
      <w:tr>
        <w:trPr>
          <w:trHeight w:val="101"/>
        </w:trPr>
        <w:tc>
          <w:tcPr>
            <w:tcW w:w="3900" w:type="dxa"/>
            <w:vAlign w:val="bottom"/>
            <w:tcBorders>
              <w:right w:val="single" w:sz="8" w:color="005CB9"/>
            </w:tcBorders>
          </w:tcPr>
          <w:p>
            <w:pPr>
              <w:spacing w:after="0"/>
              <w:rPr>
                <w:sz w:val="8"/>
                <w:szCs w:val="8"/>
                <w:color w:val="auto"/>
              </w:rPr>
            </w:pPr>
          </w:p>
        </w:tc>
        <w:tc>
          <w:tcPr>
            <w:tcW w:w="2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CORPORATE GOVERNANCE</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Corporate Governance Guidelines</w:t>
      </w:r>
    </w:p>
    <w:p>
      <w:pPr>
        <w:spacing w:after="0" w:line="120"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Our Board is committed to maintaining high standards of ethical business conduct and sound corporate governance practices and policies. Our Corporate Governance Guidelines reflect our Board of Directors’ commitment to monitoring the effectiveness of the Board and its committees in exercising their responsibilities.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Business Code of Ethics and Standard of Conduct</w:t>
      </w:r>
    </w:p>
    <w:p>
      <w:pPr>
        <w:spacing w:after="0" w:line="12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Our Business Code of Ethics and Standards of Conduct (the “Code of Ethics”) addresses the professional, honest and transparent conduct of our directors, officers and employees. The Code of Ethics also addresses conflicts of interest, disclosure processes, compliance with laws, rules and regulations (including insider trading laws), corporate opportunities, confidentiality, fair dealing, and protection and proper use of Company assets. The Code of Ethics encourages the reporting of any illegal or unethical behavior. Any amendments to, or waivers of, the Code of Ethics will be disclosed on our website promptly following the date of such amendment or waiver as required by law. Copies of the Code of Ethics may be obtained in print without charge upon written request by any stockholder to the Company’s office at 6901 Professional Parkway, Suite 200, Sarasota, Florida 34240.</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Director Independence</w:t>
      </w:r>
    </w:p>
    <w:p>
      <w:pPr>
        <w:spacing w:after="0" w:line="120"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Our Corporate Governance Guidelines require that a majority of our directors qualify as “independent,” as defined by the listing standards of the New York Stock Exchange (the “NYSE”). As required by these director independence standards, our Board reviewed and analyzed the independence of each director earlier this year to determine whether any particular relationship or transaction involving any director, or any of that director’s affiliates or immediate family members, was inconsistent with a determination that the director is independent for purposes of serving on our Board of Directors and its committees. During this review, our Board examined transactions and relationships between directors or their affiliates and immediate family members and Roper and/or Roper’s management. As a result of this review our Board affirmatively determined that all directors are independent, except for Mr. Hunn, and that each member of the Audit, Compensation, and Nominating and Governance Committees is independent under applicable NYSE and Securities and Exchange</w:t>
      </w:r>
    </w:p>
    <w:p>
      <w:pPr>
        <w:spacing w:after="0" w:line="200" w:lineRule="exact"/>
        <w:rPr>
          <w:sz w:val="20"/>
          <w:szCs w:val="20"/>
          <w:color w:val="auto"/>
        </w:rPr>
      </w:pPr>
    </w:p>
    <w:p>
      <w:pPr>
        <w:spacing w:after="0" w:line="347"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360" w:type="dxa"/>
            <w:vAlign w:val="bottom"/>
            <w:tcBorders>
              <w:right w:val="single" w:sz="8" w:color="005CB9"/>
            </w:tcBorders>
          </w:tcPr>
          <w:p>
            <w:pPr>
              <w:jc w:val="right"/>
              <w:ind w:right="204"/>
              <w:spacing w:after="0"/>
              <w:rPr>
                <w:sz w:val="20"/>
                <w:szCs w:val="20"/>
                <w:color w:val="auto"/>
              </w:rPr>
            </w:pPr>
            <w:r>
              <w:rPr>
                <w:rFonts w:ascii="Arial" w:cs="Arial" w:eastAsia="Arial" w:hAnsi="Arial"/>
                <w:sz w:val="15"/>
                <w:szCs w:val="15"/>
                <w:b w:val="1"/>
                <w:bCs w:val="1"/>
                <w:color w:val="005CB9"/>
                <w:w w:val="71"/>
              </w:rPr>
              <w:t>8</w:t>
            </w:r>
          </w:p>
        </w:tc>
        <w:tc>
          <w:tcPr>
            <w:tcW w:w="4680" w:type="dxa"/>
            <w:vAlign w:val="bottom"/>
          </w:tcPr>
          <w:p>
            <w:pPr>
              <w:ind w:left="104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1"/>
        </w:trPr>
        <w:tc>
          <w:tcPr>
            <w:tcW w:w="360" w:type="dxa"/>
            <w:vAlign w:val="bottom"/>
            <w:tcBorders>
              <w:right w:val="single" w:sz="8" w:color="005CB9"/>
            </w:tcBorders>
          </w:tcPr>
          <w:p>
            <w:pPr>
              <w:spacing w:after="0"/>
              <w:rPr>
                <w:sz w:val="8"/>
                <w:szCs w:val="8"/>
                <w:color w:val="auto"/>
              </w:rPr>
            </w:pPr>
          </w:p>
        </w:tc>
        <w:tc>
          <w:tcPr>
            <w:tcW w:w="46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-205105</wp:posOffset>
            </wp:positionV>
            <wp:extent cx="42862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Commission (“SEC”) rules for purposes of serving on such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-1139825</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005CB9"/>
        </w:rPr>
        <w:t>Nominating Process</w:t>
      </w:r>
    </w:p>
    <w:p>
      <w:pPr>
        <w:spacing w:after="0" w:line="120"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The Nominating and Governance Committee, acting under its charter, determines the desired skills, abilities, judgment, diversity (including gender, race and ethnicity as well as background and experience) and other criteria deemed appropriate for service as a director and is responsible for recommending new director candidates and renomination of incumbent directors based on those criteria, which includes but are not limited to:</w:t>
      </w:r>
    </w:p>
    <w:p>
      <w:pPr>
        <w:spacing w:after="0" w:line="110" w:lineRule="exact"/>
        <w:rPr>
          <w:sz w:val="20"/>
          <w:szCs w:val="20"/>
          <w:color w:val="auto"/>
        </w:rPr>
      </w:pPr>
    </w:p>
    <w:p>
      <w:pPr>
        <w:ind w:left="380" w:hanging="224"/>
        <w:spacing w:after="0"/>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high personal and professional ethics;</w:t>
      </w:r>
    </w:p>
    <w:p>
      <w:pPr>
        <w:spacing w:after="0" w:line="115" w:lineRule="exact"/>
        <w:rPr>
          <w:rFonts w:ascii="Arial" w:cs="Arial" w:eastAsia="Arial" w:hAnsi="Arial"/>
          <w:sz w:val="17"/>
          <w:szCs w:val="17"/>
          <w:color w:val="auto"/>
        </w:rPr>
      </w:pPr>
    </w:p>
    <w:p>
      <w:pPr>
        <w:ind w:left="380" w:hanging="224"/>
        <w:spacing w:after="0"/>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integrity and values;</w:t>
      </w:r>
    </w:p>
    <w:p>
      <w:pPr>
        <w:spacing w:after="0" w:line="115" w:lineRule="exact"/>
        <w:rPr>
          <w:rFonts w:ascii="Arial" w:cs="Arial" w:eastAsia="Arial" w:hAnsi="Arial"/>
          <w:sz w:val="17"/>
          <w:szCs w:val="17"/>
          <w:color w:val="auto"/>
        </w:rPr>
      </w:pPr>
    </w:p>
    <w:p>
      <w:pPr>
        <w:ind w:left="380" w:hanging="224"/>
        <w:spacing w:after="0"/>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knowledge of our business environment;</w:t>
      </w:r>
    </w:p>
    <w:p>
      <w:pPr>
        <w:spacing w:after="0" w:line="115" w:lineRule="exact"/>
        <w:rPr>
          <w:rFonts w:ascii="Arial" w:cs="Arial" w:eastAsia="Arial" w:hAnsi="Arial"/>
          <w:sz w:val="17"/>
          <w:szCs w:val="17"/>
          <w:color w:val="auto"/>
        </w:rPr>
      </w:pPr>
    </w:p>
    <w:p>
      <w:pPr>
        <w:ind w:left="380" w:hanging="224"/>
        <w:spacing w:after="0"/>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sound judgment and analytical ability;</w:t>
      </w:r>
    </w:p>
    <w:p>
      <w:pPr>
        <w:spacing w:after="0" w:line="115" w:lineRule="exact"/>
        <w:rPr>
          <w:rFonts w:ascii="Arial" w:cs="Arial" w:eastAsia="Arial" w:hAnsi="Arial"/>
          <w:sz w:val="17"/>
          <w:szCs w:val="17"/>
          <w:color w:val="auto"/>
        </w:rPr>
      </w:pPr>
    </w:p>
    <w:p>
      <w:pPr>
        <w:ind w:left="380" w:hanging="224"/>
        <w:spacing w:after="0"/>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skills and experience in the context of the needs of our Board;</w:t>
      </w:r>
    </w:p>
    <w:p>
      <w:pPr>
        <w:spacing w:after="0" w:line="115" w:lineRule="exact"/>
        <w:rPr>
          <w:rFonts w:ascii="Arial" w:cs="Arial" w:eastAsia="Arial" w:hAnsi="Arial"/>
          <w:sz w:val="17"/>
          <w:szCs w:val="17"/>
          <w:color w:val="auto"/>
        </w:rPr>
      </w:pPr>
    </w:p>
    <w:p>
      <w:pPr>
        <w:ind w:left="380" w:hanging="224"/>
        <w:spacing w:after="0"/>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breadth of business experience and diversity of perspective; and</w:t>
      </w:r>
    </w:p>
    <w:p>
      <w:pPr>
        <w:spacing w:after="0" w:line="115" w:lineRule="exact"/>
        <w:rPr>
          <w:rFonts w:ascii="Arial" w:cs="Arial" w:eastAsia="Arial" w:hAnsi="Arial"/>
          <w:sz w:val="17"/>
          <w:szCs w:val="17"/>
          <w:color w:val="auto"/>
        </w:rPr>
      </w:pPr>
    </w:p>
    <w:p>
      <w:pPr>
        <w:ind w:left="380" w:right="600" w:hanging="224"/>
        <w:spacing w:after="0" w:line="243" w:lineRule="auto"/>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whether the candidate meets the applicable independence requirements under the NYSE and SEC rules.</w:t>
      </w:r>
    </w:p>
    <w:p>
      <w:pPr>
        <w:spacing w:after="0" w:line="19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Our Board’s process for identifying and evaluating potential director nominees includes soliciting recommendations from our directors and engaging a third party to assist in identifying potential director nominees when a Board position becomes available. Our Board ensures that diverse candidates are included in the pool of candidates from which it considers possible new director candidates and will continue to ensure ethnically, racially and/or gender diverse candidates are identified and interviewed during the search process.</w:t>
      </w:r>
    </w:p>
    <w:p>
      <w:pPr>
        <w:spacing w:after="0" w:line="20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Neither the Board of Directors nor the Nominating and Governance Committee has a specific policy regarding consideration of shareholder director nominees. Shareholder nominees submitted pursuant to the requirements set forth in the By-laws will be considered under the same criteria that are applied to other candidates. A shareholder of record who nominates a director candidate must provide a notice along with the additional information and materials required by our By-laws. See “Information Regarding the 2023 Annual Meeting of Shareholders” for additional information regarding nominating director candidates.</w:t>
      </w:r>
    </w:p>
    <w:p>
      <w:pPr>
        <w:sectPr>
          <w:pgSz w:w="11900" w:h="16838" w:orient="portrait"/>
          <w:cols w:equalWidth="0" w:num="2">
            <w:col w:w="5400" w:space="340"/>
            <w:col w:w="538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CORPORATE GOVERNANCE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 xml:space="preserve">BOARD SNAPSHOT </w:t>
      </w:r>
      <w:r>
        <w:rPr>
          <w:rFonts w:ascii="Arial" w:cs="Arial" w:eastAsia="Arial" w:hAnsi="Arial"/>
          <w:sz w:val="14"/>
          <w:szCs w:val="14"/>
          <w:color w:val="005CB9"/>
        </w:rPr>
        <w:t>(does not include John F. Fort, who is retiring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005CB9"/>
        </w:rPr>
        <w:t>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54610</wp:posOffset>
            </wp:positionV>
            <wp:extent cx="69951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140335</wp:posOffset>
            </wp:positionV>
            <wp:extent cx="93980" cy="548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3980" cy="54864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328930</wp:posOffset>
            </wp:positionV>
            <wp:extent cx="94615" cy="3600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4615" cy="36004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346075</wp:posOffset>
            </wp:positionV>
            <wp:extent cx="93980" cy="3429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980" cy="34290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457200</wp:posOffset>
            </wp:positionV>
            <wp:extent cx="94615" cy="2311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4615" cy="23114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311785</wp:posOffset>
            </wp:positionV>
            <wp:extent cx="93980" cy="3771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980" cy="3771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431800</wp:posOffset>
            </wp:positionV>
            <wp:extent cx="94615" cy="2571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4615" cy="25717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302895</wp:posOffset>
            </wp:positionV>
            <wp:extent cx="94615" cy="3860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4615" cy="386080"/>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311785</wp:posOffset>
            </wp:positionV>
            <wp:extent cx="93980" cy="3771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37719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397510</wp:posOffset>
            </wp:positionV>
            <wp:extent cx="93980" cy="291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398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20" w:type="dxa"/>
        <w:tblCellMar>
          <w:top w:w="0" w:type="dxa"/>
          <w:left w:w="0" w:type="dxa"/>
          <w:bottom w:w="0" w:type="dxa"/>
          <w:right w:w="0" w:type="dxa"/>
        </w:tblCellMar>
      </w:tblPr>
      <w:tr>
        <w:trPr>
          <w:trHeight w:val="297"/>
        </w:trPr>
        <w:tc>
          <w:tcPr>
            <w:tcW w:w="4120" w:type="dxa"/>
            <w:vAlign w:val="bottom"/>
            <w:tcBorders>
              <w:top w:val="single" w:sz="8" w:color="005CB9"/>
              <w:bottom w:val="single" w:sz="8" w:color="005CB9"/>
            </w:tcBorders>
          </w:tcPr>
          <w:p>
            <w:pPr>
              <w:ind w:left="80"/>
              <w:spacing w:after="0"/>
              <w:rPr>
                <w:sz w:val="20"/>
                <w:szCs w:val="20"/>
                <w:color w:val="auto"/>
              </w:rPr>
            </w:pPr>
            <w:r>
              <w:rPr>
                <w:rFonts w:ascii="Arial" w:cs="Arial" w:eastAsia="Arial" w:hAnsi="Arial"/>
                <w:sz w:val="13"/>
                <w:szCs w:val="13"/>
                <w:b w:val="1"/>
                <w:bCs w:val="1"/>
                <w:color w:val="005CB9"/>
              </w:rPr>
              <w:t>Executive Leadership Experience</w:t>
            </w:r>
          </w:p>
        </w:tc>
        <w:tc>
          <w:tcPr>
            <w:tcW w:w="3360" w:type="dxa"/>
            <w:vAlign w:val="bottom"/>
            <w:tcBorders>
              <w:top w:val="single" w:sz="8" w:color="005CB9"/>
              <w:bottom w:val="single" w:sz="8" w:color="005CB9"/>
            </w:tcBorders>
          </w:tcPr>
          <w:p>
            <w:pPr>
              <w:spacing w:after="0"/>
              <w:rPr>
                <w:sz w:val="24"/>
                <w:szCs w:val="24"/>
                <w:color w:val="auto"/>
              </w:rPr>
            </w:pPr>
          </w:p>
        </w:tc>
        <w:tc>
          <w:tcPr>
            <w:tcW w:w="400" w:type="dxa"/>
            <w:vAlign w:val="bottom"/>
            <w:tcBorders>
              <w:top w:val="single" w:sz="8" w:color="005CB9"/>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top w:val="single" w:sz="8" w:color="005CB9"/>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top w:val="single" w:sz="8" w:color="005CB9"/>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top w:val="single" w:sz="8" w:color="005CB9"/>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top w:val="single" w:sz="8" w:color="005CB9"/>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top w:val="single" w:sz="8" w:color="005CB9"/>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top w:val="single" w:sz="8" w:color="005CB9"/>
              <w:bottom w:val="single" w:sz="8" w:color="005CB9"/>
            </w:tcBorders>
            <w:shd w:val="clear" w:color="auto" w:fill="EAEAEA"/>
          </w:tcPr>
          <w:p>
            <w:pPr>
              <w:spacing w:after="0"/>
              <w:rPr>
                <w:sz w:val="24"/>
                <w:szCs w:val="24"/>
                <w:color w:val="auto"/>
              </w:rPr>
            </w:pPr>
          </w:p>
        </w:tc>
        <w:tc>
          <w:tcPr>
            <w:tcW w:w="400" w:type="dxa"/>
            <w:vAlign w:val="bottom"/>
            <w:tcBorders>
              <w:top w:val="single" w:sz="8" w:color="005CB9"/>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top w:val="single" w:sz="8" w:color="005CB9"/>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7"/>
        </w:trPr>
        <w:tc>
          <w:tcPr>
            <w:tcW w:w="4120" w:type="dxa"/>
            <w:vAlign w:val="bottom"/>
            <w:tcBorders>
              <w:bottom w:val="single" w:sz="8" w:color="005CB9"/>
            </w:tcBorders>
          </w:tcPr>
          <w:p>
            <w:pPr>
              <w:ind w:left="80"/>
              <w:spacing w:after="0"/>
              <w:rPr>
                <w:sz w:val="20"/>
                <w:szCs w:val="20"/>
                <w:color w:val="auto"/>
              </w:rPr>
            </w:pPr>
            <w:r>
              <w:rPr>
                <w:rFonts w:ascii="Arial" w:cs="Arial" w:eastAsia="Arial" w:hAnsi="Arial"/>
                <w:sz w:val="13"/>
                <w:szCs w:val="13"/>
                <w:b w:val="1"/>
                <w:bCs w:val="1"/>
                <w:color w:val="005CB9"/>
              </w:rPr>
              <w:t>Financial and Accounting Expertise</w:t>
            </w:r>
          </w:p>
        </w:tc>
        <w:tc>
          <w:tcPr>
            <w:tcW w:w="3360" w:type="dxa"/>
            <w:vAlign w:val="bottom"/>
            <w:tcBorders>
              <w:bottom w:val="single" w:sz="8" w:color="005CB9"/>
            </w:tcBorders>
          </w:tcPr>
          <w:p>
            <w:pPr>
              <w:spacing w:after="0"/>
              <w:rPr>
                <w:sz w:val="24"/>
                <w:szCs w:val="24"/>
                <w:color w:val="auto"/>
              </w:rPr>
            </w:pPr>
          </w:p>
        </w:tc>
        <w:tc>
          <w:tcPr>
            <w:tcW w:w="400" w:type="dxa"/>
            <w:vAlign w:val="bottom"/>
            <w:tcBorders>
              <w:bottom w:val="single" w:sz="8" w:color="005CB9"/>
            </w:tcBorders>
            <w:shd w:val="clear" w:color="auto" w:fill="EAEAEA"/>
          </w:tcPr>
          <w:p>
            <w:pPr>
              <w:spacing w:after="0"/>
              <w:rPr>
                <w:sz w:val="24"/>
                <w:szCs w:val="24"/>
                <w:color w:val="auto"/>
              </w:rPr>
            </w:pP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bottom w:val="single" w:sz="8" w:color="005CB9"/>
            </w:tcBorders>
            <w:shd w:val="clear" w:color="auto" w:fill="EAEAEA"/>
          </w:tcPr>
          <w:p>
            <w:pPr>
              <w:spacing w:after="0"/>
              <w:rPr>
                <w:sz w:val="24"/>
                <w:szCs w:val="24"/>
                <w:color w:val="auto"/>
              </w:rPr>
            </w:pP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7"/>
        </w:trPr>
        <w:tc>
          <w:tcPr>
            <w:tcW w:w="4120" w:type="dxa"/>
            <w:vAlign w:val="bottom"/>
            <w:tcBorders>
              <w:bottom w:val="single" w:sz="8" w:color="005CB9"/>
            </w:tcBorders>
          </w:tcPr>
          <w:p>
            <w:pPr>
              <w:ind w:left="80"/>
              <w:spacing w:after="0"/>
              <w:rPr>
                <w:sz w:val="20"/>
                <w:szCs w:val="20"/>
                <w:color w:val="auto"/>
              </w:rPr>
            </w:pPr>
            <w:r>
              <w:rPr>
                <w:rFonts w:ascii="Arial" w:cs="Arial" w:eastAsia="Arial" w:hAnsi="Arial"/>
                <w:sz w:val="13"/>
                <w:szCs w:val="13"/>
                <w:b w:val="1"/>
                <w:bCs w:val="1"/>
                <w:color w:val="005CB9"/>
              </w:rPr>
              <w:t>Corporate Governance Experience</w:t>
            </w:r>
          </w:p>
        </w:tc>
        <w:tc>
          <w:tcPr>
            <w:tcW w:w="3360" w:type="dxa"/>
            <w:vAlign w:val="bottom"/>
            <w:tcBorders>
              <w:bottom w:val="single" w:sz="8" w:color="005CB9"/>
            </w:tcBorders>
          </w:tcPr>
          <w:p>
            <w:pPr>
              <w:spacing w:after="0"/>
              <w:rPr>
                <w:sz w:val="24"/>
                <w:szCs w:val="24"/>
                <w:color w:val="auto"/>
              </w:rPr>
            </w:pPr>
          </w:p>
        </w:tc>
        <w:tc>
          <w:tcPr>
            <w:tcW w:w="40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tcPr>
          <w:p>
            <w:pPr>
              <w:spacing w:after="0"/>
              <w:rPr>
                <w:sz w:val="24"/>
                <w:szCs w:val="24"/>
                <w:color w:val="auto"/>
              </w:rPr>
            </w:pPr>
          </w:p>
        </w:tc>
        <w:tc>
          <w:tcPr>
            <w:tcW w:w="38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7"/>
        </w:trPr>
        <w:tc>
          <w:tcPr>
            <w:tcW w:w="4120" w:type="dxa"/>
            <w:vAlign w:val="bottom"/>
            <w:tcBorders>
              <w:bottom w:val="single" w:sz="8" w:color="005CB9"/>
            </w:tcBorders>
          </w:tcPr>
          <w:p>
            <w:pPr>
              <w:ind w:left="80"/>
              <w:spacing w:after="0"/>
              <w:rPr>
                <w:sz w:val="20"/>
                <w:szCs w:val="20"/>
                <w:color w:val="auto"/>
              </w:rPr>
            </w:pPr>
            <w:r>
              <w:rPr>
                <w:rFonts w:ascii="Arial" w:cs="Arial" w:eastAsia="Arial" w:hAnsi="Arial"/>
                <w:sz w:val="13"/>
                <w:szCs w:val="13"/>
                <w:b w:val="1"/>
                <w:bCs w:val="1"/>
                <w:color w:val="005CB9"/>
              </w:rPr>
              <w:t>Decentralized Operating Model Experience</w:t>
            </w:r>
          </w:p>
        </w:tc>
        <w:tc>
          <w:tcPr>
            <w:tcW w:w="3360" w:type="dxa"/>
            <w:vAlign w:val="bottom"/>
            <w:tcBorders>
              <w:bottom w:val="single" w:sz="8" w:color="005CB9"/>
            </w:tcBorders>
          </w:tcPr>
          <w:p>
            <w:pPr>
              <w:spacing w:after="0"/>
              <w:rPr>
                <w:sz w:val="24"/>
                <w:szCs w:val="24"/>
                <w:color w:val="auto"/>
              </w:rPr>
            </w:pPr>
          </w:p>
        </w:tc>
        <w:tc>
          <w:tcPr>
            <w:tcW w:w="400" w:type="dxa"/>
            <w:vAlign w:val="bottom"/>
            <w:tcBorders>
              <w:bottom w:val="single" w:sz="8" w:color="005CB9"/>
            </w:tcBorders>
            <w:shd w:val="clear" w:color="auto" w:fill="EAEAEA"/>
          </w:tcPr>
          <w:p>
            <w:pPr>
              <w:spacing w:after="0"/>
              <w:rPr>
                <w:sz w:val="24"/>
                <w:szCs w:val="24"/>
                <w:color w:val="auto"/>
              </w:rPr>
            </w:pPr>
          </w:p>
        </w:tc>
        <w:tc>
          <w:tcPr>
            <w:tcW w:w="400" w:type="dxa"/>
            <w:vAlign w:val="bottom"/>
            <w:tcBorders>
              <w:bottom w:val="single" w:sz="8" w:color="005CB9"/>
            </w:tcBorders>
          </w:tcPr>
          <w:p>
            <w:pPr>
              <w:spacing w:after="0"/>
              <w:rPr>
                <w:sz w:val="24"/>
                <w:szCs w:val="24"/>
                <w:color w:val="auto"/>
              </w:rPr>
            </w:pPr>
          </w:p>
        </w:tc>
        <w:tc>
          <w:tcPr>
            <w:tcW w:w="380" w:type="dxa"/>
            <w:vAlign w:val="bottom"/>
            <w:tcBorders>
              <w:bottom w:val="single" w:sz="8" w:color="005CB9"/>
            </w:tcBorders>
            <w:shd w:val="clear" w:color="auto" w:fill="EAEAEA"/>
          </w:tcPr>
          <w:p>
            <w:pPr>
              <w:spacing w:after="0"/>
              <w:rPr>
                <w:sz w:val="24"/>
                <w:szCs w:val="24"/>
                <w:color w:val="auto"/>
              </w:rPr>
            </w:pP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bottom w:val="single" w:sz="8" w:color="005CB9"/>
            </w:tcBorders>
            <w:shd w:val="clear" w:color="auto" w:fill="EAEAEA"/>
          </w:tcPr>
          <w:p>
            <w:pPr>
              <w:spacing w:after="0"/>
              <w:rPr>
                <w:sz w:val="24"/>
                <w:szCs w:val="24"/>
                <w:color w:val="auto"/>
              </w:rPr>
            </w:pPr>
          </w:p>
        </w:tc>
        <w:tc>
          <w:tcPr>
            <w:tcW w:w="400" w:type="dxa"/>
            <w:vAlign w:val="bottom"/>
            <w:tcBorders>
              <w:bottom w:val="single" w:sz="8" w:color="005CB9"/>
            </w:tcBorders>
          </w:tcPr>
          <w:p>
            <w:pPr>
              <w:spacing w:after="0"/>
              <w:rPr>
                <w:sz w:val="24"/>
                <w:szCs w:val="24"/>
                <w:color w:val="auto"/>
              </w:rPr>
            </w:pPr>
          </w:p>
        </w:tc>
        <w:tc>
          <w:tcPr>
            <w:tcW w:w="40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7"/>
        </w:trPr>
        <w:tc>
          <w:tcPr>
            <w:tcW w:w="4120" w:type="dxa"/>
            <w:vAlign w:val="bottom"/>
            <w:tcBorders>
              <w:bottom w:val="single" w:sz="8" w:color="005CB9"/>
            </w:tcBorders>
          </w:tcPr>
          <w:p>
            <w:pPr>
              <w:ind w:left="80"/>
              <w:spacing w:after="0"/>
              <w:rPr>
                <w:sz w:val="20"/>
                <w:szCs w:val="20"/>
                <w:color w:val="auto"/>
              </w:rPr>
            </w:pPr>
            <w:r>
              <w:rPr>
                <w:rFonts w:ascii="Arial" w:cs="Arial" w:eastAsia="Arial" w:hAnsi="Arial"/>
                <w:sz w:val="13"/>
                <w:szCs w:val="13"/>
                <w:b w:val="1"/>
                <w:bCs w:val="1"/>
                <w:color w:val="005CB9"/>
              </w:rPr>
              <w:t>Software/Technology Industry Experience</w:t>
            </w:r>
          </w:p>
        </w:tc>
        <w:tc>
          <w:tcPr>
            <w:tcW w:w="3360" w:type="dxa"/>
            <w:vAlign w:val="bottom"/>
            <w:tcBorders>
              <w:bottom w:val="single" w:sz="8" w:color="005CB9"/>
            </w:tcBorders>
          </w:tcPr>
          <w:p>
            <w:pPr>
              <w:spacing w:after="0"/>
              <w:rPr>
                <w:sz w:val="24"/>
                <w:szCs w:val="24"/>
                <w:color w:val="auto"/>
              </w:rPr>
            </w:pPr>
          </w:p>
        </w:tc>
        <w:tc>
          <w:tcPr>
            <w:tcW w:w="40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tcPr>
          <w:p>
            <w:pPr>
              <w:spacing w:after="0"/>
              <w:rPr>
                <w:sz w:val="24"/>
                <w:szCs w:val="24"/>
                <w:color w:val="auto"/>
              </w:rPr>
            </w:pPr>
          </w:p>
        </w:tc>
        <w:tc>
          <w:tcPr>
            <w:tcW w:w="380" w:type="dxa"/>
            <w:vAlign w:val="bottom"/>
            <w:tcBorders>
              <w:bottom w:val="single" w:sz="8" w:color="005CB9"/>
            </w:tcBorders>
            <w:shd w:val="clear" w:color="auto" w:fill="EAEAEA"/>
          </w:tcPr>
          <w:p>
            <w:pPr>
              <w:spacing w:after="0"/>
              <w:rPr>
                <w:sz w:val="24"/>
                <w:szCs w:val="24"/>
                <w:color w:val="auto"/>
              </w:rPr>
            </w:pP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7"/>
        </w:trPr>
        <w:tc>
          <w:tcPr>
            <w:tcW w:w="4120" w:type="dxa"/>
            <w:vAlign w:val="bottom"/>
            <w:tcBorders>
              <w:bottom w:val="single" w:sz="8" w:color="005CB9"/>
            </w:tcBorders>
          </w:tcPr>
          <w:p>
            <w:pPr>
              <w:ind w:left="80"/>
              <w:spacing w:after="0"/>
              <w:rPr>
                <w:sz w:val="20"/>
                <w:szCs w:val="20"/>
                <w:color w:val="auto"/>
              </w:rPr>
            </w:pPr>
            <w:r>
              <w:rPr>
                <w:rFonts w:ascii="Arial" w:cs="Arial" w:eastAsia="Arial" w:hAnsi="Arial"/>
                <w:sz w:val="13"/>
                <w:szCs w:val="13"/>
                <w:b w:val="1"/>
                <w:bCs w:val="1"/>
                <w:color w:val="005CB9"/>
              </w:rPr>
              <w:t>Cybersecurity Experience</w:t>
            </w:r>
          </w:p>
        </w:tc>
        <w:tc>
          <w:tcPr>
            <w:tcW w:w="3360" w:type="dxa"/>
            <w:vAlign w:val="bottom"/>
            <w:tcBorders>
              <w:bottom w:val="single" w:sz="8" w:color="005CB9"/>
            </w:tcBorders>
          </w:tcPr>
          <w:p>
            <w:pPr>
              <w:spacing w:after="0"/>
              <w:rPr>
                <w:sz w:val="24"/>
                <w:szCs w:val="24"/>
                <w:color w:val="auto"/>
              </w:rPr>
            </w:pPr>
          </w:p>
        </w:tc>
        <w:tc>
          <w:tcPr>
            <w:tcW w:w="40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tcPr>
          <w:p>
            <w:pPr>
              <w:spacing w:after="0"/>
              <w:rPr>
                <w:sz w:val="24"/>
                <w:szCs w:val="24"/>
                <w:color w:val="auto"/>
              </w:rPr>
            </w:pPr>
          </w:p>
        </w:tc>
        <w:tc>
          <w:tcPr>
            <w:tcW w:w="380" w:type="dxa"/>
            <w:vAlign w:val="bottom"/>
            <w:tcBorders>
              <w:bottom w:val="single" w:sz="8" w:color="005CB9"/>
            </w:tcBorders>
            <w:shd w:val="clear" w:color="auto" w:fill="EAEAEA"/>
          </w:tcPr>
          <w:p>
            <w:pPr>
              <w:spacing w:after="0"/>
              <w:rPr>
                <w:sz w:val="24"/>
                <w:szCs w:val="24"/>
                <w:color w:val="auto"/>
              </w:rPr>
            </w:pP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bottom w:val="single" w:sz="8" w:color="005CB9"/>
            </w:tcBorders>
            <w:shd w:val="clear" w:color="auto" w:fill="EAEAEA"/>
          </w:tcPr>
          <w:p>
            <w:pPr>
              <w:spacing w:after="0"/>
              <w:rPr>
                <w:sz w:val="24"/>
                <w:szCs w:val="24"/>
                <w:color w:val="auto"/>
              </w:rPr>
            </w:pPr>
          </w:p>
        </w:tc>
        <w:tc>
          <w:tcPr>
            <w:tcW w:w="400" w:type="dxa"/>
            <w:vAlign w:val="bottom"/>
            <w:tcBorders>
              <w:bottom w:val="single" w:sz="8" w:color="005CB9"/>
            </w:tcBorders>
          </w:tcPr>
          <w:p>
            <w:pPr>
              <w:spacing w:after="0"/>
              <w:rPr>
                <w:sz w:val="24"/>
                <w:szCs w:val="24"/>
                <w:color w:val="auto"/>
              </w:rPr>
            </w:pPr>
          </w:p>
        </w:tc>
        <w:tc>
          <w:tcPr>
            <w:tcW w:w="380" w:type="dxa"/>
            <w:vAlign w:val="bottom"/>
            <w:tcBorders>
              <w:bottom w:val="single" w:sz="8" w:color="005CB9"/>
            </w:tcBorders>
            <w:shd w:val="clear" w:color="auto" w:fill="EAEAEA"/>
          </w:tcPr>
          <w:p>
            <w:pPr>
              <w:spacing w:after="0"/>
              <w:rPr>
                <w:sz w:val="24"/>
                <w:szCs w:val="24"/>
                <w:color w:val="auto"/>
              </w:rPr>
            </w:pPr>
          </w:p>
        </w:tc>
        <w:tc>
          <w:tcPr>
            <w:tcW w:w="400" w:type="dxa"/>
            <w:vAlign w:val="bottom"/>
            <w:tcBorders>
              <w:bottom w:val="single" w:sz="8" w:color="005CB9"/>
            </w:tcBorders>
          </w:tcPr>
          <w:p>
            <w:pPr>
              <w:spacing w:after="0"/>
              <w:rPr>
                <w:sz w:val="24"/>
                <w:szCs w:val="24"/>
                <w:color w:val="auto"/>
              </w:rPr>
            </w:pPr>
          </w:p>
        </w:tc>
        <w:tc>
          <w:tcPr>
            <w:tcW w:w="40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7"/>
        </w:trPr>
        <w:tc>
          <w:tcPr>
            <w:tcW w:w="4120" w:type="dxa"/>
            <w:vAlign w:val="bottom"/>
            <w:tcBorders>
              <w:bottom w:val="single" w:sz="8" w:color="005CB9"/>
            </w:tcBorders>
          </w:tcPr>
          <w:p>
            <w:pPr>
              <w:ind w:left="80"/>
              <w:spacing w:after="0"/>
              <w:rPr>
                <w:sz w:val="20"/>
                <w:szCs w:val="20"/>
                <w:color w:val="auto"/>
              </w:rPr>
            </w:pPr>
            <w:r>
              <w:rPr>
                <w:rFonts w:ascii="Arial" w:cs="Arial" w:eastAsia="Arial" w:hAnsi="Arial"/>
                <w:sz w:val="13"/>
                <w:szCs w:val="13"/>
                <w:b w:val="1"/>
                <w:bCs w:val="1"/>
                <w:color w:val="005CB9"/>
              </w:rPr>
              <w:t>Healthcare Industry Experience</w:t>
            </w:r>
          </w:p>
        </w:tc>
        <w:tc>
          <w:tcPr>
            <w:tcW w:w="3360" w:type="dxa"/>
            <w:vAlign w:val="bottom"/>
            <w:tcBorders>
              <w:bottom w:val="single" w:sz="8" w:color="005CB9"/>
            </w:tcBorders>
          </w:tcPr>
          <w:p>
            <w:pPr>
              <w:spacing w:after="0"/>
              <w:rPr>
                <w:sz w:val="24"/>
                <w:szCs w:val="24"/>
                <w:color w:val="auto"/>
              </w:rPr>
            </w:pPr>
          </w:p>
        </w:tc>
        <w:tc>
          <w:tcPr>
            <w:tcW w:w="400" w:type="dxa"/>
            <w:vAlign w:val="bottom"/>
            <w:tcBorders>
              <w:bottom w:val="single" w:sz="8" w:color="005CB9"/>
            </w:tcBorders>
            <w:shd w:val="clear" w:color="auto" w:fill="EAEAEA"/>
          </w:tcPr>
          <w:p>
            <w:pPr>
              <w:spacing w:after="0"/>
              <w:rPr>
                <w:sz w:val="24"/>
                <w:szCs w:val="24"/>
                <w:color w:val="auto"/>
              </w:rPr>
            </w:pP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bottom w:val="single" w:sz="8" w:color="005CB9"/>
            </w:tcBorders>
            <w:shd w:val="clear" w:color="auto" w:fill="EAEAEA"/>
          </w:tcPr>
          <w:p>
            <w:pPr>
              <w:spacing w:after="0"/>
              <w:rPr>
                <w:sz w:val="24"/>
                <w:szCs w:val="24"/>
                <w:color w:val="auto"/>
              </w:rPr>
            </w:pP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bottom w:val="single" w:sz="8" w:color="005CB9"/>
            </w:tcBorders>
            <w:shd w:val="clear" w:color="auto" w:fill="EAEAEA"/>
          </w:tcPr>
          <w:p>
            <w:pPr>
              <w:spacing w:after="0"/>
              <w:rPr>
                <w:sz w:val="24"/>
                <w:szCs w:val="24"/>
                <w:color w:val="auto"/>
              </w:rPr>
            </w:pP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bottom w:val="single" w:sz="8" w:color="005CB9"/>
            </w:tcBorders>
            <w:shd w:val="clear" w:color="auto" w:fill="EAEAEA"/>
          </w:tcPr>
          <w:p>
            <w:pPr>
              <w:spacing w:after="0"/>
              <w:rPr>
                <w:sz w:val="24"/>
                <w:szCs w:val="24"/>
                <w:color w:val="auto"/>
              </w:rPr>
            </w:pP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7"/>
        </w:trPr>
        <w:tc>
          <w:tcPr>
            <w:tcW w:w="4120" w:type="dxa"/>
            <w:vAlign w:val="bottom"/>
            <w:tcBorders>
              <w:bottom w:val="single" w:sz="8" w:color="005CB9"/>
            </w:tcBorders>
          </w:tcPr>
          <w:p>
            <w:pPr>
              <w:ind w:left="80"/>
              <w:spacing w:after="0"/>
              <w:rPr>
                <w:sz w:val="20"/>
                <w:szCs w:val="20"/>
                <w:color w:val="auto"/>
              </w:rPr>
            </w:pPr>
            <w:r>
              <w:rPr>
                <w:rFonts w:ascii="Arial" w:cs="Arial" w:eastAsia="Arial" w:hAnsi="Arial"/>
                <w:sz w:val="13"/>
                <w:szCs w:val="13"/>
                <w:b w:val="1"/>
                <w:bCs w:val="1"/>
                <w:color w:val="005CB9"/>
              </w:rPr>
              <w:t>Industrial Experience</w:t>
            </w:r>
          </w:p>
        </w:tc>
        <w:tc>
          <w:tcPr>
            <w:tcW w:w="3360" w:type="dxa"/>
            <w:vAlign w:val="bottom"/>
            <w:tcBorders>
              <w:bottom w:val="single" w:sz="8" w:color="005CB9"/>
            </w:tcBorders>
          </w:tcPr>
          <w:p>
            <w:pPr>
              <w:spacing w:after="0"/>
              <w:rPr>
                <w:sz w:val="24"/>
                <w:szCs w:val="24"/>
                <w:color w:val="auto"/>
              </w:rPr>
            </w:pPr>
          </w:p>
        </w:tc>
        <w:tc>
          <w:tcPr>
            <w:tcW w:w="400" w:type="dxa"/>
            <w:vAlign w:val="bottom"/>
            <w:tcBorders>
              <w:bottom w:val="single" w:sz="8" w:color="005CB9"/>
            </w:tcBorders>
            <w:shd w:val="clear" w:color="auto" w:fill="EAEAEA"/>
          </w:tcPr>
          <w:p>
            <w:pPr>
              <w:spacing w:after="0"/>
              <w:rPr>
                <w:sz w:val="24"/>
                <w:szCs w:val="24"/>
                <w:color w:val="auto"/>
              </w:rPr>
            </w:pPr>
          </w:p>
        </w:tc>
        <w:tc>
          <w:tcPr>
            <w:tcW w:w="400" w:type="dxa"/>
            <w:vAlign w:val="bottom"/>
            <w:tcBorders>
              <w:bottom w:val="single" w:sz="8" w:color="005CB9"/>
            </w:tcBorders>
          </w:tcPr>
          <w:p>
            <w:pPr>
              <w:spacing w:after="0"/>
              <w:rPr>
                <w:sz w:val="24"/>
                <w:szCs w:val="24"/>
                <w:color w:val="auto"/>
              </w:rPr>
            </w:pPr>
          </w:p>
        </w:tc>
        <w:tc>
          <w:tcPr>
            <w:tcW w:w="38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tcPr>
          <w:p>
            <w:pPr>
              <w:spacing w:after="0"/>
              <w:rPr>
                <w:sz w:val="24"/>
                <w:szCs w:val="24"/>
                <w:color w:val="auto"/>
              </w:rPr>
            </w:pPr>
          </w:p>
        </w:tc>
        <w:tc>
          <w:tcPr>
            <w:tcW w:w="38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bottom w:val="single" w:sz="8" w:color="005CB9"/>
            </w:tcBorders>
            <w:shd w:val="clear" w:color="auto" w:fill="EAEAEA"/>
          </w:tcPr>
          <w:p>
            <w:pPr>
              <w:spacing w:after="0"/>
              <w:rPr>
                <w:sz w:val="24"/>
                <w:szCs w:val="24"/>
                <w:color w:val="auto"/>
              </w:rPr>
            </w:pP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shd w:val="clear" w:color="auto" w:fill="EAEAEA"/>
          </w:tcPr>
          <w:p>
            <w:pPr>
              <w:spacing w:after="0"/>
              <w:rPr>
                <w:sz w:val="24"/>
                <w:szCs w:val="24"/>
                <w:color w:val="auto"/>
              </w:rPr>
            </w:pPr>
          </w:p>
        </w:tc>
      </w:tr>
      <w:tr>
        <w:trPr>
          <w:trHeight w:val="277"/>
        </w:trPr>
        <w:tc>
          <w:tcPr>
            <w:tcW w:w="4120" w:type="dxa"/>
            <w:vAlign w:val="bottom"/>
            <w:tcBorders>
              <w:bottom w:val="single" w:sz="8" w:color="005CB9"/>
            </w:tcBorders>
          </w:tcPr>
          <w:p>
            <w:pPr>
              <w:ind w:left="80"/>
              <w:spacing w:after="0"/>
              <w:rPr>
                <w:sz w:val="20"/>
                <w:szCs w:val="20"/>
                <w:color w:val="auto"/>
              </w:rPr>
            </w:pPr>
            <w:r>
              <w:rPr>
                <w:rFonts w:ascii="Arial" w:cs="Arial" w:eastAsia="Arial" w:hAnsi="Arial"/>
                <w:sz w:val="13"/>
                <w:szCs w:val="13"/>
                <w:b w:val="1"/>
                <w:bCs w:val="1"/>
                <w:color w:val="005CB9"/>
              </w:rPr>
              <w:t>Capital Deployment Experience</w:t>
            </w:r>
          </w:p>
        </w:tc>
        <w:tc>
          <w:tcPr>
            <w:tcW w:w="3360" w:type="dxa"/>
            <w:vAlign w:val="bottom"/>
            <w:tcBorders>
              <w:bottom w:val="single" w:sz="8" w:color="005CB9"/>
            </w:tcBorders>
          </w:tcPr>
          <w:p>
            <w:pPr>
              <w:spacing w:after="0"/>
              <w:rPr>
                <w:sz w:val="24"/>
                <w:szCs w:val="24"/>
                <w:color w:val="auto"/>
              </w:rPr>
            </w:pPr>
          </w:p>
        </w:tc>
        <w:tc>
          <w:tcPr>
            <w:tcW w:w="400" w:type="dxa"/>
            <w:vAlign w:val="bottom"/>
            <w:tcBorders>
              <w:bottom w:val="single" w:sz="8" w:color="005CB9"/>
            </w:tcBorders>
            <w:shd w:val="clear" w:color="auto" w:fill="EAEAEA"/>
          </w:tcPr>
          <w:p>
            <w:pPr>
              <w:spacing w:after="0"/>
              <w:rPr>
                <w:sz w:val="24"/>
                <w:szCs w:val="24"/>
                <w:color w:val="auto"/>
              </w:rPr>
            </w:pP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bottom w:val="single" w:sz="8" w:color="005CB9"/>
            </w:tcBorders>
            <w:shd w:val="clear" w:color="auto" w:fill="EAEAEA"/>
          </w:tcPr>
          <w:p>
            <w:pPr>
              <w:spacing w:after="0"/>
              <w:rPr>
                <w:sz w:val="24"/>
                <w:szCs w:val="24"/>
                <w:color w:val="auto"/>
              </w:rPr>
            </w:pP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7"/>
        </w:trPr>
        <w:tc>
          <w:tcPr>
            <w:tcW w:w="4120" w:type="dxa"/>
            <w:vAlign w:val="bottom"/>
            <w:tcBorders>
              <w:bottom w:val="single" w:sz="8" w:color="005CB9"/>
            </w:tcBorders>
          </w:tcPr>
          <w:p>
            <w:pPr>
              <w:ind w:left="80"/>
              <w:spacing w:after="0"/>
              <w:rPr>
                <w:sz w:val="20"/>
                <w:szCs w:val="20"/>
                <w:color w:val="auto"/>
              </w:rPr>
            </w:pPr>
            <w:r>
              <w:rPr>
                <w:rFonts w:ascii="Arial" w:cs="Arial" w:eastAsia="Arial" w:hAnsi="Arial"/>
                <w:sz w:val="13"/>
                <w:szCs w:val="13"/>
                <w:b w:val="1"/>
                <w:bCs w:val="1"/>
                <w:color w:val="005CB9"/>
              </w:rPr>
              <w:t>Organizational Development/Talent Management Experience</w:t>
            </w:r>
          </w:p>
        </w:tc>
        <w:tc>
          <w:tcPr>
            <w:tcW w:w="3360" w:type="dxa"/>
            <w:vAlign w:val="bottom"/>
            <w:tcBorders>
              <w:bottom w:val="single" w:sz="8" w:color="005CB9"/>
            </w:tcBorders>
          </w:tcPr>
          <w:p>
            <w:pPr>
              <w:spacing w:after="0"/>
              <w:rPr>
                <w:sz w:val="24"/>
                <w:szCs w:val="24"/>
                <w:color w:val="auto"/>
              </w:rPr>
            </w:pPr>
          </w:p>
        </w:tc>
        <w:tc>
          <w:tcPr>
            <w:tcW w:w="40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7"/>
        </w:trPr>
        <w:tc>
          <w:tcPr>
            <w:tcW w:w="4120" w:type="dxa"/>
            <w:vAlign w:val="bottom"/>
            <w:tcBorders>
              <w:bottom w:val="single" w:sz="8" w:color="005CB9"/>
            </w:tcBorders>
          </w:tcPr>
          <w:p>
            <w:pPr>
              <w:ind w:left="80"/>
              <w:spacing w:after="0"/>
              <w:rPr>
                <w:sz w:val="20"/>
                <w:szCs w:val="20"/>
                <w:color w:val="auto"/>
              </w:rPr>
            </w:pPr>
            <w:r>
              <w:rPr>
                <w:rFonts w:ascii="Arial" w:cs="Arial" w:eastAsia="Arial" w:hAnsi="Arial"/>
                <w:sz w:val="13"/>
                <w:szCs w:val="13"/>
                <w:b w:val="1"/>
                <w:bCs w:val="1"/>
                <w:color w:val="005CB9"/>
              </w:rPr>
              <w:t>Risk Management Experience</w:t>
            </w:r>
          </w:p>
        </w:tc>
        <w:tc>
          <w:tcPr>
            <w:tcW w:w="3360" w:type="dxa"/>
            <w:vAlign w:val="bottom"/>
            <w:tcBorders>
              <w:bottom w:val="single" w:sz="8" w:color="005CB9"/>
            </w:tcBorders>
          </w:tcPr>
          <w:p>
            <w:pPr>
              <w:spacing w:after="0"/>
              <w:rPr>
                <w:sz w:val="24"/>
                <w:szCs w:val="24"/>
                <w:color w:val="auto"/>
              </w:rPr>
            </w:pPr>
          </w:p>
        </w:tc>
        <w:tc>
          <w:tcPr>
            <w:tcW w:w="40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7"/>
        </w:trPr>
        <w:tc>
          <w:tcPr>
            <w:tcW w:w="4120" w:type="dxa"/>
            <w:vAlign w:val="bottom"/>
            <w:tcBorders>
              <w:bottom w:val="single" w:sz="8" w:color="005CB9"/>
            </w:tcBorders>
          </w:tcPr>
          <w:p>
            <w:pPr>
              <w:ind w:left="80"/>
              <w:spacing w:after="0"/>
              <w:rPr>
                <w:sz w:val="20"/>
                <w:szCs w:val="20"/>
                <w:color w:val="auto"/>
              </w:rPr>
            </w:pPr>
            <w:r>
              <w:rPr>
                <w:rFonts w:ascii="Arial" w:cs="Arial" w:eastAsia="Arial" w:hAnsi="Arial"/>
                <w:sz w:val="13"/>
                <w:szCs w:val="13"/>
                <w:b w:val="1"/>
                <w:bCs w:val="1"/>
                <w:color w:val="005CB9"/>
              </w:rPr>
              <w:t>Strategic Planning Experience</w:t>
            </w:r>
          </w:p>
        </w:tc>
        <w:tc>
          <w:tcPr>
            <w:tcW w:w="3360" w:type="dxa"/>
            <w:vAlign w:val="bottom"/>
            <w:tcBorders>
              <w:bottom w:val="single" w:sz="8" w:color="005CB9"/>
            </w:tcBorders>
          </w:tcPr>
          <w:p>
            <w:pPr>
              <w:spacing w:after="0"/>
              <w:rPr>
                <w:sz w:val="24"/>
                <w:szCs w:val="24"/>
                <w:color w:val="auto"/>
              </w:rPr>
            </w:pPr>
          </w:p>
        </w:tc>
        <w:tc>
          <w:tcPr>
            <w:tcW w:w="40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bottom w:val="single" w:sz="8" w:color="005CB9"/>
            </w:tcBorders>
            <w:shd w:val="clear" w:color="auto" w:fill="EAEAEA"/>
          </w:tcPr>
          <w:p>
            <w:pPr>
              <w:spacing w:after="0"/>
              <w:rPr>
                <w:sz w:val="24"/>
                <w:szCs w:val="24"/>
                <w:color w:val="auto"/>
              </w:rPr>
            </w:pPr>
          </w:p>
        </w:tc>
        <w:tc>
          <w:tcPr>
            <w:tcW w:w="40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304"/>
        </w:trPr>
        <w:tc>
          <w:tcPr>
            <w:tcW w:w="4120" w:type="dxa"/>
            <w:vAlign w:val="bottom"/>
          </w:tcPr>
          <w:p>
            <w:pPr>
              <w:spacing w:after="0"/>
              <w:rPr>
                <w:sz w:val="24"/>
                <w:szCs w:val="24"/>
                <w:color w:val="auto"/>
              </w:rPr>
            </w:pPr>
          </w:p>
        </w:tc>
        <w:tc>
          <w:tcPr>
            <w:tcW w:w="3760" w:type="dxa"/>
            <w:vAlign w:val="bottom"/>
            <w:gridSpan w:val="2"/>
          </w:tcPr>
          <w:p>
            <w:pPr>
              <w:ind w:left="180"/>
              <w:spacing w:after="0"/>
              <w:rPr>
                <w:sz w:val="20"/>
                <w:szCs w:val="20"/>
                <w:color w:val="auto"/>
              </w:rPr>
            </w:pPr>
            <w:r>
              <w:rPr>
                <w:rFonts w:ascii="Arial" w:cs="Arial" w:eastAsia="Arial" w:hAnsi="Arial"/>
                <w:sz w:val="18"/>
                <w:szCs w:val="18"/>
                <w:b w:val="1"/>
                <w:bCs w:val="1"/>
                <w:color w:val="005CB9"/>
              </w:rPr>
              <w:t>Background</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4"/>
        </w:trPr>
        <w:tc>
          <w:tcPr>
            <w:tcW w:w="4120" w:type="dxa"/>
            <w:vAlign w:val="bottom"/>
            <w:tcBorders>
              <w:bottom w:val="single" w:sz="8" w:color="005CB9"/>
            </w:tcBorders>
          </w:tcPr>
          <w:p>
            <w:pPr>
              <w:spacing w:after="0"/>
              <w:rPr>
                <w:sz w:val="4"/>
                <w:szCs w:val="4"/>
                <w:color w:val="auto"/>
              </w:rPr>
            </w:pPr>
          </w:p>
        </w:tc>
        <w:tc>
          <w:tcPr>
            <w:tcW w:w="3760" w:type="dxa"/>
            <w:vAlign w:val="bottom"/>
            <w:tcBorders>
              <w:bottom w:val="single" w:sz="8" w:color="005CB9"/>
            </w:tcBorders>
            <w:gridSpan w:val="2"/>
          </w:tcPr>
          <w:p>
            <w:pPr>
              <w:spacing w:after="0"/>
              <w:rPr>
                <w:sz w:val="4"/>
                <w:szCs w:val="4"/>
                <w:color w:val="auto"/>
              </w:rPr>
            </w:pPr>
          </w:p>
        </w:tc>
        <w:tc>
          <w:tcPr>
            <w:tcW w:w="400" w:type="dxa"/>
            <w:vAlign w:val="bottom"/>
            <w:tcBorders>
              <w:bottom w:val="single" w:sz="8" w:color="005CB9"/>
            </w:tcBorders>
          </w:tcPr>
          <w:p>
            <w:pPr>
              <w:spacing w:after="0"/>
              <w:rPr>
                <w:sz w:val="4"/>
                <w:szCs w:val="4"/>
                <w:color w:val="auto"/>
              </w:rPr>
            </w:pPr>
          </w:p>
        </w:tc>
        <w:tc>
          <w:tcPr>
            <w:tcW w:w="380" w:type="dxa"/>
            <w:vAlign w:val="bottom"/>
            <w:tcBorders>
              <w:bottom w:val="single" w:sz="8" w:color="005CB9"/>
            </w:tcBorders>
          </w:tcPr>
          <w:p>
            <w:pPr>
              <w:spacing w:after="0"/>
              <w:rPr>
                <w:sz w:val="4"/>
                <w:szCs w:val="4"/>
                <w:color w:val="auto"/>
              </w:rPr>
            </w:pPr>
          </w:p>
        </w:tc>
        <w:tc>
          <w:tcPr>
            <w:tcW w:w="400" w:type="dxa"/>
            <w:vAlign w:val="bottom"/>
            <w:tcBorders>
              <w:bottom w:val="single" w:sz="8" w:color="005CB9"/>
            </w:tcBorders>
          </w:tcPr>
          <w:p>
            <w:pPr>
              <w:spacing w:after="0"/>
              <w:rPr>
                <w:sz w:val="4"/>
                <w:szCs w:val="4"/>
                <w:color w:val="auto"/>
              </w:rPr>
            </w:pPr>
          </w:p>
        </w:tc>
        <w:tc>
          <w:tcPr>
            <w:tcW w:w="380" w:type="dxa"/>
            <w:vAlign w:val="bottom"/>
            <w:tcBorders>
              <w:bottom w:val="single" w:sz="8" w:color="005CB9"/>
            </w:tcBorders>
          </w:tcPr>
          <w:p>
            <w:pPr>
              <w:spacing w:after="0"/>
              <w:rPr>
                <w:sz w:val="4"/>
                <w:szCs w:val="4"/>
                <w:color w:val="auto"/>
              </w:rPr>
            </w:pPr>
          </w:p>
        </w:tc>
        <w:tc>
          <w:tcPr>
            <w:tcW w:w="400" w:type="dxa"/>
            <w:vAlign w:val="bottom"/>
            <w:tcBorders>
              <w:bottom w:val="single" w:sz="8" w:color="005CB9"/>
            </w:tcBorders>
          </w:tcPr>
          <w:p>
            <w:pPr>
              <w:spacing w:after="0"/>
              <w:rPr>
                <w:sz w:val="4"/>
                <w:szCs w:val="4"/>
                <w:color w:val="auto"/>
              </w:rPr>
            </w:pPr>
          </w:p>
        </w:tc>
        <w:tc>
          <w:tcPr>
            <w:tcW w:w="380" w:type="dxa"/>
            <w:vAlign w:val="bottom"/>
            <w:tcBorders>
              <w:bottom w:val="single" w:sz="8" w:color="005CB9"/>
            </w:tcBorders>
          </w:tcPr>
          <w:p>
            <w:pPr>
              <w:spacing w:after="0"/>
              <w:rPr>
                <w:sz w:val="4"/>
                <w:szCs w:val="4"/>
                <w:color w:val="auto"/>
              </w:rPr>
            </w:pPr>
          </w:p>
        </w:tc>
        <w:tc>
          <w:tcPr>
            <w:tcW w:w="400" w:type="dxa"/>
            <w:vAlign w:val="bottom"/>
            <w:tcBorders>
              <w:bottom w:val="single" w:sz="8" w:color="005CB9"/>
            </w:tcBorders>
          </w:tcPr>
          <w:p>
            <w:pPr>
              <w:spacing w:after="0"/>
              <w:rPr>
                <w:sz w:val="4"/>
                <w:szCs w:val="4"/>
                <w:color w:val="auto"/>
              </w:rPr>
            </w:pPr>
          </w:p>
        </w:tc>
        <w:tc>
          <w:tcPr>
            <w:tcW w:w="400" w:type="dxa"/>
            <w:vAlign w:val="bottom"/>
            <w:tcBorders>
              <w:bottom w:val="single" w:sz="8" w:color="005CB9"/>
            </w:tcBorders>
          </w:tcPr>
          <w:p>
            <w:pPr>
              <w:spacing w:after="0"/>
              <w:rPr>
                <w:sz w:val="4"/>
                <w:szCs w:val="4"/>
                <w:color w:val="auto"/>
              </w:rPr>
            </w:pPr>
          </w:p>
        </w:tc>
      </w:tr>
      <w:tr>
        <w:trPr>
          <w:trHeight w:val="318"/>
        </w:trPr>
        <w:tc>
          <w:tcPr>
            <w:tcW w:w="4120" w:type="dxa"/>
            <w:vAlign w:val="bottom"/>
          </w:tcPr>
          <w:p>
            <w:pPr>
              <w:ind w:left="60"/>
              <w:spacing w:after="0"/>
              <w:rPr>
                <w:sz w:val="20"/>
                <w:szCs w:val="20"/>
                <w:color w:val="auto"/>
              </w:rPr>
            </w:pPr>
            <w:r>
              <w:rPr>
                <w:rFonts w:ascii="Arial" w:cs="Arial" w:eastAsia="Arial" w:hAnsi="Arial"/>
                <w:sz w:val="13"/>
                <w:szCs w:val="13"/>
                <w:b w:val="1"/>
                <w:bCs w:val="1"/>
                <w:color w:val="005CB9"/>
              </w:rPr>
              <w:t>Years on the Board</w:t>
            </w:r>
          </w:p>
        </w:tc>
        <w:tc>
          <w:tcPr>
            <w:tcW w:w="3360" w:type="dxa"/>
            <w:vAlign w:val="bottom"/>
          </w:tcPr>
          <w:p>
            <w:pPr>
              <w:spacing w:after="0"/>
              <w:rPr>
                <w:sz w:val="24"/>
                <w:szCs w:val="24"/>
                <w:color w:val="auto"/>
              </w:rPr>
            </w:pPr>
          </w:p>
        </w:tc>
        <w:tc>
          <w:tcPr>
            <w:tcW w:w="40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4</w:t>
            </w:r>
          </w:p>
        </w:tc>
        <w:tc>
          <w:tcPr>
            <w:tcW w:w="400" w:type="dxa"/>
            <w:vAlign w:val="bottom"/>
          </w:tcPr>
          <w:p>
            <w:pPr>
              <w:jc w:val="center"/>
              <w:spacing w:after="0"/>
              <w:rPr>
                <w:sz w:val="20"/>
                <w:szCs w:val="20"/>
                <w:color w:val="auto"/>
              </w:rPr>
            </w:pPr>
            <w:r>
              <w:rPr>
                <w:rFonts w:ascii="Arial" w:cs="Arial" w:eastAsia="Arial" w:hAnsi="Arial"/>
                <w:sz w:val="18"/>
                <w:szCs w:val="18"/>
                <w:b w:val="1"/>
                <w:bCs w:val="1"/>
                <w:color w:val="005CB9"/>
                <w:w w:val="99"/>
              </w:rPr>
              <w:t>7</w:t>
            </w:r>
          </w:p>
        </w:tc>
        <w:tc>
          <w:tcPr>
            <w:tcW w:w="38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7"/>
              </w:rPr>
              <w:t>&lt;1</w:t>
            </w:r>
          </w:p>
        </w:tc>
        <w:tc>
          <w:tcPr>
            <w:tcW w:w="400" w:type="dxa"/>
            <w:vAlign w:val="bottom"/>
          </w:tcPr>
          <w:p>
            <w:pPr>
              <w:jc w:val="center"/>
              <w:spacing w:after="0"/>
              <w:rPr>
                <w:sz w:val="20"/>
                <w:szCs w:val="20"/>
                <w:color w:val="auto"/>
              </w:rPr>
            </w:pPr>
            <w:r>
              <w:rPr>
                <w:rFonts w:ascii="Arial" w:cs="Arial" w:eastAsia="Arial" w:hAnsi="Arial"/>
                <w:sz w:val="18"/>
                <w:szCs w:val="18"/>
                <w:b w:val="1"/>
                <w:bCs w:val="1"/>
                <w:color w:val="005CB9"/>
                <w:w w:val="99"/>
              </w:rPr>
              <w:t>4</w:t>
            </w:r>
          </w:p>
        </w:tc>
        <w:tc>
          <w:tcPr>
            <w:tcW w:w="38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17</w:t>
            </w:r>
          </w:p>
        </w:tc>
        <w:tc>
          <w:tcPr>
            <w:tcW w:w="400" w:type="dxa"/>
            <w:vAlign w:val="bottom"/>
          </w:tcPr>
          <w:p>
            <w:pPr>
              <w:jc w:val="center"/>
              <w:spacing w:after="0"/>
              <w:rPr>
                <w:sz w:val="20"/>
                <w:szCs w:val="20"/>
                <w:color w:val="auto"/>
              </w:rPr>
            </w:pPr>
            <w:r>
              <w:rPr>
                <w:rFonts w:ascii="Arial" w:cs="Arial" w:eastAsia="Arial" w:hAnsi="Arial"/>
                <w:sz w:val="18"/>
                <w:szCs w:val="18"/>
                <w:b w:val="1"/>
                <w:bCs w:val="1"/>
                <w:color w:val="005CB9"/>
              </w:rPr>
              <w:t>&lt;1</w:t>
            </w:r>
          </w:p>
        </w:tc>
        <w:tc>
          <w:tcPr>
            <w:tcW w:w="38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7</w:t>
            </w:r>
          </w:p>
        </w:tc>
        <w:tc>
          <w:tcPr>
            <w:tcW w:w="400" w:type="dxa"/>
            <w:vAlign w:val="bottom"/>
          </w:tcPr>
          <w:p>
            <w:pPr>
              <w:jc w:val="center"/>
              <w:spacing w:after="0"/>
              <w:rPr>
                <w:sz w:val="20"/>
                <w:szCs w:val="20"/>
                <w:color w:val="auto"/>
              </w:rPr>
            </w:pPr>
            <w:r>
              <w:rPr>
                <w:rFonts w:ascii="Arial" w:cs="Arial" w:eastAsia="Arial" w:hAnsi="Arial"/>
                <w:sz w:val="18"/>
                <w:szCs w:val="18"/>
                <w:b w:val="1"/>
                <w:bCs w:val="1"/>
                <w:color w:val="005CB9"/>
                <w:w w:val="99"/>
              </w:rPr>
              <w:t>15</w:t>
            </w:r>
          </w:p>
        </w:tc>
        <w:tc>
          <w:tcPr>
            <w:tcW w:w="40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31</w:t>
            </w:r>
          </w:p>
        </w:tc>
      </w:tr>
      <w:tr>
        <w:trPr>
          <w:trHeight w:val="277"/>
        </w:trPr>
        <w:tc>
          <w:tcPr>
            <w:tcW w:w="4120" w:type="dxa"/>
            <w:vAlign w:val="bottom"/>
            <w:tcBorders>
              <w:top w:val="single" w:sz="8" w:color="005CB9"/>
            </w:tcBorders>
          </w:tcPr>
          <w:p>
            <w:pPr>
              <w:ind w:left="60"/>
              <w:spacing w:after="0"/>
              <w:rPr>
                <w:sz w:val="20"/>
                <w:szCs w:val="20"/>
                <w:color w:val="auto"/>
              </w:rPr>
            </w:pPr>
            <w:r>
              <w:rPr>
                <w:rFonts w:ascii="Arial" w:cs="Arial" w:eastAsia="Arial" w:hAnsi="Arial"/>
                <w:sz w:val="13"/>
                <w:szCs w:val="13"/>
                <w:b w:val="1"/>
                <w:bCs w:val="1"/>
                <w:color w:val="005CB9"/>
              </w:rPr>
              <w:t>Age</w:t>
            </w:r>
          </w:p>
        </w:tc>
        <w:tc>
          <w:tcPr>
            <w:tcW w:w="3360" w:type="dxa"/>
            <w:vAlign w:val="bottom"/>
            <w:tcBorders>
              <w:top w:val="single" w:sz="8" w:color="005CB9"/>
            </w:tcBorders>
          </w:tcPr>
          <w:p>
            <w:pPr>
              <w:spacing w:after="0"/>
              <w:rPr>
                <w:sz w:val="24"/>
                <w:szCs w:val="24"/>
                <w:color w:val="auto"/>
              </w:rPr>
            </w:pPr>
          </w:p>
        </w:tc>
        <w:tc>
          <w:tcPr>
            <w:tcW w:w="400" w:type="dxa"/>
            <w:vAlign w:val="bottom"/>
            <w:tcBorders>
              <w:top w:val="single" w:sz="8" w:color="005CB9"/>
              <w:bottom w:val="single" w:sz="8" w:color="EAEAEA"/>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59</w:t>
            </w:r>
          </w:p>
        </w:tc>
        <w:tc>
          <w:tcPr>
            <w:tcW w:w="400" w:type="dxa"/>
            <w:vAlign w:val="bottom"/>
            <w:tcBorders>
              <w:top w:val="single" w:sz="8" w:color="005CB9"/>
            </w:tcBorders>
          </w:tcPr>
          <w:p>
            <w:pPr>
              <w:jc w:val="center"/>
              <w:spacing w:after="0"/>
              <w:rPr>
                <w:sz w:val="20"/>
                <w:szCs w:val="20"/>
                <w:color w:val="auto"/>
              </w:rPr>
            </w:pPr>
            <w:r>
              <w:rPr>
                <w:rFonts w:ascii="Arial" w:cs="Arial" w:eastAsia="Arial" w:hAnsi="Arial"/>
                <w:sz w:val="18"/>
                <w:szCs w:val="18"/>
                <w:b w:val="1"/>
                <w:bCs w:val="1"/>
                <w:color w:val="005CB9"/>
                <w:w w:val="99"/>
              </w:rPr>
              <w:t>66</w:t>
            </w:r>
          </w:p>
        </w:tc>
        <w:tc>
          <w:tcPr>
            <w:tcW w:w="380" w:type="dxa"/>
            <w:vAlign w:val="bottom"/>
            <w:tcBorders>
              <w:top w:val="single" w:sz="8" w:color="005CB9"/>
              <w:bottom w:val="single" w:sz="8" w:color="EAEAEA"/>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63</w:t>
            </w:r>
          </w:p>
        </w:tc>
        <w:tc>
          <w:tcPr>
            <w:tcW w:w="400" w:type="dxa"/>
            <w:vAlign w:val="bottom"/>
            <w:tcBorders>
              <w:top w:val="single" w:sz="8" w:color="005CB9"/>
            </w:tcBorders>
          </w:tcPr>
          <w:p>
            <w:pPr>
              <w:jc w:val="center"/>
              <w:spacing w:after="0"/>
              <w:rPr>
                <w:sz w:val="20"/>
                <w:szCs w:val="20"/>
                <w:color w:val="auto"/>
              </w:rPr>
            </w:pPr>
            <w:r>
              <w:rPr>
                <w:rFonts w:ascii="Arial" w:cs="Arial" w:eastAsia="Arial" w:hAnsi="Arial"/>
                <w:sz w:val="18"/>
                <w:szCs w:val="18"/>
                <w:b w:val="1"/>
                <w:bCs w:val="1"/>
                <w:color w:val="005CB9"/>
                <w:w w:val="99"/>
              </w:rPr>
              <w:t>50</w:t>
            </w:r>
          </w:p>
        </w:tc>
        <w:tc>
          <w:tcPr>
            <w:tcW w:w="380" w:type="dxa"/>
            <w:vAlign w:val="bottom"/>
            <w:tcBorders>
              <w:top w:val="single" w:sz="8" w:color="005CB9"/>
              <w:bottom w:val="single" w:sz="8" w:color="EAEAEA"/>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74</w:t>
            </w:r>
          </w:p>
        </w:tc>
        <w:tc>
          <w:tcPr>
            <w:tcW w:w="400" w:type="dxa"/>
            <w:vAlign w:val="bottom"/>
            <w:tcBorders>
              <w:top w:val="single" w:sz="8" w:color="005CB9"/>
            </w:tcBorders>
          </w:tcPr>
          <w:p>
            <w:pPr>
              <w:jc w:val="center"/>
              <w:spacing w:after="0"/>
              <w:rPr>
                <w:sz w:val="20"/>
                <w:szCs w:val="20"/>
                <w:color w:val="auto"/>
              </w:rPr>
            </w:pPr>
            <w:r>
              <w:rPr>
                <w:rFonts w:ascii="Arial" w:cs="Arial" w:eastAsia="Arial" w:hAnsi="Arial"/>
                <w:sz w:val="18"/>
                <w:szCs w:val="18"/>
                <w:b w:val="1"/>
                <w:bCs w:val="1"/>
                <w:color w:val="005CB9"/>
                <w:w w:val="99"/>
              </w:rPr>
              <w:t>61</w:t>
            </w:r>
          </w:p>
        </w:tc>
        <w:tc>
          <w:tcPr>
            <w:tcW w:w="380" w:type="dxa"/>
            <w:vAlign w:val="bottom"/>
            <w:tcBorders>
              <w:top w:val="single" w:sz="8" w:color="005CB9"/>
              <w:bottom w:val="single" w:sz="8" w:color="EAEAEA"/>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66</w:t>
            </w:r>
          </w:p>
        </w:tc>
        <w:tc>
          <w:tcPr>
            <w:tcW w:w="400" w:type="dxa"/>
            <w:vAlign w:val="bottom"/>
            <w:tcBorders>
              <w:top w:val="single" w:sz="8" w:color="005CB9"/>
            </w:tcBorders>
          </w:tcPr>
          <w:p>
            <w:pPr>
              <w:jc w:val="center"/>
              <w:spacing w:after="0"/>
              <w:rPr>
                <w:sz w:val="20"/>
                <w:szCs w:val="20"/>
                <w:color w:val="auto"/>
              </w:rPr>
            </w:pPr>
            <w:r>
              <w:rPr>
                <w:rFonts w:ascii="Arial" w:cs="Arial" w:eastAsia="Arial" w:hAnsi="Arial"/>
                <w:sz w:val="18"/>
                <w:szCs w:val="18"/>
                <w:b w:val="1"/>
                <w:bCs w:val="1"/>
                <w:color w:val="005CB9"/>
                <w:w w:val="99"/>
              </w:rPr>
              <w:t>71</w:t>
            </w:r>
          </w:p>
        </w:tc>
        <w:tc>
          <w:tcPr>
            <w:tcW w:w="400" w:type="dxa"/>
            <w:vAlign w:val="bottom"/>
            <w:tcBorders>
              <w:top w:val="single" w:sz="8" w:color="005CB9"/>
              <w:bottom w:val="single" w:sz="8" w:color="EAEAEA"/>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64</w:t>
            </w:r>
          </w:p>
        </w:tc>
      </w:tr>
      <w:tr>
        <w:trPr>
          <w:trHeight w:val="277"/>
        </w:trPr>
        <w:tc>
          <w:tcPr>
            <w:tcW w:w="4120" w:type="dxa"/>
            <w:vAlign w:val="bottom"/>
            <w:tcBorders>
              <w:top w:val="single" w:sz="8" w:color="005CB9"/>
            </w:tcBorders>
          </w:tcPr>
          <w:p>
            <w:pPr>
              <w:ind w:left="80"/>
              <w:spacing w:after="0"/>
              <w:rPr>
                <w:sz w:val="20"/>
                <w:szCs w:val="20"/>
                <w:color w:val="auto"/>
              </w:rPr>
            </w:pPr>
            <w:r>
              <w:rPr>
                <w:rFonts w:ascii="Arial" w:cs="Arial" w:eastAsia="Arial" w:hAnsi="Arial"/>
                <w:sz w:val="13"/>
                <w:szCs w:val="13"/>
                <w:b w:val="1"/>
                <w:bCs w:val="1"/>
                <w:color w:val="005CB9"/>
              </w:rPr>
              <w:t>Gender</w:t>
            </w:r>
          </w:p>
        </w:tc>
        <w:tc>
          <w:tcPr>
            <w:tcW w:w="3360" w:type="dxa"/>
            <w:vAlign w:val="bottom"/>
            <w:tcBorders>
              <w:top w:val="single" w:sz="8" w:color="005CB9"/>
            </w:tcBorders>
          </w:tcPr>
          <w:p>
            <w:pPr>
              <w:spacing w:after="0"/>
              <w:rPr>
                <w:sz w:val="24"/>
                <w:szCs w:val="24"/>
                <w:color w:val="auto"/>
              </w:rPr>
            </w:pPr>
          </w:p>
        </w:tc>
        <w:tc>
          <w:tcPr>
            <w:tcW w:w="400" w:type="dxa"/>
            <w:vAlign w:val="bottom"/>
            <w:tcBorders>
              <w:top w:val="single" w:sz="8" w:color="005CB9"/>
              <w:bottom w:val="single" w:sz="8" w:color="EAEAEA"/>
            </w:tcBorders>
            <w:shd w:val="clear" w:color="auto" w:fill="EAEAEA"/>
          </w:tcPr>
          <w:p>
            <w:pPr>
              <w:ind w:left="160"/>
              <w:spacing w:after="0"/>
              <w:rPr>
                <w:sz w:val="20"/>
                <w:szCs w:val="20"/>
                <w:color w:val="auto"/>
              </w:rPr>
            </w:pPr>
            <w:r>
              <w:rPr>
                <w:rFonts w:ascii="Arial" w:cs="Arial" w:eastAsia="Arial" w:hAnsi="Arial"/>
                <w:sz w:val="18"/>
                <w:szCs w:val="18"/>
                <w:b w:val="1"/>
                <w:bCs w:val="1"/>
                <w:color w:val="005CB9"/>
              </w:rPr>
              <w:t>F</w:t>
            </w:r>
          </w:p>
        </w:tc>
        <w:tc>
          <w:tcPr>
            <w:tcW w:w="400" w:type="dxa"/>
            <w:vAlign w:val="bottom"/>
            <w:tcBorders>
              <w:top w:val="single" w:sz="8" w:color="005CB9"/>
            </w:tcBorders>
          </w:tcPr>
          <w:p>
            <w:pPr>
              <w:ind w:left="140"/>
              <w:spacing w:after="0"/>
              <w:rPr>
                <w:sz w:val="20"/>
                <w:szCs w:val="20"/>
                <w:color w:val="auto"/>
              </w:rPr>
            </w:pPr>
            <w:r>
              <w:rPr>
                <w:rFonts w:ascii="Arial" w:cs="Arial" w:eastAsia="Arial" w:hAnsi="Arial"/>
                <w:sz w:val="18"/>
                <w:szCs w:val="18"/>
                <w:b w:val="1"/>
                <w:bCs w:val="1"/>
                <w:color w:val="005CB9"/>
              </w:rPr>
              <w:t>F</w:t>
            </w:r>
          </w:p>
        </w:tc>
        <w:tc>
          <w:tcPr>
            <w:tcW w:w="380" w:type="dxa"/>
            <w:vAlign w:val="bottom"/>
            <w:tcBorders>
              <w:top w:val="single" w:sz="8" w:color="005CB9"/>
              <w:bottom w:val="single" w:sz="8" w:color="EAEAEA"/>
            </w:tcBorders>
            <w:shd w:val="clear" w:color="auto" w:fill="EAEAEA"/>
          </w:tcPr>
          <w:p>
            <w:pPr>
              <w:ind w:left="140"/>
              <w:spacing w:after="0"/>
              <w:rPr>
                <w:sz w:val="20"/>
                <w:szCs w:val="20"/>
                <w:color w:val="auto"/>
              </w:rPr>
            </w:pPr>
            <w:r>
              <w:rPr>
                <w:rFonts w:ascii="Arial" w:cs="Arial" w:eastAsia="Arial" w:hAnsi="Arial"/>
                <w:sz w:val="18"/>
                <w:szCs w:val="18"/>
                <w:b w:val="1"/>
                <w:bCs w:val="1"/>
                <w:color w:val="005CB9"/>
              </w:rPr>
              <w:t>F</w:t>
            </w:r>
          </w:p>
        </w:tc>
        <w:tc>
          <w:tcPr>
            <w:tcW w:w="400" w:type="dxa"/>
            <w:vAlign w:val="bottom"/>
            <w:tcBorders>
              <w:top w:val="single" w:sz="8" w:color="005CB9"/>
            </w:tcBorders>
          </w:tcPr>
          <w:p>
            <w:pPr>
              <w:ind w:left="140"/>
              <w:spacing w:after="0"/>
              <w:rPr>
                <w:sz w:val="20"/>
                <w:szCs w:val="20"/>
                <w:color w:val="auto"/>
              </w:rPr>
            </w:pPr>
            <w:r>
              <w:rPr>
                <w:rFonts w:ascii="Arial" w:cs="Arial" w:eastAsia="Arial" w:hAnsi="Arial"/>
                <w:sz w:val="18"/>
                <w:szCs w:val="18"/>
                <w:b w:val="1"/>
                <w:bCs w:val="1"/>
                <w:color w:val="005CB9"/>
              </w:rPr>
              <w:t>M</w:t>
            </w:r>
          </w:p>
        </w:tc>
        <w:tc>
          <w:tcPr>
            <w:tcW w:w="380" w:type="dxa"/>
            <w:vAlign w:val="bottom"/>
            <w:tcBorders>
              <w:top w:val="single" w:sz="8" w:color="005CB9"/>
              <w:bottom w:val="single" w:sz="8" w:color="EAEAEA"/>
            </w:tcBorders>
            <w:shd w:val="clear" w:color="auto" w:fill="EAEAEA"/>
          </w:tcPr>
          <w:p>
            <w:pPr>
              <w:ind w:left="120"/>
              <w:spacing w:after="0"/>
              <w:rPr>
                <w:sz w:val="20"/>
                <w:szCs w:val="20"/>
                <w:color w:val="auto"/>
              </w:rPr>
            </w:pPr>
            <w:r>
              <w:rPr>
                <w:rFonts w:ascii="Arial" w:cs="Arial" w:eastAsia="Arial" w:hAnsi="Arial"/>
                <w:sz w:val="18"/>
                <w:szCs w:val="18"/>
                <w:b w:val="1"/>
                <w:bCs w:val="1"/>
                <w:color w:val="005CB9"/>
              </w:rPr>
              <w:t>M</w:t>
            </w:r>
          </w:p>
        </w:tc>
        <w:tc>
          <w:tcPr>
            <w:tcW w:w="400" w:type="dxa"/>
            <w:vAlign w:val="bottom"/>
            <w:tcBorders>
              <w:top w:val="single" w:sz="8" w:color="005CB9"/>
            </w:tcBorders>
          </w:tcPr>
          <w:p>
            <w:pPr>
              <w:ind w:left="140"/>
              <w:spacing w:after="0"/>
              <w:rPr>
                <w:sz w:val="20"/>
                <w:szCs w:val="20"/>
                <w:color w:val="auto"/>
              </w:rPr>
            </w:pPr>
            <w:r>
              <w:rPr>
                <w:rFonts w:ascii="Arial" w:cs="Arial" w:eastAsia="Arial" w:hAnsi="Arial"/>
                <w:sz w:val="18"/>
                <w:szCs w:val="18"/>
                <w:b w:val="1"/>
                <w:bCs w:val="1"/>
                <w:color w:val="005CB9"/>
              </w:rPr>
              <w:t>M</w:t>
            </w:r>
          </w:p>
        </w:tc>
        <w:tc>
          <w:tcPr>
            <w:tcW w:w="380" w:type="dxa"/>
            <w:vAlign w:val="bottom"/>
            <w:tcBorders>
              <w:top w:val="single" w:sz="8" w:color="005CB9"/>
              <w:bottom w:val="single" w:sz="8" w:color="EAEAEA"/>
            </w:tcBorders>
            <w:shd w:val="clear" w:color="auto" w:fill="EAEAEA"/>
          </w:tcPr>
          <w:p>
            <w:pPr>
              <w:ind w:left="140"/>
              <w:spacing w:after="0"/>
              <w:rPr>
                <w:sz w:val="20"/>
                <w:szCs w:val="20"/>
                <w:color w:val="auto"/>
              </w:rPr>
            </w:pPr>
            <w:r>
              <w:rPr>
                <w:rFonts w:ascii="Arial" w:cs="Arial" w:eastAsia="Arial" w:hAnsi="Arial"/>
                <w:sz w:val="18"/>
                <w:szCs w:val="18"/>
                <w:b w:val="1"/>
                <w:bCs w:val="1"/>
                <w:color w:val="005CB9"/>
              </w:rPr>
              <w:t>F</w:t>
            </w:r>
          </w:p>
        </w:tc>
        <w:tc>
          <w:tcPr>
            <w:tcW w:w="400" w:type="dxa"/>
            <w:vAlign w:val="bottom"/>
            <w:tcBorders>
              <w:top w:val="single" w:sz="8" w:color="005CB9"/>
            </w:tcBorders>
          </w:tcPr>
          <w:p>
            <w:pPr>
              <w:ind w:left="140"/>
              <w:spacing w:after="0"/>
              <w:rPr>
                <w:sz w:val="20"/>
                <w:szCs w:val="20"/>
                <w:color w:val="auto"/>
              </w:rPr>
            </w:pPr>
            <w:r>
              <w:rPr>
                <w:rFonts w:ascii="Arial" w:cs="Arial" w:eastAsia="Arial" w:hAnsi="Arial"/>
                <w:sz w:val="18"/>
                <w:szCs w:val="18"/>
                <w:b w:val="1"/>
                <w:bCs w:val="1"/>
                <w:color w:val="005CB9"/>
              </w:rPr>
              <w:t>M</w:t>
            </w:r>
          </w:p>
        </w:tc>
        <w:tc>
          <w:tcPr>
            <w:tcW w:w="400" w:type="dxa"/>
            <w:vAlign w:val="bottom"/>
            <w:tcBorders>
              <w:top w:val="single" w:sz="8" w:color="005CB9"/>
              <w:bottom w:val="single" w:sz="8" w:color="EAEAEA"/>
            </w:tcBorders>
            <w:shd w:val="clear" w:color="auto" w:fill="EAEAEA"/>
          </w:tcPr>
          <w:p>
            <w:pPr>
              <w:ind w:left="120"/>
              <w:spacing w:after="0"/>
              <w:rPr>
                <w:sz w:val="20"/>
                <w:szCs w:val="20"/>
                <w:color w:val="auto"/>
              </w:rPr>
            </w:pPr>
            <w:r>
              <w:rPr>
                <w:rFonts w:ascii="Arial" w:cs="Arial" w:eastAsia="Arial" w:hAnsi="Arial"/>
                <w:sz w:val="18"/>
                <w:szCs w:val="18"/>
                <w:b w:val="1"/>
                <w:bCs w:val="1"/>
                <w:color w:val="005CB9"/>
              </w:rPr>
              <w:t>M</w:t>
            </w:r>
          </w:p>
        </w:tc>
      </w:tr>
      <w:tr>
        <w:trPr>
          <w:trHeight w:val="277"/>
        </w:trPr>
        <w:tc>
          <w:tcPr>
            <w:tcW w:w="4120" w:type="dxa"/>
            <w:vAlign w:val="bottom"/>
            <w:tcBorders>
              <w:top w:val="single" w:sz="8" w:color="005CB9"/>
              <w:bottom w:val="single" w:sz="8" w:color="005CB9"/>
            </w:tcBorders>
          </w:tcPr>
          <w:p>
            <w:pPr>
              <w:ind w:left="80"/>
              <w:spacing w:after="0"/>
              <w:rPr>
                <w:sz w:val="20"/>
                <w:szCs w:val="20"/>
                <w:color w:val="auto"/>
              </w:rPr>
            </w:pPr>
            <w:r>
              <w:rPr>
                <w:rFonts w:ascii="Arial" w:cs="Arial" w:eastAsia="Arial" w:hAnsi="Arial"/>
                <w:sz w:val="13"/>
                <w:szCs w:val="13"/>
                <w:b w:val="1"/>
                <w:bCs w:val="1"/>
                <w:color w:val="005CB9"/>
              </w:rPr>
              <w:t>Diversity*</w:t>
            </w:r>
          </w:p>
        </w:tc>
        <w:tc>
          <w:tcPr>
            <w:tcW w:w="3360" w:type="dxa"/>
            <w:vAlign w:val="bottom"/>
            <w:tcBorders>
              <w:top w:val="single" w:sz="8" w:color="005CB9"/>
              <w:bottom w:val="single" w:sz="8" w:color="005CB9"/>
            </w:tcBorders>
          </w:tcPr>
          <w:p>
            <w:pPr>
              <w:spacing w:after="0"/>
              <w:rPr>
                <w:sz w:val="24"/>
                <w:szCs w:val="24"/>
                <w:color w:val="auto"/>
              </w:rPr>
            </w:pPr>
          </w:p>
        </w:tc>
        <w:tc>
          <w:tcPr>
            <w:tcW w:w="400" w:type="dxa"/>
            <w:vAlign w:val="bottom"/>
            <w:tcBorders>
              <w:top w:val="single" w:sz="8" w:color="005CB9"/>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top w:val="single" w:sz="8" w:color="005CB9"/>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80" w:type="dxa"/>
            <w:vAlign w:val="bottom"/>
            <w:tcBorders>
              <w:top w:val="single" w:sz="8" w:color="005CB9"/>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top w:val="single" w:sz="8" w:color="005CB9"/>
              <w:bottom w:val="single" w:sz="8" w:color="005CB9"/>
            </w:tcBorders>
          </w:tcPr>
          <w:p>
            <w:pPr>
              <w:spacing w:after="0"/>
              <w:rPr>
                <w:sz w:val="24"/>
                <w:szCs w:val="24"/>
                <w:color w:val="auto"/>
              </w:rPr>
            </w:pPr>
          </w:p>
        </w:tc>
        <w:tc>
          <w:tcPr>
            <w:tcW w:w="380" w:type="dxa"/>
            <w:vAlign w:val="bottom"/>
            <w:tcBorders>
              <w:top w:val="single" w:sz="8" w:color="005CB9"/>
              <w:bottom w:val="single" w:sz="8" w:color="005CB9"/>
            </w:tcBorders>
            <w:shd w:val="clear" w:color="auto" w:fill="EAEAEA"/>
          </w:tcPr>
          <w:p>
            <w:pPr>
              <w:spacing w:after="0"/>
              <w:rPr>
                <w:sz w:val="24"/>
                <w:szCs w:val="24"/>
                <w:color w:val="auto"/>
              </w:rPr>
            </w:pPr>
          </w:p>
        </w:tc>
        <w:tc>
          <w:tcPr>
            <w:tcW w:w="400" w:type="dxa"/>
            <w:vAlign w:val="bottom"/>
            <w:tcBorders>
              <w:top w:val="single" w:sz="8" w:color="005CB9"/>
              <w:bottom w:val="single" w:sz="8" w:color="005CB9"/>
            </w:tcBorders>
          </w:tcPr>
          <w:p>
            <w:pPr>
              <w:spacing w:after="0"/>
              <w:rPr>
                <w:sz w:val="24"/>
                <w:szCs w:val="24"/>
                <w:color w:val="auto"/>
              </w:rPr>
            </w:pPr>
          </w:p>
        </w:tc>
        <w:tc>
          <w:tcPr>
            <w:tcW w:w="380" w:type="dxa"/>
            <w:vAlign w:val="bottom"/>
            <w:tcBorders>
              <w:top w:val="single" w:sz="8" w:color="005CB9"/>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00" w:type="dxa"/>
            <w:vAlign w:val="bottom"/>
            <w:tcBorders>
              <w:top w:val="single" w:sz="8" w:color="005CB9"/>
              <w:bottom w:val="single" w:sz="8" w:color="005CB9"/>
            </w:tcBorders>
          </w:tcPr>
          <w:p>
            <w:pPr>
              <w:spacing w:after="0"/>
              <w:rPr>
                <w:sz w:val="24"/>
                <w:szCs w:val="24"/>
                <w:color w:val="auto"/>
              </w:rPr>
            </w:pPr>
          </w:p>
        </w:tc>
        <w:tc>
          <w:tcPr>
            <w:tcW w:w="400" w:type="dxa"/>
            <w:vAlign w:val="bottom"/>
            <w:tcBorders>
              <w:top w:val="single" w:sz="8" w:color="005CB9"/>
              <w:bottom w:val="single" w:sz="8" w:color="005CB9"/>
            </w:tcBorders>
            <w:shd w:val="clear" w:color="auto" w:fill="EAEAEA"/>
          </w:tcPr>
          <w:p>
            <w:pPr>
              <w:spacing w:after="0"/>
              <w:rPr>
                <w:sz w:val="24"/>
                <w:szCs w:val="24"/>
                <w:color w:val="auto"/>
              </w:rPr>
            </w:pPr>
          </w:p>
        </w:tc>
      </w:tr>
    </w:tbl>
    <w:p>
      <w:pPr>
        <w:spacing w:after="0" w:line="53"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005CB9"/>
        </w:rPr>
        <w:t>* Diversity includes Gender / Racial / Ethnic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368935</wp:posOffset>
            </wp:positionV>
            <wp:extent cx="4732020" cy="1431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732020"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7000" w:type="dxa"/>
        <w:tblCellMar>
          <w:top w:w="0" w:type="dxa"/>
          <w:left w:w="0" w:type="dxa"/>
          <w:bottom w:w="0" w:type="dxa"/>
          <w:right w:w="0" w:type="dxa"/>
        </w:tblCellMar>
      </w:tblPr>
      <w:tr>
        <w:trPr>
          <w:trHeight w:val="29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005CB9"/>
              </w:rPr>
              <w:t>9</w:t>
            </w:r>
          </w:p>
        </w:tc>
      </w:tr>
      <w:tr>
        <w:trPr>
          <w:trHeight w:val="101"/>
        </w:trPr>
        <w:tc>
          <w:tcPr>
            <w:tcW w:w="3900" w:type="dxa"/>
            <w:vAlign w:val="bottom"/>
            <w:tcBorders>
              <w:right w:val="single" w:sz="8" w:color="005CB9"/>
            </w:tcBorders>
          </w:tcPr>
          <w:p>
            <w:pPr>
              <w:spacing w:after="0"/>
              <w:rPr>
                <w:sz w:val="8"/>
                <w:szCs w:val="8"/>
                <w:color w:val="auto"/>
              </w:rPr>
            </w:pPr>
          </w:p>
        </w:tc>
        <w:tc>
          <w:tcPr>
            <w:tcW w:w="2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CORPORATE GOVERNANCE </w:t>
      </w:r>
      <w:r>
        <w:rPr>
          <w:rFonts w:ascii="Arial" w:cs="Arial" w:eastAsia="Arial" w:hAnsi="Arial"/>
          <w:sz w:val="18"/>
          <w:szCs w:val="18"/>
          <w:i w:val="1"/>
          <w:iCs w:val="1"/>
          <w:color w:val="005CB9"/>
        </w:rPr>
        <w:t>(CONTINUED)</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Proxy Access</w:t>
      </w:r>
    </w:p>
    <w:p>
      <w:pPr>
        <w:spacing w:after="0" w:line="120"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Our By-laws enable a shareholder, or a group of up to twenty shareholders, owning 3% or more of the Company’s outstanding common stock continuously for at least three years to nominate and include in our proxy materials up to the greater of two directors or 20% of the number of our directors then in office, provided that the shareholders and the nominees satisfy the requirements set forth in the By-laws.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Review and Approval of Related Person Transactions</w:t>
      </w:r>
    </w:p>
    <w:p>
      <w:pPr>
        <w:spacing w:after="0" w:line="120"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The Audit Committee is responsible for reviewing and approving, as appropriate, all transactions with related persons. Although we have not adopted written procedures for reviewing related person transactions, we will review any relationship or transaction in which the Company and our directors, executive officers or their immediate family members are participants to determine whether such persons have a direct or indirect material interest. There were no related person transactions during 2021.</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Shareholder Communications</w:t>
      </w:r>
    </w:p>
    <w:p>
      <w:pPr>
        <w:spacing w:after="0" w:line="120"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Shareholders or other interested parties may send written communications to our Board of Directors or non-management Board members in care of the Corporate Secretary to the address set forth below.</w:t>
      </w:r>
    </w:p>
    <w:p>
      <w:pPr>
        <w:spacing w:after="0" w:line="290"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440" w:type="dxa"/>
            <w:vAlign w:val="bottom"/>
            <w:tcBorders>
              <w:right w:val="single" w:sz="8" w:color="005CB9"/>
            </w:tcBorders>
          </w:tcPr>
          <w:p>
            <w:pPr>
              <w:jc w:val="right"/>
              <w:ind w:right="179"/>
              <w:spacing w:after="0"/>
              <w:rPr>
                <w:sz w:val="20"/>
                <w:szCs w:val="20"/>
                <w:color w:val="auto"/>
              </w:rPr>
            </w:pPr>
            <w:r>
              <w:rPr>
                <w:rFonts w:ascii="Arial" w:cs="Arial" w:eastAsia="Arial" w:hAnsi="Arial"/>
                <w:sz w:val="16"/>
                <w:szCs w:val="16"/>
                <w:b w:val="1"/>
                <w:bCs w:val="1"/>
                <w:color w:val="005CB9"/>
                <w:w w:val="89"/>
              </w:rPr>
              <w:t>10</w:t>
            </w:r>
          </w:p>
        </w:tc>
        <w:tc>
          <w:tcPr>
            <w:tcW w:w="4700" w:type="dxa"/>
            <w:vAlign w:val="bottom"/>
          </w:tcPr>
          <w:p>
            <w:pPr>
              <w:ind w:left="106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1"/>
        </w:trPr>
        <w:tc>
          <w:tcPr>
            <w:tcW w:w="440" w:type="dxa"/>
            <w:vAlign w:val="bottom"/>
            <w:tcBorders>
              <w:right w:val="single" w:sz="8" w:color="005CB9"/>
            </w:tcBorders>
          </w:tcPr>
          <w:p>
            <w:pPr>
              <w:spacing w:after="0"/>
              <w:rPr>
                <w:sz w:val="8"/>
                <w:szCs w:val="8"/>
                <w:color w:val="auto"/>
              </w:rPr>
            </w:pPr>
          </w:p>
        </w:tc>
        <w:tc>
          <w:tcPr>
            <w:tcW w:w="47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-205105</wp:posOffset>
            </wp:positionV>
            <wp:extent cx="42862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This process is also set forth on our website at </w:t>
      </w:r>
      <w:r>
        <w:rPr>
          <w:rFonts w:ascii="Arial" w:cs="Arial" w:eastAsia="Arial" w:hAnsi="Arial"/>
          <w:sz w:val="17"/>
          <w:szCs w:val="17"/>
          <w:i w:val="1"/>
          <w:iCs w:val="1"/>
          <w:color w:val="auto"/>
        </w:rPr>
        <w:t>www.ropertech.com</w:t>
      </w:r>
      <w:r>
        <w:rPr>
          <w:rFonts w:ascii="Arial" w:cs="Arial" w:eastAsia="Arial" w:hAnsi="Arial"/>
          <w:sz w:val="17"/>
          <w:szCs w:val="17"/>
          <w:color w:val="auto"/>
        </w:rPr>
        <w:t>. All communications will be kept confidential and promptly forwarded to the appropriate director. Items unrelated to a director’s duties and responsibilities as a Board member may be excluded by the Corporate Secretary, including, without limitation: solicitations and advertisements; junk mail; product-related communications; job referral materials such as resumes; surveys; and material that is determined to be illegal or otherwise inappropriate. The director to whom such information is addressed is informed that the information has been removed, and that it will be made available to such director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-2118360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8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 xml:space="preserve">Our Corporate Governance Guidelines, Code of Ethics, Director Independence Standards, and By-laws are available on our website at </w:t>
      </w:r>
      <w:r>
        <w:rPr>
          <w:rFonts w:ascii="Arial" w:cs="Arial" w:eastAsia="Arial" w:hAnsi="Arial"/>
          <w:sz w:val="17"/>
          <w:szCs w:val="17"/>
          <w:i w:val="1"/>
          <w:iCs w:val="1"/>
          <w:color w:val="auto"/>
        </w:rPr>
        <w:t>www.ropertech.com/governance-documents</w:t>
      </w:r>
      <w:r>
        <w:rPr>
          <w:rFonts w:ascii="Arial" w:cs="Arial" w:eastAsia="Arial" w:hAnsi="Arial"/>
          <w:sz w:val="17"/>
          <w:szCs w:val="17"/>
          <w:color w:val="auto"/>
        </w:rPr>
        <w:t>. Requests for copies of</w:t>
      </w:r>
      <w:r>
        <w:rPr>
          <w:rFonts w:ascii="Arial" w:cs="Arial" w:eastAsia="Arial" w:hAnsi="Arial"/>
          <w:sz w:val="17"/>
          <w:szCs w:val="17"/>
          <w:i w:val="1"/>
          <w:iCs w:val="1"/>
          <w:color w:val="auto"/>
        </w:rPr>
        <w:t xml:space="preserve"> </w:t>
      </w:r>
      <w:r>
        <w:rPr>
          <w:rFonts w:ascii="Arial" w:cs="Arial" w:eastAsia="Arial" w:hAnsi="Arial"/>
          <w:sz w:val="17"/>
          <w:szCs w:val="17"/>
          <w:color w:val="auto"/>
        </w:rPr>
        <w:t>these documents or of the full text of the By-law provision regarding director candidate nominations and communications to our Board of Directors or non-management Board members should be addressed to:</w:t>
      </w:r>
    </w:p>
    <w:p>
      <w:pPr>
        <w:spacing w:after="0" w:line="9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Roper Technologies, Inc.</w:t>
      </w:r>
    </w:p>
    <w:p>
      <w:pPr>
        <w:ind w:left="680"/>
        <w:spacing w:after="0" w:line="232" w:lineRule="auto"/>
        <w:rPr>
          <w:sz w:val="20"/>
          <w:szCs w:val="20"/>
          <w:color w:val="auto"/>
        </w:rPr>
      </w:pPr>
      <w:r>
        <w:rPr>
          <w:rFonts w:ascii="Arial" w:cs="Arial" w:eastAsia="Arial" w:hAnsi="Arial"/>
          <w:sz w:val="17"/>
          <w:szCs w:val="17"/>
          <w:color w:val="auto"/>
        </w:rPr>
        <w:t>6901 Professional Parkway</w:t>
      </w:r>
    </w:p>
    <w:p>
      <w:pPr>
        <w:ind w:left="680"/>
        <w:spacing w:after="0" w:line="232" w:lineRule="auto"/>
        <w:rPr>
          <w:sz w:val="20"/>
          <w:szCs w:val="20"/>
          <w:color w:val="auto"/>
        </w:rPr>
      </w:pPr>
      <w:r>
        <w:rPr>
          <w:rFonts w:ascii="Arial" w:cs="Arial" w:eastAsia="Arial" w:hAnsi="Arial"/>
          <w:sz w:val="17"/>
          <w:szCs w:val="17"/>
          <w:color w:val="auto"/>
        </w:rPr>
        <w:t>Suite 200</w:t>
      </w:r>
    </w:p>
    <w:p>
      <w:pPr>
        <w:ind w:left="680"/>
        <w:spacing w:after="0" w:line="232" w:lineRule="auto"/>
        <w:rPr>
          <w:sz w:val="20"/>
          <w:szCs w:val="20"/>
          <w:color w:val="auto"/>
        </w:rPr>
      </w:pPr>
      <w:r>
        <w:rPr>
          <w:rFonts w:ascii="Arial" w:cs="Arial" w:eastAsia="Arial" w:hAnsi="Arial"/>
          <w:sz w:val="17"/>
          <w:szCs w:val="17"/>
          <w:color w:val="auto"/>
        </w:rPr>
        <w:t>Sarasota, Florida 34240</w:t>
      </w:r>
    </w:p>
    <w:p>
      <w:pPr>
        <w:ind w:left="680"/>
        <w:spacing w:after="0"/>
        <w:rPr>
          <w:sz w:val="20"/>
          <w:szCs w:val="20"/>
          <w:color w:val="auto"/>
        </w:rPr>
      </w:pPr>
      <w:r>
        <w:rPr>
          <w:rFonts w:ascii="Arial" w:cs="Arial" w:eastAsia="Arial" w:hAnsi="Arial"/>
          <w:sz w:val="17"/>
          <w:szCs w:val="17"/>
          <w:color w:val="auto"/>
        </w:rPr>
        <w:t>Attention: Corporate Secretary</w:t>
      </w:r>
    </w:p>
    <w:p>
      <w:pPr>
        <w:sectPr>
          <w:pgSz w:w="11900" w:h="16838" w:orient="portrait"/>
          <w:cols w:equalWidth="0" w:num="2">
            <w:col w:w="5340" w:space="400"/>
            <w:col w:w="536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ESG</w:t>
      </w:r>
    </w:p>
    <w:p>
      <w:pPr>
        <w:spacing w:after="0" w:line="200" w:lineRule="exact"/>
        <w:rPr>
          <w:sz w:val="20"/>
          <w:szCs w:val="20"/>
          <w:color w:val="auto"/>
        </w:rPr>
      </w:pPr>
    </w:p>
    <w:p>
      <w:pPr>
        <w:spacing w:after="0" w:line="220" w:lineRule="exact"/>
        <w:rPr>
          <w:sz w:val="20"/>
          <w:szCs w:val="20"/>
          <w:color w:val="auto"/>
        </w:rPr>
      </w:pPr>
    </w:p>
    <w:p>
      <w:pPr>
        <w:ind w:left="120" w:right="100"/>
        <w:spacing w:after="0" w:line="233" w:lineRule="auto"/>
        <w:rPr>
          <w:sz w:val="20"/>
          <w:szCs w:val="20"/>
          <w:color w:val="auto"/>
        </w:rPr>
      </w:pPr>
      <w:r>
        <w:rPr>
          <w:rFonts w:ascii="Arial" w:cs="Arial" w:eastAsia="Arial" w:hAnsi="Arial"/>
          <w:sz w:val="17"/>
          <w:szCs w:val="17"/>
          <w:color w:val="auto"/>
        </w:rPr>
        <w:t>We are committed to conducting business in an ethically and socially responsible manner. We also recognize the importance of these topics with our current and potential future shareholders, customers and employees. In April 2022, we published our first comprehensive enterprise-wide Environmental, Social, and Governance (ESG) Report. In the report we provide an overview of the issues of importance to us and our stakeholders, disclose data regarding our performance in these areas, highlight some of the impactful activities already in place in our 43 companies, and identify areas where we aspire to improve.</w:t>
      </w:r>
    </w:p>
    <w:p>
      <w:pPr>
        <w:spacing w:after="0" w:line="20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Although Roper’s operating and governance structure is highly decentralized, our goal is to provide an environment and governance system that enables each business to further improve over time. This includes not only our financial performance, but our performance in other areas such as climate change, human rights and diversity, equity, and inclusion. Though our businesses are expected to improve each year in these areas, each of our business leaders has latitude to develop programs to drive the expected performance improvements, and our commitment is to be transparent about our progress.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ESG Strategy and Roadmap</w:t>
      </w:r>
    </w:p>
    <w:p>
      <w:pPr>
        <w:spacing w:after="0" w:line="12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strategic, collaborative approach to identifying and addressing our most impactful ESG areas has enabled us to make significant progress over the last year in better understanding how we, together with our operating businesses, can make the most significant, positive impact.</w:t>
      </w:r>
    </w:p>
    <w:p>
      <w:pPr>
        <w:spacing w:after="0" w:line="204"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This year, together with our businesses, we drafted the foundation of the Roper ESG program in alignment with our operational strategy. We developed an ESG Roadmap to help us identify our priorities, engage our businesses, and articulate our next steps in building our program. Many of our businesses have taken significant steps to address ESG-related topics, while others are just beginning. However, all our businesses were enthusiastically in support of the holistic effort to demonstrate how Roper and its businesses are addressing these critical issues.</w:t>
      </w:r>
    </w:p>
    <w:p>
      <w:pPr>
        <w:spacing w:after="0" w:line="202"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Given the highly decentralized operating model of our company, and the diversity in size and industry of our operating businesses, we envision making progress by empowering each of our businesses to focus on the unique needs of their respective stakeholders while providing a common structure for strategic and collaborative development.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In 2021 we appointed a Chief ESG Officer to spearhead our efforts to enhance our ESG program and each of our businesses appointed an ESG Coordinator to support continued progress along our ESG Roadmap. The coordinators will serve an essential role as we sustain the momentum generated during the first year of our collective ESG effort. Our ESG governance structure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-1744980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149225</wp:posOffset>
            </wp:positionV>
            <wp:extent cx="2640330" cy="15005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4033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005CB9"/>
        </w:rPr>
        <w:t>Approach to ESG</w:t>
      </w:r>
    </w:p>
    <w:p>
      <w:pPr>
        <w:spacing w:after="0" w:line="120"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In developing our Roper ESG strategy, our priority was to ensure alignment with existing Roper operating principles. Our method of management recognizes the diversity of our businesses and allows and encourages their respective strengths and areas of opportunity to develop organically.</w:t>
      </w:r>
    </w:p>
    <w:p>
      <w:pPr>
        <w:spacing w:after="0" w:line="20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Given these priorities, we first engaged in a comprehensive benchmarking, stakeholder engagement and a materiality assessment. This assessment helped us define a baseline with respect to Roper’s current ESG efforts.</w:t>
      </w:r>
    </w:p>
    <w:p>
      <w:pPr>
        <w:spacing w:after="0" w:line="203"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This baseline understanding then enabled us to initiate engagement with our businesses on the topic of ESG. Throughout this process, we will maintain our unique operational approach and allow our businesses to operate under our decentralized governance structure (and determine the methods for improving performance), while we provide encouragement, support and assistance on ESG matters.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5CB9"/>
        </w:rPr>
        <w:t>ESG Material Aspects</w:t>
      </w:r>
    </w:p>
    <w:p>
      <w:pPr>
        <w:spacing w:after="0" w:line="12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To further focus our ESG strategy on the ESG topics that are not only of greatest concern to our stakeholders, but also impact our company’s long-term value creation, we applied a lens of materiality. We developed our ESG material topic list by referencing benchmarking analyses, investor and management interview insights, policy gap analyses, and engagement with our businesses.</w:t>
      </w:r>
    </w:p>
    <w:p>
      <w:pPr>
        <w:spacing w:after="0" w:line="289" w:lineRule="exact"/>
        <w:rPr>
          <w:sz w:val="20"/>
          <w:szCs w:val="20"/>
          <w:color w:val="auto"/>
        </w:rPr>
      </w:pPr>
    </w:p>
    <w:tbl>
      <w:tblPr>
        <w:tblLayout w:type="fixed"/>
        <w:tblInd w:w="1180" w:type="dxa"/>
        <w:tblCellMar>
          <w:top w:w="0" w:type="dxa"/>
          <w:left w:w="0" w:type="dxa"/>
          <w:bottom w:w="0" w:type="dxa"/>
          <w:right w:w="0" w:type="dxa"/>
        </w:tblCellMar>
      </w:tblPr>
      <w:tr>
        <w:trPr>
          <w:trHeight w:val="29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005CB9"/>
              </w:rPr>
              <w:t>11</w:t>
            </w:r>
          </w:p>
        </w:tc>
      </w:tr>
      <w:tr>
        <w:trPr>
          <w:trHeight w:val="101"/>
        </w:trPr>
        <w:tc>
          <w:tcPr>
            <w:tcW w:w="3900" w:type="dxa"/>
            <w:vAlign w:val="bottom"/>
            <w:tcBorders>
              <w:right w:val="single" w:sz="8" w:color="005CB9"/>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-205105</wp:posOffset>
            </wp:positionV>
            <wp:extent cx="428625"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2">
            <w:col w:w="5400" w:space="340"/>
            <w:col w:w="540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ESG </w:t>
      </w:r>
      <w:r>
        <w:rPr>
          <w:rFonts w:ascii="Arial" w:cs="Arial" w:eastAsia="Arial" w:hAnsi="Arial"/>
          <w:sz w:val="18"/>
          <w:szCs w:val="18"/>
          <w:i w:val="1"/>
          <w:iCs w:val="1"/>
          <w:color w:val="005CB9"/>
        </w:rPr>
        <w:t>(CONTINUED)</w:t>
      </w:r>
    </w:p>
    <w:p>
      <w:pPr>
        <w:spacing w:after="0" w:line="21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resulting list of material ESG topics will guide us in enhancing the transparency of our ESG disclosures across our businesses. We will also be able to better meet the increasing investor interest in ESG data and information, allowing us to enhance our status as a superior long-term investment.</w:t>
      </w:r>
    </w:p>
    <w:p>
      <w:pPr>
        <w:spacing w:after="0" w:line="109" w:lineRule="exact"/>
        <w:rPr>
          <w:sz w:val="20"/>
          <w:szCs w:val="20"/>
          <w:color w:val="auto"/>
        </w:rPr>
      </w:pPr>
    </w:p>
    <w:p>
      <w:pPr>
        <w:ind w:left="500" w:hanging="222"/>
        <w:spacing w:after="0"/>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Corporate Governance</w:t>
      </w:r>
    </w:p>
    <w:p>
      <w:pPr>
        <w:spacing w:after="0" w:line="115" w:lineRule="exact"/>
        <w:rPr>
          <w:rFonts w:ascii="Arial" w:cs="Arial" w:eastAsia="Arial" w:hAnsi="Arial"/>
          <w:sz w:val="17"/>
          <w:szCs w:val="17"/>
          <w:color w:val="auto"/>
        </w:rPr>
      </w:pPr>
    </w:p>
    <w:p>
      <w:pPr>
        <w:ind w:left="500" w:hanging="222"/>
        <w:spacing w:after="0"/>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Culture &amp; Employee Engagement</w:t>
      </w:r>
    </w:p>
    <w:p>
      <w:pPr>
        <w:spacing w:after="0" w:line="115" w:lineRule="exact"/>
        <w:rPr>
          <w:rFonts w:ascii="Arial" w:cs="Arial" w:eastAsia="Arial" w:hAnsi="Arial"/>
          <w:sz w:val="17"/>
          <w:szCs w:val="17"/>
          <w:color w:val="auto"/>
        </w:rPr>
      </w:pPr>
    </w:p>
    <w:p>
      <w:pPr>
        <w:ind w:left="500" w:hanging="222"/>
        <w:spacing w:after="0"/>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Customer Environmental Impact</w:t>
      </w:r>
    </w:p>
    <w:p>
      <w:pPr>
        <w:spacing w:after="0" w:line="115" w:lineRule="exact"/>
        <w:rPr>
          <w:rFonts w:ascii="Arial" w:cs="Arial" w:eastAsia="Arial" w:hAnsi="Arial"/>
          <w:sz w:val="17"/>
          <w:szCs w:val="17"/>
          <w:color w:val="auto"/>
        </w:rPr>
      </w:pPr>
    </w:p>
    <w:p>
      <w:pPr>
        <w:ind w:left="500" w:hanging="222"/>
        <w:spacing w:after="0"/>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Data Privacy &amp; Cybersecurity</w:t>
      </w:r>
    </w:p>
    <w:p>
      <w:pPr>
        <w:spacing w:after="0" w:line="115" w:lineRule="exact"/>
        <w:rPr>
          <w:rFonts w:ascii="Arial" w:cs="Arial" w:eastAsia="Arial" w:hAnsi="Arial"/>
          <w:sz w:val="17"/>
          <w:szCs w:val="17"/>
          <w:color w:val="auto"/>
        </w:rPr>
      </w:pPr>
    </w:p>
    <w:p>
      <w:pPr>
        <w:ind w:left="500" w:hanging="222"/>
        <w:spacing w:after="0"/>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Diversity, Equity &amp; Inclusion</w:t>
      </w:r>
    </w:p>
    <w:p>
      <w:pPr>
        <w:spacing w:after="0" w:line="115" w:lineRule="exact"/>
        <w:rPr>
          <w:rFonts w:ascii="Arial" w:cs="Arial" w:eastAsia="Arial" w:hAnsi="Arial"/>
          <w:sz w:val="17"/>
          <w:szCs w:val="17"/>
          <w:color w:val="auto"/>
        </w:rPr>
      </w:pPr>
    </w:p>
    <w:p>
      <w:pPr>
        <w:ind w:left="500" w:hanging="222"/>
        <w:spacing w:after="0"/>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Energy &amp; Emissions</w:t>
      </w:r>
    </w:p>
    <w:p>
      <w:pPr>
        <w:spacing w:after="0" w:line="115" w:lineRule="exact"/>
        <w:rPr>
          <w:rFonts w:ascii="Arial" w:cs="Arial" w:eastAsia="Arial" w:hAnsi="Arial"/>
          <w:sz w:val="17"/>
          <w:szCs w:val="17"/>
          <w:color w:val="auto"/>
        </w:rPr>
      </w:pPr>
    </w:p>
    <w:p>
      <w:pPr>
        <w:ind w:left="500" w:hanging="222"/>
        <w:spacing w:after="0"/>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Ethics &amp; Compliance</w:t>
      </w:r>
    </w:p>
    <w:p>
      <w:pPr>
        <w:spacing w:after="0" w:line="115" w:lineRule="exact"/>
        <w:rPr>
          <w:rFonts w:ascii="Arial" w:cs="Arial" w:eastAsia="Arial" w:hAnsi="Arial"/>
          <w:sz w:val="17"/>
          <w:szCs w:val="17"/>
          <w:color w:val="auto"/>
        </w:rPr>
      </w:pPr>
    </w:p>
    <w:p>
      <w:pPr>
        <w:ind w:left="500" w:hanging="222"/>
        <w:spacing w:after="0"/>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Human Rights</w:t>
      </w:r>
    </w:p>
    <w:p>
      <w:pPr>
        <w:spacing w:after="0" w:line="378"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440" w:type="dxa"/>
            <w:vAlign w:val="bottom"/>
            <w:tcBorders>
              <w:right w:val="single" w:sz="8" w:color="005CB9"/>
            </w:tcBorders>
          </w:tcPr>
          <w:p>
            <w:pPr>
              <w:jc w:val="right"/>
              <w:ind w:right="179"/>
              <w:spacing w:after="0"/>
              <w:rPr>
                <w:sz w:val="20"/>
                <w:szCs w:val="20"/>
                <w:color w:val="auto"/>
              </w:rPr>
            </w:pPr>
            <w:r>
              <w:rPr>
                <w:rFonts w:ascii="Arial" w:cs="Arial" w:eastAsia="Arial" w:hAnsi="Arial"/>
                <w:sz w:val="16"/>
                <w:szCs w:val="16"/>
                <w:b w:val="1"/>
                <w:bCs w:val="1"/>
                <w:color w:val="005CB9"/>
                <w:w w:val="89"/>
              </w:rPr>
              <w:t>12</w:t>
            </w:r>
          </w:p>
        </w:tc>
        <w:tc>
          <w:tcPr>
            <w:tcW w:w="4700" w:type="dxa"/>
            <w:vAlign w:val="bottom"/>
          </w:tcPr>
          <w:p>
            <w:pPr>
              <w:ind w:left="106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0"/>
        </w:trPr>
        <w:tc>
          <w:tcPr>
            <w:tcW w:w="440" w:type="dxa"/>
            <w:vAlign w:val="bottom"/>
            <w:tcBorders>
              <w:right w:val="single" w:sz="8" w:color="005CB9"/>
            </w:tcBorders>
          </w:tcPr>
          <w:p>
            <w:pPr>
              <w:spacing w:after="0"/>
              <w:rPr>
                <w:sz w:val="8"/>
                <w:szCs w:val="8"/>
                <w:color w:val="auto"/>
              </w:rPr>
            </w:pPr>
          </w:p>
        </w:tc>
        <w:tc>
          <w:tcPr>
            <w:tcW w:w="47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-205105</wp:posOffset>
            </wp:positionV>
            <wp:extent cx="428625"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005CB9"/>
        </w:rPr>
        <w:t>The ESG Road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-913765</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0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This is the beginning of our ESG journey. Though we recognize there is much to do, we are confident in our ability to drive progress and live up to the expectations of our stakeholders.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In 2022, we plan to:</w:t>
      </w:r>
    </w:p>
    <w:p>
      <w:pPr>
        <w:spacing w:after="0" w:line="112" w:lineRule="exact"/>
        <w:rPr>
          <w:sz w:val="20"/>
          <w:szCs w:val="20"/>
          <w:color w:val="auto"/>
        </w:rPr>
      </w:pPr>
    </w:p>
    <w:p>
      <w:pPr>
        <w:ind w:left="380" w:hanging="224"/>
        <w:spacing w:after="0"/>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Further our engagement with stakeholders</w:t>
      </w:r>
    </w:p>
    <w:p>
      <w:pPr>
        <w:spacing w:after="0" w:line="115" w:lineRule="exact"/>
        <w:rPr>
          <w:rFonts w:ascii="Arial" w:cs="Arial" w:eastAsia="Arial" w:hAnsi="Arial"/>
          <w:sz w:val="17"/>
          <w:szCs w:val="17"/>
          <w:color w:val="auto"/>
        </w:rPr>
      </w:pPr>
    </w:p>
    <w:p>
      <w:pPr>
        <w:ind w:left="380" w:hanging="224"/>
        <w:spacing w:after="0"/>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Enhance and expand data collection efforts</w:t>
      </w:r>
    </w:p>
    <w:p>
      <w:pPr>
        <w:spacing w:after="0" w:line="115" w:lineRule="exact"/>
        <w:rPr>
          <w:rFonts w:ascii="Arial" w:cs="Arial" w:eastAsia="Arial" w:hAnsi="Arial"/>
          <w:sz w:val="17"/>
          <w:szCs w:val="17"/>
          <w:color w:val="auto"/>
        </w:rPr>
      </w:pPr>
    </w:p>
    <w:p>
      <w:pPr>
        <w:ind w:left="380" w:hanging="224"/>
        <w:spacing w:after="0"/>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Assess appropriate goals and targets</w:t>
      </w:r>
    </w:p>
    <w:p>
      <w:pPr>
        <w:spacing w:after="0" w:line="115" w:lineRule="exact"/>
        <w:rPr>
          <w:rFonts w:ascii="Arial" w:cs="Arial" w:eastAsia="Arial" w:hAnsi="Arial"/>
          <w:sz w:val="17"/>
          <w:szCs w:val="17"/>
          <w:color w:val="auto"/>
        </w:rPr>
      </w:pPr>
    </w:p>
    <w:p>
      <w:pPr>
        <w:ind w:left="380" w:hanging="224"/>
        <w:spacing w:after="0"/>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Assist operating businesses with their individual ESG efforts</w:t>
      </w:r>
    </w:p>
    <w:p>
      <w:pPr>
        <w:spacing w:after="0" w:line="210"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For more information on Roper’s approach to ESG and our programs, see our ESG Report available on our website. The information contained on, or available through, our website is not incorporated by reference in this Proxy Statement.</w:t>
      </w:r>
    </w:p>
    <w:p>
      <w:pPr>
        <w:sectPr>
          <w:pgSz w:w="11900" w:h="16838" w:orient="portrait"/>
          <w:cols w:equalWidth="0" w:num="2">
            <w:col w:w="5380" w:space="360"/>
            <w:col w:w="538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spacing w:after="0"/>
        <w:rPr>
          <w:sz w:val="20"/>
          <w:szCs w:val="20"/>
          <w:color w:val="auto"/>
        </w:rPr>
      </w:pPr>
      <w:r>
        <w:rPr>
          <w:rFonts w:ascii="Arial" w:cs="Arial" w:eastAsia="Arial" w:hAnsi="Arial"/>
          <w:sz w:val="28"/>
          <w:szCs w:val="28"/>
          <w:color w:val="005CB9"/>
        </w:rPr>
        <w:t>BOARD COMMITTEES AND MEETINGS</w:t>
      </w:r>
    </w:p>
    <w:p>
      <w:pPr>
        <w:spacing w:after="0" w:line="200" w:lineRule="exact"/>
        <w:rPr>
          <w:sz w:val="20"/>
          <w:szCs w:val="20"/>
          <w:color w:val="auto"/>
        </w:rPr>
      </w:pPr>
    </w:p>
    <w:p>
      <w:pPr>
        <w:spacing w:after="0" w:line="232" w:lineRule="exact"/>
        <w:rPr>
          <w:sz w:val="20"/>
          <w:szCs w:val="20"/>
          <w:color w:val="auto"/>
        </w:rPr>
      </w:pPr>
    </w:p>
    <w:p>
      <w:pPr>
        <w:ind w:left="120" w:right="380"/>
        <w:spacing w:after="0" w:line="235" w:lineRule="auto"/>
        <w:rPr>
          <w:sz w:val="20"/>
          <w:szCs w:val="20"/>
          <w:color w:val="auto"/>
        </w:rPr>
      </w:pPr>
      <w:r>
        <w:rPr>
          <w:rFonts w:ascii="Arial" w:cs="Arial" w:eastAsia="Arial" w:hAnsi="Arial"/>
          <w:sz w:val="17"/>
          <w:szCs w:val="17"/>
          <w:color w:val="auto"/>
        </w:rPr>
        <w:t>Our Board of Directors held seven meetings in 2021. With the exception of one director who was unable to attend one special meeting, each director participated in all of our Board meetings in 2021. In addition, each director participated in every one of our committee meetings held while such director was a committee member.</w:t>
      </w:r>
    </w:p>
    <w:p>
      <w:pPr>
        <w:spacing w:after="0" w:line="94"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Our Board has not implemented a formal policy regarding director attendance at the Annual Meeting of Shareholders, but encourages all directors to attend. All of our directors attended the 2021 Annual Meeting of Shareholders either in person or telephonically.</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Board Leadership Structure</w:t>
      </w:r>
    </w:p>
    <w:p>
      <w:pPr>
        <w:spacing w:after="0" w:line="120" w:lineRule="exact"/>
        <w:rPr>
          <w:sz w:val="20"/>
          <w:szCs w:val="20"/>
          <w:color w:val="auto"/>
        </w:rPr>
      </w:pPr>
    </w:p>
    <w:p>
      <w:pPr>
        <w:ind w:left="120" w:right="80"/>
        <w:spacing w:after="0" w:line="233" w:lineRule="auto"/>
        <w:rPr>
          <w:sz w:val="20"/>
          <w:szCs w:val="20"/>
          <w:color w:val="auto"/>
        </w:rPr>
      </w:pPr>
      <w:r>
        <w:rPr>
          <w:rFonts w:ascii="Arial" w:cs="Arial" w:eastAsia="Arial" w:hAnsi="Arial"/>
          <w:sz w:val="17"/>
          <w:szCs w:val="17"/>
          <w:color w:val="auto"/>
        </w:rPr>
        <w:t>Serving as a director of the Company since 2015, Ms. Brinkley became the Independent Board Chair in June 2021, following the retirement of our prior Chair, Mr. Wilbur Prezzano. Ms. Brinkley’s in-depth knowledge of our Company and deep expertise in risk management allows her to effectively identify strategic priorities, lead Board discussions, and oversee the execution of our Company’s strategy and business plans. The non-management Directors meet in executive session as frequently as they wish, but at least five times a year. The Independent Chair of the Board presides over these executive sessions.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Effective Board Processes</w:t>
      </w:r>
    </w:p>
    <w:p>
      <w:pPr>
        <w:spacing w:after="0" w:line="120"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As a result of our Board structure and processes, our directors are actively involved in overseeing the strategy, business and affairs of our Company, including its transformation to a diversified technology company. Our Board meetings typically extend over several days, with directors monitoring the existing portfolio of businesses and analyzing and carefully examining with management the different ways Roper can invest for future growth, both internally and through acquisitions. Between scheduled Board meetings, our directors continue their discussions with management and each other, enabling our Company to draw from their knowledge and expertise. Our directors are involved in our corporate strategy and must keep abreast of the issues encountered by our diverse global business operations.</w:t>
      </w:r>
    </w:p>
    <w:p>
      <w:pPr>
        <w:spacing w:after="0" w:line="9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The Board, including its Nominating and Governance Committee, has an effective Board recruitment and evaluation process that contributes bringing together a group of directors who complement each other and collectively provide oversight of management in ways that include challenging and discussing different perspectives.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5CB9"/>
        </w:rPr>
        <w:t>Executive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-1136650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00" w:lineRule="exact"/>
        <w:rPr>
          <w:sz w:val="20"/>
          <w:szCs w:val="20"/>
          <w:color w:val="auto"/>
        </w:rPr>
      </w:pPr>
    </w:p>
    <w:p>
      <w:pPr>
        <w:ind w:left="6" w:right="60"/>
        <w:spacing w:after="0" w:line="234" w:lineRule="auto"/>
        <w:rPr>
          <w:sz w:val="20"/>
          <w:szCs w:val="20"/>
          <w:color w:val="auto"/>
        </w:rPr>
      </w:pPr>
      <w:r>
        <w:rPr>
          <w:rFonts w:ascii="Arial" w:cs="Arial" w:eastAsia="Arial" w:hAnsi="Arial"/>
          <w:sz w:val="17"/>
          <w:szCs w:val="17"/>
          <w:color w:val="auto"/>
        </w:rPr>
        <w:t>Our Board recognizes the importance of effective leadership to our Company’s success and is actively engaged and involved, on an annual basis, in succession planning on both a long- and short-term basis. Our Company’s operating unit executives, who have responsibility for their respective businesses, but no “enterprise-wide” responsibilities, provide a broad and deep talent resource that is key to our executive succession planning.</w:t>
      </w:r>
    </w:p>
    <w:p>
      <w:pPr>
        <w:spacing w:after="0" w:line="18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5CB9"/>
        </w:rPr>
        <w:t>Risk Oversight</w:t>
      </w:r>
    </w:p>
    <w:p>
      <w:pPr>
        <w:spacing w:after="0" w:line="120" w:lineRule="exact"/>
        <w:rPr>
          <w:sz w:val="20"/>
          <w:szCs w:val="20"/>
          <w:color w:val="auto"/>
        </w:rPr>
      </w:pPr>
    </w:p>
    <w:p>
      <w:pPr>
        <w:ind w:left="6" w:right="40"/>
        <w:spacing w:after="0" w:line="233" w:lineRule="auto"/>
        <w:rPr>
          <w:sz w:val="20"/>
          <w:szCs w:val="20"/>
          <w:color w:val="auto"/>
        </w:rPr>
      </w:pPr>
      <w:r>
        <w:rPr>
          <w:rFonts w:ascii="Arial" w:cs="Arial" w:eastAsia="Arial" w:hAnsi="Arial"/>
          <w:sz w:val="17"/>
          <w:szCs w:val="17"/>
          <w:color w:val="auto"/>
        </w:rPr>
        <w:t>Our Board has overall responsibility for the oversight of risk management at our Company, which it generally carries out through Board committees. However, several categories of risk management, such as information technology security and data privacy, are overseen by our full Board. Our General Counsel informs each committee and the Board of relevant legal and compliance issues, and each committee also has access to our Company’s outside counsel or any other outside advisor when they deem it advisable. Each of these committees along with our management team, which is responsible for the implementation of the process to identify, manage and monitor risks, keeps the entire Board regularly apprised of the different risks associated with our Company.</w:t>
      </w:r>
    </w:p>
    <w:p>
      <w:pPr>
        <w:spacing w:after="0" w:line="112" w:lineRule="exact"/>
        <w:rPr>
          <w:sz w:val="20"/>
          <w:szCs w:val="20"/>
          <w:color w:val="auto"/>
        </w:rPr>
      </w:pPr>
    </w:p>
    <w:p>
      <w:pPr>
        <w:ind w:left="206" w:right="40" w:hanging="206"/>
        <w:spacing w:after="0" w:line="234" w:lineRule="auto"/>
        <w:tabs>
          <w:tab w:leader="none" w:pos="206"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Audit Committee oversees financial risk, including such factors as liquidity, credit, currency exchange and market conditions, through review and discussion with management, and monitors our Company’s risk management practices. It meets regularly with our independent auditors together with our Chief Compliance Officer, and our Vice President of Internal Audit, both of whom report directly to the Audit Committee. In addition to financial risk, the Audit Committee also reviews and discusses other risks that relate to our business activities and operations.</w:t>
      </w:r>
    </w:p>
    <w:p>
      <w:pPr>
        <w:spacing w:after="0" w:line="107" w:lineRule="exact"/>
        <w:rPr>
          <w:rFonts w:ascii="Arial" w:cs="Arial" w:eastAsia="Arial" w:hAnsi="Arial"/>
          <w:sz w:val="17"/>
          <w:szCs w:val="17"/>
          <w:color w:val="auto"/>
        </w:rPr>
      </w:pPr>
    </w:p>
    <w:p>
      <w:pPr>
        <w:ind w:left="206" w:right="100" w:hanging="206"/>
        <w:spacing w:after="0" w:line="236" w:lineRule="auto"/>
        <w:tabs>
          <w:tab w:leader="none" w:pos="206"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Compensation Committee, in overseeing risk associated with compensation programs and practices, has directly retained its own independent compensation consultant and meets periodically with management to discuss current issues.</w:t>
      </w:r>
    </w:p>
    <w:p>
      <w:pPr>
        <w:spacing w:after="0" w:line="108" w:lineRule="exact"/>
        <w:rPr>
          <w:rFonts w:ascii="Arial" w:cs="Arial" w:eastAsia="Arial" w:hAnsi="Arial"/>
          <w:sz w:val="17"/>
          <w:szCs w:val="17"/>
          <w:color w:val="auto"/>
        </w:rPr>
      </w:pPr>
    </w:p>
    <w:p>
      <w:pPr>
        <w:ind w:left="206" w:right="120" w:hanging="206"/>
        <w:spacing w:after="0" w:line="238" w:lineRule="auto"/>
        <w:tabs>
          <w:tab w:leader="none" w:pos="206"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Nominating and Governance Committee monitors the compliance of our corporate governance practices and policies with applicable requirements and evolving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1186" w:type="dxa"/>
        <w:tblCellMar>
          <w:top w:w="0" w:type="dxa"/>
          <w:left w:w="0" w:type="dxa"/>
          <w:bottom w:w="0" w:type="dxa"/>
          <w:right w:w="0" w:type="dxa"/>
        </w:tblCellMar>
      </w:tblPr>
      <w:tr>
        <w:trPr>
          <w:trHeight w:val="29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005CB9"/>
              </w:rPr>
              <w:t>13</w:t>
            </w:r>
          </w:p>
        </w:tc>
      </w:tr>
      <w:tr>
        <w:trPr>
          <w:trHeight w:val="100"/>
        </w:trPr>
        <w:tc>
          <w:tcPr>
            <w:tcW w:w="3900" w:type="dxa"/>
            <w:vAlign w:val="bottom"/>
            <w:tcBorders>
              <w:right w:val="single" w:sz="8" w:color="005CB9"/>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-205105</wp:posOffset>
            </wp:positionV>
            <wp:extent cx="428625"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2">
            <w:col w:w="5420" w:space="314"/>
            <w:col w:w="5406"/>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BOARD COMMITTEES AND MEETINGS </w:t>
      </w:r>
      <w:r>
        <w:rPr>
          <w:rFonts w:ascii="Arial" w:cs="Arial" w:eastAsia="Arial" w:hAnsi="Arial"/>
          <w:sz w:val="18"/>
          <w:szCs w:val="18"/>
          <w:i w:val="1"/>
          <w:iCs w:val="1"/>
          <w:color w:val="005CB9"/>
        </w:rPr>
        <w:t>(CONTINUED)</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Cybersecurity and Data Privacy</w:t>
      </w:r>
    </w:p>
    <w:p>
      <w:pPr>
        <w:spacing w:after="0" w:line="12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Our Board of Directors has not delegated responsibility for cybersecurity matters or data privacy matters to a committee. Rather, the Board believes that due to the importance and continually evolving nature of cybersecurity threats and data privacy obligations, all members of the Board should participate in the oversight of the topics. As a result, the Board is briefed on cybersecurity matters and data privacy matters at least twice a year by our VP of Cybersecurity and our Office of General Counsel, respectively. Roper’s VP of Internal Audit also periodically briefs the Audit Committee on cybersecurity matters and related risks. In order to mitigate the risk associated with cyber threats, Roper maintains cybersecurity insurance coverage and incident response retainer with a leading security provider. In addition, Roper conducts cybersecurity awareness training for its employees at least twice a year and has a continuing “phishing” campaign to enhance the awareness of cyberthreats among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244475</wp:posOffset>
            </wp:positionV>
            <wp:extent cx="4131945" cy="2997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13194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employees. A 24x7 Managed Detection and Response solution is deployed across all of our businesses to prevent and remediate cyberthreats. Finally, all of our businesses apply the Cybersecurity Framework of the National Institute of Standards and Technology to help assess and manage their respective cybersecurity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-1400175</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05CB9"/>
        </w:rPr>
        <w:t>Board Committees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Our Board has four standing committees: Audit, Compensation,</w:t>
      </w:r>
    </w:p>
    <w:p>
      <w:pPr>
        <w:spacing w:after="0" w:line="232" w:lineRule="auto"/>
        <w:rPr>
          <w:sz w:val="20"/>
          <w:szCs w:val="20"/>
          <w:color w:val="auto"/>
        </w:rPr>
      </w:pPr>
      <w:r>
        <w:rPr>
          <w:rFonts w:ascii="Arial" w:cs="Arial" w:eastAsia="Arial" w:hAnsi="Arial"/>
          <w:sz w:val="17"/>
          <w:szCs w:val="17"/>
          <w:color w:val="auto"/>
        </w:rPr>
        <w:t>Nominating and Governance, and Executive. All four committees</w:t>
      </w:r>
    </w:p>
    <w:p>
      <w:pPr>
        <w:spacing w:after="0" w:line="232" w:lineRule="auto"/>
        <w:rPr>
          <w:sz w:val="20"/>
          <w:szCs w:val="20"/>
          <w:color w:val="auto"/>
        </w:rPr>
      </w:pPr>
      <w:r>
        <w:rPr>
          <w:rFonts w:ascii="Arial" w:cs="Arial" w:eastAsia="Arial" w:hAnsi="Arial"/>
          <w:sz w:val="17"/>
          <w:szCs w:val="17"/>
          <w:color w:val="auto"/>
        </w:rPr>
        <w:t>operate under written charters, copies of which can be obtained upon</w:t>
      </w:r>
    </w:p>
    <w:p>
      <w:pPr>
        <w:spacing w:after="0" w:line="232" w:lineRule="auto"/>
        <w:rPr>
          <w:sz w:val="20"/>
          <w:szCs w:val="20"/>
          <w:color w:val="auto"/>
        </w:rPr>
      </w:pPr>
      <w:r>
        <w:rPr>
          <w:rFonts w:ascii="Arial" w:cs="Arial" w:eastAsia="Arial" w:hAnsi="Arial"/>
          <w:sz w:val="17"/>
          <w:szCs w:val="17"/>
          <w:color w:val="auto"/>
        </w:rPr>
        <w:t>request from the Corporate Secretary or viewed on Roper’s website</w:t>
      </w:r>
    </w:p>
    <w:p>
      <w:pPr>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www.ropertech.com/governance-documents</w:t>
      </w:r>
      <w:r>
        <w:rPr>
          <w:rFonts w:ascii="Arial" w:cs="Arial" w:eastAsia="Arial" w:hAnsi="Arial"/>
          <w:sz w:val="17"/>
          <w:szCs w:val="17"/>
          <w:color w:val="auto"/>
        </w:rPr>
        <w:t>). Each committee reviews</w:t>
      </w:r>
    </w:p>
    <w:p>
      <w:pPr>
        <w:spacing w:after="0" w:line="232" w:lineRule="auto"/>
        <w:rPr>
          <w:sz w:val="20"/>
          <w:szCs w:val="20"/>
          <w:color w:val="auto"/>
        </w:rPr>
      </w:pPr>
      <w:r>
        <w:rPr>
          <w:rFonts w:ascii="Arial" w:cs="Arial" w:eastAsia="Arial" w:hAnsi="Arial"/>
          <w:sz w:val="17"/>
          <w:szCs w:val="17"/>
          <w:color w:val="auto"/>
        </w:rPr>
        <w:t>its charter annually and reports its activities to the full Board on a</w:t>
      </w:r>
    </w:p>
    <w:p>
      <w:pPr>
        <w:spacing w:after="0"/>
        <w:rPr>
          <w:sz w:val="20"/>
          <w:szCs w:val="20"/>
          <w:color w:val="auto"/>
        </w:rPr>
      </w:pPr>
      <w:r>
        <w:rPr>
          <w:rFonts w:ascii="Arial" w:cs="Arial" w:eastAsia="Arial" w:hAnsi="Arial"/>
          <w:sz w:val="17"/>
          <w:szCs w:val="17"/>
          <w:color w:val="auto"/>
        </w:rPr>
        <w:t>regular basis.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current committee memberships are set forth below.</w:t>
      </w:r>
    </w:p>
    <w:p>
      <w:pPr>
        <w:spacing w:after="0" w:line="200" w:lineRule="exact"/>
        <w:rPr>
          <w:sz w:val="20"/>
          <w:szCs w:val="20"/>
          <w:color w:val="auto"/>
        </w:rPr>
      </w:pPr>
    </w:p>
    <w:p>
      <w:pPr>
        <w:spacing w:after="0" w:line="326"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760" w:type="dxa"/>
            <w:vAlign w:val="bottom"/>
            <w:shd w:val="clear" w:color="auto" w:fill="005CB9"/>
          </w:tcPr>
          <w:p>
            <w:pPr>
              <w:spacing w:after="0"/>
              <w:rPr>
                <w:sz w:val="20"/>
                <w:szCs w:val="20"/>
                <w:color w:val="auto"/>
              </w:rPr>
            </w:pPr>
          </w:p>
        </w:tc>
        <w:tc>
          <w:tcPr>
            <w:tcW w:w="1300" w:type="dxa"/>
            <w:vAlign w:val="bottom"/>
            <w:shd w:val="clear" w:color="auto" w:fill="005CB9"/>
          </w:tcPr>
          <w:p>
            <w:pPr>
              <w:spacing w:after="0"/>
              <w:rPr>
                <w:sz w:val="20"/>
                <w:szCs w:val="20"/>
                <w:color w:val="auto"/>
              </w:rPr>
            </w:pPr>
          </w:p>
        </w:tc>
        <w:tc>
          <w:tcPr>
            <w:tcW w:w="146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Nominating and</w:t>
            </w:r>
          </w:p>
        </w:tc>
        <w:tc>
          <w:tcPr>
            <w:tcW w:w="1000" w:type="dxa"/>
            <w:vAlign w:val="bottom"/>
            <w:shd w:val="clear" w:color="auto" w:fill="005CB9"/>
          </w:tcPr>
          <w:p>
            <w:pPr>
              <w:spacing w:after="0"/>
              <w:rPr>
                <w:sz w:val="20"/>
                <w:szCs w:val="20"/>
                <w:color w:val="auto"/>
              </w:rPr>
            </w:pPr>
          </w:p>
        </w:tc>
      </w:tr>
      <w:tr>
        <w:trPr>
          <w:trHeight w:val="186"/>
        </w:trPr>
        <w:tc>
          <w:tcPr>
            <w:tcW w:w="760" w:type="dxa"/>
            <w:vAlign w:val="bottom"/>
            <w:shd w:val="clear" w:color="auto" w:fill="005CB9"/>
          </w:tcPr>
          <w:p>
            <w:pPr>
              <w:ind w:left="240"/>
              <w:spacing w:after="0"/>
              <w:rPr>
                <w:sz w:val="20"/>
                <w:szCs w:val="20"/>
                <w:color w:val="auto"/>
              </w:rPr>
            </w:pPr>
            <w:r>
              <w:rPr>
                <w:rFonts w:ascii="Arial" w:cs="Arial" w:eastAsia="Arial" w:hAnsi="Arial"/>
                <w:sz w:val="14"/>
                <w:szCs w:val="14"/>
                <w:color w:val="FFFFFF"/>
              </w:rPr>
              <w:t>Audit</w:t>
            </w:r>
          </w:p>
        </w:tc>
        <w:tc>
          <w:tcPr>
            <w:tcW w:w="1300" w:type="dxa"/>
            <w:vAlign w:val="bottom"/>
            <w:shd w:val="clear" w:color="auto" w:fill="005CB9"/>
          </w:tcPr>
          <w:p>
            <w:pPr>
              <w:ind w:left="180"/>
              <w:spacing w:after="0"/>
              <w:rPr>
                <w:sz w:val="20"/>
                <w:szCs w:val="20"/>
                <w:color w:val="auto"/>
              </w:rPr>
            </w:pPr>
            <w:r>
              <w:rPr>
                <w:rFonts w:ascii="Arial" w:cs="Arial" w:eastAsia="Arial" w:hAnsi="Arial"/>
                <w:sz w:val="14"/>
                <w:szCs w:val="14"/>
                <w:color w:val="FFFFFF"/>
              </w:rPr>
              <w:t>Compensation</w:t>
            </w:r>
          </w:p>
        </w:tc>
        <w:tc>
          <w:tcPr>
            <w:tcW w:w="146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Governance</w:t>
            </w:r>
          </w:p>
        </w:tc>
        <w:tc>
          <w:tcPr>
            <w:tcW w:w="1000" w:type="dxa"/>
            <w:vAlign w:val="bottom"/>
            <w:shd w:val="clear" w:color="auto" w:fill="005CB9"/>
          </w:tcPr>
          <w:p>
            <w:pPr>
              <w:ind w:left="180"/>
              <w:spacing w:after="0"/>
              <w:rPr>
                <w:sz w:val="20"/>
                <w:szCs w:val="20"/>
                <w:color w:val="auto"/>
              </w:rPr>
            </w:pPr>
            <w:r>
              <w:rPr>
                <w:rFonts w:ascii="Arial" w:cs="Arial" w:eastAsia="Arial" w:hAnsi="Arial"/>
                <w:sz w:val="14"/>
                <w:szCs w:val="14"/>
                <w:color w:val="FFFFFF"/>
              </w:rPr>
              <w:t>Executive</w:t>
            </w:r>
          </w:p>
        </w:tc>
      </w:tr>
      <w:tr>
        <w:trPr>
          <w:trHeight w:val="53"/>
        </w:trPr>
        <w:tc>
          <w:tcPr>
            <w:tcW w:w="760" w:type="dxa"/>
            <w:vAlign w:val="bottom"/>
            <w:shd w:val="clear" w:color="auto" w:fill="005CB9"/>
          </w:tcPr>
          <w:p>
            <w:pPr>
              <w:spacing w:after="0"/>
              <w:rPr>
                <w:sz w:val="4"/>
                <w:szCs w:val="4"/>
                <w:color w:val="auto"/>
              </w:rPr>
            </w:pPr>
          </w:p>
        </w:tc>
        <w:tc>
          <w:tcPr>
            <w:tcW w:w="1300" w:type="dxa"/>
            <w:vAlign w:val="bottom"/>
            <w:shd w:val="clear" w:color="auto" w:fill="005CB9"/>
          </w:tcPr>
          <w:p>
            <w:pPr>
              <w:spacing w:after="0"/>
              <w:rPr>
                <w:sz w:val="4"/>
                <w:szCs w:val="4"/>
                <w:color w:val="auto"/>
              </w:rPr>
            </w:pPr>
          </w:p>
        </w:tc>
        <w:tc>
          <w:tcPr>
            <w:tcW w:w="1460" w:type="dxa"/>
            <w:vAlign w:val="bottom"/>
            <w:shd w:val="clear" w:color="auto" w:fill="005CB9"/>
          </w:tcPr>
          <w:p>
            <w:pPr>
              <w:spacing w:after="0"/>
              <w:rPr>
                <w:sz w:val="4"/>
                <w:szCs w:val="4"/>
                <w:color w:val="auto"/>
              </w:rPr>
            </w:pPr>
          </w:p>
        </w:tc>
        <w:tc>
          <w:tcPr>
            <w:tcW w:w="1000" w:type="dxa"/>
            <w:vAlign w:val="bottom"/>
            <w:shd w:val="clear" w:color="auto" w:fill="005CB9"/>
          </w:tcPr>
          <w:p>
            <w:pPr>
              <w:spacing w:after="0"/>
              <w:rPr>
                <w:sz w:val="4"/>
                <w:szCs w:val="4"/>
                <w:color w:val="auto"/>
              </w:rPr>
            </w:pPr>
          </w:p>
        </w:tc>
      </w:tr>
    </w:tbl>
    <w:p>
      <w:pPr>
        <w:spacing w:after="0" w:line="14" w:lineRule="exact"/>
        <w:rPr>
          <w:sz w:val="20"/>
          <w:szCs w:val="20"/>
          <w:color w:val="auto"/>
        </w:rPr>
      </w:pPr>
    </w:p>
    <w:p>
      <w:pPr>
        <w:sectPr>
          <w:pgSz w:w="11900" w:h="16838" w:orient="portrait"/>
          <w:cols w:equalWidth="0" w:num="2">
            <w:col w:w="5340" w:space="400"/>
            <w:col w:w="5400"/>
          </w:cols>
          <w:pgMar w:left="320" w:top="459" w:right="439" w:bottom="1440" w:gutter="0" w:footer="0" w:header="0"/>
        </w:sectPr>
      </w:pPr>
    </w:p>
    <w:tbl>
      <w:tblPr>
        <w:tblLayout w:type="fixed"/>
        <w:tblInd w:w="120" w:type="dxa"/>
        <w:tblCellMar>
          <w:top w:w="0" w:type="dxa"/>
          <w:left w:w="0" w:type="dxa"/>
          <w:bottom w:w="0" w:type="dxa"/>
          <w:right w:w="0" w:type="dxa"/>
        </w:tblCellMar>
      </w:tblPr>
      <w:tr>
        <w:trPr>
          <w:trHeight w:val="225"/>
        </w:trPr>
        <w:tc>
          <w:tcPr>
            <w:tcW w:w="4260" w:type="dxa"/>
            <w:vAlign w:val="bottom"/>
          </w:tcPr>
          <w:p>
            <w:pPr>
              <w:ind w:left="60"/>
              <w:spacing w:after="0"/>
              <w:rPr>
                <w:sz w:val="20"/>
                <w:szCs w:val="20"/>
                <w:color w:val="auto"/>
              </w:rPr>
            </w:pPr>
            <w:r>
              <w:rPr>
                <w:rFonts w:ascii="Arial" w:cs="Arial" w:eastAsia="Arial" w:hAnsi="Arial"/>
                <w:sz w:val="17"/>
                <w:szCs w:val="17"/>
                <w:color w:val="auto"/>
              </w:rPr>
              <w:t>Shellye L. Archambeau</w:t>
            </w:r>
          </w:p>
        </w:tc>
        <w:tc>
          <w:tcPr>
            <w:tcW w:w="6760" w:type="dxa"/>
            <w:vAlign w:val="bottom"/>
          </w:tcPr>
          <w:p>
            <w:pPr>
              <w:ind w:left="4780"/>
              <w:spacing w:after="0"/>
              <w:rPr>
                <w:sz w:val="20"/>
                <w:szCs w:val="20"/>
                <w:color w:val="auto"/>
              </w:rPr>
            </w:pPr>
            <w:r>
              <w:rPr>
                <w:rFonts w:ascii="Arial" w:cs="Arial" w:eastAsia="Arial" w:hAnsi="Arial"/>
                <w:sz w:val="17"/>
                <w:szCs w:val="17"/>
                <w:b w:val="1"/>
                <w:bCs w:val="1"/>
                <w:color w:val="005CB9"/>
              </w:rPr>
              <w:t>Chair</w:t>
            </w:r>
          </w:p>
        </w:tc>
      </w:tr>
      <w:tr>
        <w:trPr>
          <w:trHeight w:val="98"/>
        </w:trPr>
        <w:tc>
          <w:tcPr>
            <w:tcW w:w="4260" w:type="dxa"/>
            <w:vAlign w:val="bottom"/>
            <w:tcBorders>
              <w:bottom w:val="single" w:sz="8" w:color="005CB9"/>
            </w:tcBorders>
          </w:tcPr>
          <w:p>
            <w:pPr>
              <w:spacing w:after="0"/>
              <w:rPr>
                <w:sz w:val="8"/>
                <w:szCs w:val="8"/>
                <w:color w:val="auto"/>
              </w:rPr>
            </w:pPr>
          </w:p>
        </w:tc>
        <w:tc>
          <w:tcPr>
            <w:tcW w:w="6760" w:type="dxa"/>
            <w:vAlign w:val="bottom"/>
            <w:tcBorders>
              <w:bottom w:val="single" w:sz="8" w:color="005CB9"/>
            </w:tcBorders>
          </w:tcPr>
          <w:p>
            <w:pPr>
              <w:spacing w:after="0"/>
              <w:rPr>
                <w:sz w:val="8"/>
                <w:szCs w:val="8"/>
                <w:color w:val="auto"/>
              </w:rPr>
            </w:pPr>
          </w:p>
        </w:tc>
      </w:tr>
      <w:tr>
        <w:trPr>
          <w:trHeight w:val="233"/>
        </w:trPr>
        <w:tc>
          <w:tcPr>
            <w:tcW w:w="4260" w:type="dxa"/>
            <w:vAlign w:val="bottom"/>
          </w:tcPr>
          <w:p>
            <w:pPr>
              <w:ind w:left="60"/>
              <w:spacing w:after="0"/>
              <w:rPr>
                <w:sz w:val="20"/>
                <w:szCs w:val="20"/>
                <w:color w:val="auto"/>
              </w:rPr>
            </w:pPr>
            <w:r>
              <w:rPr>
                <w:rFonts w:ascii="Arial" w:cs="Arial" w:eastAsia="Arial" w:hAnsi="Arial"/>
                <w:sz w:val="17"/>
                <w:szCs w:val="17"/>
                <w:color w:val="auto"/>
              </w:rPr>
              <w:t>Amy Woods Brinkley</w:t>
            </w:r>
          </w:p>
        </w:tc>
        <w:tc>
          <w:tcPr>
            <w:tcW w:w="6760" w:type="dxa"/>
            <w:vAlign w:val="bottom"/>
          </w:tcPr>
          <w:p>
            <w:pPr>
              <w:ind w:left="6040"/>
              <w:spacing w:after="0"/>
              <w:rPr>
                <w:sz w:val="20"/>
                <w:szCs w:val="20"/>
                <w:color w:val="auto"/>
              </w:rPr>
            </w:pPr>
            <w:r>
              <w:rPr>
                <w:rFonts w:ascii="Arial" w:cs="Arial" w:eastAsia="Arial" w:hAnsi="Arial"/>
                <w:sz w:val="17"/>
                <w:szCs w:val="17"/>
                <w:b w:val="1"/>
                <w:bCs w:val="1"/>
                <w:color w:val="005CB9"/>
              </w:rPr>
              <w:t>Chair</w:t>
            </w:r>
          </w:p>
        </w:tc>
      </w:tr>
      <w:tr>
        <w:trPr>
          <w:trHeight w:val="98"/>
        </w:trPr>
        <w:tc>
          <w:tcPr>
            <w:tcW w:w="4260" w:type="dxa"/>
            <w:vAlign w:val="bottom"/>
            <w:tcBorders>
              <w:bottom w:val="single" w:sz="8" w:color="005CB9"/>
            </w:tcBorders>
          </w:tcPr>
          <w:p>
            <w:pPr>
              <w:spacing w:after="0"/>
              <w:rPr>
                <w:sz w:val="8"/>
                <w:szCs w:val="8"/>
                <w:color w:val="auto"/>
              </w:rPr>
            </w:pPr>
          </w:p>
        </w:tc>
        <w:tc>
          <w:tcPr>
            <w:tcW w:w="6760" w:type="dxa"/>
            <w:vAlign w:val="bottom"/>
            <w:tcBorders>
              <w:bottom w:val="single" w:sz="8" w:color="005CB9"/>
            </w:tcBorders>
          </w:tcPr>
          <w:p>
            <w:pPr>
              <w:spacing w:after="0"/>
              <w:rPr>
                <w:sz w:val="8"/>
                <w:szCs w:val="8"/>
                <w:color w:val="auto"/>
              </w:rPr>
            </w:pPr>
          </w:p>
        </w:tc>
      </w:tr>
      <w:tr>
        <w:trPr>
          <w:trHeight w:val="233"/>
        </w:trPr>
        <w:tc>
          <w:tcPr>
            <w:tcW w:w="4260" w:type="dxa"/>
            <w:vAlign w:val="bottom"/>
          </w:tcPr>
          <w:p>
            <w:pPr>
              <w:ind w:left="60"/>
              <w:spacing w:after="0"/>
              <w:rPr>
                <w:sz w:val="20"/>
                <w:szCs w:val="20"/>
                <w:color w:val="auto"/>
              </w:rPr>
            </w:pPr>
            <w:r>
              <w:rPr>
                <w:rFonts w:ascii="Arial" w:cs="Arial" w:eastAsia="Arial" w:hAnsi="Arial"/>
                <w:sz w:val="17"/>
                <w:szCs w:val="17"/>
                <w:color w:val="auto"/>
              </w:rPr>
              <w:t>Irene M. Esteves</w:t>
            </w:r>
          </w:p>
        </w:tc>
        <w:tc>
          <w:tcPr>
            <w:tcW w:w="6760" w:type="dxa"/>
            <w:vAlign w:val="bottom"/>
          </w:tcPr>
          <w:p>
            <w:pPr>
              <w:spacing w:after="0"/>
              <w:rPr>
                <w:sz w:val="20"/>
                <w:szCs w:val="20"/>
                <w:color w:val="auto"/>
              </w:rPr>
            </w:pPr>
          </w:p>
        </w:tc>
      </w:tr>
      <w:tr>
        <w:trPr>
          <w:trHeight w:val="99"/>
        </w:trPr>
        <w:tc>
          <w:tcPr>
            <w:tcW w:w="4260" w:type="dxa"/>
            <w:vAlign w:val="bottom"/>
            <w:tcBorders>
              <w:bottom w:val="single" w:sz="8" w:color="005CB9"/>
            </w:tcBorders>
          </w:tcPr>
          <w:p>
            <w:pPr>
              <w:spacing w:after="0"/>
              <w:rPr>
                <w:sz w:val="8"/>
                <w:szCs w:val="8"/>
                <w:color w:val="auto"/>
              </w:rPr>
            </w:pPr>
          </w:p>
        </w:tc>
        <w:tc>
          <w:tcPr>
            <w:tcW w:w="6760" w:type="dxa"/>
            <w:vAlign w:val="bottom"/>
            <w:tcBorders>
              <w:bottom w:val="single" w:sz="8" w:color="005CB9"/>
            </w:tcBorders>
          </w:tcPr>
          <w:p>
            <w:pPr>
              <w:spacing w:after="0"/>
              <w:rPr>
                <w:sz w:val="8"/>
                <w:szCs w:val="8"/>
                <w:color w:val="auto"/>
              </w:rPr>
            </w:pPr>
          </w:p>
        </w:tc>
      </w:tr>
      <w:tr>
        <w:trPr>
          <w:trHeight w:val="233"/>
        </w:trPr>
        <w:tc>
          <w:tcPr>
            <w:tcW w:w="4260" w:type="dxa"/>
            <w:vAlign w:val="bottom"/>
          </w:tcPr>
          <w:p>
            <w:pPr>
              <w:ind w:left="60"/>
              <w:spacing w:after="0"/>
              <w:rPr>
                <w:sz w:val="20"/>
                <w:szCs w:val="20"/>
                <w:color w:val="auto"/>
              </w:rPr>
            </w:pPr>
            <w:r>
              <w:rPr>
                <w:rFonts w:ascii="Arial" w:cs="Arial" w:eastAsia="Arial" w:hAnsi="Arial"/>
                <w:sz w:val="17"/>
                <w:szCs w:val="17"/>
                <w:color w:val="auto"/>
              </w:rPr>
              <w:t>John F. Fort III</w:t>
            </w:r>
          </w:p>
        </w:tc>
        <w:tc>
          <w:tcPr>
            <w:tcW w:w="6760" w:type="dxa"/>
            <w:vAlign w:val="bottom"/>
          </w:tcPr>
          <w:p>
            <w:pPr>
              <w:spacing w:after="0"/>
              <w:rPr>
                <w:sz w:val="20"/>
                <w:szCs w:val="20"/>
                <w:color w:val="auto"/>
              </w:rPr>
            </w:pPr>
          </w:p>
        </w:tc>
      </w:tr>
      <w:tr>
        <w:trPr>
          <w:trHeight w:val="98"/>
        </w:trPr>
        <w:tc>
          <w:tcPr>
            <w:tcW w:w="4260" w:type="dxa"/>
            <w:vAlign w:val="bottom"/>
            <w:tcBorders>
              <w:bottom w:val="single" w:sz="8" w:color="005CB9"/>
            </w:tcBorders>
          </w:tcPr>
          <w:p>
            <w:pPr>
              <w:spacing w:after="0"/>
              <w:rPr>
                <w:sz w:val="8"/>
                <w:szCs w:val="8"/>
                <w:color w:val="auto"/>
              </w:rPr>
            </w:pPr>
          </w:p>
        </w:tc>
        <w:tc>
          <w:tcPr>
            <w:tcW w:w="6760" w:type="dxa"/>
            <w:vAlign w:val="bottom"/>
            <w:tcBorders>
              <w:bottom w:val="single" w:sz="8" w:color="005CB9"/>
            </w:tcBorders>
          </w:tcPr>
          <w:p>
            <w:pPr>
              <w:spacing w:after="0"/>
              <w:rPr>
                <w:sz w:val="8"/>
                <w:szCs w:val="8"/>
                <w:color w:val="auto"/>
              </w:rPr>
            </w:pPr>
          </w:p>
        </w:tc>
      </w:tr>
      <w:tr>
        <w:trPr>
          <w:trHeight w:val="233"/>
        </w:trPr>
        <w:tc>
          <w:tcPr>
            <w:tcW w:w="4260" w:type="dxa"/>
            <w:vAlign w:val="bottom"/>
          </w:tcPr>
          <w:p>
            <w:pPr>
              <w:ind w:left="60"/>
              <w:spacing w:after="0"/>
              <w:rPr>
                <w:sz w:val="20"/>
                <w:szCs w:val="20"/>
                <w:color w:val="auto"/>
              </w:rPr>
            </w:pPr>
            <w:r>
              <w:rPr>
                <w:rFonts w:ascii="Arial" w:cs="Arial" w:eastAsia="Arial" w:hAnsi="Arial"/>
                <w:sz w:val="17"/>
                <w:szCs w:val="17"/>
                <w:color w:val="auto"/>
              </w:rPr>
              <w:t>Robert D. Johnson</w:t>
            </w:r>
          </w:p>
        </w:tc>
        <w:tc>
          <w:tcPr>
            <w:tcW w:w="6760" w:type="dxa"/>
            <w:vAlign w:val="bottom"/>
          </w:tcPr>
          <w:p>
            <w:pPr>
              <w:spacing w:after="0"/>
              <w:rPr>
                <w:sz w:val="20"/>
                <w:szCs w:val="20"/>
                <w:color w:val="auto"/>
              </w:rPr>
            </w:pPr>
          </w:p>
        </w:tc>
      </w:tr>
      <w:tr>
        <w:trPr>
          <w:trHeight w:val="99"/>
        </w:trPr>
        <w:tc>
          <w:tcPr>
            <w:tcW w:w="4260" w:type="dxa"/>
            <w:vAlign w:val="bottom"/>
            <w:tcBorders>
              <w:bottom w:val="single" w:sz="8" w:color="005CB9"/>
            </w:tcBorders>
          </w:tcPr>
          <w:p>
            <w:pPr>
              <w:spacing w:after="0"/>
              <w:rPr>
                <w:sz w:val="8"/>
                <w:szCs w:val="8"/>
                <w:color w:val="auto"/>
              </w:rPr>
            </w:pPr>
          </w:p>
        </w:tc>
        <w:tc>
          <w:tcPr>
            <w:tcW w:w="6760" w:type="dxa"/>
            <w:vAlign w:val="bottom"/>
            <w:tcBorders>
              <w:bottom w:val="single" w:sz="8" w:color="005CB9"/>
            </w:tcBorders>
          </w:tcPr>
          <w:p>
            <w:pPr>
              <w:spacing w:after="0"/>
              <w:rPr>
                <w:sz w:val="8"/>
                <w:szCs w:val="8"/>
                <w:color w:val="auto"/>
              </w:rPr>
            </w:pPr>
          </w:p>
        </w:tc>
      </w:tr>
      <w:tr>
        <w:trPr>
          <w:trHeight w:val="233"/>
        </w:trPr>
        <w:tc>
          <w:tcPr>
            <w:tcW w:w="4260" w:type="dxa"/>
            <w:vAlign w:val="bottom"/>
          </w:tcPr>
          <w:p>
            <w:pPr>
              <w:ind w:left="60"/>
              <w:spacing w:after="0"/>
              <w:rPr>
                <w:sz w:val="20"/>
                <w:szCs w:val="20"/>
                <w:color w:val="auto"/>
              </w:rPr>
            </w:pPr>
            <w:r>
              <w:rPr>
                <w:rFonts w:ascii="Arial" w:cs="Arial" w:eastAsia="Arial" w:hAnsi="Arial"/>
                <w:sz w:val="17"/>
                <w:szCs w:val="17"/>
                <w:color w:val="auto"/>
              </w:rPr>
              <w:t>Thomas P. Joyce, Jr.</w:t>
            </w:r>
          </w:p>
        </w:tc>
        <w:tc>
          <w:tcPr>
            <w:tcW w:w="6760" w:type="dxa"/>
            <w:vAlign w:val="bottom"/>
          </w:tcPr>
          <w:p>
            <w:pPr>
              <w:spacing w:after="0"/>
              <w:rPr>
                <w:sz w:val="20"/>
                <w:szCs w:val="20"/>
                <w:color w:val="auto"/>
              </w:rPr>
            </w:pPr>
          </w:p>
        </w:tc>
      </w:tr>
      <w:tr>
        <w:trPr>
          <w:trHeight w:val="98"/>
        </w:trPr>
        <w:tc>
          <w:tcPr>
            <w:tcW w:w="4260" w:type="dxa"/>
            <w:vAlign w:val="bottom"/>
            <w:tcBorders>
              <w:bottom w:val="single" w:sz="8" w:color="005CB9"/>
            </w:tcBorders>
          </w:tcPr>
          <w:p>
            <w:pPr>
              <w:spacing w:after="0"/>
              <w:rPr>
                <w:sz w:val="8"/>
                <w:szCs w:val="8"/>
                <w:color w:val="auto"/>
              </w:rPr>
            </w:pPr>
          </w:p>
        </w:tc>
        <w:tc>
          <w:tcPr>
            <w:tcW w:w="6760" w:type="dxa"/>
            <w:vAlign w:val="bottom"/>
            <w:tcBorders>
              <w:bottom w:val="single" w:sz="8" w:color="005CB9"/>
            </w:tcBorders>
          </w:tcPr>
          <w:p>
            <w:pPr>
              <w:spacing w:after="0"/>
              <w:rPr>
                <w:sz w:val="8"/>
                <w:szCs w:val="8"/>
                <w:color w:val="auto"/>
              </w:rPr>
            </w:pPr>
          </w:p>
        </w:tc>
      </w:tr>
      <w:tr>
        <w:trPr>
          <w:trHeight w:val="233"/>
        </w:trPr>
        <w:tc>
          <w:tcPr>
            <w:tcW w:w="4260" w:type="dxa"/>
            <w:vAlign w:val="bottom"/>
          </w:tcPr>
          <w:p>
            <w:pPr>
              <w:ind w:left="60"/>
              <w:spacing w:after="0"/>
              <w:rPr>
                <w:sz w:val="20"/>
                <w:szCs w:val="20"/>
                <w:color w:val="auto"/>
              </w:rPr>
            </w:pPr>
            <w:r>
              <w:rPr>
                <w:rFonts w:ascii="Arial" w:cs="Arial" w:eastAsia="Arial" w:hAnsi="Arial"/>
                <w:sz w:val="17"/>
                <w:szCs w:val="17"/>
                <w:color w:val="auto"/>
              </w:rPr>
              <w:t>Laura G. Thatcher</w:t>
            </w:r>
          </w:p>
        </w:tc>
        <w:tc>
          <w:tcPr>
            <w:tcW w:w="6760" w:type="dxa"/>
            <w:vAlign w:val="bottom"/>
          </w:tcPr>
          <w:p>
            <w:pPr>
              <w:ind w:left="3420"/>
              <w:spacing w:after="0"/>
              <w:rPr>
                <w:sz w:val="20"/>
                <w:szCs w:val="20"/>
                <w:color w:val="auto"/>
              </w:rPr>
            </w:pPr>
            <w:r>
              <w:rPr>
                <w:rFonts w:ascii="Arial" w:cs="Arial" w:eastAsia="Arial" w:hAnsi="Arial"/>
                <w:sz w:val="17"/>
                <w:szCs w:val="17"/>
                <w:b w:val="1"/>
                <w:bCs w:val="1"/>
                <w:color w:val="005CB9"/>
              </w:rPr>
              <w:t>Chair</w:t>
            </w:r>
          </w:p>
        </w:tc>
      </w:tr>
      <w:tr>
        <w:trPr>
          <w:trHeight w:val="98"/>
        </w:trPr>
        <w:tc>
          <w:tcPr>
            <w:tcW w:w="4260" w:type="dxa"/>
            <w:vAlign w:val="bottom"/>
            <w:tcBorders>
              <w:bottom w:val="single" w:sz="8" w:color="005CB9"/>
            </w:tcBorders>
          </w:tcPr>
          <w:p>
            <w:pPr>
              <w:spacing w:after="0"/>
              <w:rPr>
                <w:sz w:val="8"/>
                <w:szCs w:val="8"/>
                <w:color w:val="auto"/>
              </w:rPr>
            </w:pPr>
          </w:p>
        </w:tc>
        <w:tc>
          <w:tcPr>
            <w:tcW w:w="6760" w:type="dxa"/>
            <w:vAlign w:val="bottom"/>
            <w:tcBorders>
              <w:bottom w:val="single" w:sz="8" w:color="005CB9"/>
            </w:tcBorders>
          </w:tcPr>
          <w:p>
            <w:pPr>
              <w:spacing w:after="0"/>
              <w:rPr>
                <w:sz w:val="8"/>
                <w:szCs w:val="8"/>
                <w:color w:val="auto"/>
              </w:rPr>
            </w:pPr>
          </w:p>
        </w:tc>
      </w:tr>
      <w:tr>
        <w:trPr>
          <w:trHeight w:val="233"/>
        </w:trPr>
        <w:tc>
          <w:tcPr>
            <w:tcW w:w="4260" w:type="dxa"/>
            <w:vAlign w:val="bottom"/>
          </w:tcPr>
          <w:p>
            <w:pPr>
              <w:ind w:left="60"/>
              <w:spacing w:after="0"/>
              <w:rPr>
                <w:sz w:val="20"/>
                <w:szCs w:val="20"/>
                <w:color w:val="auto"/>
              </w:rPr>
            </w:pPr>
            <w:r>
              <w:rPr>
                <w:rFonts w:ascii="Arial" w:cs="Arial" w:eastAsia="Arial" w:hAnsi="Arial"/>
                <w:sz w:val="17"/>
                <w:szCs w:val="17"/>
                <w:color w:val="auto"/>
              </w:rPr>
              <w:t>Richard F. Wallman</w:t>
            </w:r>
          </w:p>
        </w:tc>
        <w:tc>
          <w:tcPr>
            <w:tcW w:w="6760" w:type="dxa"/>
            <w:vAlign w:val="bottom"/>
          </w:tcPr>
          <w:p>
            <w:pPr>
              <w:ind w:left="2420"/>
              <w:spacing w:after="0"/>
              <w:rPr>
                <w:sz w:val="20"/>
                <w:szCs w:val="20"/>
                <w:color w:val="auto"/>
              </w:rPr>
            </w:pPr>
            <w:r>
              <w:rPr>
                <w:rFonts w:ascii="Arial" w:cs="Arial" w:eastAsia="Arial" w:hAnsi="Arial"/>
                <w:sz w:val="17"/>
                <w:szCs w:val="17"/>
                <w:b w:val="1"/>
                <w:bCs w:val="1"/>
                <w:color w:val="005CB9"/>
              </w:rPr>
              <w:t>Chair</w:t>
            </w:r>
          </w:p>
        </w:tc>
      </w:tr>
      <w:tr>
        <w:trPr>
          <w:trHeight w:val="99"/>
        </w:trPr>
        <w:tc>
          <w:tcPr>
            <w:tcW w:w="4260" w:type="dxa"/>
            <w:vAlign w:val="bottom"/>
            <w:tcBorders>
              <w:bottom w:val="single" w:sz="8" w:color="005CB9"/>
            </w:tcBorders>
          </w:tcPr>
          <w:p>
            <w:pPr>
              <w:spacing w:after="0"/>
              <w:rPr>
                <w:sz w:val="8"/>
                <w:szCs w:val="8"/>
                <w:color w:val="auto"/>
              </w:rPr>
            </w:pPr>
          </w:p>
        </w:tc>
        <w:tc>
          <w:tcPr>
            <w:tcW w:w="6760" w:type="dxa"/>
            <w:vAlign w:val="bottom"/>
            <w:tcBorders>
              <w:bottom w:val="single" w:sz="8" w:color="005CB9"/>
            </w:tcBorders>
          </w:tcPr>
          <w:p>
            <w:pPr>
              <w:spacing w:after="0"/>
              <w:rPr>
                <w:sz w:val="8"/>
                <w:szCs w:val="8"/>
                <w:color w:val="auto"/>
              </w:rPr>
            </w:pPr>
          </w:p>
        </w:tc>
      </w:tr>
      <w:tr>
        <w:trPr>
          <w:trHeight w:val="233"/>
        </w:trPr>
        <w:tc>
          <w:tcPr>
            <w:tcW w:w="4260" w:type="dxa"/>
            <w:vAlign w:val="bottom"/>
          </w:tcPr>
          <w:p>
            <w:pPr>
              <w:ind w:left="60"/>
              <w:spacing w:after="0"/>
              <w:rPr>
                <w:sz w:val="20"/>
                <w:szCs w:val="20"/>
                <w:color w:val="auto"/>
              </w:rPr>
            </w:pPr>
            <w:r>
              <w:rPr>
                <w:rFonts w:ascii="Arial" w:cs="Arial" w:eastAsia="Arial" w:hAnsi="Arial"/>
                <w:sz w:val="17"/>
                <w:szCs w:val="17"/>
                <w:color w:val="auto"/>
              </w:rPr>
              <w:t>Christopher Wright</w:t>
            </w:r>
          </w:p>
        </w:tc>
        <w:tc>
          <w:tcPr>
            <w:tcW w:w="6760" w:type="dxa"/>
            <w:vAlign w:val="bottom"/>
          </w:tcPr>
          <w:p>
            <w:pPr>
              <w:spacing w:after="0"/>
              <w:rPr>
                <w:sz w:val="20"/>
                <w:szCs w:val="20"/>
                <w:color w:val="auto"/>
              </w:rPr>
            </w:pPr>
          </w:p>
        </w:tc>
      </w:tr>
      <w:tr>
        <w:trPr>
          <w:trHeight w:val="98"/>
        </w:trPr>
        <w:tc>
          <w:tcPr>
            <w:tcW w:w="4260" w:type="dxa"/>
            <w:vAlign w:val="bottom"/>
            <w:tcBorders>
              <w:bottom w:val="single" w:sz="8" w:color="005CB9"/>
            </w:tcBorders>
          </w:tcPr>
          <w:p>
            <w:pPr>
              <w:spacing w:after="0"/>
              <w:rPr>
                <w:sz w:val="8"/>
                <w:szCs w:val="8"/>
                <w:color w:val="auto"/>
              </w:rPr>
            </w:pPr>
          </w:p>
        </w:tc>
        <w:tc>
          <w:tcPr>
            <w:tcW w:w="6760" w:type="dxa"/>
            <w:vAlign w:val="bottom"/>
            <w:tcBorders>
              <w:bottom w:val="single" w:sz="8" w:color="005CB9"/>
            </w:tcBorders>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1140"/>
          </w:cols>
          <w:pgMar w:left="320" w:top="459" w:right="439" w:bottom="1440" w:gutter="0" w:footer="0" w:header="0"/>
          <w:type w:val="continuous"/>
        </w:sectPr>
      </w:pP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 xml:space="preserve">Audit Committee: </w:t>
      </w:r>
      <w:r>
        <w:rPr>
          <w:rFonts w:ascii="Arial" w:cs="Arial" w:eastAsia="Arial" w:hAnsi="Arial"/>
          <w:sz w:val="18"/>
          <w:szCs w:val="18"/>
          <w:b w:val="1"/>
          <w:bCs w:val="1"/>
          <w:color w:val="005CB9"/>
        </w:rPr>
        <w:t>11 Meetings Held in 2021</w:t>
      </w:r>
    </w:p>
    <w:p>
      <w:pPr>
        <w:spacing w:after="0" w:line="12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Audit Committee assists our Board in its oversight of the quality and integrity of our financial statements, our structure for compliance with legal and regulatory requirements, and the performance of our internal audit functions. The Board has determined that based upon their extensive background and expertise, Messrs. Fort, Joyce, Wallman and Wright and Ms. Esteves meet the criteria of an “audit committee financial expert” under SEC rules. The Board has determined that all Audit Committee members meet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heightened independence standards under NYSE and SEC rules applicable to audit committees and satisfy the NYSE standard of financial literacy, having accounting and related financial management expertise. In addition, the Board of Directors has determined that Ms. Esteves’s service on two additional Audit Committees does not impair her ability to effectively serve on Roper’s Audit Committee.</w:t>
      </w:r>
    </w:p>
    <w:p>
      <w:pPr>
        <w:spacing w:after="0" w:line="886" w:lineRule="exact"/>
        <w:rPr>
          <w:sz w:val="20"/>
          <w:szCs w:val="20"/>
          <w:color w:val="auto"/>
        </w:rPr>
      </w:pPr>
    </w:p>
    <w:p>
      <w:pPr>
        <w:sectPr>
          <w:pgSz w:w="11900" w:h="16838" w:orient="portrait"/>
          <w:cols w:equalWidth="0" w:num="2">
            <w:col w:w="5300" w:space="440"/>
            <w:col w:w="5400"/>
          </w:cols>
          <w:pgMar w:left="320" w:top="459" w:right="439" w:bottom="1440" w:gutter="0" w:footer="0" w:header="0"/>
          <w:type w:val="continuous"/>
        </w:sectPr>
      </w:pPr>
    </w:p>
    <w:p>
      <w:pPr>
        <w:spacing w:after="0" w:line="90"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440" w:type="dxa"/>
            <w:vAlign w:val="bottom"/>
            <w:tcBorders>
              <w:right w:val="single" w:sz="8" w:color="005CB9"/>
            </w:tcBorders>
          </w:tcPr>
          <w:p>
            <w:pPr>
              <w:jc w:val="right"/>
              <w:ind w:right="179"/>
              <w:spacing w:after="0"/>
              <w:rPr>
                <w:sz w:val="20"/>
                <w:szCs w:val="20"/>
                <w:color w:val="auto"/>
              </w:rPr>
            </w:pPr>
            <w:r>
              <w:rPr>
                <w:rFonts w:ascii="Arial" w:cs="Arial" w:eastAsia="Arial" w:hAnsi="Arial"/>
                <w:sz w:val="16"/>
                <w:szCs w:val="16"/>
                <w:b w:val="1"/>
                <w:bCs w:val="1"/>
                <w:color w:val="005CB9"/>
                <w:w w:val="89"/>
              </w:rPr>
              <w:t>14</w:t>
            </w:r>
          </w:p>
        </w:tc>
        <w:tc>
          <w:tcPr>
            <w:tcW w:w="4700" w:type="dxa"/>
            <w:vAlign w:val="bottom"/>
          </w:tcPr>
          <w:p>
            <w:pPr>
              <w:ind w:left="106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0"/>
        </w:trPr>
        <w:tc>
          <w:tcPr>
            <w:tcW w:w="440" w:type="dxa"/>
            <w:vAlign w:val="bottom"/>
            <w:tcBorders>
              <w:right w:val="single" w:sz="8" w:color="005CB9"/>
            </w:tcBorders>
          </w:tcPr>
          <w:p>
            <w:pPr>
              <w:spacing w:after="0"/>
              <w:rPr>
                <w:sz w:val="8"/>
                <w:szCs w:val="8"/>
                <w:color w:val="auto"/>
              </w:rPr>
            </w:pPr>
          </w:p>
        </w:tc>
        <w:tc>
          <w:tcPr>
            <w:tcW w:w="47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-205105</wp:posOffset>
            </wp:positionV>
            <wp:extent cx="428625"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BOARD COMMITTEES AND MEETINGS </w:t>
      </w:r>
      <w:r>
        <w:rPr>
          <w:rFonts w:ascii="Arial" w:cs="Arial" w:eastAsia="Arial" w:hAnsi="Arial"/>
          <w:sz w:val="18"/>
          <w:szCs w:val="18"/>
          <w:i w:val="1"/>
          <w:iCs w:val="1"/>
          <w:color w:val="005CB9"/>
        </w:rPr>
        <w:t>(CONTINUED)</w:t>
      </w:r>
    </w:p>
    <w:p>
      <w:pPr>
        <w:spacing w:after="0" w:line="211"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Pursuant to its charter, the Audit Committee has the authority and responsibility to:</w:t>
      </w:r>
    </w:p>
    <w:p>
      <w:pPr>
        <w:spacing w:after="0" w:line="104" w:lineRule="exact"/>
        <w:rPr>
          <w:sz w:val="20"/>
          <w:szCs w:val="20"/>
          <w:color w:val="auto"/>
        </w:rPr>
      </w:pPr>
    </w:p>
    <w:p>
      <w:pPr>
        <w:ind w:left="320" w:right="60" w:hanging="204"/>
        <w:spacing w:after="0" w:line="235" w:lineRule="auto"/>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appoint, compensate, retain and oversee the independent registered public accounting firm engaged by us; approve all audit engagement fees and terms, as well as pre-approve all non-audit engagements; and ensure that the independent auditors remain independent and objective;</w:t>
      </w:r>
    </w:p>
    <w:p>
      <w:pPr>
        <w:spacing w:after="0" w:line="109" w:lineRule="exact"/>
        <w:rPr>
          <w:rFonts w:ascii="Arial" w:cs="Arial" w:eastAsia="Arial" w:hAnsi="Arial"/>
          <w:sz w:val="17"/>
          <w:szCs w:val="17"/>
          <w:color w:val="auto"/>
        </w:rPr>
      </w:pPr>
    </w:p>
    <w:p>
      <w:pPr>
        <w:ind w:left="320" w:right="100" w:hanging="204"/>
        <w:spacing w:after="0" w:line="236" w:lineRule="auto"/>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review the appointment and replacement of the head of our internal audit department, who provides the Audit Committee with significant reports to management and management’s responses thereto;</w:t>
      </w:r>
    </w:p>
    <w:p>
      <w:pPr>
        <w:spacing w:after="0" w:line="108" w:lineRule="exact"/>
        <w:rPr>
          <w:rFonts w:ascii="Arial" w:cs="Arial" w:eastAsia="Arial" w:hAnsi="Arial"/>
          <w:sz w:val="17"/>
          <w:szCs w:val="17"/>
          <w:color w:val="auto"/>
        </w:rPr>
      </w:pPr>
    </w:p>
    <w:p>
      <w:pPr>
        <w:ind w:left="320" w:right="80" w:hanging="204"/>
        <w:spacing w:after="0" w:line="238" w:lineRule="auto"/>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consider any reports or communications submitted by the independent auditors relating to our financial statements, policies, processes or determinations;</w:t>
      </w:r>
    </w:p>
    <w:p>
      <w:pPr>
        <w:spacing w:after="0" w:line="106" w:lineRule="exact"/>
        <w:rPr>
          <w:rFonts w:ascii="Arial" w:cs="Arial" w:eastAsia="Arial" w:hAnsi="Arial"/>
          <w:sz w:val="17"/>
          <w:szCs w:val="17"/>
          <w:color w:val="auto"/>
        </w:rPr>
      </w:pPr>
    </w:p>
    <w:p>
      <w:pPr>
        <w:ind w:left="320" w:right="120" w:hanging="204"/>
        <w:spacing w:after="0" w:line="236" w:lineRule="auto"/>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meet with management, the independent auditors and others to discuss matters relating to the scope and results of any audit, the financial statements, and changes to any auditing or accounting principles, policies, controls procedures or practices;</w:t>
      </w:r>
    </w:p>
    <w:p>
      <w:pPr>
        <w:spacing w:after="0" w:line="108" w:lineRule="exact"/>
        <w:rPr>
          <w:rFonts w:ascii="Arial" w:cs="Arial" w:eastAsia="Arial" w:hAnsi="Arial"/>
          <w:sz w:val="17"/>
          <w:szCs w:val="17"/>
          <w:color w:val="auto"/>
        </w:rPr>
      </w:pPr>
    </w:p>
    <w:p>
      <w:pPr>
        <w:ind w:left="320" w:hanging="204"/>
        <w:spacing w:after="0" w:line="234" w:lineRule="auto"/>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review any major issues regarding accounting principles and financial statement presentations, including significant changes in the selection or application of accounting principles, and major issues as to the adequacy of our internal controls, analyses regarding significant financial reporting issues and judgments made in connection with the preparation of the financial statements, and the effects of regulatory and accounting initiatives;</w:t>
      </w:r>
    </w:p>
    <w:p>
      <w:pPr>
        <w:spacing w:after="0" w:line="110" w:lineRule="exact"/>
        <w:rPr>
          <w:rFonts w:ascii="Arial" w:cs="Arial" w:eastAsia="Arial" w:hAnsi="Arial"/>
          <w:sz w:val="17"/>
          <w:szCs w:val="17"/>
          <w:color w:val="auto"/>
        </w:rPr>
      </w:pPr>
    </w:p>
    <w:p>
      <w:pPr>
        <w:ind w:left="320" w:right="440" w:hanging="204"/>
        <w:spacing w:after="0" w:line="243" w:lineRule="auto"/>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review significant risks and exposures and the steps taken to monitor and minimize such risks;</w:t>
      </w:r>
    </w:p>
    <w:p>
      <w:pPr>
        <w:spacing w:after="0" w:line="103" w:lineRule="exact"/>
        <w:rPr>
          <w:rFonts w:ascii="Arial" w:cs="Arial" w:eastAsia="Arial" w:hAnsi="Arial"/>
          <w:sz w:val="17"/>
          <w:szCs w:val="17"/>
          <w:color w:val="auto"/>
        </w:rPr>
      </w:pPr>
    </w:p>
    <w:p>
      <w:pPr>
        <w:ind w:left="320" w:right="20" w:hanging="204"/>
        <w:spacing w:after="0" w:line="235" w:lineRule="auto"/>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establish procedures for the receipt, investigation and resolution of complaints received by Roper regarding accounting, internal accounting controls or auditing matters, and for the confidential, anonymous submission by employees of concerns regarding questionable accounting or auditing matters; and</w:t>
      </w:r>
    </w:p>
    <w:p>
      <w:pPr>
        <w:spacing w:after="0" w:line="109" w:lineRule="exact"/>
        <w:rPr>
          <w:rFonts w:ascii="Arial" w:cs="Arial" w:eastAsia="Arial" w:hAnsi="Arial"/>
          <w:sz w:val="17"/>
          <w:szCs w:val="17"/>
          <w:color w:val="auto"/>
        </w:rPr>
      </w:pPr>
    </w:p>
    <w:p>
      <w:pPr>
        <w:ind w:left="320" w:right="200" w:hanging="204"/>
        <w:spacing w:after="0" w:line="243" w:lineRule="auto"/>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prepare reports and disclosures required to be included in this Proxy Statement, including the “Audit Committee Report” below.</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 xml:space="preserve">Compensation Committee: </w:t>
      </w:r>
      <w:r>
        <w:rPr>
          <w:rFonts w:ascii="Arial" w:cs="Arial" w:eastAsia="Arial" w:hAnsi="Arial"/>
          <w:sz w:val="18"/>
          <w:szCs w:val="18"/>
          <w:b w:val="1"/>
          <w:bCs w:val="1"/>
          <w:color w:val="005CB9"/>
        </w:rPr>
        <w:t>5 Meetings Held in 2021</w:t>
      </w:r>
    </w:p>
    <w:p>
      <w:pPr>
        <w:spacing w:after="0" w:line="120"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The Compensation Committee administers our executive incentive compensation programs and determines, either as a committee or together with the other independent members of the Board (as directed by the Board), annual salary levels and incentive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 w:right="20"/>
        <w:spacing w:after="0" w:line="233" w:lineRule="auto"/>
        <w:rPr>
          <w:sz w:val="20"/>
          <w:szCs w:val="20"/>
          <w:color w:val="auto"/>
        </w:rPr>
      </w:pPr>
      <w:r>
        <w:rPr>
          <w:rFonts w:ascii="Arial" w:cs="Arial" w:eastAsia="Arial" w:hAnsi="Arial"/>
          <w:sz w:val="17"/>
          <w:szCs w:val="17"/>
          <w:color w:val="auto"/>
        </w:rPr>
        <w:t>compensation awards for our executive officers. The Board has determined that all Compensation Committee members meet the heightened independence standards under NYSE and SEC rules applicable to compensation committees. The Compensation Committee also, at the direction of the Board, periodically reviews and determines the form and amounts of director compensation and reviews and makes recommendations to the Board with respect to director compensation. The Compensation Committee may delegate its duties and responsibilities to a sub-committee of the Committee and has the authority to retain its own compensation consultants. Additional information regarding the Compensation Committee’s processes and procedures for the consideration and determination of executive compensation is set forth below in this Proxy Statement under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-2479675</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7" w:lineRule="exact"/>
        <w:rPr>
          <w:sz w:val="20"/>
          <w:szCs w:val="20"/>
          <w:color w:val="auto"/>
        </w:rPr>
      </w:pPr>
    </w:p>
    <w:p>
      <w:pPr>
        <w:ind w:left="6" w:right="80"/>
        <w:spacing w:after="0" w:line="243" w:lineRule="auto"/>
        <w:rPr>
          <w:sz w:val="20"/>
          <w:szCs w:val="20"/>
          <w:color w:val="auto"/>
        </w:rPr>
      </w:pPr>
      <w:r>
        <w:rPr>
          <w:rFonts w:ascii="Arial" w:cs="Arial" w:eastAsia="Arial" w:hAnsi="Arial"/>
          <w:sz w:val="17"/>
          <w:szCs w:val="17"/>
          <w:color w:val="auto"/>
        </w:rPr>
        <w:t>Pursuant to its charter, the Compensation Committee has the authority and responsibility to:</w:t>
      </w:r>
    </w:p>
    <w:p>
      <w:pPr>
        <w:spacing w:after="0" w:line="104" w:lineRule="exact"/>
        <w:rPr>
          <w:sz w:val="20"/>
          <w:szCs w:val="20"/>
          <w:color w:val="auto"/>
        </w:rPr>
      </w:pPr>
    </w:p>
    <w:p>
      <w:pPr>
        <w:ind w:left="206" w:right="180" w:hanging="206"/>
        <w:spacing w:after="0" w:line="236" w:lineRule="auto"/>
        <w:tabs>
          <w:tab w:leader="none" w:pos="206"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annually review and approve corporate goals and objectives relevant to our CEO’s compensation and based on that evaluation, determine and approve our CEO’s compensation, including salary, bonus, incentive and equity compensation;</w:t>
      </w:r>
    </w:p>
    <w:p>
      <w:pPr>
        <w:spacing w:after="0" w:line="108" w:lineRule="exact"/>
        <w:rPr>
          <w:rFonts w:ascii="Arial" w:cs="Arial" w:eastAsia="Arial" w:hAnsi="Arial"/>
          <w:sz w:val="17"/>
          <w:szCs w:val="17"/>
          <w:color w:val="auto"/>
        </w:rPr>
      </w:pPr>
    </w:p>
    <w:p>
      <w:pPr>
        <w:jc w:val="both"/>
        <w:ind w:left="206" w:right="140" w:hanging="206"/>
        <w:spacing w:after="0" w:line="238" w:lineRule="auto"/>
        <w:tabs>
          <w:tab w:leader="none" w:pos="206"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annually review performance and approve compensation, including salary, bonus, incentive and equity compensation for our executive officers;</w:t>
      </w:r>
    </w:p>
    <w:p>
      <w:pPr>
        <w:spacing w:after="0" w:line="106" w:lineRule="exact"/>
        <w:rPr>
          <w:rFonts w:ascii="Arial" w:cs="Arial" w:eastAsia="Arial" w:hAnsi="Arial"/>
          <w:sz w:val="17"/>
          <w:szCs w:val="17"/>
          <w:color w:val="auto"/>
        </w:rPr>
      </w:pPr>
    </w:p>
    <w:p>
      <w:pPr>
        <w:ind w:left="206" w:right="160" w:hanging="206"/>
        <w:spacing w:after="0" w:line="238" w:lineRule="auto"/>
        <w:tabs>
          <w:tab w:leader="none" w:pos="206" w:val="left"/>
        </w:tabs>
        <w:numPr>
          <w:ilvl w:val="0"/>
          <w:numId w:val="37"/>
        </w:numPr>
        <w:rPr>
          <w:rFonts w:ascii="Arial" w:cs="Arial" w:eastAsia="Arial" w:hAnsi="Arial"/>
          <w:sz w:val="17"/>
          <w:szCs w:val="17"/>
          <w:color w:val="auto"/>
        </w:rPr>
      </w:pPr>
      <w:r>
        <w:rPr>
          <w:rFonts w:ascii="Arial" w:cs="Arial" w:eastAsia="Arial" w:hAnsi="Arial"/>
          <w:sz w:val="17"/>
          <w:szCs w:val="17"/>
          <w:color w:val="auto"/>
        </w:rPr>
        <w:t>grant awards and otherwise make determinations under our equity, incentive, retirement, and deferred compensation plans, to the extent provided in such plans;</w:t>
      </w:r>
    </w:p>
    <w:p>
      <w:pPr>
        <w:spacing w:after="0" w:line="106" w:lineRule="exact"/>
        <w:rPr>
          <w:rFonts w:ascii="Arial" w:cs="Arial" w:eastAsia="Arial" w:hAnsi="Arial"/>
          <w:sz w:val="17"/>
          <w:szCs w:val="17"/>
          <w:color w:val="auto"/>
        </w:rPr>
      </w:pPr>
    </w:p>
    <w:p>
      <w:pPr>
        <w:ind w:left="206" w:right="20" w:hanging="206"/>
        <w:spacing w:after="0" w:line="238" w:lineRule="auto"/>
        <w:tabs>
          <w:tab w:leader="none" w:pos="206"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determine performance goals and certify whether performance goals have been satisfied for incentive plans containing performance criteria;</w:t>
      </w:r>
    </w:p>
    <w:p>
      <w:pPr>
        <w:spacing w:after="0" w:line="106" w:lineRule="exact"/>
        <w:rPr>
          <w:rFonts w:ascii="Arial" w:cs="Arial" w:eastAsia="Arial" w:hAnsi="Arial"/>
          <w:sz w:val="17"/>
          <w:szCs w:val="17"/>
          <w:color w:val="auto"/>
        </w:rPr>
      </w:pPr>
    </w:p>
    <w:p>
      <w:pPr>
        <w:ind w:left="206" w:right="620" w:hanging="206"/>
        <w:spacing w:after="0" w:line="238" w:lineRule="auto"/>
        <w:tabs>
          <w:tab w:leader="none" w:pos="206" w:val="left"/>
        </w:tabs>
        <w:numPr>
          <w:ilvl w:val="0"/>
          <w:numId w:val="37"/>
        </w:numPr>
        <w:rPr>
          <w:rFonts w:ascii="Arial" w:cs="Arial" w:eastAsia="Arial" w:hAnsi="Arial"/>
          <w:sz w:val="17"/>
          <w:szCs w:val="17"/>
          <w:color w:val="auto"/>
        </w:rPr>
      </w:pPr>
      <w:r>
        <w:rPr>
          <w:rFonts w:ascii="Arial" w:cs="Arial" w:eastAsia="Arial" w:hAnsi="Arial"/>
          <w:sz w:val="17"/>
          <w:szCs w:val="17"/>
          <w:color w:val="auto"/>
        </w:rPr>
        <w:t>periodically review and make recommendations to the Board concerning our equity, incentive, retirement, and deferred compensation plans;</w:t>
      </w:r>
    </w:p>
    <w:p>
      <w:pPr>
        <w:spacing w:after="0" w:line="106" w:lineRule="exact"/>
        <w:rPr>
          <w:rFonts w:ascii="Arial" w:cs="Arial" w:eastAsia="Arial" w:hAnsi="Arial"/>
          <w:sz w:val="17"/>
          <w:szCs w:val="17"/>
          <w:color w:val="auto"/>
        </w:rPr>
      </w:pPr>
    </w:p>
    <w:p>
      <w:pPr>
        <w:ind w:left="206" w:right="60" w:hanging="206"/>
        <w:spacing w:after="0" w:line="243" w:lineRule="auto"/>
        <w:tabs>
          <w:tab w:leader="none" w:pos="206"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review risks associated with compensation and assess those reasonably likely to have a material adverse effect on the Company;</w:t>
      </w:r>
    </w:p>
    <w:p>
      <w:pPr>
        <w:spacing w:after="0" w:line="103" w:lineRule="exact"/>
        <w:rPr>
          <w:rFonts w:ascii="Arial" w:cs="Arial" w:eastAsia="Arial" w:hAnsi="Arial"/>
          <w:sz w:val="17"/>
          <w:szCs w:val="17"/>
          <w:color w:val="auto"/>
        </w:rPr>
      </w:pPr>
    </w:p>
    <w:p>
      <w:pPr>
        <w:ind w:left="206" w:right="160" w:hanging="206"/>
        <w:spacing w:after="0" w:line="243" w:lineRule="auto"/>
        <w:tabs>
          <w:tab w:leader="none" w:pos="206" w:val="left"/>
        </w:tabs>
        <w:numPr>
          <w:ilvl w:val="0"/>
          <w:numId w:val="37"/>
        </w:numPr>
        <w:rPr>
          <w:rFonts w:ascii="Arial" w:cs="Arial" w:eastAsia="Arial" w:hAnsi="Arial"/>
          <w:sz w:val="17"/>
          <w:szCs w:val="17"/>
          <w:color w:val="auto"/>
        </w:rPr>
      </w:pPr>
      <w:r>
        <w:rPr>
          <w:rFonts w:ascii="Arial" w:cs="Arial" w:eastAsia="Arial" w:hAnsi="Arial"/>
          <w:sz w:val="17"/>
          <w:szCs w:val="17"/>
          <w:color w:val="auto"/>
        </w:rPr>
        <w:t>periodically review and determine the form and amounts of director compensation; and</w:t>
      </w:r>
    </w:p>
    <w:p>
      <w:pPr>
        <w:spacing w:after="0" w:line="103" w:lineRule="exact"/>
        <w:rPr>
          <w:rFonts w:ascii="Arial" w:cs="Arial" w:eastAsia="Arial" w:hAnsi="Arial"/>
          <w:sz w:val="17"/>
          <w:szCs w:val="17"/>
          <w:color w:val="auto"/>
        </w:rPr>
      </w:pPr>
    </w:p>
    <w:p>
      <w:pPr>
        <w:ind w:left="206" w:right="60" w:hanging="206"/>
        <w:spacing w:after="0" w:line="238" w:lineRule="auto"/>
        <w:tabs>
          <w:tab w:leader="none" w:pos="206"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review and discuss with management the Compensation Discussion and Analysis disclosure regarding named executive officer compensation included in our annual Proxy Statement.</w:t>
      </w:r>
    </w:p>
    <w:p>
      <w:pPr>
        <w:spacing w:after="0" w:line="200" w:lineRule="exact"/>
        <w:rPr>
          <w:sz w:val="20"/>
          <w:szCs w:val="20"/>
          <w:color w:val="auto"/>
        </w:rPr>
      </w:pPr>
    </w:p>
    <w:p>
      <w:pPr>
        <w:spacing w:after="0" w:line="318" w:lineRule="exact"/>
        <w:rPr>
          <w:sz w:val="20"/>
          <w:szCs w:val="20"/>
          <w:color w:val="auto"/>
        </w:rPr>
      </w:pPr>
    </w:p>
    <w:tbl>
      <w:tblPr>
        <w:tblLayout w:type="fixed"/>
        <w:tblInd w:w="1186" w:type="dxa"/>
        <w:tblCellMar>
          <w:top w:w="0" w:type="dxa"/>
          <w:left w:w="0" w:type="dxa"/>
          <w:bottom w:w="0" w:type="dxa"/>
          <w:right w:w="0" w:type="dxa"/>
        </w:tblCellMar>
      </w:tblPr>
      <w:tr>
        <w:trPr>
          <w:trHeight w:val="29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005CB9"/>
              </w:rPr>
              <w:t>15</w:t>
            </w:r>
          </w:p>
        </w:tc>
      </w:tr>
      <w:tr>
        <w:trPr>
          <w:trHeight w:val="101"/>
        </w:trPr>
        <w:tc>
          <w:tcPr>
            <w:tcW w:w="3900" w:type="dxa"/>
            <w:vAlign w:val="bottom"/>
            <w:tcBorders>
              <w:right w:val="single" w:sz="8" w:color="005CB9"/>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-205105</wp:posOffset>
            </wp:positionV>
            <wp:extent cx="42862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2">
            <w:col w:w="5360" w:space="374"/>
            <w:col w:w="5406"/>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BOARD COMMITTEES AND MEETINGS </w:t>
      </w:r>
      <w:r>
        <w:rPr>
          <w:rFonts w:ascii="Arial" w:cs="Arial" w:eastAsia="Arial" w:hAnsi="Arial"/>
          <w:sz w:val="18"/>
          <w:szCs w:val="18"/>
          <w:i w:val="1"/>
          <w:iCs w:val="1"/>
          <w:color w:val="005CB9"/>
        </w:rPr>
        <w:t>(CONTINUED)</w:t>
      </w:r>
    </w:p>
    <w:p>
      <w:pPr>
        <w:spacing w:after="0" w:line="194"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b w:val="1"/>
          <w:bCs w:val="1"/>
          <w:i w:val="1"/>
          <w:iCs w:val="1"/>
          <w:color w:val="005CB9"/>
        </w:rPr>
        <w:t>Nominating and Governance Committee</w:t>
      </w:r>
      <w:r>
        <w:rPr>
          <w:rFonts w:ascii="Arial" w:cs="Arial" w:eastAsia="Arial" w:hAnsi="Arial"/>
          <w:sz w:val="18"/>
          <w:szCs w:val="18"/>
          <w:b w:val="1"/>
          <w:bCs w:val="1"/>
          <w:color w:val="005CB9"/>
        </w:rPr>
        <w:t>: 9 Meetings Held in</w:t>
      </w:r>
      <w:r>
        <w:rPr>
          <w:rFonts w:ascii="Arial" w:cs="Arial" w:eastAsia="Arial" w:hAnsi="Arial"/>
          <w:sz w:val="18"/>
          <w:szCs w:val="18"/>
          <w:b w:val="1"/>
          <w:bCs w:val="1"/>
          <w:i w:val="1"/>
          <w:iCs w:val="1"/>
          <w:color w:val="005CB9"/>
        </w:rPr>
        <w:t xml:space="preserve"> </w:t>
      </w:r>
      <w:r>
        <w:rPr>
          <w:rFonts w:ascii="Arial" w:cs="Arial" w:eastAsia="Arial" w:hAnsi="Arial"/>
          <w:sz w:val="18"/>
          <w:szCs w:val="18"/>
          <w:b w:val="1"/>
          <w:bCs w:val="1"/>
          <w:color w:val="005CB9"/>
        </w:rPr>
        <w:t>2021</w:t>
      </w:r>
    </w:p>
    <w:p>
      <w:pPr>
        <w:spacing w:after="0" w:line="62"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The Nominating and Governance Committee assists our Board in identifying individuals qualified to become directors, determining the size and composition of our Board and its committees, developing and implementing corporate governance guidelines, evaluating the qualifications and independence of directors on a periodic basis and evaluating the overall effectiveness of our Board and its committees.</w:t>
      </w:r>
    </w:p>
    <w:p>
      <w:pPr>
        <w:spacing w:after="0" w:line="202"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Pursuant to its charter, the Nominating and Governance Committee has the authority and responsibility to:</w:t>
      </w:r>
    </w:p>
    <w:p>
      <w:pPr>
        <w:spacing w:after="0" w:line="104" w:lineRule="exact"/>
        <w:rPr>
          <w:sz w:val="20"/>
          <w:szCs w:val="20"/>
          <w:color w:val="auto"/>
        </w:rPr>
      </w:pPr>
    </w:p>
    <w:p>
      <w:pPr>
        <w:ind w:left="320" w:right="40" w:hanging="204"/>
        <w:spacing w:after="0" w:line="236" w:lineRule="auto"/>
        <w:tabs>
          <w:tab w:leader="none" w:pos="3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evaluate a candidate’s qualification based on a variety of factors, including such candidate’s integrity, reputation, judgment, knowledge, and diversity (including gender and ethnicity as well as background and experience) as well as our Board’s needs;</w:t>
      </w:r>
    </w:p>
    <w:p>
      <w:pPr>
        <w:spacing w:after="0" w:line="108" w:lineRule="exact"/>
        <w:rPr>
          <w:rFonts w:ascii="Arial" w:cs="Arial" w:eastAsia="Arial" w:hAnsi="Arial"/>
          <w:sz w:val="17"/>
          <w:szCs w:val="17"/>
          <w:color w:val="auto"/>
        </w:rPr>
      </w:pPr>
    </w:p>
    <w:p>
      <w:pPr>
        <w:ind w:left="320" w:right="140" w:hanging="204"/>
        <w:spacing w:after="0" w:line="243" w:lineRule="auto"/>
        <w:tabs>
          <w:tab w:leader="none" w:pos="3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recommend qualified individuals for Board membership, including individuals suggested by directors and/or shareholders;</w:t>
      </w:r>
    </w:p>
    <w:p>
      <w:pPr>
        <w:spacing w:after="0" w:line="103" w:lineRule="exact"/>
        <w:rPr>
          <w:rFonts w:ascii="Arial" w:cs="Arial" w:eastAsia="Arial" w:hAnsi="Arial"/>
          <w:sz w:val="17"/>
          <w:szCs w:val="17"/>
          <w:color w:val="auto"/>
        </w:rPr>
      </w:pPr>
    </w:p>
    <w:p>
      <w:pPr>
        <w:ind w:left="320" w:hanging="204"/>
        <w:spacing w:after="0" w:line="243" w:lineRule="auto"/>
        <w:tabs>
          <w:tab w:leader="none" w:pos="3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periodically review the size and responsibilities of our Board and its committees and recommend changes to our Board;</w:t>
      </w:r>
    </w:p>
    <w:p>
      <w:pPr>
        <w:spacing w:after="0" w:line="285"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440" w:type="dxa"/>
            <w:vAlign w:val="bottom"/>
            <w:tcBorders>
              <w:right w:val="single" w:sz="8" w:color="005CB9"/>
            </w:tcBorders>
          </w:tcPr>
          <w:p>
            <w:pPr>
              <w:jc w:val="right"/>
              <w:ind w:right="179"/>
              <w:spacing w:after="0"/>
              <w:rPr>
                <w:sz w:val="20"/>
                <w:szCs w:val="20"/>
                <w:color w:val="auto"/>
              </w:rPr>
            </w:pPr>
            <w:r>
              <w:rPr>
                <w:rFonts w:ascii="Arial" w:cs="Arial" w:eastAsia="Arial" w:hAnsi="Arial"/>
                <w:sz w:val="16"/>
                <w:szCs w:val="16"/>
                <w:b w:val="1"/>
                <w:bCs w:val="1"/>
                <w:color w:val="005CB9"/>
                <w:w w:val="89"/>
              </w:rPr>
              <w:t>16</w:t>
            </w:r>
          </w:p>
        </w:tc>
        <w:tc>
          <w:tcPr>
            <w:tcW w:w="4700" w:type="dxa"/>
            <w:vAlign w:val="bottom"/>
          </w:tcPr>
          <w:p>
            <w:pPr>
              <w:ind w:left="106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0"/>
        </w:trPr>
        <w:tc>
          <w:tcPr>
            <w:tcW w:w="440" w:type="dxa"/>
            <w:vAlign w:val="bottom"/>
            <w:tcBorders>
              <w:right w:val="single" w:sz="8" w:color="005CB9"/>
            </w:tcBorders>
          </w:tcPr>
          <w:p>
            <w:pPr>
              <w:spacing w:after="0"/>
              <w:rPr>
                <w:sz w:val="8"/>
                <w:szCs w:val="8"/>
                <w:color w:val="auto"/>
              </w:rPr>
            </w:pPr>
          </w:p>
        </w:tc>
        <w:tc>
          <w:tcPr>
            <w:tcW w:w="47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-205105</wp:posOffset>
            </wp:positionV>
            <wp:extent cx="42862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6" w:right="280" w:hanging="206"/>
        <w:spacing w:after="0" w:line="243" w:lineRule="auto"/>
        <w:tabs>
          <w:tab w:leader="none" w:pos="206"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annually review and recommend committee slates and additional committee members to our Board as needed;</w:t>
      </w:r>
    </w:p>
    <w:p>
      <w:pPr>
        <w:spacing w:after="0" w:line="103" w:lineRule="exact"/>
        <w:rPr>
          <w:rFonts w:ascii="Arial" w:cs="Arial" w:eastAsia="Arial" w:hAnsi="Arial"/>
          <w:sz w:val="17"/>
          <w:szCs w:val="17"/>
          <w:color w:val="auto"/>
        </w:rPr>
      </w:pPr>
    </w:p>
    <w:p>
      <w:pPr>
        <w:ind w:left="206" w:right="420" w:hanging="206"/>
        <w:spacing w:after="0" w:line="243" w:lineRule="auto"/>
        <w:tabs>
          <w:tab w:leader="none" w:pos="206" w:val="left"/>
        </w:tabs>
        <w:numPr>
          <w:ilvl w:val="0"/>
          <w:numId w:val="39"/>
        </w:numPr>
        <w:rPr>
          <w:rFonts w:ascii="Arial" w:cs="Arial" w:eastAsia="Arial" w:hAnsi="Arial"/>
          <w:sz w:val="17"/>
          <w:szCs w:val="17"/>
          <w:color w:val="auto"/>
        </w:rPr>
      </w:pPr>
      <w:r>
        <w:rPr>
          <w:rFonts w:ascii="Arial" w:cs="Arial" w:eastAsia="Arial" w:hAnsi="Arial"/>
          <w:sz w:val="17"/>
          <w:szCs w:val="17"/>
          <w:color w:val="auto"/>
        </w:rPr>
        <w:t>periodically review the Company’s ESG strategy, initiatives and policies and receive updates on significant ESG activities;</w:t>
      </w:r>
    </w:p>
    <w:p>
      <w:pPr>
        <w:spacing w:after="0" w:line="103" w:lineRule="exact"/>
        <w:rPr>
          <w:rFonts w:ascii="Arial" w:cs="Arial" w:eastAsia="Arial" w:hAnsi="Arial"/>
          <w:sz w:val="17"/>
          <w:szCs w:val="17"/>
          <w:color w:val="auto"/>
        </w:rPr>
      </w:pPr>
    </w:p>
    <w:p>
      <w:pPr>
        <w:ind w:left="206" w:hanging="206"/>
        <w:spacing w:after="0" w:line="238" w:lineRule="auto"/>
        <w:tabs>
          <w:tab w:leader="none" w:pos="206"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review the Company’s programs for the development and management of human capital, including programs for the promotion of diversity and inclusion;</w:t>
      </w:r>
    </w:p>
    <w:p>
      <w:pPr>
        <w:spacing w:after="0" w:line="106" w:lineRule="exact"/>
        <w:rPr>
          <w:rFonts w:ascii="Arial" w:cs="Arial" w:eastAsia="Arial" w:hAnsi="Arial"/>
          <w:sz w:val="17"/>
          <w:szCs w:val="17"/>
          <w:color w:val="auto"/>
        </w:rPr>
      </w:pPr>
    </w:p>
    <w:p>
      <w:pPr>
        <w:ind w:left="206" w:right="140" w:hanging="206"/>
        <w:spacing w:after="0" w:line="238" w:lineRule="auto"/>
        <w:tabs>
          <w:tab w:leader="none" w:pos="206"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develop and recommend to our Board a set of corporate governance guidelines and periodically review such guidelines and propose changes to our Board; and</w:t>
      </w:r>
    </w:p>
    <w:p>
      <w:pPr>
        <w:spacing w:after="0" w:line="106" w:lineRule="exact"/>
        <w:rPr>
          <w:rFonts w:ascii="Arial" w:cs="Arial" w:eastAsia="Arial" w:hAnsi="Arial"/>
          <w:sz w:val="17"/>
          <w:szCs w:val="17"/>
          <w:color w:val="auto"/>
        </w:rPr>
      </w:pPr>
    </w:p>
    <w:p>
      <w:pPr>
        <w:ind w:left="206" w:right="360" w:hanging="206"/>
        <w:spacing w:after="0" w:line="238" w:lineRule="auto"/>
        <w:tabs>
          <w:tab w:leader="none" w:pos="206"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develop and recommend to our Board an annual self-evaluation process for our Board and its committees, and administer and oversee the evaluation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-2670810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65"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005CB9"/>
        </w:rPr>
        <w:t xml:space="preserve">Executive Committee: </w:t>
      </w:r>
      <w:r>
        <w:rPr>
          <w:rFonts w:ascii="Arial" w:cs="Arial" w:eastAsia="Arial" w:hAnsi="Arial"/>
          <w:sz w:val="18"/>
          <w:szCs w:val="18"/>
          <w:b w:val="1"/>
          <w:bCs w:val="1"/>
          <w:color w:val="005CB9"/>
        </w:rPr>
        <w:t>No Meetings Held in 2021</w:t>
      </w:r>
    </w:p>
    <w:p>
      <w:pPr>
        <w:spacing w:after="0" w:line="120" w:lineRule="exact"/>
        <w:rPr>
          <w:sz w:val="20"/>
          <w:szCs w:val="20"/>
          <w:color w:val="auto"/>
        </w:rPr>
      </w:pPr>
    </w:p>
    <w:p>
      <w:pPr>
        <w:ind w:left="6" w:right="240"/>
        <w:spacing w:after="0" w:line="243" w:lineRule="auto"/>
        <w:rPr>
          <w:sz w:val="20"/>
          <w:szCs w:val="20"/>
          <w:color w:val="auto"/>
        </w:rPr>
      </w:pPr>
      <w:r>
        <w:rPr>
          <w:rFonts w:ascii="Arial" w:cs="Arial" w:eastAsia="Arial" w:hAnsi="Arial"/>
          <w:sz w:val="17"/>
          <w:szCs w:val="17"/>
          <w:color w:val="auto"/>
        </w:rPr>
        <w:t>The Executive Committee has the authority to exercise all powers of the Board between regularly scheduled Board meetings.</w:t>
      </w:r>
    </w:p>
    <w:p>
      <w:pPr>
        <w:sectPr>
          <w:pgSz w:w="11900" w:h="16838" w:orient="portrait"/>
          <w:cols w:equalWidth="0" w:num="2">
            <w:col w:w="5400" w:space="334"/>
            <w:col w:w="5386"/>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DIRECTOR COMPENSATION</w:t>
      </w:r>
    </w:p>
    <w:p>
      <w:pPr>
        <w:spacing w:after="0" w:line="326"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Compensation for our non-employee directors is governed by our Director Compensation Plan, which is a sub-plan of our 2021 Incentive Plan. The Director Compensation Plan recognizes the Board’s instrumental contribution to Roper’s long-term success and creation of superior shareholder value. Over the past 15 years, our shareholders have earned a cumulative 969.0% return – more than two and a half times that of the S&amp;P 500’s 356.8% return. Compensation paid to our Directors reflects the significant time commitment and effort associated with serving on our Board, including participation in a minimum of 15 days of Board meetings each year, in addition to numerous Committee meetings throughout the year. These time commitments, together with our increasing focus on software, and continual market developments present unique challenges to recruiting individuals capable of adding value to our high-growth, asset-light, diversified enterprise. Despite these challenges, in the past seven years, we have added five new independent directors to the Board bringing needed key skills, strengths and capabilities to the Board while increasing its level of gender and ethnic diversity. Going forward, the Board will continue to insist on the high standards of qualifications that are in place.</w:t>
      </w:r>
    </w:p>
    <w:p>
      <w:pPr>
        <w:spacing w:after="0" w:line="100"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Consistent with Roper’s long-standing “pay-for-performance” philosophy, the Director Compensation Plan ties director compensation directly to the Company’s stock performance, closely aligning the financial interests of our directors with those of our shareholders. Directors receive limited cash retainers and no perquisites (such as deferred compensation benefits), and instead receive a higher percentage of their compensation in shares of Company stock. The compensation paid under the Director Compensation Plan is summarized in the table below.</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2021 Annual Equity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6995160" cy="1200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Economic value of $385,000 (based on the closing price of the Company’s stock on date of grant)</w:t>
      </w:r>
    </w:p>
    <w:p>
      <w:pPr>
        <w:spacing w:after="0" w:line="28" w:lineRule="exact"/>
        <w:rPr>
          <w:sz w:val="20"/>
          <w:szCs w:val="20"/>
          <w:color w:val="auto"/>
        </w:rPr>
      </w:pPr>
    </w:p>
    <w:p>
      <w:pPr>
        <w:ind w:left="440" w:hanging="239"/>
        <w:spacing w:after="0"/>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Award vests 50% on the six-month anniversary of the grant date and 50% on the day prior to the next Annual Meeting of</w:t>
      </w:r>
    </w:p>
    <w:tbl>
      <w:tblPr>
        <w:tblLayout w:type="fixed"/>
        <w:tblInd w:w="120" w:type="dxa"/>
        <w:tblCellMar>
          <w:top w:w="0" w:type="dxa"/>
          <w:left w:w="0" w:type="dxa"/>
          <w:bottom w:w="0" w:type="dxa"/>
          <w:right w:w="0" w:type="dxa"/>
        </w:tblCellMar>
      </w:tblPr>
      <w:tr>
        <w:trPr>
          <w:trHeight w:val="209"/>
        </w:trPr>
        <w:tc>
          <w:tcPr>
            <w:tcW w:w="6980" w:type="dxa"/>
            <w:vAlign w:val="bottom"/>
          </w:tcPr>
          <w:p>
            <w:pPr>
              <w:ind w:left="340"/>
              <w:spacing w:after="0"/>
              <w:rPr>
                <w:sz w:val="20"/>
                <w:szCs w:val="20"/>
                <w:color w:val="auto"/>
              </w:rPr>
            </w:pPr>
            <w:r>
              <w:rPr>
                <w:rFonts w:ascii="Arial" w:cs="Arial" w:eastAsia="Arial" w:hAnsi="Arial"/>
                <w:sz w:val="17"/>
                <w:szCs w:val="17"/>
                <w:color w:val="auto"/>
              </w:rPr>
              <w:t>Shareholders</w:t>
            </w:r>
          </w:p>
        </w:tc>
        <w:tc>
          <w:tcPr>
            <w:tcW w:w="336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385,000</w:t>
            </w:r>
          </w:p>
        </w:tc>
      </w:tr>
      <w:tr>
        <w:trPr>
          <w:trHeight w:val="189"/>
        </w:trPr>
        <w:tc>
          <w:tcPr>
            <w:tcW w:w="6980" w:type="dxa"/>
            <w:vAlign w:val="bottom"/>
            <w:shd w:val="clear" w:color="auto" w:fill="E5EEF8"/>
          </w:tcPr>
          <w:p>
            <w:pPr>
              <w:ind w:left="40"/>
              <w:spacing w:after="0" w:line="189" w:lineRule="exact"/>
              <w:rPr>
                <w:sz w:val="20"/>
                <w:szCs w:val="20"/>
                <w:color w:val="auto"/>
              </w:rPr>
            </w:pPr>
            <w:r>
              <w:rPr>
                <w:rFonts w:ascii="Arial" w:cs="Arial" w:eastAsia="Arial" w:hAnsi="Arial"/>
                <w:sz w:val="17"/>
                <w:szCs w:val="17"/>
                <w:b w:val="1"/>
                <w:bCs w:val="1"/>
                <w:i w:val="1"/>
                <w:iCs w:val="1"/>
                <w:color w:val="auto"/>
              </w:rPr>
              <w:t>2021 Annual Cash Retainer</w:t>
            </w:r>
          </w:p>
        </w:tc>
        <w:tc>
          <w:tcPr>
            <w:tcW w:w="3360" w:type="dxa"/>
            <w:vAlign w:val="bottom"/>
            <w:shd w:val="clear" w:color="auto" w:fill="E5EEF8"/>
          </w:tcPr>
          <w:p>
            <w:pPr>
              <w:spacing w:after="0"/>
              <w:rPr>
                <w:sz w:val="16"/>
                <w:szCs w:val="16"/>
                <w:color w:val="auto"/>
              </w:rPr>
            </w:pPr>
          </w:p>
        </w:tc>
        <w:tc>
          <w:tcPr>
            <w:tcW w:w="680" w:type="dxa"/>
            <w:vAlign w:val="bottom"/>
            <w:shd w:val="clear" w:color="auto" w:fill="E5EEF8"/>
          </w:tcPr>
          <w:p>
            <w:pPr>
              <w:spacing w:after="0"/>
              <w:rPr>
                <w:sz w:val="16"/>
                <w:szCs w:val="16"/>
                <w:color w:val="auto"/>
              </w:rPr>
            </w:pPr>
          </w:p>
        </w:tc>
      </w:tr>
      <w:tr>
        <w:trPr>
          <w:trHeight w:val="189"/>
        </w:trPr>
        <w:tc>
          <w:tcPr>
            <w:tcW w:w="6980" w:type="dxa"/>
            <w:vAlign w:val="bottom"/>
          </w:tcPr>
          <w:p>
            <w:pPr>
              <w:ind w:left="40"/>
              <w:spacing w:after="0" w:line="189" w:lineRule="exact"/>
              <w:rPr>
                <w:sz w:val="20"/>
                <w:szCs w:val="20"/>
                <w:color w:val="auto"/>
              </w:rPr>
            </w:pPr>
            <w:r>
              <w:rPr>
                <w:rFonts w:ascii="Arial" w:cs="Arial" w:eastAsia="Arial" w:hAnsi="Arial"/>
                <w:sz w:val="17"/>
                <w:szCs w:val="17"/>
                <w:color w:val="auto"/>
              </w:rPr>
              <w:t>Cash Retainer</w:t>
            </w:r>
          </w:p>
        </w:tc>
        <w:tc>
          <w:tcPr>
            <w:tcW w:w="33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60,000</w:t>
            </w:r>
          </w:p>
        </w:tc>
      </w:tr>
      <w:tr>
        <w:trPr>
          <w:trHeight w:val="189"/>
        </w:trPr>
        <w:tc>
          <w:tcPr>
            <w:tcW w:w="6980" w:type="dxa"/>
            <w:vAlign w:val="bottom"/>
            <w:shd w:val="clear" w:color="auto" w:fill="E5EEF8"/>
          </w:tcPr>
          <w:p>
            <w:pPr>
              <w:ind w:left="40"/>
              <w:spacing w:after="0" w:line="189" w:lineRule="exact"/>
              <w:rPr>
                <w:sz w:val="20"/>
                <w:szCs w:val="20"/>
                <w:color w:val="auto"/>
              </w:rPr>
            </w:pPr>
            <w:r>
              <w:rPr>
                <w:rFonts w:ascii="Arial" w:cs="Arial" w:eastAsia="Arial" w:hAnsi="Arial"/>
                <w:sz w:val="17"/>
                <w:szCs w:val="17"/>
                <w:b w:val="1"/>
                <w:bCs w:val="1"/>
                <w:i w:val="1"/>
                <w:iCs w:val="1"/>
                <w:color w:val="auto"/>
              </w:rPr>
              <w:t>2021 Supplemental Annual Cash Retainers</w:t>
            </w:r>
          </w:p>
        </w:tc>
        <w:tc>
          <w:tcPr>
            <w:tcW w:w="3360" w:type="dxa"/>
            <w:vAlign w:val="bottom"/>
            <w:shd w:val="clear" w:color="auto" w:fill="E5EEF8"/>
          </w:tcPr>
          <w:p>
            <w:pPr>
              <w:spacing w:after="0"/>
              <w:rPr>
                <w:sz w:val="16"/>
                <w:szCs w:val="16"/>
                <w:color w:val="auto"/>
              </w:rPr>
            </w:pPr>
          </w:p>
        </w:tc>
        <w:tc>
          <w:tcPr>
            <w:tcW w:w="680" w:type="dxa"/>
            <w:vAlign w:val="bottom"/>
            <w:shd w:val="clear" w:color="auto" w:fill="E5EEF8"/>
          </w:tcPr>
          <w:p>
            <w:pPr>
              <w:spacing w:after="0"/>
              <w:rPr>
                <w:sz w:val="16"/>
                <w:szCs w:val="16"/>
                <w:color w:val="auto"/>
              </w:rPr>
            </w:pPr>
          </w:p>
        </w:tc>
      </w:tr>
      <w:tr>
        <w:trPr>
          <w:trHeight w:val="183"/>
        </w:trPr>
        <w:tc>
          <w:tcPr>
            <w:tcW w:w="6980" w:type="dxa"/>
            <w:vAlign w:val="bottom"/>
          </w:tcPr>
          <w:p>
            <w:pPr>
              <w:ind w:left="40"/>
              <w:spacing w:after="0" w:line="183" w:lineRule="exact"/>
              <w:rPr>
                <w:sz w:val="20"/>
                <w:szCs w:val="20"/>
                <w:color w:val="auto"/>
              </w:rPr>
            </w:pPr>
            <w:r>
              <w:rPr>
                <w:rFonts w:ascii="Arial" w:cs="Arial" w:eastAsia="Arial" w:hAnsi="Arial"/>
                <w:sz w:val="17"/>
                <w:szCs w:val="17"/>
                <w:color w:val="auto"/>
              </w:rPr>
              <w:t>Independent Chair</w:t>
            </w:r>
          </w:p>
        </w:tc>
        <w:tc>
          <w:tcPr>
            <w:tcW w:w="33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83" w:lineRule="exact"/>
              <w:rPr>
                <w:sz w:val="20"/>
                <w:szCs w:val="20"/>
                <w:color w:val="auto"/>
              </w:rPr>
            </w:pPr>
            <w:r>
              <w:rPr>
                <w:rFonts w:ascii="Arial" w:cs="Arial" w:eastAsia="Arial" w:hAnsi="Arial"/>
                <w:sz w:val="17"/>
                <w:szCs w:val="17"/>
                <w:color w:val="auto"/>
                <w:w w:val="97"/>
              </w:rPr>
              <w:t>125,000</w:t>
            </w:r>
          </w:p>
        </w:tc>
      </w:tr>
      <w:tr>
        <w:trPr>
          <w:trHeight w:val="189"/>
        </w:trPr>
        <w:tc>
          <w:tcPr>
            <w:tcW w:w="6980" w:type="dxa"/>
            <w:vAlign w:val="bottom"/>
          </w:tcPr>
          <w:p>
            <w:pPr>
              <w:ind w:left="40"/>
              <w:spacing w:after="0" w:line="189" w:lineRule="exact"/>
              <w:rPr>
                <w:sz w:val="20"/>
                <w:szCs w:val="20"/>
                <w:color w:val="auto"/>
              </w:rPr>
            </w:pPr>
            <w:r>
              <w:rPr>
                <w:rFonts w:ascii="Arial" w:cs="Arial" w:eastAsia="Arial" w:hAnsi="Arial"/>
                <w:sz w:val="17"/>
                <w:szCs w:val="17"/>
                <w:color w:val="auto"/>
              </w:rPr>
              <w:t>Chair of Audit Committee</w:t>
            </w:r>
          </w:p>
        </w:tc>
        <w:tc>
          <w:tcPr>
            <w:tcW w:w="33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5,000</w:t>
            </w:r>
          </w:p>
        </w:tc>
      </w:tr>
      <w:tr>
        <w:trPr>
          <w:trHeight w:val="189"/>
        </w:trPr>
        <w:tc>
          <w:tcPr>
            <w:tcW w:w="6980" w:type="dxa"/>
            <w:vAlign w:val="bottom"/>
          </w:tcPr>
          <w:p>
            <w:pPr>
              <w:ind w:left="40"/>
              <w:spacing w:after="0" w:line="189" w:lineRule="exact"/>
              <w:rPr>
                <w:sz w:val="20"/>
                <w:szCs w:val="20"/>
                <w:color w:val="auto"/>
              </w:rPr>
            </w:pPr>
            <w:r>
              <w:rPr>
                <w:rFonts w:ascii="Arial" w:cs="Arial" w:eastAsia="Arial" w:hAnsi="Arial"/>
                <w:sz w:val="17"/>
                <w:szCs w:val="17"/>
                <w:color w:val="auto"/>
              </w:rPr>
              <w:t>Chair of Compensation Committee</w:t>
            </w:r>
          </w:p>
        </w:tc>
        <w:tc>
          <w:tcPr>
            <w:tcW w:w="33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5,000</w:t>
            </w:r>
          </w:p>
        </w:tc>
      </w:tr>
      <w:tr>
        <w:trPr>
          <w:trHeight w:val="205"/>
        </w:trPr>
        <w:tc>
          <w:tcPr>
            <w:tcW w:w="6980" w:type="dxa"/>
            <w:vAlign w:val="bottom"/>
          </w:tcPr>
          <w:p>
            <w:pPr>
              <w:ind w:left="40"/>
              <w:spacing w:after="0"/>
              <w:rPr>
                <w:sz w:val="20"/>
                <w:szCs w:val="20"/>
                <w:color w:val="auto"/>
              </w:rPr>
            </w:pPr>
            <w:r>
              <w:rPr>
                <w:rFonts w:ascii="Arial" w:cs="Arial" w:eastAsia="Arial" w:hAnsi="Arial"/>
                <w:sz w:val="17"/>
                <w:szCs w:val="17"/>
                <w:color w:val="auto"/>
              </w:rPr>
              <w:t>Chair of Nominating and Governance Committee</w:t>
            </w:r>
          </w:p>
        </w:tc>
        <w:tc>
          <w:tcPr>
            <w:tcW w:w="336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5,000</w:t>
            </w:r>
          </w:p>
        </w:tc>
      </w:tr>
    </w:tbl>
    <w:p>
      <w:pPr>
        <w:spacing w:after="0" w:line="92"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We also reimburse our directors for reasonable travel expenses incurred in connection with attendance at Board, Committee and shareholder meetings and other Company business. In addition, the cash retainer and the number of equity awards granted are prorated for any new director appointed during the year based on the number of full months such director serves as a non-employee director during the year.</w:t>
      </w:r>
    </w:p>
    <w:p>
      <w:pPr>
        <w:spacing w:after="0" w:line="140" w:lineRule="exact"/>
        <w:rPr>
          <w:sz w:val="20"/>
          <w:szCs w:val="20"/>
          <w:color w:val="auto"/>
        </w:rPr>
      </w:pPr>
    </w:p>
    <w:tbl>
      <w:tblPr>
        <w:tblLayout w:type="fixed"/>
        <w:tblInd w:w="6920" w:type="dxa"/>
        <w:tblCellMar>
          <w:top w:w="0" w:type="dxa"/>
          <w:left w:w="0" w:type="dxa"/>
          <w:bottom w:w="0" w:type="dxa"/>
          <w:right w:w="0" w:type="dxa"/>
        </w:tblCellMar>
      </w:tblPr>
      <w:tr>
        <w:trPr>
          <w:trHeight w:val="29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005CB9"/>
              </w:rPr>
              <w:t>17</w:t>
            </w:r>
          </w:p>
        </w:tc>
      </w:tr>
      <w:tr>
        <w:trPr>
          <w:trHeight w:val="100"/>
        </w:trPr>
        <w:tc>
          <w:tcPr>
            <w:tcW w:w="3900" w:type="dxa"/>
            <w:vAlign w:val="bottom"/>
            <w:tcBorders>
              <w:right w:val="single" w:sz="8" w:color="005CB9"/>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-205105</wp:posOffset>
            </wp:positionV>
            <wp:extent cx="428625"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DIRECTOR COMPENSATION </w:t>
      </w:r>
      <w:r>
        <w:rPr>
          <w:rFonts w:ascii="Arial" w:cs="Arial" w:eastAsia="Arial" w:hAnsi="Arial"/>
          <w:sz w:val="18"/>
          <w:szCs w:val="18"/>
          <w:i w:val="1"/>
          <w:iCs w:val="1"/>
          <w:color w:val="005CB9"/>
        </w:rPr>
        <w:t>(CONTINUED)</w:t>
      </w:r>
    </w:p>
    <w:p>
      <w:pPr>
        <w:spacing w:after="0" w:line="157"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Mr. Hunn is an employee of our Company and did not receive any compensation for his service as a director. His compensation is set forth in the “Executive Compensation” section below.</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Director Compensation</w:t>
      </w:r>
    </w:p>
    <w:p>
      <w:pPr>
        <w:spacing w:after="0" w:line="140" w:lineRule="exact"/>
        <w:rPr>
          <w:sz w:val="20"/>
          <w:szCs w:val="20"/>
          <w:color w:val="auto"/>
        </w:rPr>
      </w:pPr>
    </w:p>
    <w:tbl>
      <w:tblPr>
        <w:tblLayout w:type="fixed"/>
        <w:tblInd w:w="1880" w:type="dxa"/>
        <w:tblCellMar>
          <w:top w:w="0" w:type="dxa"/>
          <w:left w:w="0" w:type="dxa"/>
          <w:bottom w:w="0" w:type="dxa"/>
          <w:right w:w="0" w:type="dxa"/>
        </w:tblCellMar>
      </w:tblPr>
      <w:tr>
        <w:trPr>
          <w:trHeight w:val="234"/>
        </w:trPr>
        <w:tc>
          <w:tcPr>
            <w:tcW w:w="4020" w:type="dxa"/>
            <w:vAlign w:val="bottom"/>
            <w:shd w:val="clear" w:color="auto" w:fill="005CB9"/>
          </w:tcPr>
          <w:p>
            <w:pPr>
              <w:spacing w:after="0"/>
              <w:rPr>
                <w:sz w:val="20"/>
                <w:szCs w:val="20"/>
                <w:color w:val="auto"/>
              </w:rPr>
            </w:pPr>
          </w:p>
        </w:tc>
        <w:tc>
          <w:tcPr>
            <w:tcW w:w="1500" w:type="dxa"/>
            <w:vAlign w:val="bottom"/>
            <w:shd w:val="clear" w:color="auto" w:fill="005CB9"/>
          </w:tcPr>
          <w:p>
            <w:pPr>
              <w:jc w:val="center"/>
              <w:ind w:left="25"/>
              <w:spacing w:after="0"/>
              <w:rPr>
                <w:sz w:val="20"/>
                <w:szCs w:val="20"/>
                <w:color w:val="auto"/>
              </w:rPr>
            </w:pPr>
            <w:r>
              <w:rPr>
                <w:rFonts w:ascii="Arial" w:cs="Arial" w:eastAsia="Arial" w:hAnsi="Arial"/>
                <w:sz w:val="14"/>
                <w:szCs w:val="14"/>
                <w:color w:val="FFFFFF"/>
              </w:rPr>
              <w:t>Fees Earned or</w:t>
            </w:r>
          </w:p>
        </w:tc>
        <w:tc>
          <w:tcPr>
            <w:tcW w:w="104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Stock</w:t>
            </w:r>
          </w:p>
        </w:tc>
        <w:tc>
          <w:tcPr>
            <w:tcW w:w="860" w:type="dxa"/>
            <w:vAlign w:val="bottom"/>
            <w:vMerge w:val="restart"/>
            <w:shd w:val="clear" w:color="auto" w:fill="005CB9"/>
          </w:tcPr>
          <w:p>
            <w:pPr>
              <w:jc w:val="right"/>
              <w:ind w:right="125"/>
              <w:spacing w:after="0"/>
              <w:rPr>
                <w:sz w:val="20"/>
                <w:szCs w:val="20"/>
                <w:color w:val="auto"/>
              </w:rPr>
            </w:pPr>
            <w:r>
              <w:rPr>
                <w:rFonts w:ascii="Arial" w:cs="Arial" w:eastAsia="Arial" w:hAnsi="Arial"/>
                <w:sz w:val="14"/>
                <w:szCs w:val="14"/>
                <w:color w:val="FFFFFF"/>
              </w:rPr>
              <w:t>Total</w:t>
            </w:r>
          </w:p>
        </w:tc>
        <w:tc>
          <w:tcPr>
            <w:tcW w:w="60" w:type="dxa"/>
            <w:vAlign w:val="bottom"/>
            <w:shd w:val="clear" w:color="auto" w:fill="005CB9"/>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20" w:type="dxa"/>
            <w:vAlign w:val="bottom"/>
            <w:shd w:val="clear" w:color="auto" w:fill="005CB9"/>
          </w:tcPr>
          <w:p>
            <w:pPr>
              <w:spacing w:after="0"/>
              <w:rPr>
                <w:sz w:val="12"/>
                <w:szCs w:val="12"/>
                <w:color w:val="auto"/>
              </w:rPr>
            </w:pPr>
          </w:p>
        </w:tc>
        <w:tc>
          <w:tcPr>
            <w:tcW w:w="1500" w:type="dxa"/>
            <w:vAlign w:val="bottom"/>
            <w:shd w:val="clear" w:color="auto" w:fill="005CB9"/>
          </w:tcPr>
          <w:p>
            <w:pPr>
              <w:jc w:val="center"/>
              <w:ind w:left="45"/>
              <w:spacing w:after="0" w:line="149" w:lineRule="exact"/>
              <w:rPr>
                <w:sz w:val="20"/>
                <w:szCs w:val="20"/>
                <w:color w:val="auto"/>
              </w:rPr>
            </w:pPr>
            <w:r>
              <w:rPr>
                <w:rFonts w:ascii="Arial" w:cs="Arial" w:eastAsia="Arial" w:hAnsi="Arial"/>
                <w:sz w:val="14"/>
                <w:szCs w:val="14"/>
                <w:color w:val="FFFFFF"/>
              </w:rPr>
              <w:t>Paid in Cash</w:t>
            </w:r>
          </w:p>
        </w:tc>
        <w:tc>
          <w:tcPr>
            <w:tcW w:w="1040" w:type="dxa"/>
            <w:vAlign w:val="bottom"/>
            <w:shd w:val="clear" w:color="auto" w:fill="005CB9"/>
          </w:tcPr>
          <w:p>
            <w:pPr>
              <w:jc w:val="center"/>
              <w:spacing w:after="0" w:line="149" w:lineRule="exact"/>
              <w:rPr>
                <w:sz w:val="20"/>
                <w:szCs w:val="20"/>
                <w:color w:val="auto"/>
              </w:rPr>
            </w:pPr>
            <w:r>
              <w:rPr>
                <w:rFonts w:ascii="Arial" w:cs="Arial" w:eastAsia="Arial" w:hAnsi="Arial"/>
                <w:sz w:val="14"/>
                <w:szCs w:val="14"/>
                <w:color w:val="FFFFFF"/>
              </w:rPr>
              <w:t>Awards</w:t>
            </w:r>
          </w:p>
        </w:tc>
        <w:tc>
          <w:tcPr>
            <w:tcW w:w="860" w:type="dxa"/>
            <w:vAlign w:val="bottom"/>
            <w:vMerge w:val="continue"/>
            <w:shd w:val="clear" w:color="auto" w:fill="005CB9"/>
          </w:tcPr>
          <w:p>
            <w:pPr>
              <w:spacing w:after="0"/>
              <w:rPr>
                <w:sz w:val="12"/>
                <w:szCs w:val="12"/>
                <w:color w:val="auto"/>
              </w:rPr>
            </w:pPr>
          </w:p>
        </w:tc>
        <w:tc>
          <w:tcPr>
            <w:tcW w:w="60" w:type="dxa"/>
            <w:vAlign w:val="bottom"/>
            <w:shd w:val="clear" w:color="auto" w:fill="005CB9"/>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20" w:type="dxa"/>
            <w:vAlign w:val="bottom"/>
            <w:shd w:val="clear" w:color="auto" w:fill="005CB9"/>
          </w:tcPr>
          <w:p>
            <w:pPr>
              <w:ind w:left="80"/>
              <w:spacing w:after="0"/>
              <w:rPr>
                <w:sz w:val="20"/>
                <w:szCs w:val="20"/>
                <w:color w:val="auto"/>
              </w:rPr>
            </w:pPr>
            <w:r>
              <w:rPr>
                <w:rFonts w:ascii="Arial" w:cs="Arial" w:eastAsia="Arial" w:hAnsi="Arial"/>
                <w:sz w:val="14"/>
                <w:szCs w:val="14"/>
                <w:color w:val="FFFFFF"/>
              </w:rPr>
              <w:t>Name</w:t>
            </w:r>
          </w:p>
        </w:tc>
        <w:tc>
          <w:tcPr>
            <w:tcW w:w="1500" w:type="dxa"/>
            <w:vAlign w:val="bottom"/>
            <w:shd w:val="clear" w:color="auto" w:fill="005CB9"/>
          </w:tcPr>
          <w:p>
            <w:pPr>
              <w:jc w:val="center"/>
              <w:ind w:left="45"/>
              <w:spacing w:after="0"/>
              <w:rPr>
                <w:sz w:val="20"/>
                <w:szCs w:val="20"/>
                <w:color w:val="auto"/>
              </w:rPr>
            </w:pPr>
            <w:r>
              <w:rPr>
                <w:rFonts w:ascii="Arial" w:cs="Arial" w:eastAsia="Arial" w:hAnsi="Arial"/>
                <w:sz w:val="14"/>
                <w:szCs w:val="14"/>
                <w:color w:val="FFFFFF"/>
              </w:rPr>
              <w:t>($)</w:t>
            </w:r>
          </w:p>
        </w:tc>
        <w:tc>
          <w:tcPr>
            <w:tcW w:w="1040" w:type="dxa"/>
            <w:vAlign w:val="bottom"/>
            <w:shd w:val="clear" w:color="auto" w:fill="005CB9"/>
          </w:tcPr>
          <w:p>
            <w:pPr>
              <w:jc w:val="center"/>
              <w:spacing w:after="0"/>
              <w:rPr>
                <w:sz w:val="20"/>
                <w:szCs w:val="20"/>
                <w:color w:val="auto"/>
              </w:rPr>
            </w:pPr>
            <w:r>
              <w:rPr>
                <w:rFonts w:ascii="Arial" w:cs="Arial" w:eastAsia="Arial" w:hAnsi="Arial"/>
                <w:sz w:val="14"/>
                <w:szCs w:val="14"/>
                <w:color w:val="FFFFFF"/>
                <w:w w:val="91"/>
              </w:rPr>
              <w:t>($)</w:t>
            </w:r>
            <w:r>
              <w:rPr>
                <w:rFonts w:ascii="Arial" w:cs="Arial" w:eastAsia="Arial" w:hAnsi="Arial"/>
                <w:sz w:val="14"/>
                <w:szCs w:val="14"/>
                <w:color w:val="FFFFFF"/>
                <w:w w:val="91"/>
                <w:vertAlign w:val="superscript"/>
              </w:rPr>
              <w:t>(1)</w:t>
            </w:r>
          </w:p>
        </w:tc>
        <w:tc>
          <w:tcPr>
            <w:tcW w:w="860" w:type="dxa"/>
            <w:vAlign w:val="bottom"/>
            <w:shd w:val="clear" w:color="auto" w:fill="005CB9"/>
          </w:tcPr>
          <w:p>
            <w:pPr>
              <w:jc w:val="right"/>
              <w:ind w:right="185"/>
              <w:spacing w:after="0"/>
              <w:rPr>
                <w:sz w:val="20"/>
                <w:szCs w:val="20"/>
                <w:color w:val="auto"/>
              </w:rPr>
            </w:pPr>
            <w:r>
              <w:rPr>
                <w:rFonts w:ascii="Arial" w:cs="Arial" w:eastAsia="Arial" w:hAnsi="Arial"/>
                <w:sz w:val="14"/>
                <w:szCs w:val="14"/>
                <w:color w:val="FFFFFF"/>
              </w:rPr>
              <w:t>($)</w:t>
            </w:r>
          </w:p>
        </w:tc>
        <w:tc>
          <w:tcPr>
            <w:tcW w:w="60" w:type="dxa"/>
            <w:vAlign w:val="bottom"/>
            <w:shd w:val="clear" w:color="auto" w:fill="005CB9"/>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4020" w:type="dxa"/>
            <w:vAlign w:val="bottom"/>
            <w:tcBorders>
              <w:bottom w:val="single" w:sz="8" w:color="E5EEF8"/>
            </w:tcBorders>
            <w:shd w:val="clear" w:color="auto" w:fill="E5EEF8"/>
          </w:tcPr>
          <w:p>
            <w:pPr>
              <w:ind w:left="100"/>
              <w:spacing w:after="0"/>
              <w:rPr>
                <w:sz w:val="20"/>
                <w:szCs w:val="20"/>
                <w:color w:val="auto"/>
              </w:rPr>
            </w:pPr>
            <w:r>
              <w:rPr>
                <w:rFonts w:ascii="Arial" w:cs="Arial" w:eastAsia="Arial" w:hAnsi="Arial"/>
                <w:sz w:val="17"/>
                <w:szCs w:val="17"/>
                <w:color w:val="auto"/>
              </w:rPr>
              <w:t>Shellye L. Archambeau</w:t>
            </w:r>
          </w:p>
        </w:tc>
        <w:tc>
          <w:tcPr>
            <w:tcW w:w="1500" w:type="dxa"/>
            <w:vAlign w:val="bottom"/>
            <w:tcBorders>
              <w:bottom w:val="single" w:sz="8" w:color="E5EEF8"/>
            </w:tcBorders>
            <w:shd w:val="clear" w:color="auto" w:fill="E5EEF8"/>
          </w:tcPr>
          <w:p>
            <w:pPr>
              <w:jc w:val="right"/>
              <w:ind w:right="125"/>
              <w:spacing w:after="0"/>
              <w:rPr>
                <w:sz w:val="20"/>
                <w:szCs w:val="20"/>
                <w:color w:val="auto"/>
              </w:rPr>
            </w:pPr>
            <w:r>
              <w:rPr>
                <w:rFonts w:ascii="Arial" w:cs="Arial" w:eastAsia="Arial" w:hAnsi="Arial"/>
                <w:sz w:val="17"/>
                <w:szCs w:val="17"/>
                <w:color w:val="auto"/>
              </w:rPr>
              <w:t>62,917</w:t>
            </w:r>
          </w:p>
        </w:tc>
        <w:tc>
          <w:tcPr>
            <w:tcW w:w="1040" w:type="dxa"/>
            <w:vAlign w:val="bottom"/>
            <w:tcBorders>
              <w:bottom w:val="single" w:sz="8" w:color="E5EEF8"/>
            </w:tcBorders>
            <w:shd w:val="clear" w:color="auto" w:fill="E5EEF8"/>
          </w:tcPr>
          <w:p>
            <w:pPr>
              <w:jc w:val="right"/>
              <w:ind w:right="145"/>
              <w:spacing w:after="0"/>
              <w:rPr>
                <w:sz w:val="20"/>
                <w:szCs w:val="20"/>
                <w:color w:val="auto"/>
              </w:rPr>
            </w:pPr>
            <w:r>
              <w:rPr>
                <w:rFonts w:ascii="Arial" w:cs="Arial" w:eastAsia="Arial" w:hAnsi="Arial"/>
                <w:sz w:val="17"/>
                <w:szCs w:val="17"/>
                <w:color w:val="auto"/>
              </w:rPr>
              <w:t>385,000</w:t>
            </w:r>
          </w:p>
        </w:tc>
        <w:tc>
          <w:tcPr>
            <w:tcW w:w="860" w:type="dxa"/>
            <w:vAlign w:val="bottom"/>
            <w:tcBorders>
              <w:bottom w:val="single" w:sz="8" w:color="E5EEF8"/>
            </w:tcBorders>
            <w:shd w:val="clear" w:color="auto" w:fill="E5EEF8"/>
          </w:tcPr>
          <w:p>
            <w:pPr>
              <w:jc w:val="right"/>
              <w:spacing w:after="0"/>
              <w:rPr>
                <w:sz w:val="20"/>
                <w:szCs w:val="20"/>
                <w:color w:val="auto"/>
              </w:rPr>
            </w:pPr>
            <w:r>
              <w:rPr>
                <w:rFonts w:ascii="Arial" w:cs="Arial" w:eastAsia="Arial" w:hAnsi="Arial"/>
                <w:sz w:val="17"/>
                <w:szCs w:val="17"/>
                <w:color w:val="auto"/>
              </w:rPr>
              <w:t>447,917</w:t>
            </w:r>
          </w:p>
        </w:tc>
        <w:tc>
          <w:tcPr>
            <w:tcW w:w="60" w:type="dxa"/>
            <w:vAlign w:val="bottom"/>
            <w:tcBorders>
              <w:bottom w:val="single" w:sz="8" w:color="E5EEF8"/>
            </w:tcBorders>
            <w:shd w:val="clear" w:color="auto" w:fill="E5EEF8"/>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020" w:type="dxa"/>
            <w:vAlign w:val="bottom"/>
          </w:tcPr>
          <w:p>
            <w:pPr>
              <w:ind w:left="100"/>
              <w:spacing w:after="0"/>
              <w:rPr>
                <w:sz w:val="20"/>
                <w:szCs w:val="20"/>
                <w:color w:val="auto"/>
              </w:rPr>
            </w:pPr>
            <w:r>
              <w:rPr>
                <w:rFonts w:ascii="Arial" w:cs="Arial" w:eastAsia="Arial" w:hAnsi="Arial"/>
                <w:sz w:val="17"/>
                <w:szCs w:val="17"/>
                <w:color w:val="auto"/>
              </w:rPr>
              <w:t>Amy Woods Brinkley</w:t>
            </w:r>
          </w:p>
        </w:tc>
        <w:tc>
          <w:tcPr>
            <w:tcW w:w="1500" w:type="dxa"/>
            <w:vAlign w:val="bottom"/>
          </w:tcPr>
          <w:p>
            <w:pPr>
              <w:jc w:val="right"/>
              <w:ind w:right="125"/>
              <w:spacing w:after="0"/>
              <w:rPr>
                <w:sz w:val="20"/>
                <w:szCs w:val="20"/>
                <w:color w:val="auto"/>
              </w:rPr>
            </w:pPr>
            <w:r>
              <w:rPr>
                <w:rFonts w:ascii="Arial" w:cs="Arial" w:eastAsia="Arial" w:hAnsi="Arial"/>
                <w:sz w:val="17"/>
                <w:szCs w:val="17"/>
                <w:color w:val="auto"/>
              </w:rPr>
              <w:t>132,917</w:t>
            </w:r>
          </w:p>
        </w:tc>
        <w:tc>
          <w:tcPr>
            <w:tcW w:w="1040" w:type="dxa"/>
            <w:vAlign w:val="bottom"/>
          </w:tcPr>
          <w:p>
            <w:pPr>
              <w:jc w:val="right"/>
              <w:ind w:right="145"/>
              <w:spacing w:after="0"/>
              <w:rPr>
                <w:sz w:val="20"/>
                <w:szCs w:val="20"/>
                <w:color w:val="auto"/>
              </w:rPr>
            </w:pPr>
            <w:r>
              <w:rPr>
                <w:rFonts w:ascii="Arial" w:cs="Arial" w:eastAsia="Arial" w:hAnsi="Arial"/>
                <w:sz w:val="17"/>
                <w:szCs w:val="17"/>
                <w:color w:val="auto"/>
              </w:rPr>
              <w:t>385,000</w:t>
            </w:r>
          </w:p>
        </w:tc>
        <w:tc>
          <w:tcPr>
            <w:tcW w:w="860" w:type="dxa"/>
            <w:vAlign w:val="bottom"/>
          </w:tcPr>
          <w:p>
            <w:pPr>
              <w:jc w:val="right"/>
              <w:spacing w:after="0"/>
              <w:rPr>
                <w:sz w:val="20"/>
                <w:szCs w:val="20"/>
                <w:color w:val="auto"/>
              </w:rPr>
            </w:pPr>
            <w:r>
              <w:rPr>
                <w:rFonts w:ascii="Arial" w:cs="Arial" w:eastAsia="Arial" w:hAnsi="Arial"/>
                <w:sz w:val="17"/>
                <w:szCs w:val="17"/>
                <w:color w:val="auto"/>
              </w:rPr>
              <w:t>517,917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
        </w:trPr>
        <w:tc>
          <w:tcPr>
            <w:tcW w:w="40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4020" w:type="dxa"/>
            <w:vAlign w:val="bottom"/>
            <w:shd w:val="clear" w:color="auto" w:fill="E5EEF8"/>
          </w:tcPr>
          <w:p>
            <w:pPr>
              <w:ind w:left="100"/>
              <w:spacing w:after="0" w:line="71" w:lineRule="exact"/>
              <w:rPr>
                <w:sz w:val="20"/>
                <w:szCs w:val="20"/>
                <w:color w:val="auto"/>
              </w:rPr>
            </w:pPr>
            <w:r>
              <w:rPr>
                <w:rFonts w:ascii="Arial" w:cs="Arial" w:eastAsia="Arial" w:hAnsi="Arial"/>
                <w:sz w:val="7"/>
                <w:szCs w:val="7"/>
                <w:color w:val="auto"/>
              </w:rPr>
              <w:t>Irene M. Esteves</w:t>
            </w:r>
          </w:p>
        </w:tc>
        <w:tc>
          <w:tcPr>
            <w:tcW w:w="1500" w:type="dxa"/>
            <w:vAlign w:val="bottom"/>
            <w:shd w:val="clear" w:color="auto" w:fill="E5EEF8"/>
          </w:tcPr>
          <w:p>
            <w:pPr>
              <w:jc w:val="right"/>
              <w:ind w:right="125"/>
              <w:spacing w:after="0" w:line="71" w:lineRule="exact"/>
              <w:rPr>
                <w:sz w:val="20"/>
                <w:szCs w:val="20"/>
                <w:color w:val="auto"/>
              </w:rPr>
            </w:pPr>
            <w:r>
              <w:rPr>
                <w:rFonts w:ascii="Arial" w:cs="Arial" w:eastAsia="Arial" w:hAnsi="Arial"/>
                <w:sz w:val="7"/>
                <w:szCs w:val="7"/>
                <w:color w:val="auto"/>
              </w:rPr>
              <w:t>11,671</w:t>
            </w:r>
          </w:p>
        </w:tc>
        <w:tc>
          <w:tcPr>
            <w:tcW w:w="1040" w:type="dxa"/>
            <w:vAlign w:val="bottom"/>
            <w:shd w:val="clear" w:color="auto" w:fill="E5EEF8"/>
          </w:tcPr>
          <w:p>
            <w:pPr>
              <w:jc w:val="right"/>
              <w:ind w:right="145"/>
              <w:spacing w:after="0" w:line="71" w:lineRule="exact"/>
              <w:rPr>
                <w:sz w:val="20"/>
                <w:szCs w:val="20"/>
                <w:color w:val="auto"/>
              </w:rPr>
            </w:pPr>
            <w:r>
              <w:rPr>
                <w:rFonts w:ascii="Arial" w:cs="Arial" w:eastAsia="Arial" w:hAnsi="Arial"/>
                <w:sz w:val="7"/>
                <w:szCs w:val="7"/>
                <w:color w:val="auto"/>
              </w:rPr>
              <w:t>224,583</w:t>
            </w:r>
          </w:p>
        </w:tc>
        <w:tc>
          <w:tcPr>
            <w:tcW w:w="860" w:type="dxa"/>
            <w:vAlign w:val="bottom"/>
            <w:shd w:val="clear" w:color="auto" w:fill="E5EEF8"/>
          </w:tcPr>
          <w:p>
            <w:pPr>
              <w:jc w:val="right"/>
              <w:spacing w:after="0" w:line="71" w:lineRule="exact"/>
              <w:rPr>
                <w:sz w:val="20"/>
                <w:szCs w:val="20"/>
                <w:color w:val="auto"/>
              </w:rPr>
            </w:pPr>
            <w:r>
              <w:rPr>
                <w:rFonts w:ascii="Arial" w:cs="Arial" w:eastAsia="Arial" w:hAnsi="Arial"/>
                <w:sz w:val="7"/>
                <w:szCs w:val="7"/>
                <w:color w:val="auto"/>
              </w:rPr>
              <w:t>236,254</w:t>
            </w:r>
          </w:p>
        </w:tc>
        <w:tc>
          <w:tcPr>
            <w:tcW w:w="60" w:type="dxa"/>
            <w:vAlign w:val="bottom"/>
            <w:shd w:val="clear" w:color="auto" w:fill="E5EEF8"/>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020" w:type="dxa"/>
            <w:vAlign w:val="bottom"/>
            <w:shd w:val="clear" w:color="auto" w:fill="E5EEF8"/>
          </w:tcPr>
          <w:p>
            <w:pPr>
              <w:ind w:left="1380"/>
              <w:spacing w:after="0"/>
              <w:rPr>
                <w:sz w:val="20"/>
                <w:szCs w:val="20"/>
                <w:color w:val="auto"/>
              </w:rPr>
            </w:pPr>
            <w:r>
              <w:rPr>
                <w:rFonts w:ascii="Arial" w:cs="Arial" w:eastAsia="Arial" w:hAnsi="Arial"/>
                <w:sz w:val="15"/>
                <w:szCs w:val="15"/>
                <w:color w:val="auto"/>
              </w:rPr>
              <w:t>(2)</w:t>
            </w:r>
          </w:p>
        </w:tc>
        <w:tc>
          <w:tcPr>
            <w:tcW w:w="1500" w:type="dxa"/>
            <w:vAlign w:val="bottom"/>
            <w:shd w:val="clear" w:color="auto" w:fill="E5EEF8"/>
          </w:tcPr>
          <w:p>
            <w:pPr>
              <w:spacing w:after="0"/>
              <w:rPr>
                <w:sz w:val="15"/>
                <w:szCs w:val="15"/>
                <w:color w:val="auto"/>
              </w:rPr>
            </w:pPr>
          </w:p>
        </w:tc>
        <w:tc>
          <w:tcPr>
            <w:tcW w:w="1040" w:type="dxa"/>
            <w:vAlign w:val="bottom"/>
            <w:shd w:val="clear" w:color="auto" w:fill="E5EEF8"/>
          </w:tcPr>
          <w:p>
            <w:pPr>
              <w:spacing w:after="0"/>
              <w:rPr>
                <w:sz w:val="15"/>
                <w:szCs w:val="15"/>
                <w:color w:val="auto"/>
              </w:rPr>
            </w:pPr>
          </w:p>
        </w:tc>
        <w:tc>
          <w:tcPr>
            <w:tcW w:w="860" w:type="dxa"/>
            <w:vAlign w:val="bottom"/>
            <w:shd w:val="clear" w:color="auto" w:fill="E5EEF8"/>
          </w:tcPr>
          <w:p>
            <w:pPr>
              <w:spacing w:after="0"/>
              <w:rPr>
                <w:sz w:val="15"/>
                <w:szCs w:val="15"/>
                <w:color w:val="auto"/>
              </w:rPr>
            </w:pPr>
          </w:p>
        </w:tc>
        <w:tc>
          <w:tcPr>
            <w:tcW w:w="60" w:type="dxa"/>
            <w:vAlign w:val="bottom"/>
            <w:shd w:val="clear" w:color="auto" w:fill="E5EEF8"/>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4020" w:type="dxa"/>
            <w:vAlign w:val="bottom"/>
            <w:shd w:val="clear" w:color="auto" w:fill="E5EEF8"/>
          </w:tcPr>
          <w:p>
            <w:pPr>
              <w:spacing w:after="0"/>
              <w:rPr>
                <w:sz w:val="5"/>
                <w:szCs w:val="5"/>
                <w:color w:val="auto"/>
              </w:rPr>
            </w:pPr>
          </w:p>
        </w:tc>
        <w:tc>
          <w:tcPr>
            <w:tcW w:w="1500" w:type="dxa"/>
            <w:vAlign w:val="bottom"/>
            <w:shd w:val="clear" w:color="auto" w:fill="E5EEF8"/>
          </w:tcPr>
          <w:p>
            <w:pPr>
              <w:spacing w:after="0"/>
              <w:rPr>
                <w:sz w:val="5"/>
                <w:szCs w:val="5"/>
                <w:color w:val="auto"/>
              </w:rPr>
            </w:pPr>
          </w:p>
        </w:tc>
        <w:tc>
          <w:tcPr>
            <w:tcW w:w="1040" w:type="dxa"/>
            <w:vAlign w:val="bottom"/>
            <w:shd w:val="clear" w:color="auto" w:fill="E5EEF8"/>
          </w:tcPr>
          <w:p>
            <w:pPr>
              <w:spacing w:after="0"/>
              <w:rPr>
                <w:sz w:val="5"/>
                <w:szCs w:val="5"/>
                <w:color w:val="auto"/>
              </w:rPr>
            </w:pPr>
          </w:p>
        </w:tc>
        <w:tc>
          <w:tcPr>
            <w:tcW w:w="860" w:type="dxa"/>
            <w:vAlign w:val="bottom"/>
            <w:shd w:val="clear" w:color="auto" w:fill="E5EEF8"/>
          </w:tcPr>
          <w:p>
            <w:pPr>
              <w:spacing w:after="0"/>
              <w:rPr>
                <w:sz w:val="5"/>
                <w:szCs w:val="5"/>
                <w:color w:val="auto"/>
              </w:rPr>
            </w:pPr>
          </w:p>
        </w:tc>
        <w:tc>
          <w:tcPr>
            <w:tcW w:w="60" w:type="dxa"/>
            <w:vAlign w:val="bottom"/>
            <w:shd w:val="clear" w:color="auto" w:fill="E5EEF8"/>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4020" w:type="dxa"/>
            <w:vAlign w:val="bottom"/>
          </w:tcPr>
          <w:p>
            <w:pPr>
              <w:ind w:left="100"/>
              <w:spacing w:after="0"/>
              <w:rPr>
                <w:sz w:val="20"/>
                <w:szCs w:val="20"/>
                <w:color w:val="auto"/>
              </w:rPr>
            </w:pPr>
            <w:r>
              <w:rPr>
                <w:rFonts w:ascii="Arial" w:cs="Arial" w:eastAsia="Arial" w:hAnsi="Arial"/>
                <w:sz w:val="17"/>
                <w:szCs w:val="17"/>
                <w:color w:val="auto"/>
              </w:rPr>
              <w:t>John F. Fort III</w:t>
            </w:r>
          </w:p>
        </w:tc>
        <w:tc>
          <w:tcPr>
            <w:tcW w:w="1500" w:type="dxa"/>
            <w:vAlign w:val="bottom"/>
          </w:tcPr>
          <w:p>
            <w:pPr>
              <w:jc w:val="right"/>
              <w:ind w:right="125"/>
              <w:spacing w:after="0"/>
              <w:rPr>
                <w:sz w:val="20"/>
                <w:szCs w:val="20"/>
                <w:color w:val="auto"/>
              </w:rPr>
            </w:pPr>
            <w:r>
              <w:rPr>
                <w:rFonts w:ascii="Arial" w:cs="Arial" w:eastAsia="Arial" w:hAnsi="Arial"/>
                <w:sz w:val="17"/>
                <w:szCs w:val="17"/>
                <w:color w:val="auto"/>
              </w:rPr>
              <w:t>60,000</w:t>
            </w:r>
          </w:p>
        </w:tc>
        <w:tc>
          <w:tcPr>
            <w:tcW w:w="1040" w:type="dxa"/>
            <w:vAlign w:val="bottom"/>
          </w:tcPr>
          <w:p>
            <w:pPr>
              <w:jc w:val="right"/>
              <w:ind w:right="145"/>
              <w:spacing w:after="0"/>
              <w:rPr>
                <w:sz w:val="20"/>
                <w:szCs w:val="20"/>
                <w:color w:val="auto"/>
              </w:rPr>
            </w:pPr>
            <w:r>
              <w:rPr>
                <w:rFonts w:ascii="Arial" w:cs="Arial" w:eastAsia="Arial" w:hAnsi="Arial"/>
                <w:sz w:val="17"/>
                <w:szCs w:val="17"/>
                <w:color w:val="auto"/>
              </w:rPr>
              <w:t>385,000</w:t>
            </w:r>
          </w:p>
        </w:tc>
        <w:tc>
          <w:tcPr>
            <w:tcW w:w="860" w:type="dxa"/>
            <w:vAlign w:val="bottom"/>
          </w:tcPr>
          <w:p>
            <w:pPr>
              <w:jc w:val="right"/>
              <w:spacing w:after="0"/>
              <w:rPr>
                <w:sz w:val="20"/>
                <w:szCs w:val="20"/>
                <w:color w:val="auto"/>
              </w:rPr>
            </w:pPr>
            <w:r>
              <w:rPr>
                <w:rFonts w:ascii="Arial" w:cs="Arial" w:eastAsia="Arial" w:hAnsi="Arial"/>
                <w:sz w:val="17"/>
                <w:szCs w:val="17"/>
                <w:color w:val="auto"/>
              </w:rPr>
              <w:t>445,000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
        </w:trPr>
        <w:tc>
          <w:tcPr>
            <w:tcW w:w="40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4020" w:type="dxa"/>
            <w:vAlign w:val="bottom"/>
            <w:tcBorders>
              <w:bottom w:val="single" w:sz="8" w:color="E5EEF8"/>
            </w:tcBorders>
            <w:shd w:val="clear" w:color="auto" w:fill="E5EEF8"/>
          </w:tcPr>
          <w:p>
            <w:pPr>
              <w:ind w:left="100"/>
              <w:spacing w:after="0"/>
              <w:rPr>
                <w:sz w:val="20"/>
                <w:szCs w:val="20"/>
                <w:color w:val="auto"/>
              </w:rPr>
            </w:pPr>
            <w:r>
              <w:rPr>
                <w:rFonts w:ascii="Arial" w:cs="Arial" w:eastAsia="Arial" w:hAnsi="Arial"/>
                <w:sz w:val="17"/>
                <w:szCs w:val="17"/>
                <w:color w:val="auto"/>
              </w:rPr>
              <w:t>Robert D. Johnson</w:t>
            </w:r>
          </w:p>
        </w:tc>
        <w:tc>
          <w:tcPr>
            <w:tcW w:w="1500" w:type="dxa"/>
            <w:vAlign w:val="bottom"/>
            <w:tcBorders>
              <w:bottom w:val="single" w:sz="8" w:color="E5EEF8"/>
            </w:tcBorders>
            <w:shd w:val="clear" w:color="auto" w:fill="E5EEF8"/>
          </w:tcPr>
          <w:p>
            <w:pPr>
              <w:jc w:val="right"/>
              <w:ind w:right="125"/>
              <w:spacing w:after="0"/>
              <w:rPr>
                <w:sz w:val="20"/>
                <w:szCs w:val="20"/>
                <w:color w:val="auto"/>
              </w:rPr>
            </w:pPr>
            <w:r>
              <w:rPr>
                <w:rFonts w:ascii="Arial" w:cs="Arial" w:eastAsia="Arial" w:hAnsi="Arial"/>
                <w:sz w:val="17"/>
                <w:szCs w:val="17"/>
                <w:color w:val="auto"/>
              </w:rPr>
              <w:t>60,000</w:t>
            </w:r>
          </w:p>
        </w:tc>
        <w:tc>
          <w:tcPr>
            <w:tcW w:w="1040" w:type="dxa"/>
            <w:vAlign w:val="bottom"/>
            <w:tcBorders>
              <w:bottom w:val="single" w:sz="8" w:color="E5EEF8"/>
            </w:tcBorders>
            <w:shd w:val="clear" w:color="auto" w:fill="E5EEF8"/>
          </w:tcPr>
          <w:p>
            <w:pPr>
              <w:jc w:val="right"/>
              <w:ind w:right="145"/>
              <w:spacing w:after="0"/>
              <w:rPr>
                <w:sz w:val="20"/>
                <w:szCs w:val="20"/>
                <w:color w:val="auto"/>
              </w:rPr>
            </w:pPr>
            <w:r>
              <w:rPr>
                <w:rFonts w:ascii="Arial" w:cs="Arial" w:eastAsia="Arial" w:hAnsi="Arial"/>
                <w:sz w:val="17"/>
                <w:szCs w:val="17"/>
                <w:color w:val="auto"/>
              </w:rPr>
              <w:t>385,000</w:t>
            </w:r>
          </w:p>
        </w:tc>
        <w:tc>
          <w:tcPr>
            <w:tcW w:w="860" w:type="dxa"/>
            <w:vAlign w:val="bottom"/>
            <w:tcBorders>
              <w:bottom w:val="single" w:sz="8" w:color="E5EEF8"/>
            </w:tcBorders>
            <w:shd w:val="clear" w:color="auto" w:fill="E5EEF8"/>
          </w:tcPr>
          <w:p>
            <w:pPr>
              <w:jc w:val="right"/>
              <w:spacing w:after="0"/>
              <w:rPr>
                <w:sz w:val="20"/>
                <w:szCs w:val="20"/>
                <w:color w:val="auto"/>
              </w:rPr>
            </w:pPr>
            <w:r>
              <w:rPr>
                <w:rFonts w:ascii="Arial" w:cs="Arial" w:eastAsia="Arial" w:hAnsi="Arial"/>
                <w:sz w:val="17"/>
                <w:szCs w:val="17"/>
                <w:color w:val="auto"/>
              </w:rPr>
              <w:t>445,000</w:t>
            </w:r>
          </w:p>
        </w:tc>
        <w:tc>
          <w:tcPr>
            <w:tcW w:w="60" w:type="dxa"/>
            <w:vAlign w:val="bottom"/>
            <w:tcBorders>
              <w:bottom w:val="single" w:sz="8" w:color="E5EEF8"/>
            </w:tcBorders>
            <w:shd w:val="clear" w:color="auto" w:fill="E5EEF8"/>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20" w:type="dxa"/>
            <w:vAlign w:val="bottom"/>
          </w:tcPr>
          <w:p>
            <w:pPr>
              <w:ind w:left="100"/>
              <w:spacing w:after="0" w:line="71" w:lineRule="exact"/>
              <w:rPr>
                <w:sz w:val="20"/>
                <w:szCs w:val="20"/>
                <w:color w:val="auto"/>
              </w:rPr>
            </w:pPr>
            <w:r>
              <w:rPr>
                <w:rFonts w:ascii="Arial" w:cs="Arial" w:eastAsia="Arial" w:hAnsi="Arial"/>
                <w:sz w:val="7"/>
                <w:szCs w:val="7"/>
                <w:color w:val="auto"/>
              </w:rPr>
              <w:t>Thomas P. Joyce, Jr.</w:t>
            </w:r>
          </w:p>
        </w:tc>
        <w:tc>
          <w:tcPr>
            <w:tcW w:w="1500" w:type="dxa"/>
            <w:vAlign w:val="bottom"/>
          </w:tcPr>
          <w:p>
            <w:pPr>
              <w:jc w:val="right"/>
              <w:ind w:right="125"/>
              <w:spacing w:after="0" w:line="71" w:lineRule="exact"/>
              <w:rPr>
                <w:sz w:val="20"/>
                <w:szCs w:val="20"/>
                <w:color w:val="auto"/>
              </w:rPr>
            </w:pPr>
            <w:r>
              <w:rPr>
                <w:rFonts w:ascii="Arial" w:cs="Arial" w:eastAsia="Arial" w:hAnsi="Arial"/>
                <w:sz w:val="7"/>
                <w:szCs w:val="7"/>
                <w:color w:val="auto"/>
              </w:rPr>
              <w:t>11,671</w:t>
            </w:r>
          </w:p>
        </w:tc>
        <w:tc>
          <w:tcPr>
            <w:tcW w:w="1040" w:type="dxa"/>
            <w:vAlign w:val="bottom"/>
          </w:tcPr>
          <w:p>
            <w:pPr>
              <w:jc w:val="right"/>
              <w:ind w:right="145"/>
              <w:spacing w:after="0" w:line="71" w:lineRule="exact"/>
              <w:rPr>
                <w:sz w:val="20"/>
                <w:szCs w:val="20"/>
                <w:color w:val="auto"/>
              </w:rPr>
            </w:pPr>
            <w:r>
              <w:rPr>
                <w:rFonts w:ascii="Arial" w:cs="Arial" w:eastAsia="Arial" w:hAnsi="Arial"/>
                <w:sz w:val="7"/>
                <w:szCs w:val="7"/>
                <w:color w:val="auto"/>
              </w:rPr>
              <w:t>224,583</w:t>
            </w:r>
          </w:p>
        </w:tc>
        <w:tc>
          <w:tcPr>
            <w:tcW w:w="860" w:type="dxa"/>
            <w:vAlign w:val="bottom"/>
          </w:tcPr>
          <w:p>
            <w:pPr>
              <w:jc w:val="right"/>
              <w:spacing w:after="0" w:line="71" w:lineRule="exact"/>
              <w:rPr>
                <w:sz w:val="20"/>
                <w:szCs w:val="20"/>
                <w:color w:val="auto"/>
              </w:rPr>
            </w:pPr>
            <w:r>
              <w:rPr>
                <w:rFonts w:ascii="Arial" w:cs="Arial" w:eastAsia="Arial" w:hAnsi="Arial"/>
                <w:sz w:val="7"/>
                <w:szCs w:val="7"/>
                <w:color w:val="auto"/>
              </w:rPr>
              <w:t>236,254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020" w:type="dxa"/>
            <w:vAlign w:val="bottom"/>
          </w:tcPr>
          <w:p>
            <w:pPr>
              <w:ind w:left="1660"/>
              <w:spacing w:after="0"/>
              <w:rPr>
                <w:sz w:val="20"/>
                <w:szCs w:val="20"/>
                <w:color w:val="auto"/>
              </w:rPr>
            </w:pPr>
            <w:r>
              <w:rPr>
                <w:rFonts w:ascii="Arial" w:cs="Arial" w:eastAsia="Arial" w:hAnsi="Arial"/>
                <w:sz w:val="15"/>
                <w:szCs w:val="15"/>
                <w:color w:val="auto"/>
              </w:rPr>
              <w:t>(2)</w:t>
            </w: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40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4020" w:type="dxa"/>
            <w:vAlign w:val="bottom"/>
            <w:tcBorders>
              <w:bottom w:val="single" w:sz="8" w:color="E5EEF8"/>
            </w:tcBorders>
            <w:shd w:val="clear" w:color="auto" w:fill="E5EEF8"/>
          </w:tcPr>
          <w:p>
            <w:pPr>
              <w:ind w:left="100"/>
              <w:spacing w:after="0"/>
              <w:rPr>
                <w:sz w:val="20"/>
                <w:szCs w:val="20"/>
                <w:color w:val="auto"/>
              </w:rPr>
            </w:pPr>
            <w:r>
              <w:rPr>
                <w:rFonts w:ascii="Arial" w:cs="Arial" w:eastAsia="Arial" w:hAnsi="Arial"/>
                <w:sz w:val="17"/>
                <w:szCs w:val="17"/>
                <w:color w:val="auto"/>
              </w:rPr>
              <w:t>Wilbur J. Prezzano</w:t>
            </w:r>
            <w:r>
              <w:rPr>
                <w:rFonts w:ascii="Arial" w:cs="Arial" w:eastAsia="Arial" w:hAnsi="Arial"/>
                <w:sz w:val="14"/>
                <w:szCs w:val="14"/>
                <w:color w:val="auto"/>
              </w:rPr>
              <w:t>(3)</w:t>
            </w:r>
          </w:p>
        </w:tc>
        <w:tc>
          <w:tcPr>
            <w:tcW w:w="1500" w:type="dxa"/>
            <w:vAlign w:val="bottom"/>
            <w:tcBorders>
              <w:bottom w:val="single" w:sz="8" w:color="E5EEF8"/>
            </w:tcBorders>
            <w:shd w:val="clear" w:color="auto" w:fill="E5EEF8"/>
          </w:tcPr>
          <w:p>
            <w:pPr>
              <w:jc w:val="right"/>
              <w:ind w:right="125"/>
              <w:spacing w:after="0"/>
              <w:rPr>
                <w:sz w:val="20"/>
                <w:szCs w:val="20"/>
                <w:color w:val="auto"/>
              </w:rPr>
            </w:pPr>
            <w:r>
              <w:rPr>
                <w:rFonts w:ascii="Arial" w:cs="Arial" w:eastAsia="Arial" w:hAnsi="Arial"/>
                <w:sz w:val="17"/>
                <w:szCs w:val="17"/>
                <w:color w:val="auto"/>
              </w:rPr>
              <w:t>79,853</w:t>
            </w:r>
          </w:p>
        </w:tc>
        <w:tc>
          <w:tcPr>
            <w:tcW w:w="1040" w:type="dxa"/>
            <w:vAlign w:val="bottom"/>
            <w:tcBorders>
              <w:bottom w:val="single" w:sz="8" w:color="E5EEF8"/>
            </w:tcBorders>
            <w:shd w:val="clear" w:color="auto" w:fill="E5EEF8"/>
          </w:tcPr>
          <w:p>
            <w:pPr>
              <w:jc w:val="right"/>
              <w:ind w:right="22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E5EEF8"/>
            </w:tcBorders>
            <w:shd w:val="clear" w:color="auto" w:fill="E5EEF8"/>
          </w:tcPr>
          <w:p>
            <w:pPr>
              <w:jc w:val="right"/>
              <w:spacing w:after="0"/>
              <w:rPr>
                <w:sz w:val="20"/>
                <w:szCs w:val="20"/>
                <w:color w:val="auto"/>
              </w:rPr>
            </w:pPr>
            <w:r>
              <w:rPr>
                <w:rFonts w:ascii="Arial" w:cs="Arial" w:eastAsia="Arial" w:hAnsi="Arial"/>
                <w:sz w:val="17"/>
                <w:szCs w:val="17"/>
                <w:color w:val="auto"/>
              </w:rPr>
              <w:t>79,853</w:t>
            </w:r>
          </w:p>
        </w:tc>
        <w:tc>
          <w:tcPr>
            <w:tcW w:w="60" w:type="dxa"/>
            <w:vAlign w:val="bottom"/>
            <w:tcBorders>
              <w:bottom w:val="single" w:sz="8" w:color="E5EEF8"/>
            </w:tcBorders>
            <w:shd w:val="clear" w:color="auto" w:fill="E5EEF8"/>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020" w:type="dxa"/>
            <w:vAlign w:val="bottom"/>
          </w:tcPr>
          <w:p>
            <w:pPr>
              <w:ind w:left="100"/>
              <w:spacing w:after="0"/>
              <w:rPr>
                <w:sz w:val="20"/>
                <w:szCs w:val="20"/>
                <w:color w:val="auto"/>
              </w:rPr>
            </w:pPr>
            <w:r>
              <w:rPr>
                <w:rFonts w:ascii="Arial" w:cs="Arial" w:eastAsia="Arial" w:hAnsi="Arial"/>
                <w:sz w:val="17"/>
                <w:szCs w:val="17"/>
                <w:color w:val="auto"/>
              </w:rPr>
              <w:t>Laura G. Thatcher</w:t>
            </w:r>
          </w:p>
        </w:tc>
        <w:tc>
          <w:tcPr>
            <w:tcW w:w="1500" w:type="dxa"/>
            <w:vAlign w:val="bottom"/>
          </w:tcPr>
          <w:p>
            <w:pPr>
              <w:jc w:val="right"/>
              <w:ind w:right="125"/>
              <w:spacing w:after="0"/>
              <w:rPr>
                <w:sz w:val="20"/>
                <w:szCs w:val="20"/>
                <w:color w:val="auto"/>
              </w:rPr>
            </w:pPr>
            <w:r>
              <w:rPr>
                <w:rFonts w:ascii="Arial" w:cs="Arial" w:eastAsia="Arial" w:hAnsi="Arial"/>
                <w:sz w:val="17"/>
                <w:szCs w:val="17"/>
                <w:color w:val="auto"/>
              </w:rPr>
              <w:t>65,000</w:t>
            </w:r>
          </w:p>
        </w:tc>
        <w:tc>
          <w:tcPr>
            <w:tcW w:w="1040" w:type="dxa"/>
            <w:vAlign w:val="bottom"/>
          </w:tcPr>
          <w:p>
            <w:pPr>
              <w:jc w:val="right"/>
              <w:ind w:right="145"/>
              <w:spacing w:after="0"/>
              <w:rPr>
                <w:sz w:val="20"/>
                <w:szCs w:val="20"/>
                <w:color w:val="auto"/>
              </w:rPr>
            </w:pPr>
            <w:r>
              <w:rPr>
                <w:rFonts w:ascii="Arial" w:cs="Arial" w:eastAsia="Arial" w:hAnsi="Arial"/>
                <w:sz w:val="17"/>
                <w:szCs w:val="17"/>
                <w:color w:val="auto"/>
              </w:rPr>
              <w:t>385,000</w:t>
            </w:r>
          </w:p>
        </w:tc>
        <w:tc>
          <w:tcPr>
            <w:tcW w:w="860" w:type="dxa"/>
            <w:vAlign w:val="bottom"/>
          </w:tcPr>
          <w:p>
            <w:pPr>
              <w:jc w:val="right"/>
              <w:spacing w:after="0"/>
              <w:rPr>
                <w:sz w:val="20"/>
                <w:szCs w:val="20"/>
                <w:color w:val="auto"/>
              </w:rPr>
            </w:pPr>
            <w:r>
              <w:rPr>
                <w:rFonts w:ascii="Arial" w:cs="Arial" w:eastAsia="Arial" w:hAnsi="Arial"/>
                <w:sz w:val="17"/>
                <w:szCs w:val="17"/>
                <w:color w:val="auto"/>
              </w:rPr>
              <w:t>450,000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
        </w:trPr>
        <w:tc>
          <w:tcPr>
            <w:tcW w:w="40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4020" w:type="dxa"/>
            <w:vAlign w:val="bottom"/>
            <w:tcBorders>
              <w:bottom w:val="single" w:sz="8" w:color="E5EEF8"/>
            </w:tcBorders>
            <w:shd w:val="clear" w:color="auto" w:fill="E5EEF8"/>
          </w:tcPr>
          <w:p>
            <w:pPr>
              <w:ind w:left="100"/>
              <w:spacing w:after="0"/>
              <w:rPr>
                <w:sz w:val="20"/>
                <w:szCs w:val="20"/>
                <w:color w:val="auto"/>
              </w:rPr>
            </w:pPr>
            <w:r>
              <w:rPr>
                <w:rFonts w:ascii="Arial" w:cs="Arial" w:eastAsia="Arial" w:hAnsi="Arial"/>
                <w:sz w:val="17"/>
                <w:szCs w:val="17"/>
                <w:color w:val="auto"/>
              </w:rPr>
              <w:t>Richard F. Wallman</w:t>
            </w:r>
          </w:p>
        </w:tc>
        <w:tc>
          <w:tcPr>
            <w:tcW w:w="1500" w:type="dxa"/>
            <w:vAlign w:val="bottom"/>
            <w:tcBorders>
              <w:bottom w:val="single" w:sz="8" w:color="E5EEF8"/>
            </w:tcBorders>
            <w:shd w:val="clear" w:color="auto" w:fill="E5EEF8"/>
          </w:tcPr>
          <w:p>
            <w:pPr>
              <w:jc w:val="right"/>
              <w:ind w:right="125"/>
              <w:spacing w:after="0"/>
              <w:rPr>
                <w:sz w:val="20"/>
                <w:szCs w:val="20"/>
                <w:color w:val="auto"/>
              </w:rPr>
            </w:pPr>
            <w:r>
              <w:rPr>
                <w:rFonts w:ascii="Arial" w:cs="Arial" w:eastAsia="Arial" w:hAnsi="Arial"/>
                <w:sz w:val="17"/>
                <w:szCs w:val="17"/>
                <w:color w:val="auto"/>
              </w:rPr>
              <w:t>65,000</w:t>
            </w:r>
          </w:p>
        </w:tc>
        <w:tc>
          <w:tcPr>
            <w:tcW w:w="1040" w:type="dxa"/>
            <w:vAlign w:val="bottom"/>
            <w:tcBorders>
              <w:bottom w:val="single" w:sz="8" w:color="E5EEF8"/>
            </w:tcBorders>
            <w:shd w:val="clear" w:color="auto" w:fill="E5EEF8"/>
          </w:tcPr>
          <w:p>
            <w:pPr>
              <w:jc w:val="right"/>
              <w:ind w:right="145"/>
              <w:spacing w:after="0"/>
              <w:rPr>
                <w:sz w:val="20"/>
                <w:szCs w:val="20"/>
                <w:color w:val="auto"/>
              </w:rPr>
            </w:pPr>
            <w:r>
              <w:rPr>
                <w:rFonts w:ascii="Arial" w:cs="Arial" w:eastAsia="Arial" w:hAnsi="Arial"/>
                <w:sz w:val="17"/>
                <w:szCs w:val="17"/>
                <w:color w:val="auto"/>
              </w:rPr>
              <w:t>385,000</w:t>
            </w:r>
          </w:p>
        </w:tc>
        <w:tc>
          <w:tcPr>
            <w:tcW w:w="860" w:type="dxa"/>
            <w:vAlign w:val="bottom"/>
            <w:tcBorders>
              <w:bottom w:val="single" w:sz="8" w:color="E5EEF8"/>
            </w:tcBorders>
            <w:shd w:val="clear" w:color="auto" w:fill="E5EEF8"/>
          </w:tcPr>
          <w:p>
            <w:pPr>
              <w:jc w:val="right"/>
              <w:spacing w:after="0"/>
              <w:rPr>
                <w:sz w:val="20"/>
                <w:szCs w:val="20"/>
                <w:color w:val="auto"/>
              </w:rPr>
            </w:pPr>
            <w:r>
              <w:rPr>
                <w:rFonts w:ascii="Arial" w:cs="Arial" w:eastAsia="Arial" w:hAnsi="Arial"/>
                <w:sz w:val="17"/>
                <w:szCs w:val="17"/>
                <w:color w:val="auto"/>
              </w:rPr>
              <w:t>450,000</w:t>
            </w:r>
          </w:p>
        </w:tc>
        <w:tc>
          <w:tcPr>
            <w:tcW w:w="60" w:type="dxa"/>
            <w:vAlign w:val="bottom"/>
            <w:tcBorders>
              <w:bottom w:val="single" w:sz="8" w:color="E5EEF8"/>
            </w:tcBorders>
            <w:shd w:val="clear" w:color="auto" w:fill="E5EEF8"/>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100"/>
              <w:spacing w:after="0" w:line="186" w:lineRule="exact"/>
              <w:rPr>
                <w:sz w:val="20"/>
                <w:szCs w:val="20"/>
                <w:color w:val="auto"/>
              </w:rPr>
            </w:pPr>
            <w:r>
              <w:rPr>
                <w:rFonts w:ascii="Arial" w:cs="Arial" w:eastAsia="Arial" w:hAnsi="Arial"/>
                <w:sz w:val="17"/>
                <w:szCs w:val="17"/>
                <w:color w:val="auto"/>
              </w:rPr>
              <w:t>Christopher Wright</w:t>
            </w:r>
          </w:p>
        </w:tc>
        <w:tc>
          <w:tcPr>
            <w:tcW w:w="1500" w:type="dxa"/>
            <w:vAlign w:val="bottom"/>
          </w:tcPr>
          <w:p>
            <w:pPr>
              <w:jc w:val="right"/>
              <w:ind w:right="125"/>
              <w:spacing w:after="0" w:line="186" w:lineRule="exact"/>
              <w:rPr>
                <w:sz w:val="20"/>
                <w:szCs w:val="20"/>
                <w:color w:val="auto"/>
              </w:rPr>
            </w:pPr>
            <w:r>
              <w:rPr>
                <w:rFonts w:ascii="Arial" w:cs="Arial" w:eastAsia="Arial" w:hAnsi="Arial"/>
                <w:sz w:val="17"/>
                <w:szCs w:val="17"/>
                <w:color w:val="auto"/>
              </w:rPr>
              <w:t>62,083</w:t>
            </w:r>
          </w:p>
        </w:tc>
        <w:tc>
          <w:tcPr>
            <w:tcW w:w="1040" w:type="dxa"/>
            <w:vAlign w:val="bottom"/>
          </w:tcPr>
          <w:p>
            <w:pPr>
              <w:jc w:val="right"/>
              <w:ind w:right="145"/>
              <w:spacing w:after="0" w:line="186" w:lineRule="exact"/>
              <w:rPr>
                <w:sz w:val="20"/>
                <w:szCs w:val="20"/>
                <w:color w:val="auto"/>
              </w:rPr>
            </w:pPr>
            <w:r>
              <w:rPr>
                <w:rFonts w:ascii="Arial" w:cs="Arial" w:eastAsia="Arial" w:hAnsi="Arial"/>
                <w:sz w:val="17"/>
                <w:szCs w:val="17"/>
                <w:color w:val="auto"/>
              </w:rPr>
              <w:t>385,000</w:t>
            </w: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447,083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540" w:right="80" w:hanging="424"/>
        <w:spacing w:after="0" w:line="199" w:lineRule="auto"/>
        <w:tabs>
          <w:tab w:leader="none" w:pos="540" w:val="left"/>
        </w:tabs>
        <w:numPr>
          <w:ilvl w:val="0"/>
          <w:numId w:val="41"/>
        </w:numPr>
        <w:rPr>
          <w:rFonts w:ascii="Arial" w:cs="Arial" w:eastAsia="Arial" w:hAnsi="Arial"/>
          <w:sz w:val="24"/>
          <w:szCs w:val="24"/>
          <w:color w:val="auto"/>
          <w:vertAlign w:val="superscript"/>
        </w:rPr>
      </w:pPr>
      <w:r>
        <w:rPr>
          <w:rFonts w:ascii="Arial" w:cs="Arial" w:eastAsia="Arial" w:hAnsi="Arial"/>
          <w:sz w:val="14"/>
          <w:szCs w:val="14"/>
          <w:color w:val="auto"/>
        </w:rPr>
        <w:t>The dollar values shown represent the grant date fair values for restricted stock or RSUs, as the case may be, granted to these directors during 2021, calculated in accordance with Financial Accounting Standards Board Accounting Standards Codification Topic 718 (“ASC Topic 718”). The restricted stock and RSUs vest in equal increments 50% six months from the date of grant and 50% on the day prior to the 2022 Annual Meeting.</w:t>
      </w:r>
    </w:p>
    <w:p>
      <w:pPr>
        <w:ind w:left="540" w:hanging="424"/>
        <w:spacing w:after="0" w:line="211" w:lineRule="auto"/>
        <w:tabs>
          <w:tab w:leader="none" w:pos="540" w:val="left"/>
        </w:tabs>
        <w:numPr>
          <w:ilvl w:val="0"/>
          <w:numId w:val="41"/>
        </w:numPr>
        <w:rPr>
          <w:rFonts w:ascii="Arial" w:cs="Arial" w:eastAsia="Arial" w:hAnsi="Arial"/>
          <w:sz w:val="24"/>
          <w:szCs w:val="24"/>
          <w:color w:val="auto"/>
          <w:vertAlign w:val="superscript"/>
        </w:rPr>
      </w:pPr>
      <w:r>
        <w:rPr>
          <w:rFonts w:ascii="Arial" w:cs="Arial" w:eastAsia="Arial" w:hAnsi="Arial"/>
          <w:sz w:val="14"/>
          <w:szCs w:val="14"/>
          <w:color w:val="auto"/>
        </w:rPr>
        <w:t>Ms. Esteves and Mr. Joyce joined the Board of Directors in October 2021.</w:t>
      </w:r>
    </w:p>
    <w:p>
      <w:pPr>
        <w:spacing w:after="0" w:line="71" w:lineRule="exact"/>
        <w:rPr>
          <w:rFonts w:ascii="Arial" w:cs="Arial" w:eastAsia="Arial" w:hAnsi="Arial"/>
          <w:sz w:val="24"/>
          <w:szCs w:val="24"/>
          <w:color w:val="auto"/>
          <w:vertAlign w:val="superscript"/>
        </w:rPr>
      </w:pPr>
    </w:p>
    <w:p>
      <w:pPr>
        <w:ind w:left="540" w:hanging="424"/>
        <w:spacing w:after="0" w:line="189" w:lineRule="auto"/>
        <w:tabs>
          <w:tab w:leader="none" w:pos="540" w:val="left"/>
        </w:tabs>
        <w:numPr>
          <w:ilvl w:val="0"/>
          <w:numId w:val="41"/>
        </w:numPr>
        <w:rPr>
          <w:rFonts w:ascii="Arial" w:cs="Arial" w:eastAsia="Arial" w:hAnsi="Arial"/>
          <w:sz w:val="19"/>
          <w:szCs w:val="19"/>
          <w:color w:val="auto"/>
          <w:vertAlign w:val="superscript"/>
        </w:rPr>
      </w:pPr>
      <w:r>
        <w:rPr>
          <w:rFonts w:ascii="Arial" w:cs="Arial" w:eastAsia="Arial" w:hAnsi="Arial"/>
          <w:sz w:val="12"/>
          <w:szCs w:val="12"/>
          <w:color w:val="auto"/>
        </w:rPr>
        <w:t>Mr. Prezzano retired from the Board of Directors in June 2021.</w:t>
      </w:r>
    </w:p>
    <w:p>
      <w:pPr>
        <w:spacing w:after="0" w:line="87"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share ownership and retention guidelines for non-employee directors require each director to own shares of our common stock with a value of at least 10 times the annual cash base retainer, or $600,000 in value, within five years of becoming a director. Until the ownership requirements are met, non-employee directors are required to retain 60% of any shares they receive (on a net after tax basis) under our Director Compensation Plan. Each of our directors is in compliance with these guidelines except for Ms. Esteves and Mr. Joyce who both joined the Board in October 2021.</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440" w:type="dxa"/>
            <w:vAlign w:val="bottom"/>
            <w:tcBorders>
              <w:right w:val="single" w:sz="8" w:color="005CB9"/>
            </w:tcBorders>
          </w:tcPr>
          <w:p>
            <w:pPr>
              <w:jc w:val="right"/>
              <w:ind w:right="179"/>
              <w:spacing w:after="0"/>
              <w:rPr>
                <w:sz w:val="20"/>
                <w:szCs w:val="20"/>
                <w:color w:val="auto"/>
              </w:rPr>
            </w:pPr>
            <w:r>
              <w:rPr>
                <w:rFonts w:ascii="Arial" w:cs="Arial" w:eastAsia="Arial" w:hAnsi="Arial"/>
                <w:sz w:val="16"/>
                <w:szCs w:val="16"/>
                <w:b w:val="1"/>
                <w:bCs w:val="1"/>
                <w:color w:val="005CB9"/>
                <w:w w:val="89"/>
              </w:rPr>
              <w:t>18</w:t>
            </w:r>
          </w:p>
        </w:tc>
        <w:tc>
          <w:tcPr>
            <w:tcW w:w="4700" w:type="dxa"/>
            <w:vAlign w:val="bottom"/>
          </w:tcPr>
          <w:p>
            <w:pPr>
              <w:ind w:left="106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0"/>
        </w:trPr>
        <w:tc>
          <w:tcPr>
            <w:tcW w:w="440" w:type="dxa"/>
            <w:vAlign w:val="bottom"/>
            <w:tcBorders>
              <w:right w:val="single" w:sz="8" w:color="005CB9"/>
            </w:tcBorders>
          </w:tcPr>
          <w:p>
            <w:pPr>
              <w:spacing w:after="0"/>
              <w:rPr>
                <w:sz w:val="8"/>
                <w:szCs w:val="8"/>
                <w:color w:val="auto"/>
              </w:rPr>
            </w:pPr>
          </w:p>
        </w:tc>
        <w:tc>
          <w:tcPr>
            <w:tcW w:w="47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-205105</wp:posOffset>
            </wp:positionV>
            <wp:extent cx="42862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BENEFICIAL OWNERSHIP</w:t>
      </w:r>
    </w:p>
    <w:p>
      <w:pPr>
        <w:spacing w:after="0" w:line="326"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Beneficial ownership is determined in accordance with SEC rules. Under the rules, the number of shares beneficially owned by a person and the percentage of ownership held by that person includes shares of common stock that could be acquired upon exercise of an option within sixty days, although such shares are not deemed exercised and outstanding for computing the percentage of ownership held by any other person. Unless otherwise indicated in the footnotes below, the persons and entities named in the table have sole voting and investment power with respect to all shares beneficially owned, subject to community property laws where applicable.</w:t>
      </w:r>
    </w:p>
    <w:p>
      <w:pPr>
        <w:spacing w:after="0" w:line="204"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The following table shows the beneficial ownership of Roper common stock as of March 31, 2022 by (i) each of our director nominees, (ii) each named executive officer in the “2021 Summary Compensation Table,” (iii) all of our current directors and executive officers as a group, and (iv) all persons who we know are the beneficial owners of five percent or more of Roper common stock. Except as noted below, the address of each person in the table is c/o Roper Technologies, Inc., 6901 Professional Parkway, Suite 200, Sarasota, Florida 34240</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6691630</wp:posOffset>
            </wp:positionH>
            <wp:positionV relativeFrom="paragraph">
              <wp:posOffset>149860</wp:posOffset>
            </wp:positionV>
            <wp:extent cx="377190" cy="2571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77190" cy="257175"/>
                    </a:xfrm>
                    <a:prstGeom prst="rect">
                      <a:avLst/>
                    </a:prstGeom>
                    <a:noFill/>
                  </pic:spPr>
                </pic:pic>
              </a:graphicData>
            </a:graphic>
          </wp:anchor>
        </w:drawing>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6820" w:type="dxa"/>
            <w:vAlign w:val="bottom"/>
            <w:vMerge w:val="restart"/>
            <w:shd w:val="clear" w:color="auto" w:fill="005CB9"/>
          </w:tcPr>
          <w:p>
            <w:pPr>
              <w:ind w:left="80"/>
              <w:spacing w:after="0"/>
              <w:rPr>
                <w:sz w:val="20"/>
                <w:szCs w:val="20"/>
                <w:color w:val="auto"/>
              </w:rPr>
            </w:pPr>
            <w:r>
              <w:rPr>
                <w:rFonts w:ascii="Arial" w:cs="Arial" w:eastAsia="Arial" w:hAnsi="Arial"/>
                <w:sz w:val="14"/>
                <w:szCs w:val="14"/>
                <w:color w:val="FFFFFF"/>
              </w:rPr>
              <w:t>Name of Beneficial Owner</w:t>
            </w:r>
          </w:p>
        </w:tc>
        <w:tc>
          <w:tcPr>
            <w:tcW w:w="2620" w:type="dxa"/>
            <w:vAlign w:val="bottom"/>
            <w:shd w:val="clear" w:color="auto" w:fill="005CB9"/>
          </w:tcPr>
          <w:p>
            <w:pPr>
              <w:jc w:val="right"/>
              <w:ind w:right="188"/>
              <w:spacing w:after="0"/>
              <w:rPr>
                <w:sz w:val="20"/>
                <w:szCs w:val="20"/>
                <w:color w:val="auto"/>
              </w:rPr>
            </w:pPr>
            <w:r>
              <w:rPr>
                <w:rFonts w:ascii="Arial" w:cs="Arial" w:eastAsia="Arial" w:hAnsi="Arial"/>
                <w:sz w:val="14"/>
                <w:szCs w:val="14"/>
                <w:color w:val="FFFFFF"/>
              </w:rPr>
              <w:t>Beneficial Ownership</w:t>
            </w:r>
          </w:p>
        </w:tc>
        <w:tc>
          <w:tcPr>
            <w:tcW w:w="980" w:type="dxa"/>
            <w:vAlign w:val="bottom"/>
            <w:shd w:val="clear" w:color="auto" w:fill="005CB9"/>
          </w:tcPr>
          <w:p>
            <w:pPr>
              <w:jc w:val="right"/>
              <w:ind w:right="128"/>
              <w:spacing w:after="0"/>
              <w:rPr>
                <w:sz w:val="20"/>
                <w:szCs w:val="20"/>
                <w:color w:val="auto"/>
              </w:rPr>
            </w:pPr>
            <w:r>
              <w:rPr>
                <w:rFonts w:ascii="Arial" w:cs="Arial" w:eastAsia="Arial" w:hAnsi="Arial"/>
                <w:sz w:val="14"/>
                <w:szCs w:val="14"/>
                <w:color w:val="FFFFFF"/>
              </w:rPr>
              <w:t>Percent</w:t>
            </w:r>
          </w:p>
        </w:tc>
        <w:tc>
          <w:tcPr>
            <w:tcW w:w="0" w:type="dxa"/>
            <w:vAlign w:val="bottom"/>
          </w:tcPr>
          <w:p>
            <w:pPr>
              <w:spacing w:after="0"/>
              <w:rPr>
                <w:sz w:val="1"/>
                <w:szCs w:val="1"/>
                <w:color w:val="auto"/>
              </w:rPr>
            </w:pPr>
          </w:p>
        </w:tc>
      </w:tr>
      <w:tr>
        <w:trPr>
          <w:trHeight w:val="177"/>
        </w:trPr>
        <w:tc>
          <w:tcPr>
            <w:tcW w:w="6820" w:type="dxa"/>
            <w:vAlign w:val="bottom"/>
            <w:vMerge w:val="continue"/>
            <w:shd w:val="clear" w:color="auto" w:fill="005CB9"/>
          </w:tcPr>
          <w:p>
            <w:pPr>
              <w:spacing w:after="0"/>
              <w:rPr>
                <w:sz w:val="15"/>
                <w:szCs w:val="15"/>
                <w:color w:val="auto"/>
              </w:rPr>
            </w:pPr>
          </w:p>
        </w:tc>
        <w:tc>
          <w:tcPr>
            <w:tcW w:w="2620" w:type="dxa"/>
            <w:vAlign w:val="bottom"/>
            <w:shd w:val="clear" w:color="auto" w:fill="005CB9"/>
          </w:tcPr>
          <w:p>
            <w:pPr>
              <w:jc w:val="right"/>
              <w:ind w:right="188"/>
              <w:spacing w:after="0"/>
              <w:rPr>
                <w:sz w:val="20"/>
                <w:szCs w:val="20"/>
                <w:color w:val="auto"/>
              </w:rPr>
            </w:pPr>
            <w:r>
              <w:rPr>
                <w:rFonts w:ascii="Arial" w:cs="Arial" w:eastAsia="Arial" w:hAnsi="Arial"/>
                <w:sz w:val="14"/>
                <w:szCs w:val="14"/>
                <w:color w:val="FFFFFF"/>
              </w:rPr>
              <w:t>of Common Stock</w:t>
            </w:r>
            <w:r>
              <w:rPr>
                <w:rFonts w:ascii="Arial" w:cs="Arial" w:eastAsia="Arial" w:hAnsi="Arial"/>
                <w:sz w:val="14"/>
                <w:szCs w:val="14"/>
                <w:color w:val="FFFFFF"/>
                <w:vertAlign w:val="superscript"/>
              </w:rPr>
              <w:t>(1)(2)</w:t>
            </w:r>
          </w:p>
        </w:tc>
        <w:tc>
          <w:tcPr>
            <w:tcW w:w="980" w:type="dxa"/>
            <w:vAlign w:val="bottom"/>
            <w:shd w:val="clear" w:color="auto" w:fill="005CB9"/>
          </w:tcPr>
          <w:p>
            <w:pPr>
              <w:jc w:val="right"/>
              <w:ind w:right="128"/>
              <w:spacing w:after="0"/>
              <w:rPr>
                <w:sz w:val="20"/>
                <w:szCs w:val="20"/>
                <w:color w:val="auto"/>
              </w:rPr>
            </w:pPr>
            <w:r>
              <w:rPr>
                <w:rFonts w:ascii="Arial" w:cs="Arial" w:eastAsia="Arial" w:hAnsi="Arial"/>
                <w:sz w:val="14"/>
                <w:szCs w:val="14"/>
                <w:color w:val="FFFFFF"/>
              </w:rPr>
              <w:t>of Class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71"/>
        </w:trPr>
        <w:tc>
          <w:tcPr>
            <w:tcW w:w="6820" w:type="dxa"/>
            <w:vAlign w:val="bottom"/>
            <w:gridSpan w:val="2"/>
            <w:shd w:val="clear" w:color="auto" w:fill="E5EEF8"/>
          </w:tcPr>
          <w:p>
            <w:pPr>
              <w:ind w:left="40"/>
              <w:spacing w:after="0" w:line="71" w:lineRule="exact"/>
              <w:rPr>
                <w:sz w:val="20"/>
                <w:szCs w:val="20"/>
                <w:color w:val="auto"/>
              </w:rPr>
            </w:pPr>
            <w:r>
              <w:rPr>
                <w:rFonts w:ascii="Arial" w:cs="Arial" w:eastAsia="Arial" w:hAnsi="Arial"/>
                <w:sz w:val="7"/>
                <w:szCs w:val="7"/>
                <w:color w:val="auto"/>
              </w:rPr>
              <w:t>T. Rowe Price Associates, Inc.</w:t>
            </w:r>
          </w:p>
        </w:tc>
        <w:tc>
          <w:tcPr>
            <w:tcW w:w="2900" w:type="dxa"/>
            <w:vAlign w:val="bottom"/>
            <w:shd w:val="clear" w:color="auto" w:fill="E5EEF8"/>
          </w:tcPr>
          <w:p>
            <w:pPr>
              <w:jc w:val="right"/>
              <w:ind w:right="464"/>
              <w:spacing w:after="0" w:line="71" w:lineRule="exact"/>
              <w:rPr>
                <w:sz w:val="20"/>
                <w:szCs w:val="20"/>
                <w:color w:val="auto"/>
              </w:rPr>
            </w:pPr>
            <w:r>
              <w:rPr>
                <w:rFonts w:ascii="Arial" w:cs="Arial" w:eastAsia="Arial" w:hAnsi="Arial"/>
                <w:sz w:val="7"/>
                <w:szCs w:val="7"/>
                <w:color w:val="auto"/>
              </w:rPr>
              <w:t>10,846,059</w:t>
            </w:r>
          </w:p>
        </w:tc>
        <w:tc>
          <w:tcPr>
            <w:tcW w:w="1300" w:type="dxa"/>
            <w:vAlign w:val="bottom"/>
            <w:shd w:val="clear" w:color="auto" w:fill="E5EEF8"/>
          </w:tcPr>
          <w:p>
            <w:pPr>
              <w:jc w:val="right"/>
              <w:ind w:right="363"/>
              <w:spacing w:after="0" w:line="71" w:lineRule="exact"/>
              <w:rPr>
                <w:sz w:val="20"/>
                <w:szCs w:val="20"/>
                <w:color w:val="auto"/>
              </w:rPr>
            </w:pPr>
            <w:r>
              <w:rPr>
                <w:rFonts w:ascii="Arial" w:cs="Arial" w:eastAsia="Arial" w:hAnsi="Arial"/>
                <w:sz w:val="7"/>
                <w:szCs w:val="7"/>
                <w:color w:val="auto"/>
              </w:rPr>
              <w:t>10.2%</w:t>
            </w:r>
          </w:p>
        </w:tc>
      </w:tr>
      <w:tr>
        <w:trPr>
          <w:trHeight w:val="173"/>
        </w:trPr>
        <w:tc>
          <w:tcPr>
            <w:tcW w:w="260" w:type="dxa"/>
            <w:vAlign w:val="bottom"/>
            <w:shd w:val="clear" w:color="auto" w:fill="E5EEF8"/>
          </w:tcPr>
          <w:p>
            <w:pPr>
              <w:spacing w:after="0"/>
              <w:rPr>
                <w:sz w:val="15"/>
                <w:szCs w:val="15"/>
                <w:color w:val="auto"/>
              </w:rPr>
            </w:pPr>
          </w:p>
        </w:tc>
        <w:tc>
          <w:tcPr>
            <w:tcW w:w="6560" w:type="dxa"/>
            <w:vAlign w:val="bottom"/>
            <w:shd w:val="clear" w:color="auto" w:fill="E5EEF8"/>
          </w:tcPr>
          <w:p>
            <w:pPr>
              <w:spacing w:after="0"/>
              <w:rPr>
                <w:sz w:val="15"/>
                <w:szCs w:val="15"/>
                <w:color w:val="auto"/>
              </w:rPr>
            </w:pPr>
          </w:p>
        </w:tc>
        <w:tc>
          <w:tcPr>
            <w:tcW w:w="2900" w:type="dxa"/>
            <w:vAlign w:val="bottom"/>
            <w:shd w:val="clear" w:color="auto" w:fill="E5EEF8"/>
          </w:tcPr>
          <w:p>
            <w:pPr>
              <w:jc w:val="right"/>
              <w:ind w:right="284"/>
              <w:spacing w:after="0"/>
              <w:rPr>
                <w:sz w:val="20"/>
                <w:szCs w:val="20"/>
                <w:color w:val="auto"/>
              </w:rPr>
            </w:pPr>
            <w:r>
              <w:rPr>
                <w:rFonts w:ascii="Arial" w:cs="Arial" w:eastAsia="Arial" w:hAnsi="Arial"/>
                <w:sz w:val="15"/>
                <w:szCs w:val="15"/>
                <w:color w:val="auto"/>
              </w:rPr>
              <w:t>(3)</w:t>
            </w:r>
          </w:p>
        </w:tc>
        <w:tc>
          <w:tcPr>
            <w:tcW w:w="1300" w:type="dxa"/>
            <w:vAlign w:val="bottom"/>
            <w:shd w:val="clear" w:color="auto" w:fill="E5EEF8"/>
          </w:tcPr>
          <w:p>
            <w:pPr>
              <w:spacing w:after="0"/>
              <w:rPr>
                <w:sz w:val="15"/>
                <w:szCs w:val="15"/>
                <w:color w:val="auto"/>
              </w:rPr>
            </w:pPr>
          </w:p>
        </w:tc>
      </w:tr>
      <w:tr>
        <w:trPr>
          <w:trHeight w:val="249"/>
        </w:trPr>
        <w:tc>
          <w:tcPr>
            <w:tcW w:w="6820" w:type="dxa"/>
            <w:vAlign w:val="bottom"/>
            <w:tcBorders>
              <w:bottom w:val="single" w:sz="8" w:color="E5EEF8"/>
            </w:tcBorders>
            <w:gridSpan w:val="2"/>
            <w:shd w:val="clear" w:color="auto" w:fill="E5EEF8"/>
          </w:tcPr>
          <w:p>
            <w:pPr>
              <w:ind w:left="40"/>
              <w:spacing w:after="0"/>
              <w:rPr>
                <w:sz w:val="20"/>
                <w:szCs w:val="20"/>
                <w:color w:val="auto"/>
              </w:rPr>
            </w:pPr>
            <w:r>
              <w:rPr>
                <w:rFonts w:ascii="Arial" w:cs="Arial" w:eastAsia="Arial" w:hAnsi="Arial"/>
                <w:sz w:val="17"/>
                <w:szCs w:val="17"/>
                <w:color w:val="auto"/>
              </w:rPr>
              <w:t>100 E. Pratt Street, Baltimore, MD 21202</w:t>
            </w:r>
          </w:p>
        </w:tc>
        <w:tc>
          <w:tcPr>
            <w:tcW w:w="2900" w:type="dxa"/>
            <w:vAlign w:val="bottom"/>
            <w:tcBorders>
              <w:bottom w:val="single" w:sz="8" w:color="E5EEF8"/>
            </w:tcBorders>
            <w:shd w:val="clear" w:color="auto" w:fill="E5EEF8"/>
          </w:tcPr>
          <w:p>
            <w:pPr>
              <w:spacing w:after="0"/>
              <w:rPr>
                <w:sz w:val="21"/>
                <w:szCs w:val="21"/>
                <w:color w:val="auto"/>
              </w:rPr>
            </w:pPr>
          </w:p>
        </w:tc>
        <w:tc>
          <w:tcPr>
            <w:tcW w:w="1300" w:type="dxa"/>
            <w:vAlign w:val="bottom"/>
            <w:tcBorders>
              <w:bottom w:val="single" w:sz="8" w:color="E5EEF8"/>
            </w:tcBorders>
            <w:shd w:val="clear" w:color="auto" w:fill="E5EEF8"/>
          </w:tcPr>
          <w:p>
            <w:pPr>
              <w:spacing w:after="0"/>
              <w:rPr>
                <w:sz w:val="21"/>
                <w:szCs w:val="21"/>
                <w:color w:val="auto"/>
              </w:rPr>
            </w:pPr>
          </w:p>
        </w:tc>
      </w:tr>
      <w:tr>
        <w:trPr>
          <w:trHeight w:val="71"/>
        </w:trPr>
        <w:tc>
          <w:tcPr>
            <w:tcW w:w="6820" w:type="dxa"/>
            <w:vAlign w:val="bottom"/>
            <w:gridSpan w:val="2"/>
          </w:tcPr>
          <w:p>
            <w:pPr>
              <w:ind w:left="40"/>
              <w:spacing w:after="0" w:line="71" w:lineRule="exact"/>
              <w:rPr>
                <w:sz w:val="20"/>
                <w:szCs w:val="20"/>
                <w:color w:val="auto"/>
              </w:rPr>
            </w:pPr>
            <w:r>
              <w:rPr>
                <w:rFonts w:ascii="Arial" w:cs="Arial" w:eastAsia="Arial" w:hAnsi="Arial"/>
                <w:sz w:val="7"/>
                <w:szCs w:val="7"/>
                <w:color w:val="auto"/>
              </w:rPr>
              <w:t>The Vanguard Group</w:t>
            </w:r>
          </w:p>
        </w:tc>
        <w:tc>
          <w:tcPr>
            <w:tcW w:w="2900" w:type="dxa"/>
            <w:vAlign w:val="bottom"/>
          </w:tcPr>
          <w:p>
            <w:pPr>
              <w:jc w:val="right"/>
              <w:ind w:right="464"/>
              <w:spacing w:after="0" w:line="71" w:lineRule="exact"/>
              <w:rPr>
                <w:sz w:val="20"/>
                <w:szCs w:val="20"/>
                <w:color w:val="auto"/>
              </w:rPr>
            </w:pPr>
            <w:r>
              <w:rPr>
                <w:rFonts w:ascii="Arial" w:cs="Arial" w:eastAsia="Arial" w:hAnsi="Arial"/>
                <w:sz w:val="7"/>
                <w:szCs w:val="7"/>
                <w:color w:val="auto"/>
              </w:rPr>
              <w:t>8,682,556</w:t>
            </w:r>
          </w:p>
        </w:tc>
        <w:tc>
          <w:tcPr>
            <w:tcW w:w="1300" w:type="dxa"/>
            <w:vAlign w:val="bottom"/>
          </w:tcPr>
          <w:p>
            <w:pPr>
              <w:jc w:val="right"/>
              <w:ind w:right="363"/>
              <w:spacing w:after="0" w:line="71" w:lineRule="exact"/>
              <w:rPr>
                <w:sz w:val="20"/>
                <w:szCs w:val="20"/>
                <w:color w:val="auto"/>
              </w:rPr>
            </w:pPr>
            <w:r>
              <w:rPr>
                <w:rFonts w:ascii="Arial" w:cs="Arial" w:eastAsia="Arial" w:hAnsi="Arial"/>
                <w:sz w:val="7"/>
                <w:szCs w:val="7"/>
                <w:color w:val="auto"/>
              </w:rPr>
              <w:t>8.2%</w:t>
            </w:r>
          </w:p>
        </w:tc>
      </w:tr>
      <w:tr>
        <w:trPr>
          <w:trHeight w:val="173"/>
        </w:trPr>
        <w:tc>
          <w:tcPr>
            <w:tcW w:w="26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900" w:type="dxa"/>
            <w:vAlign w:val="bottom"/>
          </w:tcPr>
          <w:p>
            <w:pPr>
              <w:jc w:val="right"/>
              <w:ind w:right="284"/>
              <w:spacing w:after="0"/>
              <w:rPr>
                <w:sz w:val="20"/>
                <w:szCs w:val="20"/>
                <w:color w:val="auto"/>
              </w:rPr>
            </w:pPr>
            <w:r>
              <w:rPr>
                <w:rFonts w:ascii="Arial" w:cs="Arial" w:eastAsia="Arial" w:hAnsi="Arial"/>
                <w:sz w:val="15"/>
                <w:szCs w:val="15"/>
                <w:color w:val="auto"/>
              </w:rPr>
              <w:t>(4)</w:t>
            </w:r>
          </w:p>
        </w:tc>
        <w:tc>
          <w:tcPr>
            <w:tcW w:w="1300" w:type="dxa"/>
            <w:vAlign w:val="bottom"/>
          </w:tcPr>
          <w:p>
            <w:pPr>
              <w:spacing w:after="0"/>
              <w:rPr>
                <w:sz w:val="15"/>
                <w:szCs w:val="15"/>
                <w:color w:val="auto"/>
              </w:rPr>
            </w:pPr>
          </w:p>
        </w:tc>
      </w:tr>
      <w:tr>
        <w:trPr>
          <w:trHeight w:val="211"/>
        </w:trPr>
        <w:tc>
          <w:tcPr>
            <w:tcW w:w="6820" w:type="dxa"/>
            <w:vAlign w:val="bottom"/>
            <w:gridSpan w:val="2"/>
          </w:tcPr>
          <w:p>
            <w:pPr>
              <w:ind w:left="40"/>
              <w:spacing w:after="0"/>
              <w:rPr>
                <w:sz w:val="20"/>
                <w:szCs w:val="20"/>
                <w:color w:val="auto"/>
              </w:rPr>
            </w:pPr>
            <w:r>
              <w:rPr>
                <w:rFonts w:ascii="Arial" w:cs="Arial" w:eastAsia="Arial" w:hAnsi="Arial"/>
                <w:sz w:val="17"/>
                <w:szCs w:val="17"/>
                <w:color w:val="auto"/>
              </w:rPr>
              <w:t>100 Vanguard Blvd., Malvern, PA 19355</w:t>
            </w:r>
          </w:p>
        </w:tc>
        <w:tc>
          <w:tcPr>
            <w:tcW w:w="29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58"/>
        </w:trPr>
        <w:tc>
          <w:tcPr>
            <w:tcW w:w="6820" w:type="dxa"/>
            <w:vAlign w:val="bottom"/>
            <w:gridSpan w:val="2"/>
          </w:tcPr>
          <w:p>
            <w:pPr>
              <w:spacing w:after="0"/>
              <w:rPr>
                <w:sz w:val="5"/>
                <w:szCs w:val="5"/>
                <w:color w:val="auto"/>
              </w:rPr>
            </w:pPr>
          </w:p>
        </w:tc>
        <w:tc>
          <w:tcPr>
            <w:tcW w:w="290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71"/>
        </w:trPr>
        <w:tc>
          <w:tcPr>
            <w:tcW w:w="6820" w:type="dxa"/>
            <w:vAlign w:val="bottom"/>
            <w:gridSpan w:val="2"/>
            <w:shd w:val="clear" w:color="auto" w:fill="E5EEF8"/>
          </w:tcPr>
          <w:p>
            <w:pPr>
              <w:ind w:left="40"/>
              <w:spacing w:after="0" w:line="71" w:lineRule="exact"/>
              <w:rPr>
                <w:sz w:val="20"/>
                <w:szCs w:val="20"/>
                <w:color w:val="auto"/>
              </w:rPr>
            </w:pPr>
            <w:r>
              <w:rPr>
                <w:rFonts w:ascii="Arial" w:cs="Arial" w:eastAsia="Arial" w:hAnsi="Arial"/>
                <w:sz w:val="7"/>
                <w:szCs w:val="7"/>
                <w:color w:val="auto"/>
              </w:rPr>
              <w:t>BlackRock, Inc.</w:t>
            </w:r>
          </w:p>
        </w:tc>
        <w:tc>
          <w:tcPr>
            <w:tcW w:w="2900" w:type="dxa"/>
            <w:vAlign w:val="bottom"/>
            <w:shd w:val="clear" w:color="auto" w:fill="E5EEF8"/>
          </w:tcPr>
          <w:p>
            <w:pPr>
              <w:jc w:val="right"/>
              <w:ind w:right="464"/>
              <w:spacing w:after="0" w:line="71" w:lineRule="exact"/>
              <w:rPr>
                <w:sz w:val="20"/>
                <w:szCs w:val="20"/>
                <w:color w:val="auto"/>
              </w:rPr>
            </w:pPr>
            <w:r>
              <w:rPr>
                <w:rFonts w:ascii="Arial" w:cs="Arial" w:eastAsia="Arial" w:hAnsi="Arial"/>
                <w:sz w:val="7"/>
                <w:szCs w:val="7"/>
                <w:color w:val="auto"/>
              </w:rPr>
              <w:t>7,263,596</w:t>
            </w:r>
          </w:p>
        </w:tc>
        <w:tc>
          <w:tcPr>
            <w:tcW w:w="1300" w:type="dxa"/>
            <w:vAlign w:val="bottom"/>
            <w:shd w:val="clear" w:color="auto" w:fill="E5EEF8"/>
          </w:tcPr>
          <w:p>
            <w:pPr>
              <w:jc w:val="right"/>
              <w:ind w:right="363"/>
              <w:spacing w:after="0" w:line="71" w:lineRule="exact"/>
              <w:rPr>
                <w:sz w:val="20"/>
                <w:szCs w:val="20"/>
                <w:color w:val="auto"/>
              </w:rPr>
            </w:pPr>
            <w:r>
              <w:rPr>
                <w:rFonts w:ascii="Arial" w:cs="Arial" w:eastAsia="Arial" w:hAnsi="Arial"/>
                <w:sz w:val="7"/>
                <w:szCs w:val="7"/>
                <w:color w:val="auto"/>
              </w:rPr>
              <w:t>6.9%</w:t>
            </w:r>
          </w:p>
        </w:tc>
      </w:tr>
      <w:tr>
        <w:trPr>
          <w:trHeight w:val="173"/>
        </w:trPr>
        <w:tc>
          <w:tcPr>
            <w:tcW w:w="260" w:type="dxa"/>
            <w:vAlign w:val="bottom"/>
            <w:shd w:val="clear" w:color="auto" w:fill="E5EEF8"/>
          </w:tcPr>
          <w:p>
            <w:pPr>
              <w:spacing w:after="0"/>
              <w:rPr>
                <w:sz w:val="15"/>
                <w:szCs w:val="15"/>
                <w:color w:val="auto"/>
              </w:rPr>
            </w:pPr>
          </w:p>
        </w:tc>
        <w:tc>
          <w:tcPr>
            <w:tcW w:w="6560" w:type="dxa"/>
            <w:vAlign w:val="bottom"/>
            <w:shd w:val="clear" w:color="auto" w:fill="E5EEF8"/>
          </w:tcPr>
          <w:p>
            <w:pPr>
              <w:spacing w:after="0"/>
              <w:rPr>
                <w:sz w:val="15"/>
                <w:szCs w:val="15"/>
                <w:color w:val="auto"/>
              </w:rPr>
            </w:pPr>
          </w:p>
        </w:tc>
        <w:tc>
          <w:tcPr>
            <w:tcW w:w="2900" w:type="dxa"/>
            <w:vAlign w:val="bottom"/>
            <w:shd w:val="clear" w:color="auto" w:fill="E5EEF8"/>
          </w:tcPr>
          <w:p>
            <w:pPr>
              <w:jc w:val="right"/>
              <w:ind w:right="284"/>
              <w:spacing w:after="0"/>
              <w:rPr>
                <w:sz w:val="20"/>
                <w:szCs w:val="20"/>
                <w:color w:val="auto"/>
              </w:rPr>
            </w:pPr>
            <w:r>
              <w:rPr>
                <w:rFonts w:ascii="Arial" w:cs="Arial" w:eastAsia="Arial" w:hAnsi="Arial"/>
                <w:sz w:val="15"/>
                <w:szCs w:val="15"/>
                <w:color w:val="auto"/>
              </w:rPr>
              <w:t>(5)</w:t>
            </w:r>
          </w:p>
        </w:tc>
        <w:tc>
          <w:tcPr>
            <w:tcW w:w="1300" w:type="dxa"/>
            <w:vAlign w:val="bottom"/>
            <w:shd w:val="clear" w:color="auto" w:fill="E5EEF8"/>
          </w:tcPr>
          <w:p>
            <w:pPr>
              <w:spacing w:after="0"/>
              <w:rPr>
                <w:sz w:val="15"/>
                <w:szCs w:val="15"/>
                <w:color w:val="auto"/>
              </w:rPr>
            </w:pPr>
          </w:p>
        </w:tc>
      </w:tr>
      <w:tr>
        <w:trPr>
          <w:trHeight w:val="249"/>
        </w:trPr>
        <w:tc>
          <w:tcPr>
            <w:tcW w:w="6820" w:type="dxa"/>
            <w:vAlign w:val="bottom"/>
            <w:tcBorders>
              <w:bottom w:val="single" w:sz="8" w:color="E5EEF8"/>
            </w:tcBorders>
            <w:gridSpan w:val="2"/>
            <w:shd w:val="clear" w:color="auto" w:fill="E5EEF8"/>
          </w:tcPr>
          <w:p>
            <w:pPr>
              <w:ind w:left="40"/>
              <w:spacing w:after="0"/>
              <w:rPr>
                <w:sz w:val="20"/>
                <w:szCs w:val="20"/>
                <w:color w:val="auto"/>
              </w:rPr>
            </w:pPr>
            <w:r>
              <w:rPr>
                <w:rFonts w:ascii="Arial" w:cs="Arial" w:eastAsia="Arial" w:hAnsi="Arial"/>
                <w:sz w:val="17"/>
                <w:szCs w:val="17"/>
                <w:color w:val="auto"/>
              </w:rPr>
              <w:t>55 East 52nd Street, New York, NY 10055</w:t>
            </w:r>
          </w:p>
        </w:tc>
        <w:tc>
          <w:tcPr>
            <w:tcW w:w="2900" w:type="dxa"/>
            <w:vAlign w:val="bottom"/>
            <w:tcBorders>
              <w:bottom w:val="single" w:sz="8" w:color="E5EEF8"/>
            </w:tcBorders>
            <w:shd w:val="clear" w:color="auto" w:fill="E5EEF8"/>
          </w:tcPr>
          <w:p>
            <w:pPr>
              <w:spacing w:after="0"/>
              <w:rPr>
                <w:sz w:val="21"/>
                <w:szCs w:val="21"/>
                <w:color w:val="auto"/>
              </w:rPr>
            </w:pPr>
          </w:p>
        </w:tc>
        <w:tc>
          <w:tcPr>
            <w:tcW w:w="1300" w:type="dxa"/>
            <w:vAlign w:val="bottom"/>
            <w:tcBorders>
              <w:bottom w:val="single" w:sz="8" w:color="E5EEF8"/>
            </w:tcBorders>
            <w:shd w:val="clear" w:color="auto" w:fill="E5EEF8"/>
          </w:tcPr>
          <w:p>
            <w:pPr>
              <w:spacing w:after="0"/>
              <w:rPr>
                <w:sz w:val="21"/>
                <w:szCs w:val="21"/>
                <w:color w:val="auto"/>
              </w:rPr>
            </w:pPr>
          </w:p>
        </w:tc>
      </w:tr>
      <w:tr>
        <w:trPr>
          <w:trHeight w:val="266"/>
        </w:trPr>
        <w:tc>
          <w:tcPr>
            <w:tcW w:w="6820" w:type="dxa"/>
            <w:vAlign w:val="bottom"/>
            <w:gridSpan w:val="2"/>
          </w:tcPr>
          <w:p>
            <w:pPr>
              <w:ind w:left="40"/>
              <w:spacing w:after="0"/>
              <w:rPr>
                <w:sz w:val="20"/>
                <w:szCs w:val="20"/>
                <w:color w:val="auto"/>
              </w:rPr>
            </w:pPr>
            <w:r>
              <w:rPr>
                <w:rFonts w:ascii="Arial" w:cs="Arial" w:eastAsia="Arial" w:hAnsi="Arial"/>
                <w:sz w:val="17"/>
                <w:szCs w:val="17"/>
                <w:color w:val="auto"/>
              </w:rPr>
              <w:t>Shellye L. Archambeau</w:t>
            </w:r>
          </w:p>
        </w:tc>
        <w:tc>
          <w:tcPr>
            <w:tcW w:w="2900" w:type="dxa"/>
            <w:vAlign w:val="bottom"/>
          </w:tcPr>
          <w:p>
            <w:pPr>
              <w:jc w:val="right"/>
              <w:ind w:right="464"/>
              <w:spacing w:after="0"/>
              <w:rPr>
                <w:sz w:val="20"/>
                <w:szCs w:val="20"/>
                <w:color w:val="auto"/>
              </w:rPr>
            </w:pPr>
            <w:r>
              <w:rPr>
                <w:rFonts w:ascii="Arial" w:cs="Arial" w:eastAsia="Arial" w:hAnsi="Arial"/>
                <w:sz w:val="17"/>
                <w:szCs w:val="17"/>
                <w:color w:val="auto"/>
              </w:rPr>
              <w:t>6,919</w:t>
            </w:r>
          </w:p>
        </w:tc>
        <w:tc>
          <w:tcPr>
            <w:tcW w:w="1300" w:type="dxa"/>
            <w:vAlign w:val="bottom"/>
          </w:tcPr>
          <w:p>
            <w:pPr>
              <w:ind w:left="640"/>
              <w:spacing w:after="0"/>
              <w:rPr>
                <w:sz w:val="20"/>
                <w:szCs w:val="20"/>
                <w:color w:val="auto"/>
              </w:rPr>
            </w:pPr>
            <w:r>
              <w:rPr>
                <w:rFonts w:ascii="Arial" w:cs="Arial" w:eastAsia="Arial" w:hAnsi="Arial"/>
                <w:sz w:val="17"/>
                <w:szCs w:val="17"/>
                <w:color w:val="auto"/>
              </w:rPr>
              <w:t>**</w:t>
            </w:r>
          </w:p>
        </w:tc>
      </w:tr>
      <w:tr>
        <w:trPr>
          <w:trHeight w:val="44"/>
        </w:trPr>
        <w:tc>
          <w:tcPr>
            <w:tcW w:w="6820" w:type="dxa"/>
            <w:vAlign w:val="bottom"/>
            <w:gridSpan w:val="2"/>
          </w:tcPr>
          <w:p>
            <w:pPr>
              <w:spacing w:after="0"/>
              <w:rPr>
                <w:sz w:val="3"/>
                <w:szCs w:val="3"/>
                <w:color w:val="auto"/>
              </w:rPr>
            </w:pPr>
          </w:p>
        </w:tc>
        <w:tc>
          <w:tcPr>
            <w:tcW w:w="29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1"/>
        </w:trPr>
        <w:tc>
          <w:tcPr>
            <w:tcW w:w="6820" w:type="dxa"/>
            <w:vAlign w:val="bottom"/>
            <w:tcBorders>
              <w:bottom w:val="single" w:sz="8" w:color="E5EEF8"/>
            </w:tcBorders>
            <w:gridSpan w:val="2"/>
            <w:shd w:val="clear" w:color="auto" w:fill="E5EEF8"/>
          </w:tcPr>
          <w:p>
            <w:pPr>
              <w:ind w:left="40"/>
              <w:spacing w:after="0"/>
              <w:rPr>
                <w:sz w:val="20"/>
                <w:szCs w:val="20"/>
                <w:color w:val="auto"/>
              </w:rPr>
            </w:pPr>
            <w:r>
              <w:rPr>
                <w:rFonts w:ascii="Arial" w:cs="Arial" w:eastAsia="Arial" w:hAnsi="Arial"/>
                <w:sz w:val="17"/>
                <w:szCs w:val="17"/>
                <w:color w:val="auto"/>
              </w:rPr>
              <w:t>Amy Woods Brinkley</w:t>
            </w:r>
          </w:p>
        </w:tc>
        <w:tc>
          <w:tcPr>
            <w:tcW w:w="2900" w:type="dxa"/>
            <w:vAlign w:val="bottom"/>
            <w:tcBorders>
              <w:bottom w:val="single" w:sz="8" w:color="E5EEF8"/>
            </w:tcBorders>
            <w:shd w:val="clear" w:color="auto" w:fill="E5EEF8"/>
          </w:tcPr>
          <w:p>
            <w:pPr>
              <w:jc w:val="right"/>
              <w:ind w:right="464"/>
              <w:spacing w:after="0"/>
              <w:rPr>
                <w:sz w:val="20"/>
                <w:szCs w:val="20"/>
                <w:color w:val="auto"/>
              </w:rPr>
            </w:pPr>
            <w:r>
              <w:rPr>
                <w:rFonts w:ascii="Arial" w:cs="Arial" w:eastAsia="Arial" w:hAnsi="Arial"/>
                <w:sz w:val="17"/>
                <w:szCs w:val="17"/>
                <w:color w:val="auto"/>
              </w:rPr>
              <w:t>13,729</w:t>
            </w:r>
          </w:p>
        </w:tc>
        <w:tc>
          <w:tcPr>
            <w:tcW w:w="1300" w:type="dxa"/>
            <w:vAlign w:val="bottom"/>
            <w:tcBorders>
              <w:bottom w:val="single" w:sz="8" w:color="E5EEF8"/>
            </w:tcBorders>
            <w:shd w:val="clear" w:color="auto" w:fill="E5EEF8"/>
          </w:tcPr>
          <w:p>
            <w:pPr>
              <w:ind w:left="640"/>
              <w:spacing w:after="0"/>
              <w:rPr>
                <w:sz w:val="20"/>
                <w:szCs w:val="20"/>
                <w:color w:val="auto"/>
              </w:rPr>
            </w:pPr>
            <w:r>
              <w:rPr>
                <w:rFonts w:ascii="Arial" w:cs="Arial" w:eastAsia="Arial" w:hAnsi="Arial"/>
                <w:sz w:val="17"/>
                <w:szCs w:val="17"/>
                <w:color w:val="auto"/>
              </w:rPr>
              <w:t>**</w:t>
            </w:r>
          </w:p>
        </w:tc>
      </w:tr>
      <w:tr>
        <w:trPr>
          <w:trHeight w:val="266"/>
        </w:trPr>
        <w:tc>
          <w:tcPr>
            <w:tcW w:w="6820" w:type="dxa"/>
            <w:vAlign w:val="bottom"/>
            <w:gridSpan w:val="2"/>
          </w:tcPr>
          <w:p>
            <w:pPr>
              <w:ind w:left="40"/>
              <w:spacing w:after="0"/>
              <w:rPr>
                <w:sz w:val="20"/>
                <w:szCs w:val="20"/>
                <w:color w:val="auto"/>
              </w:rPr>
            </w:pPr>
            <w:r>
              <w:rPr>
                <w:rFonts w:ascii="Arial" w:cs="Arial" w:eastAsia="Arial" w:hAnsi="Arial"/>
                <w:sz w:val="17"/>
                <w:szCs w:val="17"/>
                <w:color w:val="auto"/>
              </w:rPr>
              <w:t>Jason Conley</w:t>
            </w:r>
          </w:p>
        </w:tc>
        <w:tc>
          <w:tcPr>
            <w:tcW w:w="2900" w:type="dxa"/>
            <w:vAlign w:val="bottom"/>
          </w:tcPr>
          <w:p>
            <w:pPr>
              <w:jc w:val="right"/>
              <w:ind w:right="464"/>
              <w:spacing w:after="0"/>
              <w:rPr>
                <w:sz w:val="20"/>
                <w:szCs w:val="20"/>
                <w:color w:val="auto"/>
              </w:rPr>
            </w:pPr>
            <w:r>
              <w:rPr>
                <w:rFonts w:ascii="Arial" w:cs="Arial" w:eastAsia="Arial" w:hAnsi="Arial"/>
                <w:sz w:val="17"/>
                <w:szCs w:val="17"/>
                <w:color w:val="auto"/>
              </w:rPr>
              <w:t>90,975</w:t>
            </w:r>
          </w:p>
        </w:tc>
        <w:tc>
          <w:tcPr>
            <w:tcW w:w="1300" w:type="dxa"/>
            <w:vAlign w:val="bottom"/>
          </w:tcPr>
          <w:p>
            <w:pPr>
              <w:ind w:left="640"/>
              <w:spacing w:after="0"/>
              <w:rPr>
                <w:sz w:val="20"/>
                <w:szCs w:val="20"/>
                <w:color w:val="auto"/>
              </w:rPr>
            </w:pPr>
            <w:r>
              <w:rPr>
                <w:rFonts w:ascii="Arial" w:cs="Arial" w:eastAsia="Arial" w:hAnsi="Arial"/>
                <w:sz w:val="17"/>
                <w:szCs w:val="17"/>
                <w:color w:val="auto"/>
              </w:rPr>
              <w:t>**</w:t>
            </w:r>
          </w:p>
        </w:tc>
      </w:tr>
      <w:tr>
        <w:trPr>
          <w:trHeight w:val="45"/>
        </w:trPr>
        <w:tc>
          <w:tcPr>
            <w:tcW w:w="6820" w:type="dxa"/>
            <w:vAlign w:val="bottom"/>
            <w:gridSpan w:val="2"/>
          </w:tcPr>
          <w:p>
            <w:pPr>
              <w:spacing w:after="0"/>
              <w:rPr>
                <w:sz w:val="3"/>
                <w:szCs w:val="3"/>
                <w:color w:val="auto"/>
              </w:rPr>
            </w:pPr>
          </w:p>
        </w:tc>
        <w:tc>
          <w:tcPr>
            <w:tcW w:w="29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0"/>
        </w:trPr>
        <w:tc>
          <w:tcPr>
            <w:tcW w:w="6820" w:type="dxa"/>
            <w:vAlign w:val="bottom"/>
            <w:tcBorders>
              <w:bottom w:val="single" w:sz="8" w:color="E5EEF8"/>
            </w:tcBorders>
            <w:gridSpan w:val="2"/>
            <w:shd w:val="clear" w:color="auto" w:fill="E5EEF8"/>
          </w:tcPr>
          <w:p>
            <w:pPr>
              <w:ind w:left="40"/>
              <w:spacing w:after="0"/>
              <w:rPr>
                <w:sz w:val="20"/>
                <w:szCs w:val="20"/>
                <w:color w:val="auto"/>
              </w:rPr>
            </w:pPr>
            <w:r>
              <w:rPr>
                <w:rFonts w:ascii="Arial" w:cs="Arial" w:eastAsia="Arial" w:hAnsi="Arial"/>
                <w:sz w:val="17"/>
                <w:szCs w:val="17"/>
                <w:color w:val="auto"/>
              </w:rPr>
              <w:t>Robert C. Crisci</w:t>
            </w:r>
          </w:p>
        </w:tc>
        <w:tc>
          <w:tcPr>
            <w:tcW w:w="2900" w:type="dxa"/>
            <w:vAlign w:val="bottom"/>
            <w:tcBorders>
              <w:bottom w:val="single" w:sz="8" w:color="E5EEF8"/>
            </w:tcBorders>
            <w:shd w:val="clear" w:color="auto" w:fill="E5EEF8"/>
          </w:tcPr>
          <w:p>
            <w:pPr>
              <w:jc w:val="right"/>
              <w:ind w:right="464"/>
              <w:spacing w:after="0"/>
              <w:rPr>
                <w:sz w:val="20"/>
                <w:szCs w:val="20"/>
                <w:color w:val="auto"/>
              </w:rPr>
            </w:pPr>
            <w:r>
              <w:rPr>
                <w:rFonts w:ascii="Arial" w:cs="Arial" w:eastAsia="Arial" w:hAnsi="Arial"/>
                <w:sz w:val="17"/>
                <w:szCs w:val="17"/>
                <w:color w:val="auto"/>
              </w:rPr>
              <w:t>132,407</w:t>
            </w:r>
          </w:p>
        </w:tc>
        <w:tc>
          <w:tcPr>
            <w:tcW w:w="1300" w:type="dxa"/>
            <w:vAlign w:val="bottom"/>
            <w:tcBorders>
              <w:bottom w:val="single" w:sz="8" w:color="E5EEF8"/>
            </w:tcBorders>
            <w:shd w:val="clear" w:color="auto" w:fill="E5EEF8"/>
          </w:tcPr>
          <w:p>
            <w:pPr>
              <w:ind w:left="640"/>
              <w:spacing w:after="0"/>
              <w:rPr>
                <w:sz w:val="20"/>
                <w:szCs w:val="20"/>
                <w:color w:val="auto"/>
              </w:rPr>
            </w:pPr>
            <w:r>
              <w:rPr>
                <w:rFonts w:ascii="Arial" w:cs="Arial" w:eastAsia="Arial" w:hAnsi="Arial"/>
                <w:sz w:val="17"/>
                <w:szCs w:val="17"/>
                <w:color w:val="auto"/>
              </w:rPr>
              <w:t>**</w:t>
            </w:r>
          </w:p>
        </w:tc>
      </w:tr>
      <w:tr>
        <w:trPr>
          <w:trHeight w:val="266"/>
        </w:trPr>
        <w:tc>
          <w:tcPr>
            <w:tcW w:w="6820" w:type="dxa"/>
            <w:vAlign w:val="bottom"/>
            <w:gridSpan w:val="2"/>
          </w:tcPr>
          <w:p>
            <w:pPr>
              <w:ind w:left="40"/>
              <w:spacing w:after="0"/>
              <w:rPr>
                <w:sz w:val="20"/>
                <w:szCs w:val="20"/>
                <w:color w:val="auto"/>
              </w:rPr>
            </w:pPr>
            <w:r>
              <w:rPr>
                <w:rFonts w:ascii="Arial" w:cs="Arial" w:eastAsia="Arial" w:hAnsi="Arial"/>
                <w:sz w:val="17"/>
                <w:szCs w:val="17"/>
                <w:color w:val="auto"/>
              </w:rPr>
              <w:t>Irene M. Esteves</w:t>
            </w:r>
          </w:p>
        </w:tc>
        <w:tc>
          <w:tcPr>
            <w:tcW w:w="2900" w:type="dxa"/>
            <w:vAlign w:val="bottom"/>
          </w:tcPr>
          <w:p>
            <w:pPr>
              <w:jc w:val="right"/>
              <w:ind w:right="464"/>
              <w:spacing w:after="0"/>
              <w:rPr>
                <w:sz w:val="20"/>
                <w:szCs w:val="20"/>
                <w:color w:val="auto"/>
              </w:rPr>
            </w:pPr>
            <w:r>
              <w:rPr>
                <w:rFonts w:ascii="Arial" w:cs="Arial" w:eastAsia="Arial" w:hAnsi="Arial"/>
                <w:sz w:val="17"/>
                <w:szCs w:val="17"/>
                <w:color w:val="auto"/>
              </w:rPr>
              <w:t>230</w:t>
            </w:r>
          </w:p>
        </w:tc>
        <w:tc>
          <w:tcPr>
            <w:tcW w:w="1300" w:type="dxa"/>
            <w:vAlign w:val="bottom"/>
          </w:tcPr>
          <w:p>
            <w:pPr>
              <w:ind w:left="640"/>
              <w:spacing w:after="0"/>
              <w:rPr>
                <w:sz w:val="20"/>
                <w:szCs w:val="20"/>
                <w:color w:val="auto"/>
              </w:rPr>
            </w:pPr>
            <w:r>
              <w:rPr>
                <w:rFonts w:ascii="Arial" w:cs="Arial" w:eastAsia="Arial" w:hAnsi="Arial"/>
                <w:sz w:val="17"/>
                <w:szCs w:val="17"/>
                <w:color w:val="auto"/>
              </w:rPr>
              <w:t>**</w:t>
            </w:r>
          </w:p>
        </w:tc>
      </w:tr>
      <w:tr>
        <w:trPr>
          <w:trHeight w:val="45"/>
        </w:trPr>
        <w:tc>
          <w:tcPr>
            <w:tcW w:w="6820" w:type="dxa"/>
            <w:vAlign w:val="bottom"/>
            <w:gridSpan w:val="2"/>
          </w:tcPr>
          <w:p>
            <w:pPr>
              <w:spacing w:after="0"/>
              <w:rPr>
                <w:sz w:val="3"/>
                <w:szCs w:val="3"/>
                <w:color w:val="auto"/>
              </w:rPr>
            </w:pPr>
          </w:p>
        </w:tc>
        <w:tc>
          <w:tcPr>
            <w:tcW w:w="29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0"/>
        </w:trPr>
        <w:tc>
          <w:tcPr>
            <w:tcW w:w="6820" w:type="dxa"/>
            <w:vAlign w:val="bottom"/>
            <w:tcBorders>
              <w:bottom w:val="single" w:sz="8" w:color="E5EEF8"/>
            </w:tcBorders>
            <w:gridSpan w:val="2"/>
            <w:shd w:val="clear" w:color="auto" w:fill="E5EEF8"/>
          </w:tcPr>
          <w:p>
            <w:pPr>
              <w:ind w:left="40"/>
              <w:spacing w:after="0"/>
              <w:rPr>
                <w:sz w:val="20"/>
                <w:szCs w:val="20"/>
                <w:color w:val="auto"/>
              </w:rPr>
            </w:pPr>
            <w:r>
              <w:rPr>
                <w:rFonts w:ascii="Arial" w:cs="Arial" w:eastAsia="Arial" w:hAnsi="Arial"/>
                <w:sz w:val="17"/>
                <w:szCs w:val="17"/>
                <w:color w:val="auto"/>
              </w:rPr>
              <w:t>John F. Fort III</w:t>
            </w:r>
          </w:p>
        </w:tc>
        <w:tc>
          <w:tcPr>
            <w:tcW w:w="2900" w:type="dxa"/>
            <w:vAlign w:val="bottom"/>
            <w:tcBorders>
              <w:bottom w:val="single" w:sz="8" w:color="E5EEF8"/>
            </w:tcBorders>
            <w:shd w:val="clear" w:color="auto" w:fill="E5EEF8"/>
          </w:tcPr>
          <w:p>
            <w:pPr>
              <w:jc w:val="right"/>
              <w:ind w:right="284"/>
              <w:spacing w:after="0"/>
              <w:rPr>
                <w:sz w:val="20"/>
                <w:szCs w:val="20"/>
                <w:color w:val="auto"/>
              </w:rPr>
            </w:pPr>
            <w:r>
              <w:rPr>
                <w:rFonts w:ascii="Arial" w:cs="Arial" w:eastAsia="Arial" w:hAnsi="Arial"/>
                <w:sz w:val="17"/>
                <w:szCs w:val="17"/>
                <w:color w:val="auto"/>
              </w:rPr>
              <w:t>15,163</w:t>
            </w:r>
            <w:r>
              <w:rPr>
                <w:rFonts w:ascii="Arial" w:cs="Arial" w:eastAsia="Arial" w:hAnsi="Arial"/>
                <w:sz w:val="14"/>
                <w:szCs w:val="14"/>
                <w:color w:val="auto"/>
              </w:rPr>
              <w:t>(6)</w:t>
            </w:r>
          </w:p>
        </w:tc>
        <w:tc>
          <w:tcPr>
            <w:tcW w:w="1300" w:type="dxa"/>
            <w:vAlign w:val="bottom"/>
            <w:tcBorders>
              <w:bottom w:val="single" w:sz="8" w:color="E5EEF8"/>
            </w:tcBorders>
            <w:shd w:val="clear" w:color="auto" w:fill="E5EEF8"/>
          </w:tcPr>
          <w:p>
            <w:pPr>
              <w:ind w:left="640"/>
              <w:spacing w:after="0"/>
              <w:rPr>
                <w:sz w:val="20"/>
                <w:szCs w:val="20"/>
                <w:color w:val="auto"/>
              </w:rPr>
            </w:pPr>
            <w:r>
              <w:rPr>
                <w:rFonts w:ascii="Arial" w:cs="Arial" w:eastAsia="Arial" w:hAnsi="Arial"/>
                <w:sz w:val="17"/>
                <w:szCs w:val="17"/>
                <w:color w:val="auto"/>
              </w:rPr>
              <w:t>**</w:t>
            </w:r>
          </w:p>
        </w:tc>
      </w:tr>
      <w:tr>
        <w:trPr>
          <w:trHeight w:val="266"/>
        </w:trPr>
        <w:tc>
          <w:tcPr>
            <w:tcW w:w="6820" w:type="dxa"/>
            <w:vAlign w:val="bottom"/>
            <w:gridSpan w:val="2"/>
          </w:tcPr>
          <w:p>
            <w:pPr>
              <w:ind w:left="40"/>
              <w:spacing w:after="0"/>
              <w:rPr>
                <w:sz w:val="20"/>
                <w:szCs w:val="20"/>
                <w:color w:val="auto"/>
              </w:rPr>
            </w:pPr>
            <w:r>
              <w:rPr>
                <w:rFonts w:ascii="Arial" w:cs="Arial" w:eastAsia="Arial" w:hAnsi="Arial"/>
                <w:sz w:val="17"/>
                <w:szCs w:val="17"/>
                <w:color w:val="auto"/>
              </w:rPr>
              <w:t>L. Neil Hunn</w:t>
            </w:r>
          </w:p>
        </w:tc>
        <w:tc>
          <w:tcPr>
            <w:tcW w:w="2900" w:type="dxa"/>
            <w:vAlign w:val="bottom"/>
          </w:tcPr>
          <w:p>
            <w:pPr>
              <w:jc w:val="right"/>
              <w:ind w:right="464"/>
              <w:spacing w:after="0"/>
              <w:rPr>
                <w:sz w:val="20"/>
                <w:szCs w:val="20"/>
                <w:color w:val="auto"/>
              </w:rPr>
            </w:pPr>
            <w:r>
              <w:rPr>
                <w:rFonts w:ascii="Arial" w:cs="Arial" w:eastAsia="Arial" w:hAnsi="Arial"/>
                <w:sz w:val="17"/>
                <w:szCs w:val="17"/>
                <w:color w:val="auto"/>
              </w:rPr>
              <w:t>473,683</w:t>
            </w:r>
          </w:p>
        </w:tc>
        <w:tc>
          <w:tcPr>
            <w:tcW w:w="1300" w:type="dxa"/>
            <w:vAlign w:val="bottom"/>
          </w:tcPr>
          <w:p>
            <w:pPr>
              <w:ind w:left="640"/>
              <w:spacing w:after="0"/>
              <w:rPr>
                <w:sz w:val="20"/>
                <w:szCs w:val="20"/>
                <w:color w:val="auto"/>
              </w:rPr>
            </w:pPr>
            <w:r>
              <w:rPr>
                <w:rFonts w:ascii="Arial" w:cs="Arial" w:eastAsia="Arial" w:hAnsi="Arial"/>
                <w:sz w:val="17"/>
                <w:szCs w:val="17"/>
                <w:color w:val="auto"/>
              </w:rPr>
              <w:t>**</w:t>
            </w:r>
          </w:p>
        </w:tc>
      </w:tr>
      <w:tr>
        <w:trPr>
          <w:trHeight w:val="44"/>
        </w:trPr>
        <w:tc>
          <w:tcPr>
            <w:tcW w:w="6820" w:type="dxa"/>
            <w:vAlign w:val="bottom"/>
            <w:gridSpan w:val="2"/>
          </w:tcPr>
          <w:p>
            <w:pPr>
              <w:spacing w:after="0"/>
              <w:rPr>
                <w:sz w:val="3"/>
                <w:szCs w:val="3"/>
                <w:color w:val="auto"/>
              </w:rPr>
            </w:pPr>
          </w:p>
        </w:tc>
        <w:tc>
          <w:tcPr>
            <w:tcW w:w="29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1"/>
        </w:trPr>
        <w:tc>
          <w:tcPr>
            <w:tcW w:w="6820" w:type="dxa"/>
            <w:vAlign w:val="bottom"/>
            <w:tcBorders>
              <w:bottom w:val="single" w:sz="8" w:color="E5EEF8"/>
            </w:tcBorders>
            <w:gridSpan w:val="2"/>
            <w:shd w:val="clear" w:color="auto" w:fill="E5EEF8"/>
          </w:tcPr>
          <w:p>
            <w:pPr>
              <w:ind w:left="40"/>
              <w:spacing w:after="0"/>
              <w:rPr>
                <w:sz w:val="20"/>
                <w:szCs w:val="20"/>
                <w:color w:val="auto"/>
              </w:rPr>
            </w:pPr>
            <w:r>
              <w:rPr>
                <w:rFonts w:ascii="Arial" w:cs="Arial" w:eastAsia="Arial" w:hAnsi="Arial"/>
                <w:sz w:val="17"/>
                <w:szCs w:val="17"/>
                <w:color w:val="auto"/>
              </w:rPr>
              <w:t>Robert D. Johnson</w:t>
            </w:r>
          </w:p>
        </w:tc>
        <w:tc>
          <w:tcPr>
            <w:tcW w:w="2900" w:type="dxa"/>
            <w:vAlign w:val="bottom"/>
            <w:tcBorders>
              <w:bottom w:val="single" w:sz="8" w:color="E5EEF8"/>
            </w:tcBorders>
            <w:shd w:val="clear" w:color="auto" w:fill="E5EEF8"/>
          </w:tcPr>
          <w:p>
            <w:pPr>
              <w:jc w:val="right"/>
              <w:ind w:right="464"/>
              <w:spacing w:after="0"/>
              <w:rPr>
                <w:sz w:val="20"/>
                <w:szCs w:val="20"/>
                <w:color w:val="auto"/>
              </w:rPr>
            </w:pPr>
            <w:r>
              <w:rPr>
                <w:rFonts w:ascii="Arial" w:cs="Arial" w:eastAsia="Arial" w:hAnsi="Arial"/>
                <w:sz w:val="17"/>
                <w:szCs w:val="17"/>
                <w:color w:val="auto"/>
              </w:rPr>
              <w:t>5,703</w:t>
            </w:r>
          </w:p>
        </w:tc>
        <w:tc>
          <w:tcPr>
            <w:tcW w:w="1300" w:type="dxa"/>
            <w:vAlign w:val="bottom"/>
            <w:tcBorders>
              <w:bottom w:val="single" w:sz="8" w:color="E5EEF8"/>
            </w:tcBorders>
            <w:shd w:val="clear" w:color="auto" w:fill="E5EEF8"/>
          </w:tcPr>
          <w:p>
            <w:pPr>
              <w:ind w:left="640"/>
              <w:spacing w:after="0"/>
              <w:rPr>
                <w:sz w:val="20"/>
                <w:szCs w:val="20"/>
                <w:color w:val="auto"/>
              </w:rPr>
            </w:pPr>
            <w:r>
              <w:rPr>
                <w:rFonts w:ascii="Arial" w:cs="Arial" w:eastAsia="Arial" w:hAnsi="Arial"/>
                <w:sz w:val="17"/>
                <w:szCs w:val="17"/>
                <w:color w:val="auto"/>
              </w:rPr>
              <w:t>**</w:t>
            </w:r>
          </w:p>
        </w:tc>
      </w:tr>
      <w:tr>
        <w:trPr>
          <w:trHeight w:val="266"/>
        </w:trPr>
        <w:tc>
          <w:tcPr>
            <w:tcW w:w="6820" w:type="dxa"/>
            <w:vAlign w:val="bottom"/>
            <w:gridSpan w:val="2"/>
          </w:tcPr>
          <w:p>
            <w:pPr>
              <w:ind w:left="40"/>
              <w:spacing w:after="0"/>
              <w:rPr>
                <w:sz w:val="20"/>
                <w:szCs w:val="20"/>
                <w:color w:val="auto"/>
              </w:rPr>
            </w:pPr>
            <w:r>
              <w:rPr>
                <w:rFonts w:ascii="Arial" w:cs="Arial" w:eastAsia="Arial" w:hAnsi="Arial"/>
                <w:sz w:val="17"/>
                <w:szCs w:val="17"/>
                <w:color w:val="auto"/>
              </w:rPr>
              <w:t>Thomas P. Joyce, Jr.</w:t>
            </w:r>
          </w:p>
        </w:tc>
        <w:tc>
          <w:tcPr>
            <w:tcW w:w="2900" w:type="dxa"/>
            <w:vAlign w:val="bottom"/>
          </w:tcPr>
          <w:p>
            <w:pPr>
              <w:jc w:val="right"/>
              <w:ind w:right="464"/>
              <w:spacing w:after="0"/>
              <w:rPr>
                <w:sz w:val="20"/>
                <w:szCs w:val="20"/>
                <w:color w:val="auto"/>
              </w:rPr>
            </w:pPr>
            <w:r>
              <w:rPr>
                <w:rFonts w:ascii="Arial" w:cs="Arial" w:eastAsia="Arial" w:hAnsi="Arial"/>
                <w:sz w:val="17"/>
                <w:szCs w:val="17"/>
                <w:color w:val="auto"/>
              </w:rPr>
              <w:t>461</w:t>
            </w:r>
          </w:p>
        </w:tc>
        <w:tc>
          <w:tcPr>
            <w:tcW w:w="1300" w:type="dxa"/>
            <w:vAlign w:val="bottom"/>
          </w:tcPr>
          <w:p>
            <w:pPr>
              <w:ind w:left="640"/>
              <w:spacing w:after="0"/>
              <w:rPr>
                <w:sz w:val="20"/>
                <w:szCs w:val="20"/>
                <w:color w:val="auto"/>
              </w:rPr>
            </w:pPr>
            <w:r>
              <w:rPr>
                <w:rFonts w:ascii="Arial" w:cs="Arial" w:eastAsia="Arial" w:hAnsi="Arial"/>
                <w:sz w:val="17"/>
                <w:szCs w:val="17"/>
                <w:color w:val="auto"/>
              </w:rPr>
              <w:t>**</w:t>
            </w:r>
          </w:p>
        </w:tc>
      </w:tr>
      <w:tr>
        <w:trPr>
          <w:trHeight w:val="45"/>
        </w:trPr>
        <w:tc>
          <w:tcPr>
            <w:tcW w:w="6820" w:type="dxa"/>
            <w:vAlign w:val="bottom"/>
            <w:gridSpan w:val="2"/>
          </w:tcPr>
          <w:p>
            <w:pPr>
              <w:spacing w:after="0"/>
              <w:rPr>
                <w:sz w:val="3"/>
                <w:szCs w:val="3"/>
                <w:color w:val="auto"/>
              </w:rPr>
            </w:pPr>
          </w:p>
        </w:tc>
        <w:tc>
          <w:tcPr>
            <w:tcW w:w="29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0"/>
        </w:trPr>
        <w:tc>
          <w:tcPr>
            <w:tcW w:w="6820" w:type="dxa"/>
            <w:vAlign w:val="bottom"/>
            <w:tcBorders>
              <w:bottom w:val="single" w:sz="8" w:color="E5EEF8"/>
            </w:tcBorders>
            <w:gridSpan w:val="2"/>
            <w:shd w:val="clear" w:color="auto" w:fill="E5EEF8"/>
          </w:tcPr>
          <w:p>
            <w:pPr>
              <w:ind w:left="40"/>
              <w:spacing w:after="0"/>
              <w:rPr>
                <w:sz w:val="20"/>
                <w:szCs w:val="20"/>
                <w:color w:val="auto"/>
              </w:rPr>
            </w:pPr>
            <w:r>
              <w:rPr>
                <w:rFonts w:ascii="Arial" w:cs="Arial" w:eastAsia="Arial" w:hAnsi="Arial"/>
                <w:sz w:val="17"/>
                <w:szCs w:val="17"/>
                <w:color w:val="auto"/>
              </w:rPr>
              <w:t>Laura G. Thatcher</w:t>
            </w:r>
          </w:p>
        </w:tc>
        <w:tc>
          <w:tcPr>
            <w:tcW w:w="2900" w:type="dxa"/>
            <w:vAlign w:val="bottom"/>
            <w:tcBorders>
              <w:bottom w:val="single" w:sz="8" w:color="E5EEF8"/>
            </w:tcBorders>
            <w:shd w:val="clear" w:color="auto" w:fill="E5EEF8"/>
          </w:tcPr>
          <w:p>
            <w:pPr>
              <w:jc w:val="right"/>
              <w:ind w:right="464"/>
              <w:spacing w:after="0"/>
              <w:rPr>
                <w:sz w:val="20"/>
                <w:szCs w:val="20"/>
                <w:color w:val="auto"/>
              </w:rPr>
            </w:pPr>
            <w:r>
              <w:rPr>
                <w:rFonts w:ascii="Arial" w:cs="Arial" w:eastAsia="Arial" w:hAnsi="Arial"/>
                <w:sz w:val="17"/>
                <w:szCs w:val="17"/>
                <w:color w:val="auto"/>
              </w:rPr>
              <w:t>17,669</w:t>
            </w:r>
          </w:p>
        </w:tc>
        <w:tc>
          <w:tcPr>
            <w:tcW w:w="1300" w:type="dxa"/>
            <w:vAlign w:val="bottom"/>
            <w:tcBorders>
              <w:bottom w:val="single" w:sz="8" w:color="E5EEF8"/>
            </w:tcBorders>
            <w:shd w:val="clear" w:color="auto" w:fill="E5EEF8"/>
          </w:tcPr>
          <w:p>
            <w:pPr>
              <w:ind w:left="640"/>
              <w:spacing w:after="0"/>
              <w:rPr>
                <w:sz w:val="20"/>
                <w:szCs w:val="20"/>
                <w:color w:val="auto"/>
              </w:rPr>
            </w:pPr>
            <w:r>
              <w:rPr>
                <w:rFonts w:ascii="Arial" w:cs="Arial" w:eastAsia="Arial" w:hAnsi="Arial"/>
                <w:sz w:val="17"/>
                <w:szCs w:val="17"/>
                <w:color w:val="auto"/>
              </w:rPr>
              <w:t>**</w:t>
            </w:r>
          </w:p>
        </w:tc>
      </w:tr>
      <w:tr>
        <w:trPr>
          <w:trHeight w:val="266"/>
        </w:trPr>
        <w:tc>
          <w:tcPr>
            <w:tcW w:w="6820" w:type="dxa"/>
            <w:vAlign w:val="bottom"/>
            <w:gridSpan w:val="2"/>
          </w:tcPr>
          <w:p>
            <w:pPr>
              <w:ind w:left="40"/>
              <w:spacing w:after="0"/>
              <w:rPr>
                <w:sz w:val="20"/>
                <w:szCs w:val="20"/>
                <w:color w:val="auto"/>
              </w:rPr>
            </w:pPr>
            <w:r>
              <w:rPr>
                <w:rFonts w:ascii="Arial" w:cs="Arial" w:eastAsia="Arial" w:hAnsi="Arial"/>
                <w:sz w:val="17"/>
                <w:szCs w:val="17"/>
                <w:color w:val="auto"/>
              </w:rPr>
              <w:t>Richard F. Wallman</w:t>
            </w:r>
          </w:p>
        </w:tc>
        <w:tc>
          <w:tcPr>
            <w:tcW w:w="2900" w:type="dxa"/>
            <w:vAlign w:val="bottom"/>
          </w:tcPr>
          <w:p>
            <w:pPr>
              <w:jc w:val="right"/>
              <w:ind w:right="464"/>
              <w:spacing w:after="0"/>
              <w:rPr>
                <w:sz w:val="20"/>
                <w:szCs w:val="20"/>
                <w:color w:val="auto"/>
              </w:rPr>
            </w:pPr>
            <w:r>
              <w:rPr>
                <w:rFonts w:ascii="Arial" w:cs="Arial" w:eastAsia="Arial" w:hAnsi="Arial"/>
                <w:sz w:val="17"/>
                <w:szCs w:val="17"/>
                <w:color w:val="auto"/>
              </w:rPr>
              <w:t>44,375</w:t>
            </w:r>
          </w:p>
        </w:tc>
        <w:tc>
          <w:tcPr>
            <w:tcW w:w="1300" w:type="dxa"/>
            <w:vAlign w:val="bottom"/>
          </w:tcPr>
          <w:p>
            <w:pPr>
              <w:ind w:left="640"/>
              <w:spacing w:after="0"/>
              <w:rPr>
                <w:sz w:val="20"/>
                <w:szCs w:val="20"/>
                <w:color w:val="auto"/>
              </w:rPr>
            </w:pPr>
            <w:r>
              <w:rPr>
                <w:rFonts w:ascii="Arial" w:cs="Arial" w:eastAsia="Arial" w:hAnsi="Arial"/>
                <w:sz w:val="17"/>
                <w:szCs w:val="17"/>
                <w:color w:val="auto"/>
              </w:rPr>
              <w:t>**</w:t>
            </w:r>
          </w:p>
        </w:tc>
      </w:tr>
      <w:tr>
        <w:trPr>
          <w:trHeight w:val="45"/>
        </w:trPr>
        <w:tc>
          <w:tcPr>
            <w:tcW w:w="6820" w:type="dxa"/>
            <w:vAlign w:val="bottom"/>
            <w:gridSpan w:val="2"/>
          </w:tcPr>
          <w:p>
            <w:pPr>
              <w:spacing w:after="0"/>
              <w:rPr>
                <w:sz w:val="3"/>
                <w:szCs w:val="3"/>
                <w:color w:val="auto"/>
              </w:rPr>
            </w:pPr>
          </w:p>
        </w:tc>
        <w:tc>
          <w:tcPr>
            <w:tcW w:w="29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0"/>
        </w:trPr>
        <w:tc>
          <w:tcPr>
            <w:tcW w:w="6820" w:type="dxa"/>
            <w:vAlign w:val="bottom"/>
            <w:tcBorders>
              <w:bottom w:val="single" w:sz="8" w:color="E5EEF8"/>
            </w:tcBorders>
            <w:gridSpan w:val="2"/>
            <w:shd w:val="clear" w:color="auto" w:fill="E5EEF8"/>
          </w:tcPr>
          <w:p>
            <w:pPr>
              <w:ind w:left="40"/>
              <w:spacing w:after="0"/>
              <w:rPr>
                <w:sz w:val="20"/>
                <w:szCs w:val="20"/>
                <w:color w:val="auto"/>
              </w:rPr>
            </w:pPr>
            <w:r>
              <w:rPr>
                <w:rFonts w:ascii="Arial" w:cs="Arial" w:eastAsia="Arial" w:hAnsi="Arial"/>
                <w:sz w:val="17"/>
                <w:szCs w:val="17"/>
                <w:color w:val="auto"/>
              </w:rPr>
              <w:t>Christopher Wright</w:t>
            </w:r>
          </w:p>
        </w:tc>
        <w:tc>
          <w:tcPr>
            <w:tcW w:w="2900" w:type="dxa"/>
            <w:vAlign w:val="bottom"/>
            <w:tcBorders>
              <w:bottom w:val="single" w:sz="8" w:color="E5EEF8"/>
            </w:tcBorders>
            <w:shd w:val="clear" w:color="auto" w:fill="E5EEF8"/>
          </w:tcPr>
          <w:p>
            <w:pPr>
              <w:jc w:val="right"/>
              <w:ind w:right="284"/>
              <w:spacing w:after="0"/>
              <w:rPr>
                <w:sz w:val="20"/>
                <w:szCs w:val="20"/>
                <w:color w:val="auto"/>
              </w:rPr>
            </w:pPr>
            <w:r>
              <w:rPr>
                <w:rFonts w:ascii="Arial" w:cs="Arial" w:eastAsia="Arial" w:hAnsi="Arial"/>
                <w:sz w:val="17"/>
                <w:szCs w:val="17"/>
                <w:color w:val="auto"/>
              </w:rPr>
              <w:t>52,369</w:t>
            </w:r>
            <w:r>
              <w:rPr>
                <w:rFonts w:ascii="Arial" w:cs="Arial" w:eastAsia="Arial" w:hAnsi="Arial"/>
                <w:sz w:val="14"/>
                <w:szCs w:val="14"/>
                <w:color w:val="auto"/>
              </w:rPr>
              <w:t>(7)</w:t>
            </w:r>
          </w:p>
        </w:tc>
        <w:tc>
          <w:tcPr>
            <w:tcW w:w="1300" w:type="dxa"/>
            <w:vAlign w:val="bottom"/>
            <w:tcBorders>
              <w:bottom w:val="single" w:sz="8" w:color="E5EEF8"/>
            </w:tcBorders>
            <w:shd w:val="clear" w:color="auto" w:fill="E5EEF8"/>
          </w:tcPr>
          <w:p>
            <w:pPr>
              <w:ind w:left="640"/>
              <w:spacing w:after="0"/>
              <w:rPr>
                <w:sz w:val="20"/>
                <w:szCs w:val="20"/>
                <w:color w:val="auto"/>
              </w:rPr>
            </w:pPr>
            <w:r>
              <w:rPr>
                <w:rFonts w:ascii="Arial" w:cs="Arial" w:eastAsia="Arial" w:hAnsi="Arial"/>
                <w:sz w:val="17"/>
                <w:szCs w:val="17"/>
                <w:color w:val="auto"/>
              </w:rPr>
              <w:t>**</w:t>
            </w:r>
          </w:p>
        </w:tc>
      </w:tr>
      <w:tr>
        <w:trPr>
          <w:trHeight w:val="266"/>
        </w:trPr>
        <w:tc>
          <w:tcPr>
            <w:tcW w:w="6820" w:type="dxa"/>
            <w:vAlign w:val="bottom"/>
            <w:gridSpan w:val="2"/>
          </w:tcPr>
          <w:p>
            <w:pPr>
              <w:ind w:left="40"/>
              <w:spacing w:after="0"/>
              <w:rPr>
                <w:sz w:val="20"/>
                <w:szCs w:val="20"/>
                <w:color w:val="auto"/>
              </w:rPr>
            </w:pPr>
            <w:r>
              <w:rPr>
                <w:rFonts w:ascii="Arial" w:cs="Arial" w:eastAsia="Arial" w:hAnsi="Arial"/>
                <w:sz w:val="17"/>
                <w:szCs w:val="17"/>
                <w:color w:val="auto"/>
              </w:rPr>
              <w:t>John K. Stipancich</w:t>
            </w:r>
          </w:p>
        </w:tc>
        <w:tc>
          <w:tcPr>
            <w:tcW w:w="2900" w:type="dxa"/>
            <w:vAlign w:val="bottom"/>
          </w:tcPr>
          <w:p>
            <w:pPr>
              <w:jc w:val="right"/>
              <w:ind w:right="464"/>
              <w:spacing w:after="0"/>
              <w:rPr>
                <w:sz w:val="20"/>
                <w:szCs w:val="20"/>
                <w:color w:val="auto"/>
              </w:rPr>
            </w:pPr>
            <w:r>
              <w:rPr>
                <w:rFonts w:ascii="Arial" w:cs="Arial" w:eastAsia="Arial" w:hAnsi="Arial"/>
                <w:sz w:val="17"/>
                <w:szCs w:val="17"/>
                <w:color w:val="auto"/>
              </w:rPr>
              <w:t>77,250</w:t>
            </w:r>
          </w:p>
        </w:tc>
        <w:tc>
          <w:tcPr>
            <w:tcW w:w="1300" w:type="dxa"/>
            <w:vAlign w:val="bottom"/>
          </w:tcPr>
          <w:p>
            <w:pPr>
              <w:ind w:left="640"/>
              <w:spacing w:after="0"/>
              <w:rPr>
                <w:sz w:val="20"/>
                <w:szCs w:val="20"/>
                <w:color w:val="auto"/>
              </w:rPr>
            </w:pPr>
            <w:r>
              <w:rPr>
                <w:rFonts w:ascii="Arial" w:cs="Arial" w:eastAsia="Arial" w:hAnsi="Arial"/>
                <w:sz w:val="17"/>
                <w:szCs w:val="17"/>
                <w:color w:val="auto"/>
              </w:rPr>
              <w:t>**</w:t>
            </w:r>
          </w:p>
        </w:tc>
      </w:tr>
      <w:tr>
        <w:trPr>
          <w:trHeight w:val="44"/>
        </w:trPr>
        <w:tc>
          <w:tcPr>
            <w:tcW w:w="6820" w:type="dxa"/>
            <w:vAlign w:val="bottom"/>
            <w:gridSpan w:val="2"/>
          </w:tcPr>
          <w:p>
            <w:pPr>
              <w:spacing w:after="0"/>
              <w:rPr>
                <w:sz w:val="3"/>
                <w:szCs w:val="3"/>
                <w:color w:val="auto"/>
              </w:rPr>
            </w:pPr>
          </w:p>
        </w:tc>
        <w:tc>
          <w:tcPr>
            <w:tcW w:w="29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89"/>
        </w:trPr>
        <w:tc>
          <w:tcPr>
            <w:tcW w:w="6820" w:type="dxa"/>
            <w:vAlign w:val="bottom"/>
            <w:gridSpan w:val="2"/>
            <w:shd w:val="clear" w:color="auto" w:fill="E5EEF8"/>
          </w:tcPr>
          <w:p>
            <w:pPr>
              <w:ind w:left="40"/>
              <w:spacing w:after="0" w:line="189" w:lineRule="exact"/>
              <w:rPr>
                <w:sz w:val="20"/>
                <w:szCs w:val="20"/>
                <w:color w:val="auto"/>
              </w:rPr>
            </w:pPr>
            <w:r>
              <w:rPr>
                <w:rFonts w:ascii="Arial" w:cs="Arial" w:eastAsia="Arial" w:hAnsi="Arial"/>
                <w:sz w:val="17"/>
                <w:szCs w:val="17"/>
                <w:color w:val="auto"/>
              </w:rPr>
              <w:t>All current directors and executive officers as a group (13 individuals)</w:t>
            </w:r>
          </w:p>
        </w:tc>
        <w:tc>
          <w:tcPr>
            <w:tcW w:w="2900" w:type="dxa"/>
            <w:vAlign w:val="bottom"/>
            <w:shd w:val="clear" w:color="auto" w:fill="E5EEF8"/>
          </w:tcPr>
          <w:p>
            <w:pPr>
              <w:jc w:val="right"/>
              <w:ind w:right="464"/>
              <w:spacing w:after="0" w:line="189" w:lineRule="exact"/>
              <w:rPr>
                <w:sz w:val="20"/>
                <w:szCs w:val="20"/>
                <w:color w:val="auto"/>
              </w:rPr>
            </w:pPr>
            <w:r>
              <w:rPr>
                <w:rFonts w:ascii="Arial" w:cs="Arial" w:eastAsia="Arial" w:hAnsi="Arial"/>
                <w:sz w:val="17"/>
                <w:szCs w:val="17"/>
                <w:color w:val="auto"/>
              </w:rPr>
              <w:t>930,933</w:t>
            </w:r>
          </w:p>
        </w:tc>
        <w:tc>
          <w:tcPr>
            <w:tcW w:w="1300" w:type="dxa"/>
            <w:vAlign w:val="bottom"/>
            <w:shd w:val="clear" w:color="auto" w:fill="E5EEF8"/>
          </w:tcPr>
          <w:p>
            <w:pPr>
              <w:ind w:left="640"/>
              <w:spacing w:after="0" w:line="189" w:lineRule="exact"/>
              <w:rPr>
                <w:sz w:val="20"/>
                <w:szCs w:val="20"/>
                <w:color w:val="auto"/>
              </w:rPr>
            </w:pPr>
            <w:r>
              <w:rPr>
                <w:rFonts w:ascii="Arial" w:cs="Arial" w:eastAsia="Arial" w:hAnsi="Arial"/>
                <w:sz w:val="17"/>
                <w:szCs w:val="17"/>
                <w:color w:val="auto"/>
              </w:rPr>
              <w:t>**%</w:t>
            </w:r>
          </w:p>
        </w:tc>
      </w:tr>
      <w:tr>
        <w:trPr>
          <w:trHeight w:val="177"/>
        </w:trPr>
        <w:tc>
          <w:tcPr>
            <w:tcW w:w="260" w:type="dxa"/>
            <w:vAlign w:val="bottom"/>
          </w:tcPr>
          <w:p>
            <w:pPr>
              <w:spacing w:after="0"/>
              <w:rPr>
                <w:sz w:val="20"/>
                <w:szCs w:val="20"/>
                <w:color w:val="auto"/>
              </w:rPr>
            </w:pPr>
            <w:r>
              <w:rPr>
                <w:rFonts w:ascii="Arial" w:cs="Arial" w:eastAsia="Arial" w:hAnsi="Arial"/>
                <w:sz w:val="14"/>
                <w:szCs w:val="14"/>
                <w:color w:val="auto"/>
              </w:rPr>
              <w:t>**</w:t>
            </w:r>
          </w:p>
        </w:tc>
        <w:tc>
          <w:tcPr>
            <w:tcW w:w="6560" w:type="dxa"/>
            <w:vAlign w:val="bottom"/>
          </w:tcPr>
          <w:p>
            <w:pPr>
              <w:ind w:left="160"/>
              <w:spacing w:after="0"/>
              <w:rPr>
                <w:sz w:val="20"/>
                <w:szCs w:val="20"/>
                <w:color w:val="auto"/>
              </w:rPr>
            </w:pPr>
            <w:r>
              <w:rPr>
                <w:rFonts w:ascii="Arial" w:cs="Arial" w:eastAsia="Arial" w:hAnsi="Arial"/>
                <w:sz w:val="14"/>
                <w:szCs w:val="14"/>
                <w:color w:val="auto"/>
              </w:rPr>
              <w:t>Less than 1%.</w:t>
            </w:r>
          </w:p>
        </w:tc>
        <w:tc>
          <w:tcPr>
            <w:tcW w:w="290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spacing w:after="0" w:line="71" w:lineRule="exact"/>
        <w:rPr>
          <w:sz w:val="20"/>
          <w:szCs w:val="20"/>
          <w:color w:val="auto"/>
        </w:rPr>
      </w:pPr>
    </w:p>
    <w:p>
      <w:pPr>
        <w:ind w:left="540" w:right="160" w:hanging="424"/>
        <w:spacing w:after="0" w:line="199" w:lineRule="auto"/>
        <w:tabs>
          <w:tab w:leader="none" w:pos="540" w:val="left"/>
        </w:tabs>
        <w:numPr>
          <w:ilvl w:val="0"/>
          <w:numId w:val="42"/>
        </w:numPr>
        <w:rPr>
          <w:rFonts w:ascii="Arial" w:cs="Arial" w:eastAsia="Arial" w:hAnsi="Arial"/>
          <w:sz w:val="24"/>
          <w:szCs w:val="24"/>
          <w:color w:val="auto"/>
          <w:vertAlign w:val="superscript"/>
        </w:rPr>
      </w:pPr>
      <w:r>
        <w:rPr>
          <w:rFonts w:ascii="Arial" w:cs="Arial" w:eastAsia="Arial" w:hAnsi="Arial"/>
          <w:sz w:val="14"/>
          <w:szCs w:val="14"/>
          <w:color w:val="auto"/>
        </w:rPr>
        <w:t>Includes the following shares that could be acquired on or before May 30, 2022 upon exercise of stock options issued under Company plans as follows: Mr. Conley (58,839), Mr. Hunn (255,000), Mr. Crisci (91,400), Mr. Stipancich (40,207), and all current directors and executive officers as a group (445,446). Holders do not have voting or investment power over unexercised option shares.</w:t>
      </w:r>
    </w:p>
    <w:p>
      <w:pPr>
        <w:ind w:left="540" w:hanging="424"/>
        <w:spacing w:after="0" w:line="202" w:lineRule="auto"/>
        <w:tabs>
          <w:tab w:leader="none" w:pos="540" w:val="left"/>
        </w:tabs>
        <w:numPr>
          <w:ilvl w:val="0"/>
          <w:numId w:val="42"/>
        </w:numPr>
        <w:rPr>
          <w:rFonts w:ascii="Arial" w:cs="Arial" w:eastAsia="Arial" w:hAnsi="Arial"/>
          <w:sz w:val="24"/>
          <w:szCs w:val="24"/>
          <w:color w:val="auto"/>
          <w:vertAlign w:val="superscript"/>
        </w:rPr>
      </w:pPr>
      <w:r>
        <w:rPr>
          <w:rFonts w:ascii="Arial" w:cs="Arial" w:eastAsia="Arial" w:hAnsi="Arial"/>
          <w:sz w:val="14"/>
          <w:szCs w:val="14"/>
          <w:color w:val="auto"/>
        </w:rPr>
        <w:t>Includes the following shares of unvested restricted stock held by named executives officers over which they have sole voting power but no investment power:</w:t>
      </w:r>
    </w:p>
    <w:p>
      <w:pPr>
        <w:ind w:left="540" w:right="100"/>
        <w:spacing w:after="0" w:line="258" w:lineRule="auto"/>
        <w:rPr>
          <w:rFonts w:ascii="Arial" w:cs="Arial" w:eastAsia="Arial" w:hAnsi="Arial"/>
          <w:sz w:val="24"/>
          <w:szCs w:val="24"/>
          <w:color w:val="auto"/>
          <w:vertAlign w:val="superscript"/>
        </w:rPr>
      </w:pPr>
      <w:r>
        <w:rPr>
          <w:rFonts w:ascii="Arial" w:cs="Arial" w:eastAsia="Arial" w:hAnsi="Arial"/>
          <w:sz w:val="14"/>
          <w:szCs w:val="14"/>
          <w:color w:val="auto"/>
        </w:rPr>
        <w:t>Ms. Archambeau (416), Ms. Brinkley (416), Mr. Conley (14,874), Mr. Hunn (95,875), Mr. Crisci (24,735), Mr. Joyce (230), Mr. Stipancich (14,815), Ms. Thatcher (416), and Mr. Wallman (416). The total for all current directors and executive officers as a group is (152,193).</w:t>
      </w:r>
    </w:p>
    <w:p>
      <w:pPr>
        <w:spacing w:after="0" w:line="58" w:lineRule="exact"/>
        <w:rPr>
          <w:rFonts w:ascii="Arial" w:cs="Arial" w:eastAsia="Arial" w:hAnsi="Arial"/>
          <w:sz w:val="24"/>
          <w:szCs w:val="24"/>
          <w:color w:val="auto"/>
          <w:vertAlign w:val="superscript"/>
        </w:rPr>
      </w:pPr>
    </w:p>
    <w:p>
      <w:pPr>
        <w:ind w:left="540" w:right="320" w:hanging="424"/>
        <w:spacing w:after="0" w:line="183" w:lineRule="auto"/>
        <w:tabs>
          <w:tab w:leader="none" w:pos="540" w:val="left"/>
        </w:tabs>
        <w:numPr>
          <w:ilvl w:val="0"/>
          <w:numId w:val="42"/>
        </w:numPr>
        <w:rPr>
          <w:rFonts w:ascii="Arial" w:cs="Arial" w:eastAsia="Arial" w:hAnsi="Arial"/>
          <w:sz w:val="24"/>
          <w:szCs w:val="24"/>
          <w:color w:val="auto"/>
          <w:vertAlign w:val="superscript"/>
        </w:rPr>
      </w:pPr>
      <w:r>
        <w:rPr>
          <w:rFonts w:ascii="Arial" w:cs="Arial" w:eastAsia="Arial" w:hAnsi="Arial"/>
          <w:sz w:val="14"/>
          <w:szCs w:val="14"/>
          <w:color w:val="auto"/>
        </w:rPr>
        <w:t>Based on information reported on Schedule 13G/A filed with the SEC on February 14, 2022, as of December 31, 2021, T. Rowe Price Associates, Inc. beneficially owned 10,846,059 shares of Roper common stock with sole voting power over 3,886, shares and sole dispositive power over all of the shares.</w:t>
      </w:r>
    </w:p>
    <w:p>
      <w:pPr>
        <w:spacing w:after="0" w:line="71" w:lineRule="exact"/>
        <w:rPr>
          <w:rFonts w:ascii="Arial" w:cs="Arial" w:eastAsia="Arial" w:hAnsi="Arial"/>
          <w:sz w:val="24"/>
          <w:szCs w:val="24"/>
          <w:color w:val="auto"/>
          <w:vertAlign w:val="superscript"/>
        </w:rPr>
      </w:pPr>
    </w:p>
    <w:p>
      <w:pPr>
        <w:ind w:left="540" w:right="60" w:hanging="424"/>
        <w:spacing w:after="0" w:line="199" w:lineRule="auto"/>
        <w:tabs>
          <w:tab w:leader="none" w:pos="540" w:val="left"/>
        </w:tabs>
        <w:numPr>
          <w:ilvl w:val="0"/>
          <w:numId w:val="42"/>
        </w:numPr>
        <w:rPr>
          <w:rFonts w:ascii="Arial" w:cs="Arial" w:eastAsia="Arial" w:hAnsi="Arial"/>
          <w:sz w:val="24"/>
          <w:szCs w:val="24"/>
          <w:color w:val="auto"/>
          <w:vertAlign w:val="superscript"/>
        </w:rPr>
      </w:pPr>
      <w:r>
        <w:rPr>
          <w:rFonts w:ascii="Arial" w:cs="Arial" w:eastAsia="Arial" w:hAnsi="Arial"/>
          <w:sz w:val="14"/>
          <w:szCs w:val="14"/>
          <w:color w:val="auto"/>
        </w:rPr>
        <w:t>Based on information reported on Schedule 13G/A filed with the SEC on February 10, 2022, as of December 31, 2021, The Vanguard Group (“Vanguard”) beneficially owned 8,682,556 shares of Roper common stock with shared voting power over 161,286 shares, sole dispositive power over 8,270,749 shares, and shared dispositive power over 411,807 shares.</w:t>
      </w:r>
    </w:p>
    <w:p>
      <w:pPr>
        <w:spacing w:after="0" w:line="134" w:lineRule="exact"/>
        <w:rPr>
          <w:sz w:val="20"/>
          <w:szCs w:val="20"/>
          <w:color w:val="auto"/>
        </w:rPr>
      </w:pPr>
    </w:p>
    <w:tbl>
      <w:tblPr>
        <w:tblLayout w:type="fixed"/>
        <w:tblInd w:w="6920" w:type="dxa"/>
        <w:tblCellMar>
          <w:top w:w="0" w:type="dxa"/>
          <w:left w:w="0" w:type="dxa"/>
          <w:bottom w:w="0" w:type="dxa"/>
          <w:right w:w="0" w:type="dxa"/>
        </w:tblCellMar>
      </w:tblPr>
      <w:tr>
        <w:trPr>
          <w:trHeight w:val="29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005CB9"/>
              </w:rPr>
              <w:t>19</w:t>
            </w:r>
          </w:p>
        </w:tc>
      </w:tr>
      <w:tr>
        <w:trPr>
          <w:trHeight w:val="101"/>
        </w:trPr>
        <w:tc>
          <w:tcPr>
            <w:tcW w:w="3900" w:type="dxa"/>
            <w:vAlign w:val="bottom"/>
            <w:tcBorders>
              <w:right w:val="single" w:sz="8" w:color="005CB9"/>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-205105</wp:posOffset>
            </wp:positionV>
            <wp:extent cx="428625"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BENEFICIAL OWNERSHIP </w:t>
      </w:r>
      <w:r>
        <w:rPr>
          <w:rFonts w:ascii="Arial" w:cs="Arial" w:eastAsia="Arial" w:hAnsi="Arial"/>
          <w:sz w:val="18"/>
          <w:szCs w:val="18"/>
          <w:i w:val="1"/>
          <w:iCs w:val="1"/>
          <w:color w:val="005CB9"/>
        </w:rPr>
        <w:t>(CONTINUED)</w:t>
      </w:r>
    </w:p>
    <w:p>
      <w:pPr>
        <w:spacing w:after="0" w:line="168" w:lineRule="exact"/>
        <w:rPr>
          <w:sz w:val="20"/>
          <w:szCs w:val="20"/>
          <w:color w:val="auto"/>
        </w:rPr>
      </w:pPr>
    </w:p>
    <w:p>
      <w:pPr>
        <w:ind w:left="540" w:hanging="424"/>
        <w:spacing w:after="0" w:line="183" w:lineRule="auto"/>
        <w:tabs>
          <w:tab w:leader="none" w:pos="540" w:val="left"/>
        </w:tabs>
        <w:numPr>
          <w:ilvl w:val="0"/>
          <w:numId w:val="43"/>
        </w:numPr>
        <w:rPr>
          <w:rFonts w:ascii="Arial" w:cs="Arial" w:eastAsia="Arial" w:hAnsi="Arial"/>
          <w:sz w:val="24"/>
          <w:szCs w:val="24"/>
          <w:color w:val="auto"/>
          <w:vertAlign w:val="superscript"/>
        </w:rPr>
      </w:pPr>
      <w:r>
        <w:rPr>
          <w:rFonts w:ascii="Arial" w:cs="Arial" w:eastAsia="Arial" w:hAnsi="Arial"/>
          <w:sz w:val="14"/>
          <w:szCs w:val="14"/>
          <w:color w:val="auto"/>
        </w:rPr>
        <w:t>Based on information reported on Schedule 13G/A filed with the SEC on February 1, 2022, as of December 31, 2021, BlackRock, Inc. (and certain of its subsidiaries) beneficially owned 7,263,596 shares of Roper common stock with sole voting power over 6,160,852 shares and sole dispositive power over 7,263,596 shares.</w:t>
      </w:r>
    </w:p>
    <w:p>
      <w:pPr>
        <w:spacing w:after="0" w:line="1" w:lineRule="exact"/>
        <w:rPr>
          <w:rFonts w:ascii="Arial" w:cs="Arial" w:eastAsia="Arial" w:hAnsi="Arial"/>
          <w:sz w:val="24"/>
          <w:szCs w:val="24"/>
          <w:color w:val="auto"/>
          <w:vertAlign w:val="superscript"/>
        </w:rPr>
      </w:pPr>
    </w:p>
    <w:p>
      <w:pPr>
        <w:ind w:left="540" w:hanging="424"/>
        <w:spacing w:after="0" w:line="211" w:lineRule="auto"/>
        <w:tabs>
          <w:tab w:leader="none" w:pos="540" w:val="left"/>
        </w:tabs>
        <w:numPr>
          <w:ilvl w:val="0"/>
          <w:numId w:val="43"/>
        </w:numPr>
        <w:rPr>
          <w:rFonts w:ascii="Arial" w:cs="Arial" w:eastAsia="Arial" w:hAnsi="Arial"/>
          <w:sz w:val="24"/>
          <w:szCs w:val="24"/>
          <w:color w:val="auto"/>
          <w:vertAlign w:val="superscript"/>
        </w:rPr>
      </w:pPr>
      <w:r>
        <w:rPr>
          <w:rFonts w:ascii="Arial" w:cs="Arial" w:eastAsia="Arial" w:hAnsi="Arial"/>
          <w:sz w:val="14"/>
          <w:szCs w:val="14"/>
          <w:color w:val="auto"/>
        </w:rPr>
        <w:t>Includes 300 shares held by Mr. Fort’s spouse.</w:t>
      </w:r>
    </w:p>
    <w:p>
      <w:pPr>
        <w:spacing w:after="0" w:line="71" w:lineRule="exact"/>
        <w:rPr>
          <w:rFonts w:ascii="Arial" w:cs="Arial" w:eastAsia="Arial" w:hAnsi="Arial"/>
          <w:sz w:val="24"/>
          <w:szCs w:val="24"/>
          <w:color w:val="auto"/>
          <w:vertAlign w:val="superscript"/>
        </w:rPr>
      </w:pPr>
    </w:p>
    <w:p>
      <w:pPr>
        <w:ind w:left="540" w:right="20" w:hanging="424"/>
        <w:spacing w:after="0" w:line="183" w:lineRule="auto"/>
        <w:tabs>
          <w:tab w:leader="none" w:pos="540" w:val="left"/>
        </w:tabs>
        <w:numPr>
          <w:ilvl w:val="0"/>
          <w:numId w:val="43"/>
        </w:numPr>
        <w:rPr>
          <w:rFonts w:ascii="Arial" w:cs="Arial" w:eastAsia="Arial" w:hAnsi="Arial"/>
          <w:sz w:val="24"/>
          <w:szCs w:val="24"/>
          <w:color w:val="auto"/>
          <w:vertAlign w:val="superscript"/>
        </w:rPr>
      </w:pPr>
      <w:r>
        <w:rPr>
          <w:rFonts w:ascii="Arial" w:cs="Arial" w:eastAsia="Arial" w:hAnsi="Arial"/>
          <w:sz w:val="14"/>
          <w:szCs w:val="14"/>
          <w:color w:val="auto"/>
        </w:rPr>
        <w:t>Includes 14,500 shares held by an LLC of which Mr. Wright is a managing member, and in which he retains a continuing beneficial ownership of 1%. The shares held by the LLC are held in a margin account. In addition, 35,208 shares directly held by Mr. Wright are held in a margin account.</w:t>
      </w: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DELINQUENT SECTION 16(a) REPORTS</w:t>
      </w:r>
    </w:p>
    <w:p>
      <w:pPr>
        <w:spacing w:after="0" w:line="326"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7"/>
          <w:szCs w:val="17"/>
          <w:color w:val="auto"/>
        </w:rPr>
        <w:t>Section 16(a) of the Exchange Act requires the Company’s directors, executive officers, and greater than 10% shareholders to file with the SEC initial reports of ownership and reports of changes in ownership of common stock and other equity securities of the Company. Officers, directors, and greater than 10% shareholders are required by SEC regulation to furnish the Company with copies of all Section 16(a) forms they file.</w:t>
      </w:r>
    </w:p>
    <w:p>
      <w:pPr>
        <w:spacing w:after="0" w:line="93"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7"/>
          <w:szCs w:val="17"/>
          <w:color w:val="auto"/>
        </w:rPr>
        <w:t>To the Company’s knowledge, based solely on a review of the copies of such reports furnished to the Company and written representations that no other reports were required, all Section 16(a) filing requirements applicable to its officers, directors, and greater than 10% shareholders were complied with in fiscal year 2021.</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440" w:type="dxa"/>
            <w:vAlign w:val="bottom"/>
            <w:tcBorders>
              <w:right w:val="single" w:sz="8" w:color="005CB9"/>
            </w:tcBorders>
          </w:tcPr>
          <w:p>
            <w:pPr>
              <w:jc w:val="right"/>
              <w:ind w:right="179"/>
              <w:spacing w:after="0"/>
              <w:rPr>
                <w:sz w:val="20"/>
                <w:szCs w:val="20"/>
                <w:color w:val="auto"/>
              </w:rPr>
            </w:pPr>
            <w:r>
              <w:rPr>
                <w:rFonts w:ascii="Arial" w:cs="Arial" w:eastAsia="Arial" w:hAnsi="Arial"/>
                <w:sz w:val="16"/>
                <w:szCs w:val="16"/>
                <w:b w:val="1"/>
                <w:bCs w:val="1"/>
                <w:color w:val="005CB9"/>
                <w:w w:val="89"/>
              </w:rPr>
              <w:t>20</w:t>
            </w:r>
          </w:p>
        </w:tc>
        <w:tc>
          <w:tcPr>
            <w:tcW w:w="4700" w:type="dxa"/>
            <w:vAlign w:val="bottom"/>
          </w:tcPr>
          <w:p>
            <w:pPr>
              <w:ind w:left="106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0"/>
        </w:trPr>
        <w:tc>
          <w:tcPr>
            <w:tcW w:w="440" w:type="dxa"/>
            <w:vAlign w:val="bottom"/>
            <w:tcBorders>
              <w:right w:val="single" w:sz="8" w:color="005CB9"/>
            </w:tcBorders>
          </w:tcPr>
          <w:p>
            <w:pPr>
              <w:spacing w:after="0"/>
              <w:rPr>
                <w:sz w:val="8"/>
                <w:szCs w:val="8"/>
                <w:color w:val="auto"/>
              </w:rPr>
            </w:pPr>
          </w:p>
        </w:tc>
        <w:tc>
          <w:tcPr>
            <w:tcW w:w="47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-205105</wp:posOffset>
            </wp:positionV>
            <wp:extent cx="428625"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040"/>
          </w:cols>
          <w:pgMar w:left="320" w:top="459" w:right="5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COMPENSATION DISCUSSION AND ANALYSIS</w:t>
      </w:r>
    </w:p>
    <w:p>
      <w:pPr>
        <w:spacing w:after="0" w:line="326" w:lineRule="exact"/>
        <w:rPr>
          <w:sz w:val="20"/>
          <w:szCs w:val="20"/>
          <w:color w:val="auto"/>
        </w:rPr>
      </w:pPr>
    </w:p>
    <w:p>
      <w:pPr>
        <w:jc w:val="both"/>
        <w:ind w:left="120" w:right="320"/>
        <w:spacing w:after="0" w:line="238" w:lineRule="auto"/>
        <w:rPr>
          <w:sz w:val="20"/>
          <w:szCs w:val="20"/>
          <w:color w:val="auto"/>
        </w:rPr>
      </w:pPr>
      <w:r>
        <w:rPr>
          <w:rFonts w:ascii="Arial" w:cs="Arial" w:eastAsia="Arial" w:hAnsi="Arial"/>
          <w:sz w:val="17"/>
          <w:szCs w:val="17"/>
          <w:color w:val="auto"/>
        </w:rPr>
        <w:t>This Compensation Discussion and Analysis (“CD&amp;A”) provides information about our compensation objectives and policies for our CEO and other executive officers included in the Summary Compensation Table and referred to in this CD&amp;A as “named executive officers.” Our named executive officers for 2021 are:</w:t>
      </w:r>
    </w:p>
    <w:p>
      <w:pPr>
        <w:spacing w:after="0" w:line="100" w:lineRule="exact"/>
        <w:rPr>
          <w:sz w:val="20"/>
          <w:szCs w:val="20"/>
          <w:color w:val="auto"/>
        </w:rPr>
      </w:pPr>
    </w:p>
    <w:p>
      <w:pPr>
        <w:ind w:left="340" w:hanging="224"/>
        <w:spacing w:after="0"/>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L. Neil Hunn, President and Chief Executive Officer;</w:t>
      </w:r>
    </w:p>
    <w:p>
      <w:pPr>
        <w:ind w:left="340" w:hanging="224"/>
        <w:spacing w:after="0" w:line="232"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Robert C. Crisci, Executive Vice President and Chief Financial Officer;</w:t>
      </w:r>
    </w:p>
    <w:p>
      <w:pPr>
        <w:ind w:left="340" w:hanging="224"/>
        <w:spacing w:after="0" w:line="232"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John K. Stipancich, Executive Vice President, General Counsel and Corporate Secretary; and</w:t>
      </w:r>
    </w:p>
    <w:p>
      <w:pPr>
        <w:ind w:left="340" w:hanging="224"/>
        <w:spacing w:after="0"/>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Jason Conley, Vice President and Chief Accounting Officer.</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With the goal of generating long-term value for our shareholders, we maintain an executive compensation program designed to:</w:t>
      </w:r>
    </w:p>
    <w:p>
      <w:pPr>
        <w:spacing w:after="0" w:line="115" w:lineRule="exact"/>
        <w:rPr>
          <w:sz w:val="20"/>
          <w:szCs w:val="20"/>
          <w:color w:val="auto"/>
        </w:rPr>
      </w:pPr>
    </w:p>
    <w:p>
      <w:pPr>
        <w:ind w:left="340" w:right="300" w:hanging="224"/>
        <w:spacing w:after="0" w:line="243"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attract and retain executives with the leadership skills, attributes and experience necessary to succeed in an enterprise with Roper’s unique strategic focus, capital deployment strategy and broad portfolio diversity;</w:t>
      </w:r>
    </w:p>
    <w:p>
      <w:pPr>
        <w:spacing w:after="0" w:line="103" w:lineRule="exact"/>
        <w:rPr>
          <w:rFonts w:ascii="Arial" w:cs="Arial" w:eastAsia="Arial" w:hAnsi="Arial"/>
          <w:sz w:val="17"/>
          <w:szCs w:val="17"/>
          <w:color w:val="auto"/>
        </w:rPr>
      </w:pPr>
    </w:p>
    <w:p>
      <w:pPr>
        <w:ind w:left="340" w:right="60" w:hanging="224"/>
        <w:spacing w:after="0" w:line="243"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motivate executives to demonstrate exceptional personal performance and perform consistently at or above the levels that we expect, over the long-term and through a range of economic cycles;</w:t>
      </w:r>
    </w:p>
    <w:p>
      <w:pPr>
        <w:spacing w:after="0" w:line="103" w:lineRule="exact"/>
        <w:rPr>
          <w:rFonts w:ascii="Arial" w:cs="Arial" w:eastAsia="Arial" w:hAnsi="Arial"/>
          <w:sz w:val="17"/>
          <w:szCs w:val="17"/>
          <w:color w:val="auto"/>
        </w:rPr>
      </w:pPr>
    </w:p>
    <w:p>
      <w:pPr>
        <w:ind w:left="340" w:right="180" w:hanging="224"/>
        <w:spacing w:after="0" w:line="243"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link compensation to the achievement of goals and objectives that we believe best correlate with the creation of long-term shareholder value; and</w:t>
      </w:r>
    </w:p>
    <w:p>
      <w:pPr>
        <w:spacing w:after="0" w:line="103" w:lineRule="exact"/>
        <w:rPr>
          <w:rFonts w:ascii="Arial" w:cs="Arial" w:eastAsia="Arial" w:hAnsi="Arial"/>
          <w:sz w:val="17"/>
          <w:szCs w:val="17"/>
          <w:color w:val="auto"/>
        </w:rPr>
      </w:pPr>
    </w:p>
    <w:p>
      <w:pPr>
        <w:ind w:left="340" w:right="60" w:hanging="224"/>
        <w:spacing w:after="0" w:line="23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compensate executives in a manner consistent with private equity opportunities in light of their dual obligations for (i) supervising the operating performance of our diverse set of 43 companies, and (ii) effectively deploying capital to acquire high-quality companies consistent with our strategic focus.</w:t>
      </w:r>
    </w:p>
    <w:p>
      <w:pPr>
        <w:spacing w:after="0" w:line="201"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To achieve these objectives our compensation program combines annual and long-term components, cash and equity, and fixed and variable elements, with a bias toward long-term equity awards tied closely to driving growth and shareholder returns. Our executive compensation program rewards our executive officers when they help increase long-term shareholder value, achieve annual business goals, effectively deploy capital and successfully execute other strategic objectives.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2021 Financial Performance</w:t>
      </w:r>
    </w:p>
    <w:p>
      <w:pPr>
        <w:spacing w:after="0" w:line="120"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In 2021, we continued to demonstrate the resilience of our operating model. Faced with the continuing challenges and uncertainties posed by the COVID-19 pandemic, we produced another year of strong results.</w:t>
      </w:r>
      <w:r>
        <w:rPr>
          <w:rFonts w:ascii="Arial" w:cs="Arial" w:eastAsia="Arial" w:hAnsi="Arial"/>
          <w:sz w:val="14"/>
          <w:szCs w:val="14"/>
          <w:color w:val="auto"/>
        </w:rPr>
        <w:t>(1)</w:t>
      </w:r>
      <w:r>
        <w:rPr>
          <w:rFonts w:ascii="Arial" w:cs="Arial" w:eastAsia="Arial" w:hAnsi="Arial"/>
          <w:sz w:val="17"/>
          <w:szCs w:val="17"/>
          <w:color w:val="auto"/>
        </w:rPr>
        <w:t xml:space="preserve"> Our 2021 performance was even more impressive (and not simply the result of a “bounce back” from prior year) taking into account our 2020 performance, in which organic revenue declined by only 1% and adjusted EBITDA grew by 3%.</w:t>
      </w:r>
    </w:p>
    <w:p>
      <w:pPr>
        <w:spacing w:after="0" w:line="109" w:lineRule="exact"/>
        <w:rPr>
          <w:sz w:val="20"/>
          <w:szCs w:val="20"/>
          <w:color w:val="auto"/>
        </w:rPr>
      </w:pPr>
    </w:p>
    <w:p>
      <w:pPr>
        <w:ind w:left="340" w:hanging="224"/>
        <w:spacing w:after="0"/>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Annual shareholder return of 14.7%</w:t>
      </w:r>
    </w:p>
    <w:p>
      <w:pPr>
        <w:spacing w:after="0" w:line="115" w:lineRule="exact"/>
        <w:rPr>
          <w:rFonts w:ascii="Arial" w:cs="Arial" w:eastAsia="Arial" w:hAnsi="Arial"/>
          <w:sz w:val="17"/>
          <w:szCs w:val="17"/>
          <w:color w:val="auto"/>
        </w:rPr>
      </w:pPr>
    </w:p>
    <w:p>
      <w:pPr>
        <w:ind w:left="340" w:hanging="224"/>
        <w:spacing w:after="0"/>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GAAP revenue increased 19% to $5.78 billion and organic revenue increased 9%</w:t>
      </w:r>
    </w:p>
    <w:p>
      <w:pPr>
        <w:spacing w:after="0" w:line="115" w:lineRule="exact"/>
        <w:rPr>
          <w:rFonts w:ascii="Arial" w:cs="Arial" w:eastAsia="Arial" w:hAnsi="Arial"/>
          <w:sz w:val="17"/>
          <w:szCs w:val="17"/>
          <w:color w:val="auto"/>
        </w:rPr>
      </w:pPr>
    </w:p>
    <w:p>
      <w:pPr>
        <w:ind w:left="340" w:hanging="224"/>
        <w:spacing w:after="0"/>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Adjusted EBITDA increased by 22% to $2.21 billion and adjusted EBITDA margin improved 90 basis points to 38.2%</w:t>
      </w:r>
    </w:p>
    <w:p>
      <w:pPr>
        <w:spacing w:after="0" w:line="115" w:lineRule="exact"/>
        <w:rPr>
          <w:rFonts w:ascii="Arial" w:cs="Arial" w:eastAsia="Arial" w:hAnsi="Arial"/>
          <w:sz w:val="17"/>
          <w:szCs w:val="17"/>
          <w:color w:val="auto"/>
        </w:rPr>
      </w:pPr>
    </w:p>
    <w:p>
      <w:pPr>
        <w:ind w:left="340" w:hanging="224"/>
        <w:spacing w:after="0"/>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Adjusted operating cash flow increased 20% to $1.87 billion and adjusted free cash flow increased 19% to $1.80 billion</w:t>
      </w:r>
    </w:p>
    <w:p>
      <w:pPr>
        <w:spacing w:after="0" w:line="115" w:lineRule="exact"/>
        <w:rPr>
          <w:rFonts w:ascii="Arial" w:cs="Arial" w:eastAsia="Arial" w:hAnsi="Arial"/>
          <w:sz w:val="17"/>
          <w:szCs w:val="17"/>
          <w:color w:val="auto"/>
        </w:rPr>
      </w:pPr>
    </w:p>
    <w:p>
      <w:pPr>
        <w:ind w:left="340" w:hanging="224"/>
        <w:spacing w:after="0"/>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Net debt decreased $1.7 billion</w:t>
      </w:r>
    </w:p>
    <w:p>
      <w:pPr>
        <w:spacing w:after="0" w:line="115" w:lineRule="exact"/>
        <w:rPr>
          <w:rFonts w:ascii="Arial" w:cs="Arial" w:eastAsia="Arial" w:hAnsi="Arial"/>
          <w:sz w:val="17"/>
          <w:szCs w:val="17"/>
          <w:color w:val="auto"/>
        </w:rPr>
      </w:pPr>
    </w:p>
    <w:p>
      <w:pPr>
        <w:ind w:left="340" w:right="360" w:hanging="224"/>
        <w:spacing w:after="0" w:line="243"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made strategic adjustments to our portfolio of businesses, entering into agreements to divest our CIVCO Radiotherapy, TransCore and Zetec businesses pursuant to which we received $3.15 billion in pre-tax proceeds, of which $110 million was received in 2021</w:t>
      </w:r>
    </w:p>
    <w:p>
      <w:pPr>
        <w:spacing w:after="0" w:line="103" w:lineRule="exact"/>
        <w:rPr>
          <w:rFonts w:ascii="Arial" w:cs="Arial" w:eastAsia="Arial" w:hAnsi="Arial"/>
          <w:sz w:val="17"/>
          <w:szCs w:val="17"/>
          <w:color w:val="auto"/>
        </w:rPr>
      </w:pPr>
    </w:p>
    <w:p>
      <w:pPr>
        <w:ind w:left="340" w:hanging="224"/>
        <w:spacing w:after="0"/>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annual dividend increased by 10%, increasing for the 29</w:t>
      </w:r>
      <w:r>
        <w:rPr>
          <w:rFonts w:ascii="Arial" w:cs="Arial" w:eastAsia="Arial" w:hAnsi="Arial"/>
          <w:sz w:val="14"/>
          <w:szCs w:val="14"/>
          <w:color w:val="auto"/>
        </w:rPr>
        <w:t>th</w:t>
      </w:r>
      <w:r>
        <w:rPr>
          <w:rFonts w:ascii="Arial" w:cs="Arial" w:eastAsia="Arial" w:hAnsi="Arial"/>
          <w:sz w:val="17"/>
          <w:szCs w:val="17"/>
          <w:color w:val="auto"/>
        </w:rPr>
        <w:t xml:space="preserve"> consecutive year</w:t>
      </w:r>
    </w:p>
    <w:p>
      <w:pPr>
        <w:spacing w:after="0" w:line="126" w:lineRule="exact"/>
        <w:rPr>
          <w:sz w:val="20"/>
          <w:szCs w:val="20"/>
          <w:color w:val="auto"/>
        </w:rPr>
      </w:pPr>
    </w:p>
    <w:p>
      <w:pPr>
        <w:ind w:left="540" w:right="60" w:hanging="424"/>
        <w:spacing w:after="0" w:line="183" w:lineRule="auto"/>
        <w:tabs>
          <w:tab w:leader="none" w:pos="540" w:val="left"/>
        </w:tabs>
        <w:numPr>
          <w:ilvl w:val="0"/>
          <w:numId w:val="47"/>
        </w:numPr>
        <w:rPr>
          <w:rFonts w:ascii="Arial" w:cs="Arial" w:eastAsia="Arial" w:hAnsi="Arial"/>
          <w:sz w:val="24"/>
          <w:szCs w:val="24"/>
          <w:color w:val="auto"/>
          <w:vertAlign w:val="superscript"/>
        </w:rPr>
      </w:pPr>
      <w:r>
        <w:rPr>
          <w:rFonts w:ascii="Arial" w:cs="Arial" w:eastAsia="Arial" w:hAnsi="Arial"/>
          <w:sz w:val="14"/>
          <w:szCs w:val="14"/>
          <w:color w:val="auto"/>
        </w:rPr>
        <w:t>This financial information is presented on a continuing operations basis and an adjusted (non-GAAP) basis. A reconciliation from non-GAAP financial measures to the most comparable GAAP measure and other related information is available in “Appendix A—Reconciliations”.</w:t>
      </w:r>
    </w:p>
    <w:p>
      <w:pPr>
        <w:spacing w:after="0" w:line="135" w:lineRule="exact"/>
        <w:rPr>
          <w:sz w:val="20"/>
          <w:szCs w:val="20"/>
          <w:color w:val="auto"/>
        </w:rPr>
      </w:pPr>
    </w:p>
    <w:tbl>
      <w:tblPr>
        <w:tblLayout w:type="fixed"/>
        <w:tblInd w:w="6920" w:type="dxa"/>
        <w:tblCellMar>
          <w:top w:w="0" w:type="dxa"/>
          <w:left w:w="0" w:type="dxa"/>
          <w:bottom w:w="0" w:type="dxa"/>
          <w:right w:w="0" w:type="dxa"/>
        </w:tblCellMar>
      </w:tblPr>
      <w:tr>
        <w:trPr>
          <w:trHeight w:val="29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005CB9"/>
              </w:rPr>
              <w:t>21</w:t>
            </w:r>
          </w:p>
        </w:tc>
      </w:tr>
      <w:tr>
        <w:trPr>
          <w:trHeight w:val="100"/>
        </w:trPr>
        <w:tc>
          <w:tcPr>
            <w:tcW w:w="3900" w:type="dxa"/>
            <w:vAlign w:val="bottom"/>
            <w:tcBorders>
              <w:right w:val="single" w:sz="8" w:color="005CB9"/>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-205105</wp:posOffset>
            </wp:positionV>
            <wp:extent cx="428625"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Compensation Updates</w:t>
      </w:r>
    </w:p>
    <w:p>
      <w:pPr>
        <w:spacing w:after="0" w:line="120" w:lineRule="exact"/>
        <w:rPr>
          <w:sz w:val="20"/>
          <w:szCs w:val="20"/>
          <w:color w:val="auto"/>
        </w:rPr>
      </w:pPr>
    </w:p>
    <w:p>
      <w:pPr>
        <w:ind w:left="120" w:right="180"/>
        <w:spacing w:after="0" w:line="234" w:lineRule="auto"/>
        <w:rPr>
          <w:sz w:val="20"/>
          <w:szCs w:val="20"/>
          <w:color w:val="auto"/>
        </w:rPr>
      </w:pPr>
      <w:r>
        <w:rPr>
          <w:rFonts w:ascii="Arial" w:cs="Arial" w:eastAsia="Arial" w:hAnsi="Arial"/>
          <w:sz w:val="17"/>
          <w:szCs w:val="17"/>
          <w:color w:val="auto"/>
        </w:rPr>
        <w:t>Roper’s Compensation Committee regularly reviews our executive compensation program with a view toward continuous improvement and consideration of investor feedback. In response to discussions with our investors, commencing in 2022, the equity awards made to each of our named executive officers may only vest at the end of a three-year period. Previously, this three-year vesting requirement applied solely to equity awards made to our CEO and awards to other named executive officers vested 50% after the end of a two-year period with the balance of the awards vesting at the end of a three-year period. We also made changes to increase the rigor of the performance criteria under both the 2022 annual cash incentive and 2022 long-term performance-based restricted stock awards. See “Annual Cash Incentive” and “Long-Term Stock Incentives” below for more information.</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CREATING SHAREHOLDER VALUE</w:t>
      </w:r>
    </w:p>
    <w:p>
      <w:pPr>
        <w:spacing w:after="0" w:line="124"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The creation of shareholder value is the foundation and driver of our executive compensation program and corporate strategy. The compensation of our named executive officers is closely aligned with the long-term interests of our shareholders.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Superior Long-Term Returns for Roper Shareholders¹</w:t>
      </w:r>
    </w:p>
    <w:p>
      <w:pPr>
        <w:spacing w:after="0" w:line="120"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Roper is proud of its long track record of superior returns for its shareholders. Roper has significantly outperformed the S&amp;P 500 over the past 5, 10 and 15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133985</wp:posOffset>
            </wp:positionV>
            <wp:extent cx="4568825" cy="3765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568825" cy="376555"/>
                    </a:xfrm>
                    <a:prstGeom prst="rect">
                      <a:avLst/>
                    </a:prstGeom>
                    <a:noFill/>
                  </pic:spPr>
                </pic:pic>
              </a:graphicData>
            </a:graphic>
          </wp:anchor>
        </w:drawing>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20" w:type="dxa"/>
            <w:vAlign w:val="bottom"/>
            <w:shd w:val="clear" w:color="auto" w:fill="005CB9"/>
          </w:tcPr>
          <w:p>
            <w:pPr>
              <w:spacing w:after="0"/>
              <w:rPr>
                <w:sz w:val="20"/>
                <w:szCs w:val="20"/>
                <w:color w:val="auto"/>
              </w:rPr>
            </w:pPr>
          </w:p>
        </w:tc>
        <w:tc>
          <w:tcPr>
            <w:tcW w:w="300" w:type="dxa"/>
            <w:vAlign w:val="bottom"/>
            <w:shd w:val="clear" w:color="auto" w:fill="005CB9"/>
          </w:tcPr>
          <w:p>
            <w:pPr>
              <w:spacing w:after="0"/>
              <w:rPr>
                <w:sz w:val="20"/>
                <w:szCs w:val="20"/>
                <w:color w:val="auto"/>
              </w:rPr>
            </w:pPr>
          </w:p>
        </w:tc>
        <w:tc>
          <w:tcPr>
            <w:tcW w:w="700" w:type="dxa"/>
            <w:vAlign w:val="bottom"/>
            <w:tcBorders>
              <w:left w:val="single" w:sz="8" w:color="005CB9"/>
            </w:tcBorders>
            <w:shd w:val="clear" w:color="auto" w:fill="005CB9"/>
          </w:tcPr>
          <w:p>
            <w:pPr>
              <w:spacing w:after="0"/>
              <w:rPr>
                <w:sz w:val="20"/>
                <w:szCs w:val="20"/>
                <w:color w:val="auto"/>
              </w:rPr>
            </w:pPr>
          </w:p>
        </w:tc>
        <w:tc>
          <w:tcPr>
            <w:tcW w:w="7860" w:type="dxa"/>
            <w:vAlign w:val="bottom"/>
            <w:gridSpan w:val="2"/>
            <w:shd w:val="clear" w:color="auto" w:fill="005CB9"/>
          </w:tcPr>
          <w:p>
            <w:pPr>
              <w:ind w:left="6340"/>
              <w:spacing w:after="0"/>
              <w:rPr>
                <w:sz w:val="20"/>
                <w:szCs w:val="20"/>
                <w:color w:val="auto"/>
              </w:rPr>
            </w:pPr>
            <w:r>
              <w:rPr>
                <w:rFonts w:ascii="Arial" w:cs="Arial" w:eastAsia="Arial" w:hAnsi="Arial"/>
                <w:sz w:val="14"/>
                <w:szCs w:val="14"/>
                <w:color w:val="FFFFFF"/>
              </w:rPr>
              <w:t>Compound Annual</w:t>
            </w:r>
          </w:p>
        </w:tc>
        <w:tc>
          <w:tcPr>
            <w:tcW w:w="2040" w:type="dxa"/>
            <w:vAlign w:val="bottom"/>
            <w:gridSpan w:val="2"/>
            <w:shd w:val="clear" w:color="auto" w:fill="005CB9"/>
          </w:tcPr>
          <w:p>
            <w:pPr>
              <w:jc w:val="right"/>
              <w:ind w:right="117"/>
              <w:spacing w:after="0"/>
              <w:rPr>
                <w:sz w:val="20"/>
                <w:szCs w:val="20"/>
                <w:color w:val="auto"/>
              </w:rPr>
            </w:pPr>
            <w:r>
              <w:rPr>
                <w:rFonts w:ascii="Arial" w:cs="Arial" w:eastAsia="Arial" w:hAnsi="Arial"/>
                <w:sz w:val="14"/>
                <w:szCs w:val="14"/>
                <w:color w:val="FFFFFF"/>
              </w:rPr>
              <w:t>Total Shareholder Return</w:t>
            </w:r>
          </w:p>
        </w:tc>
        <w:tc>
          <w:tcPr>
            <w:tcW w:w="0" w:type="dxa"/>
            <w:vAlign w:val="bottom"/>
          </w:tcPr>
          <w:p>
            <w:pPr>
              <w:spacing w:after="0"/>
              <w:rPr>
                <w:sz w:val="1"/>
                <w:szCs w:val="1"/>
                <w:color w:val="auto"/>
              </w:rPr>
            </w:pPr>
          </w:p>
        </w:tc>
      </w:tr>
      <w:tr>
        <w:trPr>
          <w:trHeight w:val="157"/>
        </w:trPr>
        <w:tc>
          <w:tcPr>
            <w:tcW w:w="120" w:type="dxa"/>
            <w:vAlign w:val="bottom"/>
            <w:shd w:val="clear" w:color="auto" w:fill="005CB9"/>
          </w:tcPr>
          <w:p>
            <w:pPr>
              <w:spacing w:after="0"/>
              <w:rPr>
                <w:sz w:val="13"/>
                <w:szCs w:val="13"/>
                <w:color w:val="auto"/>
              </w:rPr>
            </w:pPr>
          </w:p>
        </w:tc>
        <w:tc>
          <w:tcPr>
            <w:tcW w:w="1000" w:type="dxa"/>
            <w:vAlign w:val="bottom"/>
            <w:gridSpan w:val="2"/>
            <w:vMerge w:val="restart"/>
            <w:shd w:val="clear" w:color="auto" w:fill="005CB9"/>
          </w:tcPr>
          <w:p>
            <w:pPr>
              <w:spacing w:after="0"/>
              <w:rPr>
                <w:sz w:val="20"/>
                <w:szCs w:val="20"/>
                <w:color w:val="auto"/>
              </w:rPr>
            </w:pPr>
            <w:r>
              <w:rPr>
                <w:rFonts w:ascii="Arial" w:cs="Arial" w:eastAsia="Arial" w:hAnsi="Arial"/>
                <w:sz w:val="14"/>
                <w:szCs w:val="14"/>
                <w:color w:val="FFFFFF"/>
              </w:rPr>
              <w:t>Period</w:t>
            </w:r>
          </w:p>
        </w:tc>
        <w:tc>
          <w:tcPr>
            <w:tcW w:w="7860" w:type="dxa"/>
            <w:vAlign w:val="bottom"/>
            <w:gridSpan w:val="2"/>
            <w:shd w:val="clear" w:color="auto" w:fill="005CB9"/>
          </w:tcPr>
          <w:p>
            <w:pPr>
              <w:ind w:left="6300"/>
              <w:spacing w:after="0" w:line="157" w:lineRule="exact"/>
              <w:rPr>
                <w:sz w:val="20"/>
                <w:szCs w:val="20"/>
                <w:color w:val="auto"/>
              </w:rPr>
            </w:pPr>
            <w:r>
              <w:rPr>
                <w:rFonts w:ascii="Arial" w:cs="Arial" w:eastAsia="Arial" w:hAnsi="Arial"/>
                <w:sz w:val="14"/>
                <w:szCs w:val="14"/>
                <w:color w:val="FFFFFF"/>
              </w:rPr>
              <w:t>Shareholder Return</w:t>
            </w:r>
          </w:p>
        </w:tc>
        <w:tc>
          <w:tcPr>
            <w:tcW w:w="2040" w:type="dxa"/>
            <w:vAlign w:val="bottom"/>
            <w:gridSpan w:val="2"/>
            <w:shd w:val="clear" w:color="auto" w:fill="005CB9"/>
          </w:tcPr>
          <w:p>
            <w:pPr>
              <w:jc w:val="right"/>
              <w:ind w:right="717"/>
              <w:spacing w:after="0" w:line="157" w:lineRule="exact"/>
              <w:rPr>
                <w:sz w:val="20"/>
                <w:szCs w:val="20"/>
                <w:color w:val="auto"/>
              </w:rPr>
            </w:pPr>
            <w:r>
              <w:rPr>
                <w:rFonts w:ascii="Arial" w:cs="Arial" w:eastAsia="Arial" w:hAnsi="Arial"/>
                <w:sz w:val="14"/>
                <w:szCs w:val="14"/>
                <w:color w:val="FFFFFF"/>
              </w:rPr>
              <w:t>(TSR)</w:t>
            </w:r>
          </w:p>
        </w:tc>
        <w:tc>
          <w:tcPr>
            <w:tcW w:w="0" w:type="dxa"/>
            <w:vAlign w:val="bottom"/>
          </w:tcPr>
          <w:p>
            <w:pPr>
              <w:spacing w:after="0"/>
              <w:rPr>
                <w:sz w:val="1"/>
                <w:szCs w:val="1"/>
                <w:color w:val="auto"/>
              </w:rPr>
            </w:pPr>
          </w:p>
        </w:tc>
      </w:tr>
      <w:tr>
        <w:trPr>
          <w:trHeight w:val="162"/>
        </w:trPr>
        <w:tc>
          <w:tcPr>
            <w:tcW w:w="120" w:type="dxa"/>
            <w:vAlign w:val="bottom"/>
            <w:shd w:val="clear" w:color="auto" w:fill="005CB9"/>
          </w:tcPr>
          <w:p>
            <w:pPr>
              <w:spacing w:after="0"/>
              <w:rPr>
                <w:sz w:val="14"/>
                <w:szCs w:val="14"/>
                <w:color w:val="auto"/>
              </w:rPr>
            </w:pPr>
          </w:p>
        </w:tc>
        <w:tc>
          <w:tcPr>
            <w:tcW w:w="1000" w:type="dxa"/>
            <w:vAlign w:val="bottom"/>
            <w:gridSpan w:val="2"/>
            <w:vMerge w:val="continue"/>
            <w:shd w:val="clear" w:color="auto" w:fill="005CB9"/>
          </w:tcPr>
          <w:p>
            <w:pPr>
              <w:spacing w:after="0"/>
              <w:rPr>
                <w:sz w:val="14"/>
                <w:szCs w:val="14"/>
                <w:color w:val="auto"/>
              </w:rPr>
            </w:pPr>
          </w:p>
        </w:tc>
        <w:tc>
          <w:tcPr>
            <w:tcW w:w="6920" w:type="dxa"/>
            <w:vAlign w:val="bottom"/>
            <w:shd w:val="clear" w:color="auto" w:fill="005CB9"/>
          </w:tcPr>
          <w:p>
            <w:pPr>
              <w:ind w:left="6340"/>
              <w:spacing w:after="0"/>
              <w:rPr>
                <w:sz w:val="20"/>
                <w:szCs w:val="20"/>
                <w:color w:val="auto"/>
              </w:rPr>
            </w:pPr>
            <w:r>
              <w:rPr>
                <w:rFonts w:ascii="Arial" w:cs="Arial" w:eastAsia="Arial" w:hAnsi="Arial"/>
                <w:sz w:val="14"/>
                <w:szCs w:val="14"/>
                <w:color w:val="FFFFFF"/>
              </w:rPr>
              <w:t>Roper</w:t>
            </w:r>
          </w:p>
        </w:tc>
        <w:tc>
          <w:tcPr>
            <w:tcW w:w="940" w:type="dxa"/>
            <w:vAlign w:val="bottom"/>
            <w:shd w:val="clear" w:color="auto" w:fill="005CB9"/>
          </w:tcPr>
          <w:p>
            <w:pPr>
              <w:jc w:val="right"/>
              <w:ind w:right="197"/>
              <w:spacing w:after="0"/>
              <w:rPr>
                <w:sz w:val="20"/>
                <w:szCs w:val="20"/>
                <w:color w:val="auto"/>
              </w:rPr>
            </w:pPr>
            <w:r>
              <w:rPr>
                <w:rFonts w:ascii="Arial" w:cs="Arial" w:eastAsia="Arial" w:hAnsi="Arial"/>
                <w:sz w:val="14"/>
                <w:szCs w:val="14"/>
                <w:color w:val="FFFFFF"/>
              </w:rPr>
              <w:t>S&amp;P 500</w:t>
            </w:r>
          </w:p>
        </w:tc>
        <w:tc>
          <w:tcPr>
            <w:tcW w:w="1080" w:type="dxa"/>
            <w:vAlign w:val="bottom"/>
            <w:shd w:val="clear" w:color="auto" w:fill="005CB9"/>
          </w:tcPr>
          <w:p>
            <w:pPr>
              <w:jc w:val="right"/>
              <w:ind w:right="260"/>
              <w:spacing w:after="0"/>
              <w:rPr>
                <w:sz w:val="20"/>
                <w:szCs w:val="20"/>
                <w:color w:val="auto"/>
              </w:rPr>
            </w:pPr>
            <w:r>
              <w:rPr>
                <w:rFonts w:ascii="Arial" w:cs="Arial" w:eastAsia="Arial" w:hAnsi="Arial"/>
                <w:sz w:val="14"/>
                <w:szCs w:val="14"/>
                <w:color w:val="FFFFFF"/>
              </w:rPr>
              <w:t>Roper</w:t>
            </w:r>
          </w:p>
        </w:tc>
        <w:tc>
          <w:tcPr>
            <w:tcW w:w="960" w:type="dxa"/>
            <w:vAlign w:val="bottom"/>
            <w:shd w:val="clear" w:color="auto" w:fill="005CB9"/>
          </w:tcPr>
          <w:p>
            <w:pPr>
              <w:jc w:val="right"/>
              <w:ind w:right="157"/>
              <w:spacing w:after="0"/>
              <w:rPr>
                <w:sz w:val="20"/>
                <w:szCs w:val="20"/>
                <w:color w:val="auto"/>
              </w:rPr>
            </w:pPr>
            <w:r>
              <w:rPr>
                <w:rFonts w:ascii="Arial" w:cs="Arial" w:eastAsia="Arial" w:hAnsi="Arial"/>
                <w:sz w:val="14"/>
                <w:szCs w:val="14"/>
                <w:color w:val="FFFFFF"/>
              </w:rPr>
              <w:t>S&amp;P 500</w:t>
            </w:r>
          </w:p>
        </w:tc>
        <w:tc>
          <w:tcPr>
            <w:tcW w:w="0" w:type="dxa"/>
            <w:vAlign w:val="bottom"/>
          </w:tcPr>
          <w:p>
            <w:pPr>
              <w:spacing w:after="0"/>
              <w:rPr>
                <w:sz w:val="1"/>
                <w:szCs w:val="1"/>
                <w:color w:val="auto"/>
              </w:rPr>
            </w:pPr>
          </w:p>
        </w:tc>
      </w:tr>
      <w:tr>
        <w:trPr>
          <w:trHeight w:val="270"/>
        </w:trPr>
        <w:tc>
          <w:tcPr>
            <w:tcW w:w="1120" w:type="dxa"/>
            <w:vAlign w:val="bottom"/>
            <w:gridSpan w:val="3"/>
            <w:shd w:val="clear" w:color="auto" w:fill="E5EEF8"/>
          </w:tcPr>
          <w:p>
            <w:pPr>
              <w:ind w:left="40"/>
              <w:spacing w:after="0"/>
              <w:rPr>
                <w:sz w:val="20"/>
                <w:szCs w:val="20"/>
                <w:color w:val="auto"/>
              </w:rPr>
            </w:pPr>
            <w:r>
              <w:rPr>
                <w:rFonts w:ascii="Arial" w:cs="Arial" w:eastAsia="Arial" w:hAnsi="Arial"/>
                <w:sz w:val="17"/>
                <w:szCs w:val="17"/>
                <w:color w:val="auto"/>
              </w:rPr>
              <w:t>1-Year</w:t>
            </w:r>
          </w:p>
        </w:tc>
        <w:tc>
          <w:tcPr>
            <w:tcW w:w="6920" w:type="dxa"/>
            <w:vAlign w:val="bottom"/>
            <w:shd w:val="clear" w:color="auto" w:fill="E5EEF8"/>
          </w:tcPr>
          <w:p>
            <w:pPr>
              <w:ind w:left="6340"/>
              <w:spacing w:after="0"/>
              <w:rPr>
                <w:sz w:val="20"/>
                <w:szCs w:val="20"/>
                <w:color w:val="auto"/>
              </w:rPr>
            </w:pPr>
            <w:r>
              <w:rPr>
                <w:rFonts w:ascii="Arial" w:cs="Arial" w:eastAsia="Arial" w:hAnsi="Arial"/>
                <w:sz w:val="17"/>
                <w:szCs w:val="17"/>
                <w:b w:val="1"/>
                <w:bCs w:val="1"/>
                <w:color w:val="auto"/>
              </w:rPr>
              <w:t>14.7%</w:t>
            </w:r>
          </w:p>
        </w:tc>
        <w:tc>
          <w:tcPr>
            <w:tcW w:w="940" w:type="dxa"/>
            <w:vAlign w:val="bottom"/>
            <w:shd w:val="clear" w:color="auto" w:fill="E5EEF8"/>
          </w:tcPr>
          <w:p>
            <w:pPr>
              <w:jc w:val="right"/>
              <w:ind w:right="177"/>
              <w:spacing w:after="0"/>
              <w:rPr>
                <w:sz w:val="20"/>
                <w:szCs w:val="20"/>
                <w:color w:val="auto"/>
              </w:rPr>
            </w:pPr>
            <w:r>
              <w:rPr>
                <w:rFonts w:ascii="Arial" w:cs="Arial" w:eastAsia="Arial" w:hAnsi="Arial"/>
                <w:sz w:val="17"/>
                <w:szCs w:val="17"/>
                <w:color w:val="auto"/>
              </w:rPr>
              <w:t>28.7%</w:t>
            </w:r>
          </w:p>
        </w:tc>
        <w:tc>
          <w:tcPr>
            <w:tcW w:w="1080" w:type="dxa"/>
            <w:vAlign w:val="bottom"/>
            <w:shd w:val="clear" w:color="auto" w:fill="E5EEF8"/>
          </w:tcPr>
          <w:p>
            <w:pPr>
              <w:jc w:val="right"/>
              <w:ind w:right="80"/>
              <w:spacing w:after="0"/>
              <w:rPr>
                <w:sz w:val="20"/>
                <w:szCs w:val="20"/>
                <w:color w:val="auto"/>
              </w:rPr>
            </w:pPr>
            <w:r>
              <w:rPr>
                <w:rFonts w:ascii="Arial" w:cs="Arial" w:eastAsia="Arial" w:hAnsi="Arial"/>
                <w:sz w:val="17"/>
                <w:szCs w:val="17"/>
                <w:b w:val="1"/>
                <w:bCs w:val="1"/>
                <w:color w:val="auto"/>
              </w:rPr>
              <w:t>14.7%</w:t>
            </w:r>
          </w:p>
        </w:tc>
        <w:tc>
          <w:tcPr>
            <w:tcW w:w="960" w:type="dxa"/>
            <w:vAlign w:val="bottom"/>
            <w:shd w:val="clear" w:color="auto" w:fill="E5EEF8"/>
          </w:tcPr>
          <w:p>
            <w:pPr>
              <w:jc w:val="right"/>
              <w:ind w:right="37"/>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61"/>
        </w:trPr>
        <w:tc>
          <w:tcPr>
            <w:tcW w:w="1120" w:type="dxa"/>
            <w:vAlign w:val="bottom"/>
            <w:gridSpan w:val="3"/>
          </w:tcPr>
          <w:p>
            <w:pPr>
              <w:ind w:left="40"/>
              <w:spacing w:after="0"/>
              <w:rPr>
                <w:sz w:val="20"/>
                <w:szCs w:val="20"/>
                <w:color w:val="auto"/>
              </w:rPr>
            </w:pPr>
            <w:r>
              <w:rPr>
                <w:rFonts w:ascii="Arial" w:cs="Arial" w:eastAsia="Arial" w:hAnsi="Arial"/>
                <w:sz w:val="17"/>
                <w:szCs w:val="17"/>
                <w:color w:val="auto"/>
              </w:rPr>
              <w:t>3-Years</w:t>
            </w:r>
          </w:p>
        </w:tc>
        <w:tc>
          <w:tcPr>
            <w:tcW w:w="6920" w:type="dxa"/>
            <w:vAlign w:val="bottom"/>
          </w:tcPr>
          <w:p>
            <w:pPr>
              <w:ind w:left="6340"/>
              <w:spacing w:after="0"/>
              <w:rPr>
                <w:sz w:val="20"/>
                <w:szCs w:val="20"/>
                <w:color w:val="auto"/>
              </w:rPr>
            </w:pPr>
            <w:r>
              <w:rPr>
                <w:rFonts w:ascii="Arial" w:cs="Arial" w:eastAsia="Arial" w:hAnsi="Arial"/>
                <w:sz w:val="17"/>
                <w:szCs w:val="17"/>
                <w:b w:val="1"/>
                <w:bCs w:val="1"/>
                <w:color w:val="auto"/>
              </w:rPr>
              <w:t>23.3%</w:t>
            </w:r>
          </w:p>
        </w:tc>
        <w:tc>
          <w:tcPr>
            <w:tcW w:w="940" w:type="dxa"/>
            <w:vAlign w:val="bottom"/>
          </w:tcPr>
          <w:p>
            <w:pPr>
              <w:jc w:val="right"/>
              <w:ind w:right="177"/>
              <w:spacing w:after="0"/>
              <w:rPr>
                <w:sz w:val="20"/>
                <w:szCs w:val="20"/>
                <w:color w:val="auto"/>
              </w:rPr>
            </w:pPr>
            <w:r>
              <w:rPr>
                <w:rFonts w:ascii="Arial" w:cs="Arial" w:eastAsia="Arial" w:hAnsi="Arial"/>
                <w:sz w:val="17"/>
                <w:szCs w:val="17"/>
                <w:color w:val="auto"/>
              </w:rPr>
              <w:t>26.1%</w:t>
            </w:r>
          </w:p>
        </w:tc>
        <w:tc>
          <w:tcPr>
            <w:tcW w:w="1080" w:type="dxa"/>
            <w:vAlign w:val="bottom"/>
          </w:tcPr>
          <w:p>
            <w:pPr>
              <w:jc w:val="right"/>
              <w:ind w:right="80"/>
              <w:spacing w:after="0"/>
              <w:rPr>
                <w:sz w:val="20"/>
                <w:szCs w:val="20"/>
                <w:color w:val="auto"/>
              </w:rPr>
            </w:pPr>
            <w:r>
              <w:rPr>
                <w:rFonts w:ascii="Arial" w:cs="Arial" w:eastAsia="Arial" w:hAnsi="Arial"/>
                <w:sz w:val="17"/>
                <w:szCs w:val="17"/>
                <w:b w:val="1"/>
                <w:bCs w:val="1"/>
                <w:color w:val="auto"/>
              </w:rPr>
              <w:t>87.6%</w:t>
            </w: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100.4%</w:t>
            </w:r>
          </w:p>
        </w:tc>
        <w:tc>
          <w:tcPr>
            <w:tcW w:w="0" w:type="dxa"/>
            <w:vAlign w:val="bottom"/>
          </w:tcPr>
          <w:p>
            <w:pPr>
              <w:spacing w:after="0"/>
              <w:rPr>
                <w:sz w:val="1"/>
                <w:szCs w:val="1"/>
                <w:color w:val="auto"/>
              </w:rPr>
            </w:pPr>
          </w:p>
        </w:tc>
      </w:tr>
      <w:tr>
        <w:trPr>
          <w:trHeight w:val="279"/>
        </w:trPr>
        <w:tc>
          <w:tcPr>
            <w:tcW w:w="1120" w:type="dxa"/>
            <w:vAlign w:val="bottom"/>
            <w:gridSpan w:val="3"/>
            <w:shd w:val="clear" w:color="auto" w:fill="E5EEF8"/>
          </w:tcPr>
          <w:p>
            <w:pPr>
              <w:ind w:left="40"/>
              <w:spacing w:after="0"/>
              <w:rPr>
                <w:sz w:val="20"/>
                <w:szCs w:val="20"/>
                <w:color w:val="auto"/>
              </w:rPr>
            </w:pPr>
            <w:r>
              <w:rPr>
                <w:rFonts w:ascii="Arial" w:cs="Arial" w:eastAsia="Arial" w:hAnsi="Arial"/>
                <w:sz w:val="17"/>
                <w:szCs w:val="17"/>
                <w:color w:val="auto"/>
              </w:rPr>
              <w:t>5-Years</w:t>
            </w:r>
          </w:p>
        </w:tc>
        <w:tc>
          <w:tcPr>
            <w:tcW w:w="6920" w:type="dxa"/>
            <w:vAlign w:val="bottom"/>
            <w:shd w:val="clear" w:color="auto" w:fill="E5EEF8"/>
          </w:tcPr>
          <w:p>
            <w:pPr>
              <w:ind w:left="6340"/>
              <w:spacing w:after="0"/>
              <w:rPr>
                <w:sz w:val="20"/>
                <w:szCs w:val="20"/>
                <w:color w:val="auto"/>
              </w:rPr>
            </w:pPr>
            <w:r>
              <w:rPr>
                <w:rFonts w:ascii="Arial" w:cs="Arial" w:eastAsia="Arial" w:hAnsi="Arial"/>
                <w:sz w:val="17"/>
                <w:szCs w:val="17"/>
                <w:b w:val="1"/>
                <w:bCs w:val="1"/>
                <w:color w:val="auto"/>
              </w:rPr>
              <w:t>22.6%</w:t>
            </w:r>
          </w:p>
        </w:tc>
        <w:tc>
          <w:tcPr>
            <w:tcW w:w="940" w:type="dxa"/>
            <w:vAlign w:val="bottom"/>
            <w:shd w:val="clear" w:color="auto" w:fill="E5EEF8"/>
          </w:tcPr>
          <w:p>
            <w:pPr>
              <w:jc w:val="right"/>
              <w:ind w:right="177"/>
              <w:spacing w:after="0"/>
              <w:rPr>
                <w:sz w:val="20"/>
                <w:szCs w:val="20"/>
                <w:color w:val="auto"/>
              </w:rPr>
            </w:pPr>
            <w:r>
              <w:rPr>
                <w:rFonts w:ascii="Arial" w:cs="Arial" w:eastAsia="Arial" w:hAnsi="Arial"/>
                <w:sz w:val="17"/>
                <w:szCs w:val="17"/>
                <w:color w:val="auto"/>
              </w:rPr>
              <w:t>18.5%</w:t>
            </w:r>
          </w:p>
        </w:tc>
        <w:tc>
          <w:tcPr>
            <w:tcW w:w="1080" w:type="dxa"/>
            <w:vAlign w:val="bottom"/>
            <w:shd w:val="clear" w:color="auto" w:fill="E5EEF8"/>
          </w:tcPr>
          <w:p>
            <w:pPr>
              <w:jc w:val="right"/>
              <w:ind w:right="80"/>
              <w:spacing w:after="0"/>
              <w:rPr>
                <w:sz w:val="20"/>
                <w:szCs w:val="20"/>
                <w:color w:val="auto"/>
              </w:rPr>
            </w:pPr>
            <w:r>
              <w:rPr>
                <w:rFonts w:ascii="Arial" w:cs="Arial" w:eastAsia="Arial" w:hAnsi="Arial"/>
                <w:sz w:val="17"/>
                <w:szCs w:val="17"/>
                <w:b w:val="1"/>
                <w:bCs w:val="1"/>
                <w:color w:val="auto"/>
              </w:rPr>
              <w:t>176.5%</w:t>
            </w:r>
          </w:p>
        </w:tc>
        <w:tc>
          <w:tcPr>
            <w:tcW w:w="960" w:type="dxa"/>
            <w:vAlign w:val="bottom"/>
            <w:shd w:val="clear" w:color="auto" w:fill="E5EEF8"/>
          </w:tcPr>
          <w:p>
            <w:pPr>
              <w:jc w:val="right"/>
              <w:ind w:right="37"/>
              <w:spacing w:after="0"/>
              <w:rPr>
                <w:sz w:val="20"/>
                <w:szCs w:val="20"/>
                <w:color w:val="auto"/>
              </w:rPr>
            </w:pPr>
            <w:r>
              <w:rPr>
                <w:rFonts w:ascii="Arial" w:cs="Arial" w:eastAsia="Arial" w:hAnsi="Arial"/>
                <w:sz w:val="17"/>
                <w:szCs w:val="17"/>
                <w:color w:val="auto"/>
              </w:rPr>
              <w:t>133.4%</w:t>
            </w:r>
          </w:p>
        </w:tc>
        <w:tc>
          <w:tcPr>
            <w:tcW w:w="0" w:type="dxa"/>
            <w:vAlign w:val="bottom"/>
          </w:tcPr>
          <w:p>
            <w:pPr>
              <w:spacing w:after="0"/>
              <w:rPr>
                <w:sz w:val="1"/>
                <w:szCs w:val="1"/>
                <w:color w:val="auto"/>
              </w:rPr>
            </w:pPr>
          </w:p>
        </w:tc>
      </w:tr>
      <w:tr>
        <w:trPr>
          <w:trHeight w:val="261"/>
        </w:trPr>
        <w:tc>
          <w:tcPr>
            <w:tcW w:w="1120" w:type="dxa"/>
            <w:vAlign w:val="bottom"/>
            <w:gridSpan w:val="3"/>
          </w:tcPr>
          <w:p>
            <w:pPr>
              <w:ind w:left="40"/>
              <w:spacing w:after="0"/>
              <w:rPr>
                <w:sz w:val="20"/>
                <w:szCs w:val="20"/>
                <w:color w:val="auto"/>
              </w:rPr>
            </w:pPr>
            <w:r>
              <w:rPr>
                <w:rFonts w:ascii="Arial" w:cs="Arial" w:eastAsia="Arial" w:hAnsi="Arial"/>
                <w:sz w:val="17"/>
                <w:szCs w:val="17"/>
                <w:color w:val="auto"/>
              </w:rPr>
              <w:t>10-Years</w:t>
            </w:r>
          </w:p>
        </w:tc>
        <w:tc>
          <w:tcPr>
            <w:tcW w:w="6920" w:type="dxa"/>
            <w:vAlign w:val="bottom"/>
          </w:tcPr>
          <w:p>
            <w:pPr>
              <w:ind w:left="6340"/>
              <w:spacing w:after="0"/>
              <w:rPr>
                <w:sz w:val="20"/>
                <w:szCs w:val="20"/>
                <w:color w:val="auto"/>
              </w:rPr>
            </w:pPr>
            <w:r>
              <w:rPr>
                <w:rFonts w:ascii="Arial" w:cs="Arial" w:eastAsia="Arial" w:hAnsi="Arial"/>
                <w:sz w:val="17"/>
                <w:szCs w:val="17"/>
                <w:b w:val="1"/>
                <w:bCs w:val="1"/>
                <w:color w:val="auto"/>
              </w:rPr>
              <w:t>19.6%</w:t>
            </w:r>
          </w:p>
        </w:tc>
        <w:tc>
          <w:tcPr>
            <w:tcW w:w="940" w:type="dxa"/>
            <w:vAlign w:val="bottom"/>
          </w:tcPr>
          <w:p>
            <w:pPr>
              <w:jc w:val="right"/>
              <w:ind w:right="177"/>
              <w:spacing w:after="0"/>
              <w:rPr>
                <w:sz w:val="20"/>
                <w:szCs w:val="20"/>
                <w:color w:val="auto"/>
              </w:rPr>
            </w:pPr>
            <w:r>
              <w:rPr>
                <w:rFonts w:ascii="Arial" w:cs="Arial" w:eastAsia="Arial" w:hAnsi="Arial"/>
                <w:sz w:val="17"/>
                <w:szCs w:val="17"/>
                <w:color w:val="auto"/>
              </w:rPr>
              <w:t>16.6%</w:t>
            </w:r>
          </w:p>
        </w:tc>
        <w:tc>
          <w:tcPr>
            <w:tcW w:w="1080" w:type="dxa"/>
            <w:vAlign w:val="bottom"/>
          </w:tcPr>
          <w:p>
            <w:pPr>
              <w:jc w:val="right"/>
              <w:ind w:right="80"/>
              <w:spacing w:after="0"/>
              <w:rPr>
                <w:sz w:val="20"/>
                <w:szCs w:val="20"/>
                <w:color w:val="auto"/>
              </w:rPr>
            </w:pPr>
            <w:r>
              <w:rPr>
                <w:rFonts w:ascii="Arial" w:cs="Arial" w:eastAsia="Arial" w:hAnsi="Arial"/>
                <w:sz w:val="17"/>
                <w:szCs w:val="17"/>
                <w:b w:val="1"/>
                <w:bCs w:val="1"/>
                <w:color w:val="auto"/>
              </w:rPr>
              <w:t>500.3%</w:t>
            </w: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362.6%</w:t>
            </w:r>
          </w:p>
        </w:tc>
        <w:tc>
          <w:tcPr>
            <w:tcW w:w="0" w:type="dxa"/>
            <w:vAlign w:val="bottom"/>
          </w:tcPr>
          <w:p>
            <w:pPr>
              <w:spacing w:after="0"/>
              <w:rPr>
                <w:sz w:val="1"/>
                <w:szCs w:val="1"/>
                <w:color w:val="auto"/>
              </w:rPr>
            </w:pPr>
          </w:p>
        </w:tc>
      </w:tr>
      <w:tr>
        <w:trPr>
          <w:trHeight w:val="279"/>
        </w:trPr>
        <w:tc>
          <w:tcPr>
            <w:tcW w:w="1120" w:type="dxa"/>
            <w:vAlign w:val="bottom"/>
            <w:gridSpan w:val="3"/>
            <w:shd w:val="clear" w:color="auto" w:fill="E5EEF8"/>
          </w:tcPr>
          <w:p>
            <w:pPr>
              <w:ind w:left="40"/>
              <w:spacing w:after="0"/>
              <w:rPr>
                <w:sz w:val="20"/>
                <w:szCs w:val="20"/>
                <w:color w:val="auto"/>
              </w:rPr>
            </w:pPr>
            <w:r>
              <w:rPr>
                <w:rFonts w:ascii="Arial" w:cs="Arial" w:eastAsia="Arial" w:hAnsi="Arial"/>
                <w:sz w:val="17"/>
                <w:szCs w:val="17"/>
                <w:color w:val="auto"/>
              </w:rPr>
              <w:t>15-Years</w:t>
            </w:r>
          </w:p>
        </w:tc>
        <w:tc>
          <w:tcPr>
            <w:tcW w:w="6920" w:type="dxa"/>
            <w:vAlign w:val="bottom"/>
            <w:shd w:val="clear" w:color="auto" w:fill="E5EEF8"/>
          </w:tcPr>
          <w:p>
            <w:pPr>
              <w:ind w:left="6340"/>
              <w:spacing w:after="0"/>
              <w:rPr>
                <w:sz w:val="20"/>
                <w:szCs w:val="20"/>
                <w:color w:val="auto"/>
              </w:rPr>
            </w:pPr>
            <w:r>
              <w:rPr>
                <w:rFonts w:ascii="Arial" w:cs="Arial" w:eastAsia="Arial" w:hAnsi="Arial"/>
                <w:sz w:val="17"/>
                <w:szCs w:val="17"/>
                <w:b w:val="1"/>
                <w:bCs w:val="1"/>
                <w:color w:val="auto"/>
              </w:rPr>
              <w:t>17.1%</w:t>
            </w:r>
          </w:p>
        </w:tc>
        <w:tc>
          <w:tcPr>
            <w:tcW w:w="940" w:type="dxa"/>
            <w:vAlign w:val="bottom"/>
            <w:shd w:val="clear" w:color="auto" w:fill="E5EEF8"/>
          </w:tcPr>
          <w:p>
            <w:pPr>
              <w:jc w:val="right"/>
              <w:ind w:right="177"/>
              <w:spacing w:after="0"/>
              <w:rPr>
                <w:sz w:val="20"/>
                <w:szCs w:val="20"/>
                <w:color w:val="auto"/>
              </w:rPr>
            </w:pPr>
            <w:r>
              <w:rPr>
                <w:rFonts w:ascii="Arial" w:cs="Arial" w:eastAsia="Arial" w:hAnsi="Arial"/>
                <w:sz w:val="17"/>
                <w:szCs w:val="17"/>
                <w:color w:val="auto"/>
              </w:rPr>
              <w:t>10.7%</w:t>
            </w:r>
          </w:p>
        </w:tc>
        <w:tc>
          <w:tcPr>
            <w:tcW w:w="1080" w:type="dxa"/>
            <w:vAlign w:val="bottom"/>
            <w:shd w:val="clear" w:color="auto" w:fill="E5EEF8"/>
          </w:tcPr>
          <w:p>
            <w:pPr>
              <w:jc w:val="right"/>
              <w:ind w:right="80"/>
              <w:spacing w:after="0"/>
              <w:rPr>
                <w:sz w:val="20"/>
                <w:szCs w:val="20"/>
                <w:color w:val="auto"/>
              </w:rPr>
            </w:pPr>
            <w:r>
              <w:rPr>
                <w:rFonts w:ascii="Arial" w:cs="Arial" w:eastAsia="Arial" w:hAnsi="Arial"/>
                <w:sz w:val="17"/>
                <w:szCs w:val="17"/>
                <w:b w:val="1"/>
                <w:bCs w:val="1"/>
                <w:color w:val="auto"/>
              </w:rPr>
              <w:t>969.0%</w:t>
            </w:r>
          </w:p>
        </w:tc>
        <w:tc>
          <w:tcPr>
            <w:tcW w:w="960" w:type="dxa"/>
            <w:vAlign w:val="bottom"/>
            <w:shd w:val="clear" w:color="auto" w:fill="E5EEF8"/>
          </w:tcPr>
          <w:p>
            <w:pPr>
              <w:jc w:val="right"/>
              <w:ind w:right="37"/>
              <w:spacing w:after="0"/>
              <w:rPr>
                <w:sz w:val="20"/>
                <w:szCs w:val="20"/>
                <w:color w:val="auto"/>
              </w:rPr>
            </w:pPr>
            <w:r>
              <w:rPr>
                <w:rFonts w:ascii="Arial" w:cs="Arial" w:eastAsia="Arial" w:hAnsi="Arial"/>
                <w:sz w:val="17"/>
                <w:szCs w:val="17"/>
                <w:color w:val="auto"/>
              </w:rPr>
              <w:t>356.8%</w:t>
            </w:r>
          </w:p>
        </w:tc>
        <w:tc>
          <w:tcPr>
            <w:tcW w:w="0" w:type="dxa"/>
            <w:vAlign w:val="bottom"/>
          </w:tcPr>
          <w:p>
            <w:pPr>
              <w:spacing w:after="0"/>
              <w:rPr>
                <w:sz w:val="1"/>
                <w:szCs w:val="1"/>
                <w:color w:val="auto"/>
              </w:rPr>
            </w:pPr>
          </w:p>
        </w:tc>
      </w:tr>
      <w:tr>
        <w:trPr>
          <w:trHeight w:val="148"/>
        </w:trPr>
        <w:tc>
          <w:tcPr>
            <w:tcW w:w="420" w:type="dxa"/>
            <w:vAlign w:val="bottom"/>
            <w:gridSpan w:val="2"/>
            <w:vMerge w:val="restart"/>
          </w:tcPr>
          <w:p>
            <w:pPr>
              <w:spacing w:after="0"/>
              <w:rPr>
                <w:sz w:val="20"/>
                <w:szCs w:val="20"/>
                <w:color w:val="auto"/>
              </w:rPr>
            </w:pPr>
            <w:r>
              <w:rPr>
                <w:rFonts w:ascii="Arial" w:cs="Arial" w:eastAsia="Arial" w:hAnsi="Arial"/>
                <w:sz w:val="16"/>
                <w:szCs w:val="16"/>
                <w:b w:val="1"/>
                <w:bCs w:val="1"/>
                <w:color w:val="005CB9"/>
              </w:rPr>
              <w:t>22</w:t>
            </w:r>
          </w:p>
        </w:tc>
        <w:tc>
          <w:tcPr>
            <w:tcW w:w="700" w:type="dxa"/>
            <w:vAlign w:val="bottom"/>
          </w:tcPr>
          <w:p>
            <w:pPr>
              <w:spacing w:after="0"/>
              <w:rPr>
                <w:sz w:val="12"/>
                <w:szCs w:val="12"/>
                <w:color w:val="auto"/>
              </w:rPr>
            </w:pPr>
          </w:p>
        </w:tc>
        <w:tc>
          <w:tcPr>
            <w:tcW w:w="6920" w:type="dxa"/>
            <w:vAlign w:val="bottom"/>
            <w:vMerge w:val="restart"/>
          </w:tcPr>
          <w:p>
            <w:pPr>
              <w:ind w:left="380"/>
              <w:spacing w:after="0"/>
              <w:rPr>
                <w:sz w:val="20"/>
                <w:szCs w:val="20"/>
                <w:color w:val="auto"/>
              </w:rPr>
            </w:pPr>
            <w:r>
              <w:rPr>
                <w:rFonts w:ascii="Arial" w:cs="Arial" w:eastAsia="Arial" w:hAnsi="Arial"/>
                <w:sz w:val="16"/>
                <w:szCs w:val="16"/>
                <w:b w:val="1"/>
                <w:bCs w:val="1"/>
                <w:color w:val="005CB9"/>
              </w:rPr>
              <w:t>Roper Technologies, Inc. 2022 Proxy Statement</w:t>
            </w: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420" w:type="dxa"/>
            <w:vAlign w:val="bottom"/>
            <w:gridSpan w:val="2"/>
            <w:vMerge w:val="continue"/>
          </w:tcPr>
          <w:p>
            <w:pPr>
              <w:spacing w:after="0"/>
              <w:rPr>
                <w:sz w:val="24"/>
                <w:szCs w:val="24"/>
                <w:color w:val="auto"/>
              </w:rPr>
            </w:pPr>
          </w:p>
        </w:tc>
        <w:tc>
          <w:tcPr>
            <w:tcW w:w="700" w:type="dxa"/>
            <w:vAlign w:val="bottom"/>
            <w:tcBorders>
              <w:left w:val="single" w:sz="8" w:color="005CB9"/>
            </w:tcBorders>
          </w:tcPr>
          <w:p>
            <w:pPr>
              <w:spacing w:after="0"/>
              <w:rPr>
                <w:sz w:val="24"/>
                <w:szCs w:val="24"/>
                <w:color w:val="auto"/>
              </w:rPr>
            </w:pPr>
          </w:p>
        </w:tc>
        <w:tc>
          <w:tcPr>
            <w:tcW w:w="69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left w:val="single" w:sz="8" w:color="005CB9"/>
            </w:tcBorders>
          </w:tcPr>
          <w:p>
            <w:pPr>
              <w:spacing w:after="0"/>
              <w:rPr>
                <w:sz w:val="8"/>
                <w:szCs w:val="8"/>
                <w:color w:val="auto"/>
              </w:rPr>
            </w:pPr>
          </w:p>
        </w:tc>
        <w:tc>
          <w:tcPr>
            <w:tcW w:w="6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-1302385</wp:posOffset>
            </wp:positionV>
            <wp:extent cx="8255" cy="1028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10287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-1302385</wp:posOffset>
            </wp:positionV>
            <wp:extent cx="8255" cy="1028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10287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-1302385</wp:posOffset>
            </wp:positionV>
            <wp:extent cx="8255" cy="1028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10287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-205105</wp:posOffset>
            </wp:positionV>
            <wp:extent cx="428625"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57"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As outlined in the graph below, $100 invested in Roper at the end of 2001 would have yielded an investor $2,250 as of December 31, 2021, compared to only $617 for the same investment in the S&amp;P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129540</wp:posOffset>
            </wp:positionV>
            <wp:extent cx="4903470" cy="3463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0347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All periods ending December 31 of the referenced year.</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Focus on Cash Generation</w:t>
      </w:r>
    </w:p>
    <w:p>
      <w:pPr>
        <w:spacing w:after="0" w:line="120"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We believe that cash generation is the best measure of our performance, and far superior to other traditional financial metrics. Through a combination of strategic and operational excellence and disciplined capital deployment, Roper has historically delivered meaningful year-over-year increases in free cash flow. After servicing debt obligations and returning capital to our shareholders through dividends, excess cash flow is deployed to acquire high-quality companies with significant cash generation potential. We then provide these companies with oversight, guidance, and incentive systems to help drive profitable growth in our unique operating structure. This strategy has proven to be successful over the long-term, generating a compound annual shareholder return of 17% over the past 15 years.</w:t>
      </w:r>
    </w:p>
    <w:p>
      <w:pPr>
        <w:spacing w:after="0" w:line="140" w:lineRule="exact"/>
        <w:rPr>
          <w:sz w:val="20"/>
          <w:szCs w:val="20"/>
          <w:color w:val="auto"/>
        </w:rPr>
      </w:pPr>
    </w:p>
    <w:tbl>
      <w:tblPr>
        <w:tblLayout w:type="fixed"/>
        <w:tblInd w:w="6920" w:type="dxa"/>
        <w:tblCellMar>
          <w:top w:w="0" w:type="dxa"/>
          <w:left w:w="0" w:type="dxa"/>
          <w:bottom w:w="0" w:type="dxa"/>
          <w:right w:w="0" w:type="dxa"/>
        </w:tblCellMar>
      </w:tblPr>
      <w:tr>
        <w:trPr>
          <w:trHeight w:val="29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005CB9"/>
              </w:rPr>
              <w:t>23</w:t>
            </w:r>
          </w:p>
        </w:tc>
      </w:tr>
      <w:tr>
        <w:trPr>
          <w:trHeight w:val="101"/>
        </w:trPr>
        <w:tc>
          <w:tcPr>
            <w:tcW w:w="3900" w:type="dxa"/>
            <w:vAlign w:val="bottom"/>
            <w:tcBorders>
              <w:right w:val="single" w:sz="8" w:color="005CB9"/>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-205105</wp:posOffset>
            </wp:positionV>
            <wp:extent cx="428625"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Strong 2021 Performance for Roper</w:t>
      </w:r>
    </w:p>
    <w:p>
      <w:pPr>
        <w:spacing w:after="0" w:line="120"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Against the continuing backdrop of COVID-19, Roper experienced another excellent year highlighted by strong operational execution. Our strategic focus on asset-light, diversified technology businesses and our ability to generate and compound cash flow delivered another strong year of performance.</w:t>
      </w:r>
      <w:r>
        <w:rPr>
          <w:rFonts w:ascii="Arial" w:cs="Arial" w:eastAsia="Arial" w:hAnsi="Arial"/>
          <w:sz w:val="14"/>
          <w:szCs w:val="14"/>
          <w:color w:val="auto"/>
        </w:rPr>
        <w:t>(1)</w:t>
      </w:r>
    </w:p>
    <w:p>
      <w:pPr>
        <w:sectPr>
          <w:pgSz w:w="11900" w:h="16838" w:orient="portrait"/>
          <w:cols w:equalWidth="0" w:num="1">
            <w:col w:w="11100"/>
          </w:cols>
          <w:pgMar w:left="320" w:top="459" w:right="479" w:bottom="1440" w:gutter="0" w:footer="0" w:header="0"/>
        </w:sectPr>
      </w:pPr>
    </w:p>
    <w:p>
      <w:pPr>
        <w:spacing w:after="0" w:line="120" w:lineRule="exact"/>
        <w:rPr>
          <w:sz w:val="20"/>
          <w:szCs w:val="20"/>
          <w:color w:val="auto"/>
        </w:rPr>
      </w:pPr>
    </w:p>
    <w:p>
      <w:pPr>
        <w:ind w:left="320" w:right="80" w:hanging="204"/>
        <w:spacing w:after="0" w:line="243" w:lineRule="auto"/>
        <w:tabs>
          <w:tab w:leader="none" w:pos="3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Annual shareholder return of 14.7% and five-year compounded return of 22.6%</w:t>
      </w:r>
    </w:p>
    <w:p>
      <w:pPr>
        <w:spacing w:after="0" w:line="103" w:lineRule="exact"/>
        <w:rPr>
          <w:rFonts w:ascii="Arial" w:cs="Arial" w:eastAsia="Arial" w:hAnsi="Arial"/>
          <w:sz w:val="17"/>
          <w:szCs w:val="17"/>
          <w:color w:val="auto"/>
        </w:rPr>
      </w:pPr>
    </w:p>
    <w:p>
      <w:pPr>
        <w:ind w:left="320" w:right="420" w:hanging="204"/>
        <w:spacing w:after="0" w:line="243" w:lineRule="auto"/>
        <w:tabs>
          <w:tab w:leader="none" w:pos="3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GAAP revenue increased 19% to $5.78 billion with organic revenue up 9%</w:t>
      </w:r>
    </w:p>
    <w:p>
      <w:pPr>
        <w:spacing w:after="0" w:line="103" w:lineRule="exact"/>
        <w:rPr>
          <w:rFonts w:ascii="Arial" w:cs="Arial" w:eastAsia="Arial" w:hAnsi="Arial"/>
          <w:sz w:val="17"/>
          <w:szCs w:val="17"/>
          <w:color w:val="auto"/>
        </w:rPr>
      </w:pPr>
    </w:p>
    <w:p>
      <w:pPr>
        <w:ind w:left="320" w:right="60" w:hanging="204"/>
        <w:spacing w:after="0" w:line="243" w:lineRule="auto"/>
        <w:tabs>
          <w:tab w:leader="none" w:pos="3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Adjusted EBITDA increased 22% to $2.21 billion while adjusted EBITDA margin improved 90 basis points to 38.2%</w:t>
      </w:r>
    </w:p>
    <w:p>
      <w:pPr>
        <w:spacing w:after="0" w:line="103" w:lineRule="exact"/>
        <w:rPr>
          <w:rFonts w:ascii="Arial" w:cs="Arial" w:eastAsia="Arial" w:hAnsi="Arial"/>
          <w:sz w:val="17"/>
          <w:szCs w:val="17"/>
          <w:color w:val="auto"/>
        </w:rPr>
      </w:pPr>
    </w:p>
    <w:p>
      <w:pPr>
        <w:ind w:left="320" w:hanging="204"/>
        <w:spacing w:after="0" w:line="243" w:lineRule="auto"/>
        <w:tabs>
          <w:tab w:leader="none" w:pos="3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Adjusted operating cash flow increased 20% to $1.87 billion and adjusted free cash flow increased 19% to $1.80 billion</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206" w:right="20" w:hanging="206"/>
        <w:spacing w:after="0" w:line="236" w:lineRule="auto"/>
        <w:tabs>
          <w:tab w:leader="none" w:pos="206" w:val="left"/>
        </w:tabs>
        <w:numPr>
          <w:ilvl w:val="0"/>
          <w:numId w:val="50"/>
        </w:numPr>
        <w:rPr>
          <w:rFonts w:ascii="Arial" w:cs="Arial" w:eastAsia="Arial" w:hAnsi="Arial"/>
          <w:sz w:val="17"/>
          <w:szCs w:val="17"/>
          <w:color w:val="auto"/>
        </w:rPr>
      </w:pPr>
      <w:r>
        <w:rPr>
          <w:rFonts w:ascii="Arial" w:cs="Arial" w:eastAsia="Arial" w:hAnsi="Arial"/>
          <w:sz w:val="17"/>
          <w:szCs w:val="17"/>
          <w:color w:val="auto"/>
        </w:rPr>
        <w:t>Entered into agreements to divest our CIVCO Radiotherapy, TransCore and Zetec businesses pursuant to which we received $3.15 billion in pre-tax proceeds, of which $110 million was received in 2021</w:t>
      </w:r>
    </w:p>
    <w:p>
      <w:pPr>
        <w:spacing w:after="0" w:line="108" w:lineRule="exact"/>
        <w:rPr>
          <w:rFonts w:ascii="Arial" w:cs="Arial" w:eastAsia="Arial" w:hAnsi="Arial"/>
          <w:sz w:val="17"/>
          <w:szCs w:val="17"/>
          <w:color w:val="auto"/>
        </w:rPr>
      </w:pPr>
    </w:p>
    <w:p>
      <w:pPr>
        <w:ind w:left="206" w:right="760" w:hanging="206"/>
        <w:spacing w:after="0" w:line="243" w:lineRule="auto"/>
        <w:tabs>
          <w:tab w:leader="none" w:pos="206"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Annual dividend increased by 10%, increasing for the 29th consecutive year</w:t>
      </w:r>
    </w:p>
    <w:p>
      <w:pPr>
        <w:spacing w:after="0" w:line="821" w:lineRule="exact"/>
        <w:rPr>
          <w:sz w:val="20"/>
          <w:szCs w:val="20"/>
          <w:color w:val="auto"/>
        </w:rPr>
      </w:pPr>
    </w:p>
    <w:p>
      <w:pPr>
        <w:sectPr>
          <w:pgSz w:w="11900" w:h="16838" w:orient="portrait"/>
          <w:cols w:equalWidth="0" w:num="2">
            <w:col w:w="5160" w:space="574"/>
            <w:col w:w="5366"/>
          </w:cols>
          <w:pgMar w:left="320" w:top="459" w:right="479" w:bottom="1440" w:gutter="0" w:footer="0" w:header="0"/>
          <w:type w:val="continuous"/>
        </w:sectPr>
      </w:pPr>
    </w:p>
    <w:p>
      <w:pPr>
        <w:spacing w:after="0" w:line="185" w:lineRule="exact"/>
        <w:rPr>
          <w:sz w:val="20"/>
          <w:szCs w:val="20"/>
          <w:color w:val="auto"/>
        </w:rPr>
      </w:pPr>
    </w:p>
    <w:p>
      <w:pPr>
        <w:ind w:left="540" w:right="20" w:hanging="424"/>
        <w:spacing w:after="0" w:line="183" w:lineRule="auto"/>
        <w:tabs>
          <w:tab w:leader="none" w:pos="540" w:val="left"/>
        </w:tabs>
        <w:numPr>
          <w:ilvl w:val="0"/>
          <w:numId w:val="51"/>
        </w:numPr>
        <w:rPr>
          <w:rFonts w:ascii="Arial" w:cs="Arial" w:eastAsia="Arial" w:hAnsi="Arial"/>
          <w:sz w:val="24"/>
          <w:szCs w:val="24"/>
          <w:color w:val="auto"/>
          <w:vertAlign w:val="superscript"/>
        </w:rPr>
      </w:pPr>
      <w:r>
        <w:rPr>
          <w:rFonts w:ascii="Arial" w:cs="Arial" w:eastAsia="Arial" w:hAnsi="Arial"/>
          <w:sz w:val="14"/>
          <w:szCs w:val="14"/>
          <w:color w:val="auto"/>
        </w:rPr>
        <w:t>This financial information is presented on a continuing operations basis and an adjusted (non-GAAP) basis. A reconciliation from non-GAAP financial measures to the most comparable GAAP measure and other related information is available in “Appendix A—Reconciliations”.</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Simple Strategy Rigorously Applied Drives Powerful Value Creation</w:t>
      </w:r>
    </w:p>
    <w:p>
      <w:pPr>
        <w:spacing w:after="0" w:line="12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Roper has a simple and successful business model that is unique among vertical software and multi-industry diversified companies. We operate high-margin, high cash-generating, asset-light businesses across a wide range of diverse end-markets. Our high-performing businesses generate excess free cash flow that our executive team deploys to acquire additional high-performing businesses. This creates a “compounding effect” for cash flow that drives long-term value creation. Our adjusted free cash flow increased from $557 million in 2011 to $1.944 billion in 2021 ($1.804 billion on a continuing operations basis), a compound annual growth rate of 13%, driven by our combination of outstanding business performance and value-creating capital deployment.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149225</wp:posOffset>
            </wp:positionV>
            <wp:extent cx="4114800" cy="24003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11480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 Free Cash Flow = Cash from Operations less Capital Expenditures less Capitalized Software Expenditures.</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*Amounts provided for fiscal year 2016 are adjusted for cash taxes of $37 million related to the sale of Abel Pump.</w:t>
      </w:r>
    </w:p>
    <w:p>
      <w:pPr>
        <w:spacing w:after="0" w:line="123" w:lineRule="exact"/>
        <w:rPr>
          <w:sz w:val="20"/>
          <w:szCs w:val="20"/>
          <w:color w:val="auto"/>
        </w:rPr>
      </w:pPr>
    </w:p>
    <w:p>
      <w:pPr>
        <w:ind w:left="540" w:right="720" w:hanging="424"/>
        <w:spacing w:after="0" w:line="183" w:lineRule="auto"/>
        <w:tabs>
          <w:tab w:leader="none" w:pos="540" w:val="left"/>
        </w:tabs>
        <w:numPr>
          <w:ilvl w:val="0"/>
          <w:numId w:val="52"/>
        </w:numPr>
        <w:rPr>
          <w:rFonts w:ascii="Arial" w:cs="Arial" w:eastAsia="Arial" w:hAnsi="Arial"/>
          <w:sz w:val="24"/>
          <w:szCs w:val="24"/>
          <w:color w:val="auto"/>
          <w:vertAlign w:val="superscript"/>
        </w:rPr>
      </w:pPr>
      <w:r>
        <w:rPr>
          <w:rFonts w:ascii="Arial" w:cs="Arial" w:eastAsia="Arial" w:hAnsi="Arial"/>
          <w:sz w:val="14"/>
          <w:szCs w:val="14"/>
          <w:color w:val="auto"/>
        </w:rPr>
        <w:t>This financial information is presented on an adjusted (non-GAAP) and consolidated basis. A reconciliation from non-GAAP financial measures to the most comparable GAAP measure and other related information is available in “Appendix A—Reconciliations”.</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440" w:type="dxa"/>
            <w:vAlign w:val="bottom"/>
            <w:tcBorders>
              <w:right w:val="single" w:sz="8" w:color="005CB9"/>
            </w:tcBorders>
          </w:tcPr>
          <w:p>
            <w:pPr>
              <w:jc w:val="right"/>
              <w:ind w:right="179"/>
              <w:spacing w:after="0"/>
              <w:rPr>
                <w:sz w:val="20"/>
                <w:szCs w:val="20"/>
                <w:color w:val="auto"/>
              </w:rPr>
            </w:pPr>
            <w:r>
              <w:rPr>
                <w:rFonts w:ascii="Arial" w:cs="Arial" w:eastAsia="Arial" w:hAnsi="Arial"/>
                <w:sz w:val="16"/>
                <w:szCs w:val="16"/>
                <w:b w:val="1"/>
                <w:bCs w:val="1"/>
                <w:color w:val="005CB9"/>
                <w:w w:val="89"/>
              </w:rPr>
              <w:t>24</w:t>
            </w:r>
          </w:p>
        </w:tc>
        <w:tc>
          <w:tcPr>
            <w:tcW w:w="4700" w:type="dxa"/>
            <w:vAlign w:val="bottom"/>
          </w:tcPr>
          <w:p>
            <w:pPr>
              <w:ind w:left="106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1"/>
        </w:trPr>
        <w:tc>
          <w:tcPr>
            <w:tcW w:w="440" w:type="dxa"/>
            <w:vAlign w:val="bottom"/>
            <w:tcBorders>
              <w:right w:val="single" w:sz="8" w:color="005CB9"/>
            </w:tcBorders>
          </w:tcPr>
          <w:p>
            <w:pPr>
              <w:spacing w:after="0"/>
              <w:rPr>
                <w:sz w:val="8"/>
                <w:szCs w:val="8"/>
                <w:color w:val="auto"/>
              </w:rPr>
            </w:pPr>
          </w:p>
        </w:tc>
        <w:tc>
          <w:tcPr>
            <w:tcW w:w="47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-205105</wp:posOffset>
            </wp:positionV>
            <wp:extent cx="428625"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Market Capitalization Growth</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Roper’s market capitalization has increased nearly $47 billion since January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154305</wp:posOffset>
            </wp:positionV>
            <wp:extent cx="5100320" cy="3703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0032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Chart reflects ending period as December 31, 2021.</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Key Metric: Cash Return on Investment</w:t>
      </w:r>
    </w:p>
    <w:p>
      <w:pPr>
        <w:spacing w:after="0" w:line="120"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In addition to cash flow, Cash Return on Investment (“CRI”) is the key metric we use to measure the performance and value of our operating businesses and potential acquisitions. CRI measures the quality of a business’s cash flow. Our business leaders, executive leaders, and Board of Directors focus on cash flow growth and disciplined investments targeted to enhance CRI.</w:t>
      </w:r>
    </w:p>
    <w:p>
      <w:pPr>
        <w:spacing w:after="0" w:line="107" w:lineRule="exact"/>
        <w:rPr>
          <w:sz w:val="20"/>
          <w:szCs w:val="20"/>
          <w:color w:val="auto"/>
        </w:rPr>
      </w:pPr>
    </w:p>
    <w:p>
      <w:pPr>
        <w:ind w:left="340" w:right="400" w:hanging="224"/>
        <w:spacing w:after="0" w:line="243"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CRI is highly correlated to shareholder value creation and we believe our strategy of improving CRI has been a key driver of our long-term performance.</w:t>
      </w:r>
    </w:p>
    <w:p>
      <w:pPr>
        <w:spacing w:after="0" w:line="103" w:lineRule="exact"/>
        <w:rPr>
          <w:rFonts w:ascii="Arial" w:cs="Arial" w:eastAsia="Arial" w:hAnsi="Arial"/>
          <w:sz w:val="17"/>
          <w:szCs w:val="17"/>
          <w:color w:val="auto"/>
        </w:rPr>
      </w:pPr>
    </w:p>
    <w:p>
      <w:pPr>
        <w:ind w:left="340" w:right="60" w:hanging="224"/>
        <w:spacing w:after="0" w:line="238"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CRI discipline, as applied throughout the organization, allows Roper to focus our investment on areas that will increase shareholder value, drive cash flow growth, create intellectual property and extend networks, expand competitive advantages, and minimize physical and working capital assets.</w:t>
      </w:r>
    </w:p>
    <w:p>
      <w:pPr>
        <w:spacing w:after="0" w:line="106" w:lineRule="exact"/>
        <w:rPr>
          <w:rFonts w:ascii="Arial" w:cs="Arial" w:eastAsia="Arial" w:hAnsi="Arial"/>
          <w:sz w:val="17"/>
          <w:szCs w:val="17"/>
          <w:color w:val="auto"/>
        </w:rPr>
      </w:pPr>
    </w:p>
    <w:p>
      <w:pPr>
        <w:ind w:left="340" w:right="240" w:hanging="224"/>
        <w:spacing w:after="0" w:line="243"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Through a combination of internal improvements and disciplined capital deployment, Roper has increased CRI dramatically over the past 20 years, a key driver of our strong shareholder returns over the same period.</w:t>
      </w:r>
    </w:p>
    <w:p>
      <w:pPr>
        <w:spacing w:after="0" w:line="137" w:lineRule="exact"/>
        <w:rPr>
          <w:sz w:val="20"/>
          <w:szCs w:val="20"/>
          <w:color w:val="auto"/>
        </w:rPr>
      </w:pPr>
    </w:p>
    <w:tbl>
      <w:tblPr>
        <w:tblLayout w:type="fixed"/>
        <w:tblInd w:w="6920" w:type="dxa"/>
        <w:tblCellMar>
          <w:top w:w="0" w:type="dxa"/>
          <w:left w:w="0" w:type="dxa"/>
          <w:bottom w:w="0" w:type="dxa"/>
          <w:right w:w="0" w:type="dxa"/>
        </w:tblCellMar>
      </w:tblPr>
      <w:tr>
        <w:trPr>
          <w:trHeight w:val="29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005CB9"/>
              </w:rPr>
              <w:t>25</w:t>
            </w:r>
          </w:p>
        </w:tc>
      </w:tr>
      <w:tr>
        <w:trPr>
          <w:trHeight w:val="101"/>
        </w:trPr>
        <w:tc>
          <w:tcPr>
            <w:tcW w:w="3900" w:type="dxa"/>
            <w:vAlign w:val="bottom"/>
            <w:tcBorders>
              <w:right w:val="single" w:sz="8" w:color="005CB9"/>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-205105</wp:posOffset>
            </wp:positionV>
            <wp:extent cx="428625"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Acquisition-Focused Capital Deployment</w:t>
      </w:r>
    </w:p>
    <w:p>
      <w:pPr>
        <w:spacing w:after="0" w:line="120" w:lineRule="exact"/>
        <w:rPr>
          <w:sz w:val="20"/>
          <w:szCs w:val="20"/>
          <w:color w:val="auto"/>
        </w:rPr>
      </w:pPr>
    </w:p>
    <w:p>
      <w:pPr>
        <w:ind w:left="120" w:right="260"/>
        <w:spacing w:after="0" w:line="236" w:lineRule="auto"/>
        <w:rPr>
          <w:sz w:val="20"/>
          <w:szCs w:val="20"/>
          <w:color w:val="auto"/>
        </w:rPr>
      </w:pPr>
      <w:r>
        <w:rPr>
          <w:rFonts w:ascii="Arial" w:cs="Arial" w:eastAsia="Arial" w:hAnsi="Arial"/>
          <w:sz w:val="17"/>
          <w:szCs w:val="17"/>
          <w:color w:val="auto"/>
        </w:rPr>
        <w:t>We deploy the majority of our free cash flow toward acquisitions to generate long-term growth and create long-term shareholder value. Unlike most other large corporations, we do not have a separate corporate development or merger-and-acquisition team. Instead, our CEO and other top executives are responsible for the disciplined deployment of capital through acquisitions. As such, our executives must be well versed at improving operations and optimizing capital deployment, as both are significant contributors to value creation for our shareholders.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Though some peers and other observers choose Economic Value Added (“EVA”) as a measure of performance, we believe that such a metric inappropriately penalizes companies, such as Roper, that emphasize capital deployment as a significant driver of shareholder value. For example, because EVA assigns a weighted average cost of capital to an acquisition, each acquisition that Roper makes is likely to be detrimental to its EVA for several years. However, Roper’s long-term success in driving superior returns for its shareholders while following its disciplined acquisition program demonstrates the challenges of EVA when applied to Roper’s strategic capital deployment business model. We believe that if Roper had directed excess cash flow for EVA-accretive uses, such as share repurchases, rather than compounding cash flow through cash generating acquisitions, the Company’s long-term shareholder returns would have been considerably lower. As such, the Company will continue to adhere to its proven strategy of combining operational excellence with prudent capital deployment in order to deliver superior returns to its shareholders.</w:t>
      </w: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 OF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57150</wp:posOffset>
            </wp:positionV>
            <wp:extent cx="7011670" cy="39084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11670" cy="3908425"/>
                    </a:xfrm>
                    <a:prstGeom prst="rect">
                      <a:avLst/>
                    </a:prstGeom>
                    <a:noFill/>
                  </pic:spPr>
                </pic:pic>
              </a:graphicData>
            </a:graphic>
          </wp:anchor>
        </w:drawing>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5CB9"/>
        </w:rPr>
        <w:t>Consideration of Say-on-Pay Vote</w:t>
      </w:r>
    </w:p>
    <w:p>
      <w:pPr>
        <w:spacing w:after="0" w:line="120" w:lineRule="exact"/>
        <w:rPr>
          <w:sz w:val="20"/>
          <w:szCs w:val="20"/>
          <w:color w:val="auto"/>
        </w:rPr>
      </w:pPr>
    </w:p>
    <w:p>
      <w:pPr>
        <w:ind w:left="240" w:right="280"/>
        <w:spacing w:after="0" w:line="236" w:lineRule="auto"/>
        <w:rPr>
          <w:sz w:val="20"/>
          <w:szCs w:val="20"/>
          <w:color w:val="auto"/>
        </w:rPr>
      </w:pPr>
      <w:r>
        <w:rPr>
          <w:rFonts w:ascii="Arial" w:cs="Arial" w:eastAsia="Arial" w:hAnsi="Arial"/>
          <w:sz w:val="17"/>
          <w:szCs w:val="17"/>
          <w:color w:val="auto"/>
        </w:rPr>
        <w:t>At the 2021 Annual Meeting of Shareholders, 84.3% of the votes cast were in favor of the advisory vote to approve our named executive officer compensation. The Compensation Committee believes the Say-on-Pay vote continues to reflect the solid support of our shareholders for our long-standing pay-for-performance philosophy and approach of integrating executive compensation with our value creation model, as well as for recent changes to our executive compensation program.</w:t>
      </w:r>
    </w:p>
    <w:p>
      <w:pPr>
        <w:spacing w:after="0" w:line="68" w:lineRule="exact"/>
        <w:rPr>
          <w:sz w:val="20"/>
          <w:szCs w:val="20"/>
          <w:color w:val="auto"/>
        </w:rPr>
      </w:pPr>
    </w:p>
    <w:p>
      <w:pPr>
        <w:ind w:left="240" w:right="120"/>
        <w:spacing w:after="0" w:line="235" w:lineRule="auto"/>
        <w:rPr>
          <w:sz w:val="20"/>
          <w:szCs w:val="20"/>
          <w:color w:val="auto"/>
        </w:rPr>
      </w:pPr>
      <w:r>
        <w:rPr>
          <w:rFonts w:ascii="Arial" w:cs="Arial" w:eastAsia="Arial" w:hAnsi="Arial"/>
          <w:sz w:val="17"/>
          <w:szCs w:val="17"/>
          <w:color w:val="auto"/>
        </w:rPr>
        <w:t>Following the 2021 Say-on-Pay vote, we reached out to seven of our largest shareholders who we believed voted against the compensation program to better understand their concerns. As a result of this outreach, we revised the vesting of equity awards so that all equity awards granted to named executive officers may only vest after a three-year period. Prior to 2022, equity awards for named executive officers other than the CEO vested 50% after the second year and 50% after the third year, with no opportunity at the end of three years to make up for any shortfall in the vesting of the first 50% tranche. We also increased the rigor of the performance criteria applicable to both the 2022 annual cash incentive and 2022 long-term performance based restricted stock awards.</w:t>
      </w:r>
    </w:p>
    <w:p>
      <w:pPr>
        <w:spacing w:after="0" w:line="94" w:lineRule="exact"/>
        <w:rPr>
          <w:sz w:val="20"/>
          <w:szCs w:val="20"/>
          <w:color w:val="auto"/>
        </w:rPr>
      </w:pPr>
    </w:p>
    <w:p>
      <w:pPr>
        <w:ind w:left="240" w:right="620"/>
        <w:spacing w:after="0" w:line="243" w:lineRule="auto"/>
        <w:rPr>
          <w:sz w:val="20"/>
          <w:szCs w:val="20"/>
          <w:color w:val="auto"/>
        </w:rPr>
      </w:pPr>
      <w:r>
        <w:rPr>
          <w:rFonts w:ascii="Arial" w:cs="Arial" w:eastAsia="Arial" w:hAnsi="Arial"/>
          <w:sz w:val="17"/>
          <w:szCs w:val="17"/>
          <w:color w:val="auto"/>
        </w:rPr>
        <w:t>In addition, Roper has implemented numerous changes over the past several years to our executive compensation program to ensure it remains closely aligned with the long-term interests of our shareholders:</w:t>
      </w:r>
    </w:p>
    <w:p>
      <w:pPr>
        <w:spacing w:after="0" w:line="104" w:lineRule="exact"/>
        <w:rPr>
          <w:sz w:val="20"/>
          <w:szCs w:val="20"/>
          <w:color w:val="auto"/>
        </w:rPr>
      </w:pPr>
    </w:p>
    <w:p>
      <w:pPr>
        <w:ind w:left="460" w:right="200" w:hanging="218"/>
        <w:spacing w:after="0" w:line="243" w:lineRule="auto"/>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100% of restricted shares are performance-based, with all vesting contingent upon meeting multi-year EBITDA and relative operating cash flow margin performance requirements.</w:t>
      </w:r>
    </w:p>
    <w:p>
      <w:pPr>
        <w:spacing w:after="0" w:line="103" w:lineRule="exact"/>
        <w:rPr>
          <w:rFonts w:ascii="Arial" w:cs="Arial" w:eastAsia="Arial" w:hAnsi="Arial"/>
          <w:sz w:val="17"/>
          <w:szCs w:val="17"/>
          <w:color w:val="auto"/>
        </w:rPr>
      </w:pPr>
    </w:p>
    <w:p>
      <w:pPr>
        <w:ind w:left="460" w:hanging="218"/>
        <w:spacing w:after="0"/>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Only stock options, which are inherently performance-based, vest by continued time-based service alone.</w:t>
      </w:r>
    </w:p>
    <w:p>
      <w:pPr>
        <w:spacing w:after="0" w:line="115" w:lineRule="exact"/>
        <w:rPr>
          <w:rFonts w:ascii="Arial" w:cs="Arial" w:eastAsia="Arial" w:hAnsi="Arial"/>
          <w:sz w:val="17"/>
          <w:szCs w:val="17"/>
          <w:color w:val="auto"/>
        </w:rPr>
      </w:pPr>
    </w:p>
    <w:p>
      <w:pPr>
        <w:ind w:left="460" w:hanging="218"/>
        <w:spacing w:after="0"/>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Elimination of annual vesting of equity awards (one-third per year over three years).</w:t>
      </w:r>
    </w:p>
    <w:p>
      <w:pPr>
        <w:spacing w:after="0" w:line="115" w:lineRule="exact"/>
        <w:rPr>
          <w:rFonts w:ascii="Arial" w:cs="Arial" w:eastAsia="Arial" w:hAnsi="Arial"/>
          <w:sz w:val="17"/>
          <w:szCs w:val="17"/>
          <w:color w:val="auto"/>
        </w:rPr>
      </w:pPr>
    </w:p>
    <w:p>
      <w:pPr>
        <w:ind w:left="460" w:hanging="218"/>
        <w:spacing w:after="0"/>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CEO equity awards may vest only at the end of a three-year period.</w:t>
      </w:r>
    </w:p>
    <w:p>
      <w:pPr>
        <w:spacing w:after="0" w:line="115" w:lineRule="exact"/>
        <w:rPr>
          <w:rFonts w:ascii="Arial" w:cs="Arial" w:eastAsia="Arial" w:hAnsi="Arial"/>
          <w:sz w:val="17"/>
          <w:szCs w:val="17"/>
          <w:color w:val="auto"/>
        </w:rPr>
      </w:pPr>
    </w:p>
    <w:p>
      <w:pPr>
        <w:ind w:left="460" w:hanging="218"/>
        <w:spacing w:after="0"/>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Dividends on restricted shares are not paid until the shares are earned, and are forfeited if shares are not earned.</w:t>
      </w:r>
    </w:p>
    <w:p>
      <w:pPr>
        <w:spacing w:after="0" w:line="115" w:lineRule="exact"/>
        <w:rPr>
          <w:rFonts w:ascii="Arial" w:cs="Arial" w:eastAsia="Arial" w:hAnsi="Arial"/>
          <w:sz w:val="17"/>
          <w:szCs w:val="17"/>
          <w:color w:val="auto"/>
        </w:rPr>
      </w:pPr>
    </w:p>
    <w:p>
      <w:pPr>
        <w:jc w:val="both"/>
        <w:ind w:left="460" w:right="400" w:hanging="218"/>
        <w:spacing w:after="0" w:line="238" w:lineRule="auto"/>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Starting in 2017, the operating cash flow less capital expenditures and capitalized software (measured as a percentage of revenue) was changed from an internal goal to relative performance against an external benchmark with 50</w:t>
      </w:r>
      <w:r>
        <w:rPr>
          <w:rFonts w:ascii="Arial" w:cs="Arial" w:eastAsia="Arial" w:hAnsi="Arial"/>
          <w:sz w:val="14"/>
          <w:szCs w:val="14"/>
          <w:color w:val="auto"/>
        </w:rPr>
        <w:t>th</w:t>
      </w:r>
      <w:r>
        <w:rPr>
          <w:rFonts w:ascii="Arial" w:cs="Arial" w:eastAsia="Arial" w:hAnsi="Arial"/>
          <w:sz w:val="17"/>
          <w:szCs w:val="17"/>
          <w:color w:val="auto"/>
        </w:rPr>
        <w:t xml:space="preserve"> percentile performance required for any portion of the restricted shares to vest and 75</w:t>
      </w:r>
      <w:r>
        <w:rPr>
          <w:rFonts w:ascii="Arial" w:cs="Arial" w:eastAsia="Arial" w:hAnsi="Arial"/>
          <w:sz w:val="14"/>
          <w:szCs w:val="14"/>
          <w:color w:val="auto"/>
        </w:rPr>
        <w:t>th</w:t>
      </w:r>
      <w:r>
        <w:rPr>
          <w:rFonts w:ascii="Arial" w:cs="Arial" w:eastAsia="Arial" w:hAnsi="Arial"/>
          <w:sz w:val="17"/>
          <w:szCs w:val="17"/>
          <w:color w:val="auto"/>
        </w:rPr>
        <w:t xml:space="preserve"> percentile performance required for full vesting.</w:t>
      </w:r>
    </w:p>
    <w:p>
      <w:pPr>
        <w:spacing w:after="0" w:line="106" w:lineRule="exact"/>
        <w:rPr>
          <w:rFonts w:ascii="Arial" w:cs="Arial" w:eastAsia="Arial" w:hAnsi="Arial"/>
          <w:sz w:val="17"/>
          <w:szCs w:val="17"/>
          <w:color w:val="auto"/>
        </w:rPr>
      </w:pPr>
    </w:p>
    <w:p>
      <w:pPr>
        <w:ind w:left="460" w:hanging="218"/>
        <w:spacing w:after="0"/>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95% of our CEO’s compensation is subject to performance risk and tied to financial results and stock price.</w:t>
      </w:r>
    </w:p>
    <w:p>
      <w:pPr>
        <w:spacing w:after="0" w:line="115" w:lineRule="exact"/>
        <w:rPr>
          <w:rFonts w:ascii="Arial" w:cs="Arial" w:eastAsia="Arial" w:hAnsi="Arial"/>
          <w:sz w:val="17"/>
          <w:szCs w:val="17"/>
          <w:color w:val="auto"/>
        </w:rPr>
      </w:pPr>
    </w:p>
    <w:p>
      <w:pPr>
        <w:ind w:left="460" w:right="100" w:hanging="218"/>
        <w:spacing w:after="0" w:line="243" w:lineRule="auto"/>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the results of the advisory vote at the 2017 Annual Meeting of Shareholders to approve the frequency of the Say-on-Pay vote, the Say-on-Pay vote will continue to be held every year.</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318"/>
        </w:trPr>
        <w:tc>
          <w:tcPr>
            <w:tcW w:w="440" w:type="dxa"/>
            <w:vAlign w:val="bottom"/>
            <w:tcBorders>
              <w:right w:val="single" w:sz="8" w:color="005CB9"/>
            </w:tcBorders>
          </w:tcPr>
          <w:p>
            <w:pPr>
              <w:jc w:val="right"/>
              <w:ind w:right="179"/>
              <w:spacing w:after="0"/>
              <w:rPr>
                <w:sz w:val="20"/>
                <w:szCs w:val="20"/>
                <w:color w:val="auto"/>
              </w:rPr>
            </w:pPr>
            <w:r>
              <w:rPr>
                <w:rFonts w:ascii="Arial" w:cs="Arial" w:eastAsia="Arial" w:hAnsi="Arial"/>
                <w:sz w:val="16"/>
                <w:szCs w:val="16"/>
                <w:b w:val="1"/>
                <w:bCs w:val="1"/>
                <w:color w:val="005CB9"/>
                <w:w w:val="89"/>
              </w:rPr>
              <w:t>26</w:t>
            </w:r>
          </w:p>
        </w:tc>
        <w:tc>
          <w:tcPr>
            <w:tcW w:w="4700" w:type="dxa"/>
            <w:vAlign w:val="bottom"/>
          </w:tcPr>
          <w:p>
            <w:pPr>
              <w:ind w:left="106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28"/>
        </w:trPr>
        <w:tc>
          <w:tcPr>
            <w:tcW w:w="440" w:type="dxa"/>
            <w:vAlign w:val="bottom"/>
            <w:tcBorders>
              <w:right w:val="single" w:sz="8" w:color="005CB9"/>
            </w:tcBorders>
          </w:tcPr>
          <w:p>
            <w:pPr>
              <w:spacing w:after="0"/>
              <w:rPr>
                <w:sz w:val="11"/>
                <w:szCs w:val="11"/>
                <w:color w:val="auto"/>
              </w:rPr>
            </w:pPr>
          </w:p>
        </w:tc>
        <w:tc>
          <w:tcPr>
            <w:tcW w:w="47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-205105</wp:posOffset>
            </wp:positionV>
            <wp:extent cx="428625"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Checklist of Compensation Practices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Consistent with shareholder interests and market best practices, positive features of our executive compensation program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154305</wp:posOffset>
            </wp:positionV>
            <wp:extent cx="7020560" cy="32962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20560" cy="3296285"/>
                    </a:xfrm>
                    <a:prstGeom prst="rect">
                      <a:avLst/>
                    </a:prstGeom>
                    <a:noFill/>
                  </pic:spPr>
                </pic:pic>
              </a:graphicData>
            </a:graphic>
          </wp:anchor>
        </w:drawing>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432"/>
        </w:trPr>
        <w:tc>
          <w:tcPr>
            <w:tcW w:w="160" w:type="dxa"/>
            <w:vAlign w:val="bottom"/>
            <w:shd w:val="clear" w:color="auto" w:fill="005CB9"/>
          </w:tcPr>
          <w:p>
            <w:pPr>
              <w:spacing w:after="0"/>
              <w:rPr>
                <w:sz w:val="24"/>
                <w:szCs w:val="24"/>
                <w:color w:val="auto"/>
              </w:rPr>
            </w:pPr>
          </w:p>
        </w:tc>
        <w:tc>
          <w:tcPr>
            <w:tcW w:w="5460" w:type="dxa"/>
            <w:vAlign w:val="bottom"/>
            <w:shd w:val="clear" w:color="auto" w:fill="005CB9"/>
          </w:tcPr>
          <w:p>
            <w:pPr>
              <w:spacing w:after="0"/>
              <w:rPr>
                <w:sz w:val="24"/>
                <w:szCs w:val="24"/>
                <w:color w:val="auto"/>
              </w:rPr>
            </w:pPr>
          </w:p>
        </w:tc>
        <w:tc>
          <w:tcPr>
            <w:tcW w:w="120" w:type="dxa"/>
            <w:vAlign w:val="bottom"/>
            <w:shd w:val="clear" w:color="auto" w:fill="005CB9"/>
          </w:tcPr>
          <w:p>
            <w:pPr>
              <w:spacing w:after="0"/>
              <w:rPr>
                <w:sz w:val="24"/>
                <w:szCs w:val="24"/>
                <w:color w:val="auto"/>
              </w:rPr>
            </w:pPr>
          </w:p>
        </w:tc>
        <w:tc>
          <w:tcPr>
            <w:tcW w:w="5280" w:type="dxa"/>
            <w:vAlign w:val="bottom"/>
            <w:shd w:val="clear" w:color="auto" w:fill="005CB9"/>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60" w:type="dxa"/>
            <w:vAlign w:val="bottom"/>
            <w:shd w:val="clear" w:color="auto" w:fill="005CB9"/>
          </w:tcPr>
          <w:p>
            <w:pPr>
              <w:spacing w:after="0"/>
              <w:rPr>
                <w:sz w:val="24"/>
                <w:szCs w:val="24"/>
                <w:color w:val="auto"/>
              </w:rPr>
            </w:pPr>
          </w:p>
        </w:tc>
        <w:tc>
          <w:tcPr>
            <w:tcW w:w="5460" w:type="dxa"/>
            <w:vAlign w:val="bottom"/>
            <w:shd w:val="clear" w:color="auto" w:fill="005CB9"/>
          </w:tcPr>
          <w:p>
            <w:pPr>
              <w:ind w:left="1920"/>
              <w:spacing w:after="0"/>
              <w:rPr>
                <w:sz w:val="20"/>
                <w:szCs w:val="20"/>
                <w:color w:val="auto"/>
              </w:rPr>
            </w:pPr>
            <w:r>
              <w:rPr>
                <w:rFonts w:ascii="Arial" w:cs="Arial" w:eastAsia="Arial" w:hAnsi="Arial"/>
                <w:sz w:val="25"/>
                <w:szCs w:val="25"/>
                <w:b w:val="1"/>
                <w:bCs w:val="1"/>
                <w:color w:val="FFFFFF"/>
              </w:rPr>
              <w:t>What We Do</w:t>
            </w:r>
          </w:p>
        </w:tc>
        <w:tc>
          <w:tcPr>
            <w:tcW w:w="120" w:type="dxa"/>
            <w:vAlign w:val="bottom"/>
            <w:shd w:val="clear" w:color="auto" w:fill="005CB9"/>
          </w:tcPr>
          <w:p>
            <w:pPr>
              <w:spacing w:after="0"/>
              <w:rPr>
                <w:sz w:val="24"/>
                <w:szCs w:val="24"/>
                <w:color w:val="auto"/>
              </w:rPr>
            </w:pPr>
          </w:p>
        </w:tc>
        <w:tc>
          <w:tcPr>
            <w:tcW w:w="5280" w:type="dxa"/>
            <w:vAlign w:val="bottom"/>
            <w:shd w:val="clear" w:color="auto" w:fill="005CB9"/>
          </w:tcPr>
          <w:p>
            <w:pPr>
              <w:ind w:left="1540"/>
              <w:spacing w:after="0"/>
              <w:rPr>
                <w:sz w:val="20"/>
                <w:szCs w:val="20"/>
                <w:color w:val="auto"/>
              </w:rPr>
            </w:pPr>
            <w:r>
              <w:rPr>
                <w:rFonts w:ascii="Arial" w:cs="Arial" w:eastAsia="Arial" w:hAnsi="Arial"/>
                <w:sz w:val="25"/>
                <w:szCs w:val="25"/>
                <w:b w:val="1"/>
                <w:bCs w:val="1"/>
                <w:color w:val="FFFFFF"/>
              </w:rPr>
              <w:t>What We Don’t Do</w:t>
            </w:r>
          </w:p>
        </w:tc>
        <w:tc>
          <w:tcPr>
            <w:tcW w:w="0" w:type="dxa"/>
            <w:vAlign w:val="bottom"/>
          </w:tcPr>
          <w:p>
            <w:pPr>
              <w:spacing w:after="0"/>
              <w:rPr>
                <w:sz w:val="1"/>
                <w:szCs w:val="1"/>
                <w:color w:val="auto"/>
              </w:rPr>
            </w:pPr>
          </w:p>
        </w:tc>
      </w:tr>
      <w:tr>
        <w:trPr>
          <w:trHeight w:val="204"/>
        </w:trPr>
        <w:tc>
          <w:tcPr>
            <w:tcW w:w="160" w:type="dxa"/>
            <w:vAlign w:val="bottom"/>
            <w:shd w:val="clear" w:color="auto" w:fill="E5EEF8"/>
          </w:tcPr>
          <w:p>
            <w:pPr>
              <w:spacing w:after="0"/>
              <w:rPr>
                <w:sz w:val="17"/>
                <w:szCs w:val="17"/>
                <w:color w:val="auto"/>
              </w:rPr>
            </w:pPr>
          </w:p>
        </w:tc>
        <w:tc>
          <w:tcPr>
            <w:tcW w:w="546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Substantially all compensation for named executive officers is tied to</w:t>
            </w:r>
          </w:p>
        </w:tc>
        <w:tc>
          <w:tcPr>
            <w:tcW w:w="120" w:type="dxa"/>
            <w:vAlign w:val="bottom"/>
            <w:shd w:val="clear" w:color="auto" w:fill="E5EEF8"/>
          </w:tcPr>
          <w:p>
            <w:pPr>
              <w:spacing w:after="0"/>
              <w:rPr>
                <w:sz w:val="17"/>
                <w:szCs w:val="17"/>
                <w:color w:val="auto"/>
              </w:rPr>
            </w:pPr>
          </w:p>
        </w:tc>
        <w:tc>
          <w:tcPr>
            <w:tcW w:w="5280" w:type="dxa"/>
            <w:vAlign w:val="bottom"/>
          </w:tcPr>
          <w:p>
            <w:pPr>
              <w:spacing w:after="0" w:line="205" w:lineRule="exact"/>
              <w:rPr>
                <w:sz w:val="20"/>
                <w:szCs w:val="20"/>
                <w:color w:val="auto"/>
              </w:rPr>
            </w:pPr>
            <w:r>
              <w:rPr>
                <w:rFonts w:ascii="Arial" w:cs="Arial" w:eastAsia="Arial" w:hAnsi="Arial"/>
                <w:sz w:val="20"/>
                <w:szCs w:val="20"/>
                <w:color w:val="005CB9"/>
              </w:rPr>
              <w:t xml:space="preserve">Ò </w:t>
            </w:r>
            <w:r>
              <w:rPr>
                <w:rFonts w:ascii="Arial" w:cs="Arial" w:eastAsia="Arial" w:hAnsi="Arial"/>
                <w:sz w:val="16"/>
                <w:szCs w:val="16"/>
                <w:color w:val="000000"/>
              </w:rPr>
              <w:t>No payment of dividends on performance-based restricted stock</w:t>
            </w:r>
          </w:p>
        </w:tc>
        <w:tc>
          <w:tcPr>
            <w:tcW w:w="0" w:type="dxa"/>
            <w:vAlign w:val="bottom"/>
          </w:tcPr>
          <w:p>
            <w:pPr>
              <w:spacing w:after="0"/>
              <w:rPr>
                <w:sz w:val="1"/>
                <w:szCs w:val="1"/>
                <w:color w:val="auto"/>
              </w:rPr>
            </w:pPr>
          </w:p>
        </w:tc>
      </w:tr>
      <w:tr>
        <w:trPr>
          <w:trHeight w:val="222"/>
        </w:trPr>
        <w:tc>
          <w:tcPr>
            <w:tcW w:w="160" w:type="dxa"/>
            <w:vAlign w:val="bottom"/>
            <w:shd w:val="clear" w:color="auto" w:fill="E5EEF8"/>
          </w:tcPr>
          <w:p>
            <w:pPr>
              <w:spacing w:after="0"/>
              <w:rPr>
                <w:sz w:val="19"/>
                <w:szCs w:val="19"/>
                <w:color w:val="auto"/>
              </w:rPr>
            </w:pPr>
          </w:p>
        </w:tc>
        <w:tc>
          <w:tcPr>
            <w:tcW w:w="5460" w:type="dxa"/>
            <w:vAlign w:val="bottom"/>
          </w:tcPr>
          <w:p>
            <w:pPr>
              <w:ind w:left="260"/>
              <w:spacing w:after="0"/>
              <w:rPr>
                <w:sz w:val="20"/>
                <w:szCs w:val="20"/>
                <w:color w:val="auto"/>
              </w:rPr>
            </w:pPr>
            <w:r>
              <w:rPr>
                <w:rFonts w:ascii="Arial" w:cs="Arial" w:eastAsia="Arial" w:hAnsi="Arial"/>
                <w:sz w:val="16"/>
                <w:szCs w:val="16"/>
                <w:color w:val="auto"/>
              </w:rPr>
              <w:t>performance.</w:t>
            </w:r>
          </w:p>
        </w:tc>
        <w:tc>
          <w:tcPr>
            <w:tcW w:w="120" w:type="dxa"/>
            <w:vAlign w:val="bottom"/>
            <w:shd w:val="clear" w:color="auto" w:fill="E5EEF8"/>
          </w:tcPr>
          <w:p>
            <w:pPr>
              <w:spacing w:after="0"/>
              <w:rPr>
                <w:sz w:val="19"/>
                <w:szCs w:val="19"/>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awards until earned.</w:t>
            </w:r>
          </w:p>
        </w:tc>
        <w:tc>
          <w:tcPr>
            <w:tcW w:w="0" w:type="dxa"/>
            <w:vAlign w:val="bottom"/>
          </w:tcPr>
          <w:p>
            <w:pPr>
              <w:spacing w:after="0"/>
              <w:rPr>
                <w:sz w:val="1"/>
                <w:szCs w:val="1"/>
                <w:color w:val="auto"/>
              </w:rPr>
            </w:pPr>
          </w:p>
        </w:tc>
      </w:tr>
      <w:tr>
        <w:trPr>
          <w:trHeight w:val="332"/>
        </w:trPr>
        <w:tc>
          <w:tcPr>
            <w:tcW w:w="160" w:type="dxa"/>
            <w:vAlign w:val="bottom"/>
            <w:shd w:val="clear" w:color="auto" w:fill="E5EEF8"/>
          </w:tcPr>
          <w:p>
            <w:pPr>
              <w:spacing w:after="0"/>
              <w:rPr>
                <w:sz w:val="24"/>
                <w:szCs w:val="24"/>
                <w:color w:val="auto"/>
              </w:rPr>
            </w:pPr>
          </w:p>
        </w:tc>
        <w:tc>
          <w:tcPr>
            <w:tcW w:w="546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Performance-based vesting requirements apply to 100% of restricted</w:t>
            </w:r>
          </w:p>
        </w:tc>
        <w:tc>
          <w:tcPr>
            <w:tcW w:w="120" w:type="dxa"/>
            <w:vAlign w:val="bottom"/>
            <w:shd w:val="clear" w:color="auto" w:fill="E5EEF8"/>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20"/>
                <w:szCs w:val="20"/>
                <w:color w:val="005CB9"/>
              </w:rPr>
              <w:t xml:space="preserve">Ò </w:t>
            </w:r>
            <w:r>
              <w:rPr>
                <w:rFonts w:ascii="Arial" w:cs="Arial" w:eastAsia="Arial" w:hAnsi="Arial"/>
                <w:sz w:val="16"/>
                <w:szCs w:val="16"/>
                <w:color w:val="000000"/>
              </w:rPr>
              <w:t>No defined-benefit pension plan or SERPs for named executive</w:t>
            </w:r>
          </w:p>
        </w:tc>
        <w:tc>
          <w:tcPr>
            <w:tcW w:w="0" w:type="dxa"/>
            <w:vAlign w:val="bottom"/>
          </w:tcPr>
          <w:p>
            <w:pPr>
              <w:spacing w:after="0"/>
              <w:rPr>
                <w:sz w:val="1"/>
                <w:szCs w:val="1"/>
                <w:color w:val="auto"/>
              </w:rPr>
            </w:pPr>
          </w:p>
        </w:tc>
      </w:tr>
      <w:tr>
        <w:trPr>
          <w:trHeight w:val="195"/>
        </w:trPr>
        <w:tc>
          <w:tcPr>
            <w:tcW w:w="160" w:type="dxa"/>
            <w:vAlign w:val="bottom"/>
            <w:shd w:val="clear" w:color="auto" w:fill="E5EEF8"/>
          </w:tcPr>
          <w:p>
            <w:pPr>
              <w:spacing w:after="0"/>
              <w:rPr>
                <w:sz w:val="16"/>
                <w:szCs w:val="16"/>
                <w:color w:val="auto"/>
              </w:rPr>
            </w:pPr>
          </w:p>
        </w:tc>
        <w:tc>
          <w:tcPr>
            <w:tcW w:w="5460" w:type="dxa"/>
            <w:vAlign w:val="bottom"/>
          </w:tcPr>
          <w:p>
            <w:pPr>
              <w:ind w:left="260"/>
              <w:spacing w:after="0"/>
              <w:rPr>
                <w:sz w:val="20"/>
                <w:szCs w:val="20"/>
                <w:color w:val="auto"/>
              </w:rPr>
            </w:pPr>
            <w:r>
              <w:rPr>
                <w:rFonts w:ascii="Arial" w:cs="Arial" w:eastAsia="Arial" w:hAnsi="Arial"/>
                <w:sz w:val="16"/>
                <w:szCs w:val="16"/>
                <w:color w:val="auto"/>
              </w:rPr>
              <w:t>stock awards (no time vesting alone).</w:t>
            </w:r>
          </w:p>
        </w:tc>
        <w:tc>
          <w:tcPr>
            <w:tcW w:w="120" w:type="dxa"/>
            <w:vAlign w:val="bottom"/>
            <w:shd w:val="clear" w:color="auto" w:fill="E5EEF8"/>
          </w:tcPr>
          <w:p>
            <w:pPr>
              <w:spacing w:after="0"/>
              <w:rPr>
                <w:sz w:val="16"/>
                <w:szCs w:val="16"/>
                <w:color w:val="auto"/>
              </w:rPr>
            </w:pPr>
          </w:p>
        </w:tc>
        <w:tc>
          <w:tcPr>
            <w:tcW w:w="5280" w:type="dxa"/>
            <w:vAlign w:val="bottom"/>
            <w:vMerge w:val="restart"/>
          </w:tcPr>
          <w:p>
            <w:pPr>
              <w:ind w:left="240"/>
              <w:spacing w:after="0"/>
              <w:rPr>
                <w:sz w:val="20"/>
                <w:szCs w:val="20"/>
                <w:color w:val="auto"/>
              </w:rPr>
            </w:pPr>
            <w:r>
              <w:rPr>
                <w:rFonts w:ascii="Arial" w:cs="Arial" w:eastAsia="Arial" w:hAnsi="Arial"/>
                <w:sz w:val="16"/>
                <w:szCs w:val="16"/>
                <w:color w:val="auto"/>
              </w:rPr>
              <w:t>officers.</w:t>
            </w:r>
          </w:p>
        </w:tc>
        <w:tc>
          <w:tcPr>
            <w:tcW w:w="0" w:type="dxa"/>
            <w:vAlign w:val="bottom"/>
          </w:tcPr>
          <w:p>
            <w:pPr>
              <w:spacing w:after="0"/>
              <w:rPr>
                <w:sz w:val="1"/>
                <w:szCs w:val="1"/>
                <w:color w:val="auto"/>
              </w:rPr>
            </w:pPr>
          </w:p>
        </w:tc>
      </w:tr>
      <w:tr>
        <w:trPr>
          <w:trHeight w:val="54"/>
        </w:trPr>
        <w:tc>
          <w:tcPr>
            <w:tcW w:w="160" w:type="dxa"/>
            <w:vAlign w:val="bottom"/>
            <w:shd w:val="clear" w:color="auto" w:fill="E5EEF8"/>
          </w:tcPr>
          <w:p>
            <w:pPr>
              <w:spacing w:after="0"/>
              <w:rPr>
                <w:sz w:val="4"/>
                <w:szCs w:val="4"/>
                <w:color w:val="auto"/>
              </w:rPr>
            </w:pPr>
          </w:p>
        </w:tc>
        <w:tc>
          <w:tcPr>
            <w:tcW w:w="5460" w:type="dxa"/>
            <w:vAlign w:val="bottom"/>
          </w:tcPr>
          <w:p>
            <w:pPr>
              <w:spacing w:after="0"/>
              <w:rPr>
                <w:sz w:val="4"/>
                <w:szCs w:val="4"/>
                <w:color w:val="auto"/>
              </w:rPr>
            </w:pPr>
          </w:p>
        </w:tc>
        <w:tc>
          <w:tcPr>
            <w:tcW w:w="120" w:type="dxa"/>
            <w:vAlign w:val="bottom"/>
            <w:shd w:val="clear" w:color="auto" w:fill="E5EEF8"/>
          </w:tcPr>
          <w:p>
            <w:pPr>
              <w:spacing w:after="0"/>
              <w:rPr>
                <w:sz w:val="4"/>
                <w:szCs w:val="4"/>
                <w:color w:val="auto"/>
              </w:rPr>
            </w:pPr>
          </w:p>
        </w:tc>
        <w:tc>
          <w:tcPr>
            <w:tcW w:w="5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160" w:type="dxa"/>
            <w:vAlign w:val="bottom"/>
            <w:shd w:val="clear" w:color="auto" w:fill="E5EEF8"/>
          </w:tcPr>
          <w:p>
            <w:pPr>
              <w:spacing w:after="0"/>
              <w:rPr>
                <w:sz w:val="24"/>
                <w:szCs w:val="24"/>
                <w:color w:val="auto"/>
              </w:rPr>
            </w:pPr>
          </w:p>
        </w:tc>
        <w:tc>
          <w:tcPr>
            <w:tcW w:w="546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CEO special long-term cash bonus based on five-year results to</w:t>
            </w:r>
          </w:p>
        </w:tc>
        <w:tc>
          <w:tcPr>
            <w:tcW w:w="120" w:type="dxa"/>
            <w:vAlign w:val="bottom"/>
            <w:shd w:val="clear" w:color="auto" w:fill="E5EEF8"/>
          </w:tcPr>
          <w:p>
            <w:pPr>
              <w:spacing w:after="0"/>
              <w:rPr>
                <w:sz w:val="24"/>
                <w:szCs w:val="24"/>
                <w:color w:val="auto"/>
              </w:rPr>
            </w:pPr>
          </w:p>
        </w:tc>
        <w:tc>
          <w:tcPr>
            <w:tcW w:w="5280" w:type="dxa"/>
            <w:vAlign w:val="bottom"/>
            <w:vMerge w:val="restart"/>
          </w:tcPr>
          <w:p>
            <w:pPr>
              <w:spacing w:after="0"/>
              <w:rPr>
                <w:sz w:val="20"/>
                <w:szCs w:val="20"/>
                <w:color w:val="auto"/>
              </w:rPr>
            </w:pPr>
            <w:r>
              <w:rPr>
                <w:rFonts w:ascii="Arial" w:cs="Arial" w:eastAsia="Arial" w:hAnsi="Arial"/>
                <w:sz w:val="20"/>
                <w:szCs w:val="20"/>
                <w:color w:val="005CB9"/>
              </w:rPr>
              <w:t xml:space="preserve">Ò </w:t>
            </w:r>
            <w:r>
              <w:rPr>
                <w:rFonts w:ascii="Arial" w:cs="Arial" w:eastAsia="Arial" w:hAnsi="Arial"/>
                <w:sz w:val="16"/>
                <w:szCs w:val="16"/>
                <w:color w:val="000000"/>
              </w:rPr>
              <w:t>No “single trigger” equity vesting upon change-in-control.</w:t>
            </w:r>
          </w:p>
        </w:tc>
        <w:tc>
          <w:tcPr>
            <w:tcW w:w="0" w:type="dxa"/>
            <w:vAlign w:val="bottom"/>
          </w:tcPr>
          <w:p>
            <w:pPr>
              <w:spacing w:after="0"/>
              <w:rPr>
                <w:sz w:val="1"/>
                <w:szCs w:val="1"/>
                <w:color w:val="auto"/>
              </w:rPr>
            </w:pPr>
          </w:p>
        </w:tc>
      </w:tr>
      <w:tr>
        <w:trPr>
          <w:trHeight w:val="83"/>
        </w:trPr>
        <w:tc>
          <w:tcPr>
            <w:tcW w:w="160" w:type="dxa"/>
            <w:vAlign w:val="bottom"/>
            <w:shd w:val="clear" w:color="auto" w:fill="E5EEF8"/>
          </w:tcPr>
          <w:p>
            <w:pPr>
              <w:spacing w:after="0"/>
              <w:rPr>
                <w:sz w:val="7"/>
                <w:szCs w:val="7"/>
                <w:color w:val="auto"/>
              </w:rPr>
            </w:pPr>
          </w:p>
        </w:tc>
        <w:tc>
          <w:tcPr>
            <w:tcW w:w="5460" w:type="dxa"/>
            <w:vAlign w:val="bottom"/>
            <w:vMerge w:val="restart"/>
          </w:tcPr>
          <w:p>
            <w:pPr>
              <w:ind w:left="260"/>
              <w:spacing w:after="0"/>
              <w:rPr>
                <w:sz w:val="20"/>
                <w:szCs w:val="20"/>
                <w:color w:val="auto"/>
              </w:rPr>
            </w:pPr>
            <w:r>
              <w:rPr>
                <w:rFonts w:ascii="Arial" w:cs="Arial" w:eastAsia="Arial" w:hAnsi="Arial"/>
                <w:sz w:val="16"/>
                <w:szCs w:val="16"/>
                <w:color w:val="auto"/>
              </w:rPr>
              <w:t>reinforce a long-term planning horizon and sustainable growth.</w:t>
            </w:r>
          </w:p>
        </w:tc>
        <w:tc>
          <w:tcPr>
            <w:tcW w:w="120" w:type="dxa"/>
            <w:vAlign w:val="bottom"/>
            <w:shd w:val="clear" w:color="auto" w:fill="E5EEF8"/>
          </w:tcPr>
          <w:p>
            <w:pPr>
              <w:spacing w:after="0"/>
              <w:rPr>
                <w:sz w:val="7"/>
                <w:szCs w:val="7"/>
                <w:color w:val="auto"/>
              </w:rPr>
            </w:pPr>
          </w:p>
        </w:tc>
        <w:tc>
          <w:tcPr>
            <w:tcW w:w="5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60" w:type="dxa"/>
            <w:vAlign w:val="bottom"/>
            <w:shd w:val="clear" w:color="auto" w:fill="E5EEF8"/>
          </w:tcPr>
          <w:p>
            <w:pPr>
              <w:spacing w:after="0"/>
              <w:rPr>
                <w:sz w:val="9"/>
                <w:szCs w:val="9"/>
                <w:color w:val="auto"/>
              </w:rPr>
            </w:pPr>
          </w:p>
        </w:tc>
        <w:tc>
          <w:tcPr>
            <w:tcW w:w="5460" w:type="dxa"/>
            <w:vAlign w:val="bottom"/>
            <w:vMerge w:val="continue"/>
          </w:tcPr>
          <w:p>
            <w:pPr>
              <w:spacing w:after="0"/>
              <w:rPr>
                <w:sz w:val="9"/>
                <w:szCs w:val="9"/>
                <w:color w:val="auto"/>
              </w:rPr>
            </w:pPr>
          </w:p>
        </w:tc>
        <w:tc>
          <w:tcPr>
            <w:tcW w:w="120" w:type="dxa"/>
            <w:vAlign w:val="bottom"/>
            <w:shd w:val="clear" w:color="auto" w:fill="E5EEF8"/>
          </w:tcPr>
          <w:p>
            <w:pPr>
              <w:spacing w:after="0"/>
              <w:rPr>
                <w:sz w:val="9"/>
                <w:szCs w:val="9"/>
                <w:color w:val="auto"/>
              </w:rPr>
            </w:pPr>
          </w:p>
        </w:tc>
        <w:tc>
          <w:tcPr>
            <w:tcW w:w="5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8"/>
        </w:trPr>
        <w:tc>
          <w:tcPr>
            <w:tcW w:w="160" w:type="dxa"/>
            <w:vAlign w:val="bottom"/>
            <w:shd w:val="clear" w:color="auto" w:fill="E5EEF8"/>
          </w:tcPr>
          <w:p>
            <w:pPr>
              <w:spacing w:after="0"/>
              <w:rPr>
                <w:sz w:val="24"/>
                <w:szCs w:val="24"/>
                <w:color w:val="auto"/>
              </w:rPr>
            </w:pPr>
          </w:p>
        </w:tc>
        <w:tc>
          <w:tcPr>
            <w:tcW w:w="5460" w:type="dxa"/>
            <w:vAlign w:val="bottom"/>
            <w:vMerge w:val="restart"/>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Cash bonuses are capped and performance-based restricted stock</w:t>
            </w:r>
          </w:p>
        </w:tc>
        <w:tc>
          <w:tcPr>
            <w:tcW w:w="120" w:type="dxa"/>
            <w:vAlign w:val="bottom"/>
            <w:shd w:val="clear" w:color="auto" w:fill="E5EEF8"/>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20"/>
                <w:szCs w:val="20"/>
                <w:color w:val="005CB9"/>
              </w:rPr>
              <w:t xml:space="preserve">Ò </w:t>
            </w:r>
            <w:r>
              <w:rPr>
                <w:rFonts w:ascii="Arial" w:cs="Arial" w:eastAsia="Arial" w:hAnsi="Arial"/>
                <w:sz w:val="16"/>
                <w:szCs w:val="16"/>
                <w:color w:val="000000"/>
              </w:rPr>
              <w:t>Severance pay is very limited, as is the use of employment</w:t>
            </w:r>
          </w:p>
        </w:tc>
        <w:tc>
          <w:tcPr>
            <w:tcW w:w="0" w:type="dxa"/>
            <w:vAlign w:val="bottom"/>
          </w:tcPr>
          <w:p>
            <w:pPr>
              <w:spacing w:after="0"/>
              <w:rPr>
                <w:sz w:val="1"/>
                <w:szCs w:val="1"/>
                <w:color w:val="auto"/>
              </w:rPr>
            </w:pPr>
          </w:p>
        </w:tc>
      </w:tr>
      <w:tr>
        <w:trPr>
          <w:trHeight w:val="76"/>
        </w:trPr>
        <w:tc>
          <w:tcPr>
            <w:tcW w:w="160" w:type="dxa"/>
            <w:vAlign w:val="bottom"/>
            <w:shd w:val="clear" w:color="auto" w:fill="E5EEF8"/>
          </w:tcPr>
          <w:p>
            <w:pPr>
              <w:spacing w:after="0"/>
              <w:rPr>
                <w:sz w:val="6"/>
                <w:szCs w:val="6"/>
                <w:color w:val="auto"/>
              </w:rPr>
            </w:pPr>
          </w:p>
        </w:tc>
        <w:tc>
          <w:tcPr>
            <w:tcW w:w="5460" w:type="dxa"/>
            <w:vAlign w:val="bottom"/>
            <w:vMerge w:val="continue"/>
          </w:tcPr>
          <w:p>
            <w:pPr>
              <w:spacing w:after="0"/>
              <w:rPr>
                <w:sz w:val="6"/>
                <w:szCs w:val="6"/>
                <w:color w:val="auto"/>
              </w:rPr>
            </w:pPr>
          </w:p>
        </w:tc>
        <w:tc>
          <w:tcPr>
            <w:tcW w:w="120" w:type="dxa"/>
            <w:vAlign w:val="bottom"/>
            <w:shd w:val="clear" w:color="auto" w:fill="E5EEF8"/>
          </w:tcPr>
          <w:p>
            <w:pPr>
              <w:spacing w:after="0"/>
              <w:rPr>
                <w:sz w:val="6"/>
                <w:szCs w:val="6"/>
                <w:color w:val="auto"/>
              </w:rPr>
            </w:pPr>
          </w:p>
        </w:tc>
        <w:tc>
          <w:tcPr>
            <w:tcW w:w="5280" w:type="dxa"/>
            <w:vAlign w:val="bottom"/>
            <w:vMerge w:val="restart"/>
          </w:tcPr>
          <w:p>
            <w:pPr>
              <w:ind w:left="240"/>
              <w:spacing w:after="0"/>
              <w:rPr>
                <w:sz w:val="20"/>
                <w:szCs w:val="20"/>
                <w:color w:val="auto"/>
              </w:rPr>
            </w:pPr>
            <w:r>
              <w:rPr>
                <w:rFonts w:ascii="Arial" w:cs="Arial" w:eastAsia="Arial" w:hAnsi="Arial"/>
                <w:sz w:val="16"/>
                <w:szCs w:val="16"/>
                <w:color w:val="auto"/>
              </w:rPr>
              <w:t>agreements.</w:t>
            </w:r>
          </w:p>
        </w:tc>
        <w:tc>
          <w:tcPr>
            <w:tcW w:w="0" w:type="dxa"/>
            <w:vAlign w:val="bottom"/>
          </w:tcPr>
          <w:p>
            <w:pPr>
              <w:spacing w:after="0"/>
              <w:rPr>
                <w:sz w:val="1"/>
                <w:szCs w:val="1"/>
                <w:color w:val="auto"/>
              </w:rPr>
            </w:pPr>
          </w:p>
        </w:tc>
      </w:tr>
      <w:tr>
        <w:trPr>
          <w:trHeight w:val="119"/>
        </w:trPr>
        <w:tc>
          <w:tcPr>
            <w:tcW w:w="160" w:type="dxa"/>
            <w:vAlign w:val="bottom"/>
            <w:shd w:val="clear" w:color="auto" w:fill="E5EEF8"/>
          </w:tcPr>
          <w:p>
            <w:pPr>
              <w:spacing w:after="0"/>
              <w:rPr>
                <w:sz w:val="10"/>
                <w:szCs w:val="10"/>
                <w:color w:val="auto"/>
              </w:rPr>
            </w:pPr>
          </w:p>
        </w:tc>
        <w:tc>
          <w:tcPr>
            <w:tcW w:w="5460" w:type="dxa"/>
            <w:vAlign w:val="bottom"/>
            <w:vMerge w:val="restart"/>
          </w:tcPr>
          <w:p>
            <w:pPr>
              <w:ind w:left="260"/>
              <w:spacing w:after="0" w:line="257" w:lineRule="exact"/>
              <w:rPr>
                <w:sz w:val="20"/>
                <w:szCs w:val="20"/>
                <w:color w:val="auto"/>
              </w:rPr>
            </w:pPr>
            <w:r>
              <w:rPr>
                <w:rFonts w:ascii="Arial" w:cs="Arial" w:eastAsia="Arial" w:hAnsi="Arial"/>
                <w:sz w:val="16"/>
                <w:szCs w:val="16"/>
                <w:color w:val="auto"/>
              </w:rPr>
              <w:t>awards limited to 100% of target (risk mitigation features).</w:t>
            </w:r>
            <w:r>
              <w:rPr>
                <w:rFonts w:ascii="Arial" w:cs="Arial" w:eastAsia="Arial" w:hAnsi="Arial"/>
                <w:sz w:val="27"/>
                <w:szCs w:val="27"/>
                <w:color w:val="auto"/>
                <w:vertAlign w:val="superscript"/>
              </w:rPr>
              <w:t>1</w:t>
            </w:r>
          </w:p>
        </w:tc>
        <w:tc>
          <w:tcPr>
            <w:tcW w:w="120" w:type="dxa"/>
            <w:vAlign w:val="bottom"/>
            <w:shd w:val="clear" w:color="auto" w:fill="E5EEF8"/>
          </w:tcPr>
          <w:p>
            <w:pPr>
              <w:spacing w:after="0"/>
              <w:rPr>
                <w:sz w:val="10"/>
                <w:szCs w:val="10"/>
                <w:color w:val="auto"/>
              </w:rPr>
            </w:pPr>
          </w:p>
        </w:tc>
        <w:tc>
          <w:tcPr>
            <w:tcW w:w="5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60" w:type="dxa"/>
            <w:vAlign w:val="bottom"/>
            <w:shd w:val="clear" w:color="auto" w:fill="E5EEF8"/>
          </w:tcPr>
          <w:p>
            <w:pPr>
              <w:spacing w:after="0"/>
              <w:rPr>
                <w:sz w:val="11"/>
                <w:szCs w:val="11"/>
                <w:color w:val="auto"/>
              </w:rPr>
            </w:pPr>
          </w:p>
        </w:tc>
        <w:tc>
          <w:tcPr>
            <w:tcW w:w="5460" w:type="dxa"/>
            <w:vAlign w:val="bottom"/>
            <w:vMerge w:val="continue"/>
          </w:tcPr>
          <w:p>
            <w:pPr>
              <w:spacing w:after="0"/>
              <w:rPr>
                <w:sz w:val="11"/>
                <w:szCs w:val="11"/>
                <w:color w:val="auto"/>
              </w:rPr>
            </w:pPr>
          </w:p>
        </w:tc>
        <w:tc>
          <w:tcPr>
            <w:tcW w:w="120" w:type="dxa"/>
            <w:vAlign w:val="bottom"/>
            <w:shd w:val="clear" w:color="auto" w:fill="E5EEF8"/>
          </w:tcPr>
          <w:p>
            <w:pPr>
              <w:spacing w:after="0"/>
              <w:rPr>
                <w:sz w:val="11"/>
                <w:szCs w:val="11"/>
                <w:color w:val="auto"/>
              </w:rPr>
            </w:pPr>
          </w:p>
        </w:tc>
        <w:tc>
          <w:tcPr>
            <w:tcW w:w="5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160" w:type="dxa"/>
            <w:vAlign w:val="bottom"/>
            <w:shd w:val="clear" w:color="auto" w:fill="E5EEF8"/>
          </w:tcPr>
          <w:p>
            <w:pPr>
              <w:spacing w:after="0"/>
              <w:rPr>
                <w:sz w:val="21"/>
                <w:szCs w:val="21"/>
                <w:color w:val="auto"/>
              </w:rPr>
            </w:pPr>
          </w:p>
        </w:tc>
        <w:tc>
          <w:tcPr>
            <w:tcW w:w="546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Robust share ownership and retention guidelines.</w:t>
            </w:r>
          </w:p>
        </w:tc>
        <w:tc>
          <w:tcPr>
            <w:tcW w:w="120" w:type="dxa"/>
            <w:vAlign w:val="bottom"/>
            <w:shd w:val="clear" w:color="auto" w:fill="E5EEF8"/>
          </w:tcPr>
          <w:p>
            <w:pPr>
              <w:spacing w:after="0"/>
              <w:rPr>
                <w:sz w:val="21"/>
                <w:szCs w:val="21"/>
                <w:color w:val="auto"/>
              </w:rPr>
            </w:pPr>
          </w:p>
        </w:tc>
        <w:tc>
          <w:tcPr>
            <w:tcW w:w="5280" w:type="dxa"/>
            <w:vAlign w:val="bottom"/>
          </w:tcPr>
          <w:p>
            <w:pPr>
              <w:spacing w:after="0"/>
              <w:rPr>
                <w:sz w:val="20"/>
                <w:szCs w:val="20"/>
                <w:color w:val="auto"/>
              </w:rPr>
            </w:pPr>
            <w:r>
              <w:rPr>
                <w:rFonts w:ascii="Arial" w:cs="Arial" w:eastAsia="Arial" w:hAnsi="Arial"/>
                <w:sz w:val="20"/>
                <w:szCs w:val="20"/>
                <w:color w:val="005CB9"/>
              </w:rPr>
              <w:t xml:space="preserve">Ò </w:t>
            </w:r>
            <w:r>
              <w:rPr>
                <w:rFonts w:ascii="Arial" w:cs="Arial" w:eastAsia="Arial" w:hAnsi="Arial"/>
                <w:sz w:val="16"/>
                <w:szCs w:val="16"/>
                <w:color w:val="000000"/>
              </w:rPr>
              <w:t>No hedging or pledging of Company stock is permitted (with the</w:t>
            </w:r>
          </w:p>
        </w:tc>
        <w:tc>
          <w:tcPr>
            <w:tcW w:w="0" w:type="dxa"/>
            <w:vAlign w:val="bottom"/>
          </w:tcPr>
          <w:p>
            <w:pPr>
              <w:spacing w:after="0"/>
              <w:rPr>
                <w:sz w:val="1"/>
                <w:szCs w:val="1"/>
                <w:color w:val="auto"/>
              </w:rPr>
            </w:pPr>
          </w:p>
        </w:tc>
      </w:tr>
      <w:tr>
        <w:trPr>
          <w:trHeight w:val="189"/>
        </w:trPr>
        <w:tc>
          <w:tcPr>
            <w:tcW w:w="160" w:type="dxa"/>
            <w:vAlign w:val="bottom"/>
            <w:shd w:val="clear" w:color="auto" w:fill="E5EEF8"/>
          </w:tcPr>
          <w:p>
            <w:pPr>
              <w:spacing w:after="0"/>
              <w:rPr>
                <w:sz w:val="16"/>
                <w:szCs w:val="16"/>
                <w:color w:val="auto"/>
              </w:rPr>
            </w:pPr>
          </w:p>
        </w:tc>
        <w:tc>
          <w:tcPr>
            <w:tcW w:w="5460" w:type="dxa"/>
            <w:vAlign w:val="bottom"/>
            <w:vMerge w:val="restart"/>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“Clawback” policy to recoup erroneously paid cash and equity</w:t>
            </w:r>
          </w:p>
        </w:tc>
        <w:tc>
          <w:tcPr>
            <w:tcW w:w="120" w:type="dxa"/>
            <w:vAlign w:val="bottom"/>
            <w:shd w:val="clear" w:color="auto" w:fill="E5EEF8"/>
          </w:tcPr>
          <w:p>
            <w:pPr>
              <w:spacing w:after="0"/>
              <w:rPr>
                <w:sz w:val="16"/>
                <w:szCs w:val="16"/>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exception of the number of shares pledged as of the date of the</w:t>
            </w:r>
          </w:p>
        </w:tc>
        <w:tc>
          <w:tcPr>
            <w:tcW w:w="0" w:type="dxa"/>
            <w:vAlign w:val="bottom"/>
          </w:tcPr>
          <w:p>
            <w:pPr>
              <w:spacing w:after="0"/>
              <w:rPr>
                <w:sz w:val="1"/>
                <w:szCs w:val="1"/>
                <w:color w:val="auto"/>
              </w:rPr>
            </w:pPr>
          </w:p>
        </w:tc>
      </w:tr>
      <w:tr>
        <w:trPr>
          <w:trHeight w:val="229"/>
        </w:trPr>
        <w:tc>
          <w:tcPr>
            <w:tcW w:w="160" w:type="dxa"/>
            <w:vAlign w:val="bottom"/>
            <w:shd w:val="clear" w:color="auto" w:fill="E5EEF8"/>
          </w:tcPr>
          <w:p>
            <w:pPr>
              <w:spacing w:after="0"/>
              <w:rPr>
                <w:sz w:val="19"/>
                <w:szCs w:val="19"/>
                <w:color w:val="auto"/>
              </w:rPr>
            </w:pPr>
          </w:p>
        </w:tc>
        <w:tc>
          <w:tcPr>
            <w:tcW w:w="5460" w:type="dxa"/>
            <w:vAlign w:val="bottom"/>
            <w:vMerge w:val="continue"/>
          </w:tcPr>
          <w:p>
            <w:pPr>
              <w:spacing w:after="0"/>
              <w:rPr>
                <w:sz w:val="19"/>
                <w:szCs w:val="19"/>
                <w:color w:val="auto"/>
              </w:rPr>
            </w:pPr>
          </w:p>
        </w:tc>
        <w:tc>
          <w:tcPr>
            <w:tcW w:w="120" w:type="dxa"/>
            <w:vAlign w:val="bottom"/>
            <w:shd w:val="clear" w:color="auto" w:fill="E5EEF8"/>
          </w:tcPr>
          <w:p>
            <w:pPr>
              <w:spacing w:after="0"/>
              <w:rPr>
                <w:sz w:val="19"/>
                <w:szCs w:val="19"/>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adoption of the policy in January 2015 for one independent director).</w:t>
            </w:r>
          </w:p>
        </w:tc>
        <w:tc>
          <w:tcPr>
            <w:tcW w:w="0" w:type="dxa"/>
            <w:vAlign w:val="bottom"/>
          </w:tcPr>
          <w:p>
            <w:pPr>
              <w:spacing w:after="0"/>
              <w:rPr>
                <w:sz w:val="1"/>
                <w:szCs w:val="1"/>
                <w:color w:val="auto"/>
              </w:rPr>
            </w:pPr>
          </w:p>
        </w:tc>
      </w:tr>
      <w:tr>
        <w:trPr>
          <w:trHeight w:val="195"/>
        </w:trPr>
        <w:tc>
          <w:tcPr>
            <w:tcW w:w="160" w:type="dxa"/>
            <w:vAlign w:val="bottom"/>
            <w:shd w:val="clear" w:color="auto" w:fill="E5EEF8"/>
          </w:tcPr>
          <w:p>
            <w:pPr>
              <w:spacing w:after="0"/>
              <w:rPr>
                <w:sz w:val="16"/>
                <w:szCs w:val="16"/>
                <w:color w:val="auto"/>
              </w:rPr>
            </w:pPr>
          </w:p>
        </w:tc>
        <w:tc>
          <w:tcPr>
            <w:tcW w:w="5460" w:type="dxa"/>
            <w:vAlign w:val="bottom"/>
          </w:tcPr>
          <w:p>
            <w:pPr>
              <w:ind w:left="260"/>
              <w:spacing w:after="0"/>
              <w:rPr>
                <w:sz w:val="20"/>
                <w:szCs w:val="20"/>
                <w:color w:val="auto"/>
              </w:rPr>
            </w:pPr>
            <w:r>
              <w:rPr>
                <w:rFonts w:ascii="Arial" w:cs="Arial" w:eastAsia="Arial" w:hAnsi="Arial"/>
                <w:sz w:val="16"/>
                <w:szCs w:val="16"/>
                <w:color w:val="auto"/>
              </w:rPr>
              <w:t>compensation.</w:t>
            </w:r>
          </w:p>
        </w:tc>
        <w:tc>
          <w:tcPr>
            <w:tcW w:w="120" w:type="dxa"/>
            <w:vAlign w:val="bottom"/>
            <w:shd w:val="clear" w:color="auto" w:fill="E5EEF8"/>
          </w:tcPr>
          <w:p>
            <w:pPr>
              <w:spacing w:after="0"/>
              <w:rPr>
                <w:sz w:val="16"/>
                <w:szCs w:val="16"/>
                <w:color w:val="auto"/>
              </w:rPr>
            </w:pPr>
          </w:p>
        </w:tc>
        <w:tc>
          <w:tcPr>
            <w:tcW w:w="5280" w:type="dxa"/>
            <w:vAlign w:val="bottom"/>
            <w:vMerge w:val="restart"/>
          </w:tcPr>
          <w:p>
            <w:pPr>
              <w:spacing w:after="0"/>
              <w:rPr>
                <w:sz w:val="20"/>
                <w:szCs w:val="20"/>
                <w:color w:val="auto"/>
              </w:rPr>
            </w:pPr>
            <w:r>
              <w:rPr>
                <w:rFonts w:ascii="Arial" w:cs="Arial" w:eastAsia="Arial" w:hAnsi="Arial"/>
                <w:sz w:val="20"/>
                <w:szCs w:val="20"/>
                <w:color w:val="005CB9"/>
              </w:rPr>
              <w:t xml:space="preserve">Ò </w:t>
            </w:r>
            <w:r>
              <w:rPr>
                <w:rFonts w:ascii="Arial" w:cs="Arial" w:eastAsia="Arial" w:hAnsi="Arial"/>
                <w:sz w:val="16"/>
                <w:szCs w:val="16"/>
                <w:color w:val="000000"/>
              </w:rPr>
              <w:t>No excise tax gross-ups on change-in-control payments.</w:t>
            </w:r>
          </w:p>
        </w:tc>
        <w:tc>
          <w:tcPr>
            <w:tcW w:w="0" w:type="dxa"/>
            <w:vAlign w:val="bottom"/>
          </w:tcPr>
          <w:p>
            <w:pPr>
              <w:spacing w:after="0"/>
              <w:rPr>
                <w:sz w:val="1"/>
                <w:szCs w:val="1"/>
                <w:color w:val="auto"/>
              </w:rPr>
            </w:pPr>
          </w:p>
        </w:tc>
      </w:tr>
      <w:tr>
        <w:trPr>
          <w:trHeight w:val="158"/>
        </w:trPr>
        <w:tc>
          <w:tcPr>
            <w:tcW w:w="160" w:type="dxa"/>
            <w:vAlign w:val="bottom"/>
            <w:shd w:val="clear" w:color="auto" w:fill="E5EEF8"/>
          </w:tcPr>
          <w:p>
            <w:pPr>
              <w:spacing w:after="0"/>
              <w:rPr>
                <w:sz w:val="13"/>
                <w:szCs w:val="13"/>
                <w:color w:val="auto"/>
              </w:rPr>
            </w:pPr>
          </w:p>
        </w:tc>
        <w:tc>
          <w:tcPr>
            <w:tcW w:w="5460" w:type="dxa"/>
            <w:vAlign w:val="bottom"/>
            <w:vMerge w:val="restart"/>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Risk assessment review as part of risk mitigation process.</w:t>
            </w:r>
          </w:p>
        </w:tc>
        <w:tc>
          <w:tcPr>
            <w:tcW w:w="120" w:type="dxa"/>
            <w:vAlign w:val="bottom"/>
            <w:shd w:val="clear" w:color="auto" w:fill="E5EEF8"/>
          </w:tcPr>
          <w:p>
            <w:pPr>
              <w:spacing w:after="0"/>
              <w:rPr>
                <w:sz w:val="13"/>
                <w:szCs w:val="13"/>
                <w:color w:val="auto"/>
              </w:rPr>
            </w:pPr>
          </w:p>
        </w:tc>
        <w:tc>
          <w:tcPr>
            <w:tcW w:w="5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0" w:type="dxa"/>
            <w:vAlign w:val="bottom"/>
            <w:shd w:val="clear" w:color="auto" w:fill="E5EEF8"/>
          </w:tcPr>
          <w:p>
            <w:pPr>
              <w:spacing w:after="0"/>
              <w:rPr>
                <w:sz w:val="18"/>
                <w:szCs w:val="18"/>
                <w:color w:val="auto"/>
              </w:rPr>
            </w:pPr>
          </w:p>
        </w:tc>
        <w:tc>
          <w:tcPr>
            <w:tcW w:w="5460" w:type="dxa"/>
            <w:vAlign w:val="bottom"/>
            <w:vMerge w:val="continue"/>
          </w:tcPr>
          <w:p>
            <w:pPr>
              <w:spacing w:after="0"/>
              <w:rPr>
                <w:sz w:val="18"/>
                <w:szCs w:val="18"/>
                <w:color w:val="auto"/>
              </w:rPr>
            </w:pPr>
          </w:p>
        </w:tc>
        <w:tc>
          <w:tcPr>
            <w:tcW w:w="120" w:type="dxa"/>
            <w:vAlign w:val="bottom"/>
            <w:shd w:val="clear" w:color="auto" w:fill="E5EEF8"/>
          </w:tcPr>
          <w:p>
            <w:pPr>
              <w:spacing w:after="0"/>
              <w:rPr>
                <w:sz w:val="18"/>
                <w:szCs w:val="18"/>
                <w:color w:val="auto"/>
              </w:rPr>
            </w:pPr>
          </w:p>
        </w:tc>
        <w:tc>
          <w:tcPr>
            <w:tcW w:w="5280" w:type="dxa"/>
            <w:vAlign w:val="bottom"/>
            <w:vMerge w:val="restart"/>
          </w:tcPr>
          <w:p>
            <w:pPr>
              <w:spacing w:after="0"/>
              <w:rPr>
                <w:sz w:val="20"/>
                <w:szCs w:val="20"/>
                <w:color w:val="auto"/>
              </w:rPr>
            </w:pPr>
            <w:r>
              <w:rPr>
                <w:rFonts w:ascii="Arial" w:cs="Arial" w:eastAsia="Arial" w:hAnsi="Arial"/>
                <w:sz w:val="20"/>
                <w:szCs w:val="20"/>
                <w:color w:val="005CB9"/>
              </w:rPr>
              <w:t xml:space="preserve">Ò </w:t>
            </w:r>
            <w:r>
              <w:rPr>
                <w:rFonts w:ascii="Arial" w:cs="Arial" w:eastAsia="Arial" w:hAnsi="Arial"/>
                <w:sz w:val="16"/>
                <w:szCs w:val="16"/>
                <w:color w:val="000000"/>
              </w:rPr>
              <w:t>No re-pricing of underwater stock options or cash buy-outs without</w:t>
            </w:r>
          </w:p>
        </w:tc>
        <w:tc>
          <w:tcPr>
            <w:tcW w:w="0" w:type="dxa"/>
            <w:vAlign w:val="bottom"/>
          </w:tcPr>
          <w:p>
            <w:pPr>
              <w:spacing w:after="0"/>
              <w:rPr>
                <w:sz w:val="1"/>
                <w:szCs w:val="1"/>
                <w:color w:val="auto"/>
              </w:rPr>
            </w:pPr>
          </w:p>
        </w:tc>
      </w:tr>
      <w:tr>
        <w:trPr>
          <w:trHeight w:val="179"/>
        </w:trPr>
        <w:tc>
          <w:tcPr>
            <w:tcW w:w="160" w:type="dxa"/>
            <w:vAlign w:val="bottom"/>
            <w:shd w:val="clear" w:color="auto" w:fill="E5EEF8"/>
          </w:tcPr>
          <w:p>
            <w:pPr>
              <w:spacing w:after="0"/>
              <w:rPr>
                <w:sz w:val="15"/>
                <w:szCs w:val="15"/>
                <w:color w:val="auto"/>
              </w:rPr>
            </w:pPr>
          </w:p>
        </w:tc>
        <w:tc>
          <w:tcPr>
            <w:tcW w:w="5460" w:type="dxa"/>
            <w:vAlign w:val="bottom"/>
            <w:vMerge w:val="restart"/>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Independent compensation consultant retained by the Compensation</w:t>
            </w:r>
          </w:p>
        </w:tc>
        <w:tc>
          <w:tcPr>
            <w:tcW w:w="120" w:type="dxa"/>
            <w:vAlign w:val="bottom"/>
            <w:shd w:val="clear" w:color="auto" w:fill="E5EEF8"/>
          </w:tcPr>
          <w:p>
            <w:pPr>
              <w:spacing w:after="0"/>
              <w:rPr>
                <w:sz w:val="15"/>
                <w:szCs w:val="15"/>
                <w:color w:val="auto"/>
              </w:rPr>
            </w:pPr>
          </w:p>
        </w:tc>
        <w:tc>
          <w:tcPr>
            <w:tcW w:w="5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 w:type="dxa"/>
            <w:vAlign w:val="bottom"/>
            <w:shd w:val="clear" w:color="auto" w:fill="E5EEF8"/>
          </w:tcPr>
          <w:p>
            <w:pPr>
              <w:spacing w:after="0"/>
              <w:rPr>
                <w:sz w:val="15"/>
                <w:szCs w:val="15"/>
                <w:color w:val="auto"/>
              </w:rPr>
            </w:pPr>
          </w:p>
        </w:tc>
        <w:tc>
          <w:tcPr>
            <w:tcW w:w="5460" w:type="dxa"/>
            <w:vAlign w:val="bottom"/>
            <w:vMerge w:val="continue"/>
          </w:tcPr>
          <w:p>
            <w:pPr>
              <w:spacing w:after="0"/>
              <w:rPr>
                <w:sz w:val="15"/>
                <w:szCs w:val="15"/>
                <w:color w:val="auto"/>
              </w:rPr>
            </w:pPr>
          </w:p>
        </w:tc>
        <w:tc>
          <w:tcPr>
            <w:tcW w:w="120" w:type="dxa"/>
            <w:vAlign w:val="bottom"/>
            <w:shd w:val="clear" w:color="auto" w:fill="E5EEF8"/>
          </w:tcPr>
          <w:p>
            <w:pPr>
              <w:spacing w:after="0"/>
              <w:rPr>
                <w:sz w:val="15"/>
                <w:szCs w:val="15"/>
                <w:color w:val="auto"/>
              </w:rPr>
            </w:pPr>
          </w:p>
        </w:tc>
        <w:tc>
          <w:tcPr>
            <w:tcW w:w="5280" w:type="dxa"/>
            <w:vAlign w:val="bottom"/>
          </w:tcPr>
          <w:p>
            <w:pPr>
              <w:ind w:left="240"/>
              <w:spacing w:after="0" w:line="175" w:lineRule="exact"/>
              <w:rPr>
                <w:sz w:val="20"/>
                <w:szCs w:val="20"/>
                <w:color w:val="auto"/>
              </w:rPr>
            </w:pPr>
            <w:r>
              <w:rPr>
                <w:rFonts w:ascii="Arial" w:cs="Arial" w:eastAsia="Arial" w:hAnsi="Arial"/>
                <w:sz w:val="16"/>
                <w:szCs w:val="16"/>
                <w:color w:val="auto"/>
              </w:rPr>
              <w:t>shareholder approval.</w:t>
            </w:r>
          </w:p>
        </w:tc>
        <w:tc>
          <w:tcPr>
            <w:tcW w:w="0" w:type="dxa"/>
            <w:vAlign w:val="bottom"/>
          </w:tcPr>
          <w:p>
            <w:pPr>
              <w:spacing w:after="0"/>
              <w:rPr>
                <w:sz w:val="1"/>
                <w:szCs w:val="1"/>
                <w:color w:val="auto"/>
              </w:rPr>
            </w:pPr>
          </w:p>
        </w:tc>
      </w:tr>
      <w:tr>
        <w:trPr>
          <w:trHeight w:val="195"/>
        </w:trPr>
        <w:tc>
          <w:tcPr>
            <w:tcW w:w="160" w:type="dxa"/>
            <w:vAlign w:val="bottom"/>
            <w:shd w:val="clear" w:color="auto" w:fill="E5EEF8"/>
          </w:tcPr>
          <w:p>
            <w:pPr>
              <w:spacing w:after="0"/>
              <w:rPr>
                <w:sz w:val="16"/>
                <w:szCs w:val="16"/>
                <w:color w:val="auto"/>
              </w:rPr>
            </w:pPr>
          </w:p>
        </w:tc>
        <w:tc>
          <w:tcPr>
            <w:tcW w:w="5460" w:type="dxa"/>
            <w:vAlign w:val="bottom"/>
          </w:tcPr>
          <w:p>
            <w:pPr>
              <w:ind w:left="260"/>
              <w:spacing w:after="0"/>
              <w:rPr>
                <w:sz w:val="20"/>
                <w:szCs w:val="20"/>
                <w:color w:val="auto"/>
              </w:rPr>
            </w:pPr>
            <w:r>
              <w:rPr>
                <w:rFonts w:ascii="Arial" w:cs="Arial" w:eastAsia="Arial" w:hAnsi="Arial"/>
                <w:sz w:val="16"/>
                <w:szCs w:val="16"/>
                <w:color w:val="auto"/>
              </w:rPr>
              <w:t>Committee.</w:t>
            </w:r>
          </w:p>
        </w:tc>
        <w:tc>
          <w:tcPr>
            <w:tcW w:w="120" w:type="dxa"/>
            <w:vAlign w:val="bottom"/>
            <w:shd w:val="clear" w:color="auto" w:fill="E5EEF8"/>
          </w:tcPr>
          <w:p>
            <w:pPr>
              <w:spacing w:after="0"/>
              <w:rPr>
                <w:sz w:val="16"/>
                <w:szCs w:val="16"/>
                <w:color w:val="auto"/>
              </w:rPr>
            </w:pPr>
          </w:p>
        </w:tc>
        <w:tc>
          <w:tcPr>
            <w:tcW w:w="5280" w:type="dxa"/>
            <w:vAlign w:val="bottom"/>
            <w:vMerge w:val="restart"/>
          </w:tcPr>
          <w:p>
            <w:pPr>
              <w:spacing w:after="0"/>
              <w:rPr>
                <w:sz w:val="20"/>
                <w:szCs w:val="20"/>
                <w:color w:val="auto"/>
              </w:rPr>
            </w:pPr>
            <w:r>
              <w:rPr>
                <w:rFonts w:ascii="Arial" w:cs="Arial" w:eastAsia="Arial" w:hAnsi="Arial"/>
                <w:sz w:val="20"/>
                <w:szCs w:val="20"/>
                <w:color w:val="005CB9"/>
              </w:rPr>
              <w:t xml:space="preserve">Ò </w:t>
            </w:r>
            <w:r>
              <w:rPr>
                <w:rFonts w:ascii="Arial" w:cs="Arial" w:eastAsia="Arial" w:hAnsi="Arial"/>
                <w:sz w:val="16"/>
                <w:szCs w:val="16"/>
                <w:color w:val="000000"/>
              </w:rPr>
              <w:t>No granting of stock options with an exercise price less than fair</w:t>
            </w:r>
          </w:p>
        </w:tc>
        <w:tc>
          <w:tcPr>
            <w:tcW w:w="0" w:type="dxa"/>
            <w:vAlign w:val="bottom"/>
          </w:tcPr>
          <w:p>
            <w:pPr>
              <w:spacing w:after="0"/>
              <w:rPr>
                <w:sz w:val="1"/>
                <w:szCs w:val="1"/>
                <w:color w:val="auto"/>
              </w:rPr>
            </w:pPr>
          </w:p>
        </w:tc>
      </w:tr>
      <w:tr>
        <w:trPr>
          <w:trHeight w:val="210"/>
        </w:trPr>
        <w:tc>
          <w:tcPr>
            <w:tcW w:w="160" w:type="dxa"/>
            <w:vAlign w:val="bottom"/>
            <w:shd w:val="clear" w:color="auto" w:fill="E5EEF8"/>
          </w:tcPr>
          <w:p>
            <w:pPr>
              <w:spacing w:after="0"/>
              <w:rPr>
                <w:sz w:val="18"/>
                <w:szCs w:val="18"/>
                <w:color w:val="auto"/>
              </w:rPr>
            </w:pPr>
          </w:p>
        </w:tc>
        <w:tc>
          <w:tcPr>
            <w:tcW w:w="5460" w:type="dxa"/>
            <w:vAlign w:val="bottom"/>
            <w:vMerge w:val="restart"/>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Limited perquisites and other benefits.</w:t>
            </w:r>
          </w:p>
        </w:tc>
        <w:tc>
          <w:tcPr>
            <w:tcW w:w="120" w:type="dxa"/>
            <w:vAlign w:val="bottom"/>
            <w:shd w:val="clear" w:color="auto" w:fill="E5EEF8"/>
          </w:tcPr>
          <w:p>
            <w:pPr>
              <w:spacing w:after="0"/>
              <w:rPr>
                <w:sz w:val="18"/>
                <w:szCs w:val="18"/>
                <w:color w:val="auto"/>
              </w:rPr>
            </w:pPr>
          </w:p>
        </w:tc>
        <w:tc>
          <w:tcPr>
            <w:tcW w:w="5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60" w:type="dxa"/>
            <w:vAlign w:val="bottom"/>
            <w:shd w:val="clear" w:color="auto" w:fill="E5EEF8"/>
          </w:tcPr>
          <w:p>
            <w:pPr>
              <w:spacing w:after="0"/>
              <w:rPr>
                <w:sz w:val="16"/>
                <w:szCs w:val="16"/>
                <w:color w:val="auto"/>
              </w:rPr>
            </w:pPr>
          </w:p>
        </w:tc>
        <w:tc>
          <w:tcPr>
            <w:tcW w:w="5460" w:type="dxa"/>
            <w:vAlign w:val="bottom"/>
            <w:vMerge w:val="continue"/>
          </w:tcPr>
          <w:p>
            <w:pPr>
              <w:spacing w:after="0"/>
              <w:rPr>
                <w:sz w:val="16"/>
                <w:szCs w:val="16"/>
                <w:color w:val="auto"/>
              </w:rPr>
            </w:pPr>
          </w:p>
        </w:tc>
        <w:tc>
          <w:tcPr>
            <w:tcW w:w="120" w:type="dxa"/>
            <w:vAlign w:val="bottom"/>
            <w:shd w:val="clear" w:color="auto" w:fill="E5EEF8"/>
          </w:tcPr>
          <w:p>
            <w:pPr>
              <w:spacing w:after="0"/>
              <w:rPr>
                <w:sz w:val="16"/>
                <w:szCs w:val="16"/>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market value at grant.</w:t>
            </w:r>
          </w:p>
        </w:tc>
        <w:tc>
          <w:tcPr>
            <w:tcW w:w="0" w:type="dxa"/>
            <w:vAlign w:val="bottom"/>
          </w:tcPr>
          <w:p>
            <w:pPr>
              <w:spacing w:after="0"/>
              <w:rPr>
                <w:sz w:val="1"/>
                <w:szCs w:val="1"/>
                <w:color w:val="auto"/>
              </w:rPr>
            </w:pPr>
          </w:p>
        </w:tc>
      </w:tr>
      <w:tr>
        <w:trPr>
          <w:trHeight w:val="128"/>
        </w:trPr>
        <w:tc>
          <w:tcPr>
            <w:tcW w:w="160" w:type="dxa"/>
            <w:vAlign w:val="bottom"/>
            <w:shd w:val="clear" w:color="auto" w:fill="E5EEF8"/>
          </w:tcPr>
          <w:p>
            <w:pPr>
              <w:spacing w:after="0"/>
              <w:rPr>
                <w:sz w:val="11"/>
                <w:szCs w:val="11"/>
                <w:color w:val="auto"/>
              </w:rPr>
            </w:pPr>
          </w:p>
        </w:tc>
        <w:tc>
          <w:tcPr>
            <w:tcW w:w="5460" w:type="dxa"/>
            <w:vAlign w:val="bottom"/>
          </w:tcPr>
          <w:p>
            <w:pPr>
              <w:spacing w:after="0"/>
              <w:rPr>
                <w:sz w:val="11"/>
                <w:szCs w:val="11"/>
                <w:color w:val="auto"/>
              </w:rPr>
            </w:pPr>
          </w:p>
        </w:tc>
        <w:tc>
          <w:tcPr>
            <w:tcW w:w="120" w:type="dxa"/>
            <w:vAlign w:val="bottom"/>
            <w:shd w:val="clear" w:color="auto" w:fill="E5EEF8"/>
          </w:tcPr>
          <w:p>
            <w:pPr>
              <w:spacing w:after="0"/>
              <w:rPr>
                <w:sz w:val="11"/>
                <w:szCs w:val="11"/>
                <w:color w:val="auto"/>
              </w:rPr>
            </w:pPr>
          </w:p>
        </w:tc>
        <w:tc>
          <w:tcPr>
            <w:tcW w:w="5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Objectives of our Compensation Program</w:t>
      </w:r>
    </w:p>
    <w:p>
      <w:pPr>
        <w:spacing w:after="0" w:line="120"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Our compensation program for our named executive officers reflects our business needs, market requirements, and challenges in creating long-term shareholder value and is designed to:</w:t>
      </w:r>
    </w:p>
    <w:p>
      <w:pPr>
        <w:sectPr>
          <w:pgSz w:w="11900" w:h="16838" w:orient="portrait"/>
          <w:cols w:equalWidth="0" w:num="1">
            <w:col w:w="11140"/>
          </w:cols>
          <w:pgMar w:left="320" w:top="459" w:right="439" w:bottom="1440" w:gutter="0" w:footer="0" w:header="0"/>
        </w:sectPr>
      </w:pPr>
    </w:p>
    <w:p>
      <w:pPr>
        <w:spacing w:after="0" w:line="158" w:lineRule="exact"/>
        <w:rPr>
          <w:sz w:val="20"/>
          <w:szCs w:val="20"/>
          <w:color w:val="auto"/>
        </w:rPr>
      </w:pPr>
    </w:p>
    <w:p>
      <w:pPr>
        <w:ind w:left="320" w:hanging="204"/>
        <w:spacing w:after="0"/>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Drive long-term performance for the benefit of shareholders.</w:t>
      </w:r>
    </w:p>
    <w:p>
      <w:pPr>
        <w:spacing w:after="0" w:line="115" w:lineRule="exact"/>
        <w:rPr>
          <w:rFonts w:ascii="Arial" w:cs="Arial" w:eastAsia="Arial" w:hAnsi="Arial"/>
          <w:sz w:val="17"/>
          <w:szCs w:val="17"/>
          <w:color w:val="auto"/>
        </w:rPr>
      </w:pPr>
    </w:p>
    <w:p>
      <w:pPr>
        <w:ind w:left="320" w:right="40" w:hanging="204"/>
        <w:spacing w:after="0" w:line="243" w:lineRule="auto"/>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Emphasize equity compensation to align named executive officers’ interests with those of shareholders.</w:t>
      </w:r>
    </w:p>
    <w:p>
      <w:pPr>
        <w:spacing w:after="0" w:line="103" w:lineRule="exact"/>
        <w:rPr>
          <w:rFonts w:ascii="Arial" w:cs="Arial" w:eastAsia="Arial" w:hAnsi="Arial"/>
          <w:sz w:val="17"/>
          <w:szCs w:val="17"/>
          <w:color w:val="auto"/>
        </w:rPr>
      </w:pPr>
    </w:p>
    <w:p>
      <w:pPr>
        <w:ind w:left="320" w:hanging="204"/>
        <w:spacing w:after="0" w:line="235" w:lineRule="auto"/>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Provide compensation levels competitive with publicly traded companies and private equity firms. This enables us to recruit and retain seasoned leadership capable of effectively deploying capital, while driving and managing a diversified technology company that competes in a wide variety of end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176530</wp:posOffset>
            </wp:positionV>
            <wp:extent cx="7715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206" w:right="300" w:hanging="206"/>
        <w:spacing w:after="0" w:line="243" w:lineRule="auto"/>
        <w:tabs>
          <w:tab w:leader="none" w:pos="206" w:val="left"/>
        </w:tabs>
        <w:numPr>
          <w:ilvl w:val="0"/>
          <w:numId w:val="57"/>
        </w:numPr>
        <w:rPr>
          <w:rFonts w:ascii="Arial" w:cs="Arial" w:eastAsia="Arial" w:hAnsi="Arial"/>
          <w:sz w:val="17"/>
          <w:szCs w:val="17"/>
          <w:color w:val="auto"/>
        </w:rPr>
      </w:pPr>
      <w:r>
        <w:rPr>
          <w:rFonts w:ascii="Arial" w:cs="Arial" w:eastAsia="Arial" w:hAnsi="Arial"/>
          <w:sz w:val="17"/>
          <w:szCs w:val="17"/>
          <w:color w:val="auto"/>
        </w:rPr>
        <w:t>Maintain flexibility to adjust to changing business needs in a fast-paced business environment.</w:t>
      </w:r>
    </w:p>
    <w:p>
      <w:pPr>
        <w:spacing w:after="0" w:line="103" w:lineRule="exact"/>
        <w:rPr>
          <w:rFonts w:ascii="Arial" w:cs="Arial" w:eastAsia="Arial" w:hAnsi="Arial"/>
          <w:sz w:val="17"/>
          <w:szCs w:val="17"/>
          <w:color w:val="auto"/>
        </w:rPr>
      </w:pPr>
    </w:p>
    <w:p>
      <w:pPr>
        <w:ind w:left="206" w:right="40" w:hanging="206"/>
        <w:spacing w:after="0" w:line="243" w:lineRule="auto"/>
        <w:tabs>
          <w:tab w:leader="none" w:pos="206" w:val="left"/>
        </w:tabs>
        <w:numPr>
          <w:ilvl w:val="0"/>
          <w:numId w:val="57"/>
        </w:numPr>
        <w:rPr>
          <w:rFonts w:ascii="Arial" w:cs="Arial" w:eastAsia="Arial" w:hAnsi="Arial"/>
          <w:sz w:val="17"/>
          <w:szCs w:val="17"/>
          <w:color w:val="auto"/>
        </w:rPr>
      </w:pPr>
      <w:r>
        <w:rPr>
          <w:rFonts w:ascii="Arial" w:cs="Arial" w:eastAsia="Arial" w:hAnsi="Arial"/>
          <w:sz w:val="17"/>
          <w:szCs w:val="17"/>
          <w:color w:val="auto"/>
        </w:rPr>
        <w:t>Simplify compensation design to promote transparency and facilitate ease of administration and communication.</w:t>
      </w:r>
    </w:p>
    <w:p>
      <w:pPr>
        <w:spacing w:after="0" w:line="103" w:lineRule="exact"/>
        <w:rPr>
          <w:rFonts w:ascii="Arial" w:cs="Arial" w:eastAsia="Arial" w:hAnsi="Arial"/>
          <w:sz w:val="17"/>
          <w:szCs w:val="17"/>
          <w:color w:val="auto"/>
        </w:rPr>
      </w:pPr>
    </w:p>
    <w:p>
      <w:pPr>
        <w:ind w:left="206" w:hanging="206"/>
        <w:spacing w:after="0"/>
        <w:tabs>
          <w:tab w:leader="none" w:pos="206" w:val="left"/>
        </w:tabs>
        <w:numPr>
          <w:ilvl w:val="0"/>
          <w:numId w:val="57"/>
        </w:numPr>
        <w:rPr>
          <w:rFonts w:ascii="Arial" w:cs="Arial" w:eastAsia="Arial" w:hAnsi="Arial"/>
          <w:sz w:val="17"/>
          <w:szCs w:val="17"/>
          <w:color w:val="auto"/>
        </w:rPr>
      </w:pPr>
      <w:r>
        <w:rPr>
          <w:rFonts w:ascii="Arial" w:cs="Arial" w:eastAsia="Arial" w:hAnsi="Arial"/>
          <w:sz w:val="17"/>
          <w:szCs w:val="17"/>
          <w:color w:val="auto"/>
        </w:rPr>
        <w:t>Solicit and consider the views of our shareholders.</w:t>
      </w:r>
    </w:p>
    <w:p>
      <w:pPr>
        <w:spacing w:after="0" w:line="115" w:lineRule="exact"/>
        <w:rPr>
          <w:rFonts w:ascii="Arial" w:cs="Arial" w:eastAsia="Arial" w:hAnsi="Arial"/>
          <w:sz w:val="17"/>
          <w:szCs w:val="17"/>
          <w:color w:val="auto"/>
        </w:rPr>
      </w:pPr>
    </w:p>
    <w:p>
      <w:pPr>
        <w:ind w:left="206" w:hanging="206"/>
        <w:spacing w:after="0"/>
        <w:tabs>
          <w:tab w:leader="none" w:pos="206" w:val="left"/>
        </w:tabs>
        <w:numPr>
          <w:ilvl w:val="0"/>
          <w:numId w:val="57"/>
        </w:numPr>
        <w:rPr>
          <w:rFonts w:ascii="Arial" w:cs="Arial" w:eastAsia="Arial" w:hAnsi="Arial"/>
          <w:sz w:val="17"/>
          <w:szCs w:val="17"/>
          <w:color w:val="auto"/>
        </w:rPr>
      </w:pPr>
      <w:r>
        <w:rPr>
          <w:rFonts w:ascii="Arial" w:cs="Arial" w:eastAsia="Arial" w:hAnsi="Arial"/>
          <w:sz w:val="17"/>
          <w:szCs w:val="17"/>
          <w:color w:val="auto"/>
        </w:rPr>
        <w:t>Adhere to the highest legal, governance, and ethical standards.</w:t>
      </w:r>
    </w:p>
    <w:p>
      <w:pPr>
        <w:spacing w:after="0" w:line="462" w:lineRule="exact"/>
        <w:rPr>
          <w:sz w:val="20"/>
          <w:szCs w:val="20"/>
          <w:color w:val="auto"/>
        </w:rPr>
      </w:pPr>
    </w:p>
    <w:p>
      <w:pPr>
        <w:sectPr>
          <w:pgSz w:w="11900" w:h="16838" w:orient="portrait"/>
          <w:cols w:equalWidth="0" w:num="2">
            <w:col w:w="5380" w:space="354"/>
            <w:col w:w="5406"/>
          </w:cols>
          <w:pgMar w:left="320" w:top="459" w:right="439" w:bottom="1440" w:gutter="0" w:footer="0" w:header="0"/>
          <w:type w:val="continuous"/>
        </w:sectPr>
      </w:pPr>
    </w:p>
    <w:p>
      <w:pPr>
        <w:spacing w:after="0" w:line="136" w:lineRule="exact"/>
        <w:rPr>
          <w:sz w:val="20"/>
          <w:szCs w:val="20"/>
          <w:color w:val="auto"/>
        </w:rPr>
      </w:pPr>
    </w:p>
    <w:p>
      <w:pPr>
        <w:ind w:left="340" w:right="40" w:hanging="224"/>
        <w:spacing w:after="0" w:line="183" w:lineRule="auto"/>
        <w:tabs>
          <w:tab w:leader="none" w:pos="3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As discussed in “Funding Schedule and 2021 Incremental Cash Incentive Opportunity” below, for 2021 only, executives were provided the opportunity to earn up to 150% of their annual target bonus opportunity should the Company deliver superior performance in 2021.</w:t>
      </w:r>
    </w:p>
    <w:p>
      <w:pPr>
        <w:spacing w:after="0" w:line="135" w:lineRule="exact"/>
        <w:rPr>
          <w:sz w:val="20"/>
          <w:szCs w:val="20"/>
          <w:color w:val="auto"/>
        </w:rPr>
      </w:pPr>
    </w:p>
    <w:tbl>
      <w:tblPr>
        <w:tblLayout w:type="fixed"/>
        <w:tblInd w:w="6920" w:type="dxa"/>
        <w:tblCellMar>
          <w:top w:w="0" w:type="dxa"/>
          <w:left w:w="0" w:type="dxa"/>
          <w:bottom w:w="0" w:type="dxa"/>
          <w:right w:w="0" w:type="dxa"/>
        </w:tblCellMar>
      </w:tblPr>
      <w:tr>
        <w:trPr>
          <w:trHeight w:val="29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005CB9"/>
              </w:rPr>
              <w:t>27</w:t>
            </w:r>
          </w:p>
        </w:tc>
      </w:tr>
      <w:tr>
        <w:trPr>
          <w:trHeight w:val="100"/>
        </w:trPr>
        <w:tc>
          <w:tcPr>
            <w:tcW w:w="3900" w:type="dxa"/>
            <w:vAlign w:val="bottom"/>
            <w:tcBorders>
              <w:right w:val="single" w:sz="8" w:color="005CB9"/>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-205105</wp:posOffset>
            </wp:positionV>
            <wp:extent cx="428625"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ELEMENTS OF COMPENSATION</w:t>
      </w:r>
    </w:p>
    <w:p>
      <w:pPr>
        <w:spacing w:after="0" w:line="124" w:lineRule="exact"/>
        <w:rPr>
          <w:sz w:val="20"/>
          <w:szCs w:val="20"/>
          <w:color w:val="auto"/>
        </w:rPr>
      </w:pPr>
    </w:p>
    <w:p>
      <w:pPr>
        <w:ind w:left="120" w:right="700"/>
        <w:spacing w:after="0" w:line="243" w:lineRule="auto"/>
        <w:rPr>
          <w:sz w:val="20"/>
          <w:szCs w:val="20"/>
          <w:color w:val="auto"/>
        </w:rPr>
      </w:pPr>
      <w:r>
        <w:rPr>
          <w:rFonts w:ascii="Arial" w:cs="Arial" w:eastAsia="Arial" w:hAnsi="Arial"/>
          <w:sz w:val="17"/>
          <w:szCs w:val="17"/>
          <w:color w:val="auto"/>
        </w:rPr>
        <w:t>Our executive compensation program consists of several elements, each with an objective that fits into our overall program to provide an integrated and competitive total pay package.</w:t>
      </w:r>
    </w:p>
    <w:p>
      <w:pPr>
        <w:sectPr>
          <w:pgSz w:w="11900" w:h="16838" w:orient="portrait"/>
          <w:cols w:equalWidth="0" w:num="1">
            <w:col w:w="11120"/>
          </w:cols>
          <w:pgMar w:left="320" w:top="459" w:right="459" w:bottom="1440" w:gutter="0" w:footer="0" w:header="0"/>
        </w:sectPr>
      </w:pP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Long-Term Stock Incentives</w:t>
      </w:r>
    </w:p>
    <w:p>
      <w:pPr>
        <w:spacing w:after="0" w:line="120"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Equity compensation is the largest and most important form of pay for our named executive officers as it achieves many of our key compensation objectives:</w:t>
      </w:r>
    </w:p>
    <w:p>
      <w:pPr>
        <w:spacing w:after="0" w:line="107" w:lineRule="exact"/>
        <w:rPr>
          <w:sz w:val="20"/>
          <w:szCs w:val="20"/>
          <w:color w:val="auto"/>
        </w:rPr>
      </w:pPr>
    </w:p>
    <w:p>
      <w:pPr>
        <w:ind w:left="320" w:right="180" w:hanging="204"/>
        <w:spacing w:after="0" w:line="238" w:lineRule="auto"/>
        <w:tabs>
          <w:tab w:leader="none" w:pos="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Tie pay to performance by linking compensation to shareholder value creation and achievement of pre-established and objective performance criteria.</w:t>
      </w:r>
    </w:p>
    <w:p>
      <w:pPr>
        <w:spacing w:after="0" w:line="106" w:lineRule="exact"/>
        <w:rPr>
          <w:rFonts w:ascii="Arial" w:cs="Arial" w:eastAsia="Arial" w:hAnsi="Arial"/>
          <w:sz w:val="17"/>
          <w:szCs w:val="17"/>
          <w:color w:val="auto"/>
        </w:rPr>
      </w:pPr>
    </w:p>
    <w:p>
      <w:pPr>
        <w:ind w:left="320" w:right="540" w:hanging="204"/>
        <w:spacing w:after="0" w:line="243" w:lineRule="auto"/>
        <w:tabs>
          <w:tab w:leader="none" w:pos="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Align named executive officers’ interests with those of shareholders while reinforcing a long-term planning horizon.</w:t>
      </w:r>
    </w:p>
    <w:p>
      <w:pPr>
        <w:spacing w:after="0" w:line="103" w:lineRule="exact"/>
        <w:rPr>
          <w:rFonts w:ascii="Arial" w:cs="Arial" w:eastAsia="Arial" w:hAnsi="Arial"/>
          <w:sz w:val="17"/>
          <w:szCs w:val="17"/>
          <w:color w:val="auto"/>
        </w:rPr>
      </w:pPr>
    </w:p>
    <w:p>
      <w:pPr>
        <w:ind w:left="320" w:right="260" w:hanging="204"/>
        <w:spacing w:after="0" w:line="243" w:lineRule="auto"/>
        <w:tabs>
          <w:tab w:leader="none" w:pos="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Attract named executive officers, particularly those interested in building long-term value for shareholders.</w:t>
      </w:r>
    </w:p>
    <w:p>
      <w:pPr>
        <w:spacing w:after="0" w:line="103" w:lineRule="exact"/>
        <w:rPr>
          <w:rFonts w:ascii="Arial" w:cs="Arial" w:eastAsia="Arial" w:hAnsi="Arial"/>
          <w:sz w:val="17"/>
          <w:szCs w:val="17"/>
          <w:color w:val="auto"/>
        </w:rPr>
      </w:pPr>
    </w:p>
    <w:p>
      <w:pPr>
        <w:jc w:val="both"/>
        <w:ind w:left="320" w:right="120" w:hanging="204"/>
        <w:spacing w:after="0" w:line="238" w:lineRule="auto"/>
        <w:tabs>
          <w:tab w:leader="none" w:pos="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Retain named executive officers and reward continued service by ensuring the forfeiture of awards prior to satisfaction of multi-year service requirements.</w:t>
      </w:r>
    </w:p>
    <w:p>
      <w:pPr>
        <w:spacing w:after="0" w:line="20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To determine the appropriate value of an equity award, the Compensation Committee considers the compensation practices of its peers as well as an executive’s individual performance and relative responsibilities.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We use two types of equity awards: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Stock Options</w:t>
      </w:r>
    </w:p>
    <w:p>
      <w:pPr>
        <w:spacing w:after="0" w:line="120"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exercise price of stock options is set at the market closing price of our common stock on the date of grant, which provides an incentive to grow shareholder value and requires continued service over multiple years to realize any gains. For the CEO, stock options vest on the third anniversary of the grant date. For the other named executive officers, stock options vest in equal installments on the second and third anniversaries of the grant date. However, beginning with awards made in 2022, stock options for the other named executive officers vest only on the third anniversary of the grant date.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Performance-Based Restricted Stock</w:t>
      </w:r>
    </w:p>
    <w:p>
      <w:pPr>
        <w:spacing w:after="0" w:line="120"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In addition to continued service, the vesting of restricted stock is 100% contingent on the Company attaining specific, pre-established and objective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performance goals, as specified by the Compensation Committee. Dividends are withheld and paid only to the extent the shares are actually earned by performance. Performance-based restricted stock is intended to encourage the retention of named executive officers, provide a continuing incentive to increase shareholder value, and further align our named executive officers’ interests with shareholder interests.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Equity Grants</w:t>
      </w:r>
    </w:p>
    <w:p>
      <w:pPr>
        <w:spacing w:after="0" w:line="12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Compensation Committee grants annual awards of performance-based restricted stock and stock options to named executive officers at the first regularly scheduled committee meeting each year, typically in January. The exercise price for stock options is the closing price of Roper common stock on the date of grant. From time to time the Compensation Committee may grant additional awards in connection with promotions or increased responsibilities as well as to newly hired employees.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We use two types of cash payments: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Cash Incentives</w:t>
      </w:r>
    </w:p>
    <w:p>
      <w:pPr>
        <w:spacing w:after="0" w:line="12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Cash incentives support the achievement of our business strategies by tying a portion of compensation to the achievement of established financial objectives and assist in attracting named executive officers due to their market prevalence. Cash incentives are capped to avoid an excessive short-term focus and potentially excessive risk-taking. Annual cash incentives for named executive officers, including our CEO, are tied to annual performance. Our CEO’s special long-term cash incentive award is tied to cumulative financial performance over a five-year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5CB9"/>
        </w:rPr>
        <w:t>Base Salary</w:t>
      </w:r>
    </w:p>
    <w:p>
      <w:pPr>
        <w:spacing w:after="0" w:line="12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Base salary is fixed cash compensation that reflects level and scope of responsibility, experience and skills as well as market practices. The Compensation Committee reviews each named executive officer’s base salary annually as well as in connection with a promotion or other change in responsibilities. Salary adjustments are usually effective as of January 1.</w:t>
      </w:r>
    </w:p>
    <w:p>
      <w:pPr>
        <w:spacing w:after="0" w:line="497" w:lineRule="exact"/>
        <w:rPr>
          <w:sz w:val="20"/>
          <w:szCs w:val="20"/>
          <w:color w:val="auto"/>
        </w:rPr>
      </w:pPr>
    </w:p>
    <w:p>
      <w:pPr>
        <w:sectPr>
          <w:pgSz w:w="11900" w:h="16838" w:orient="portrait"/>
          <w:cols w:equalWidth="0" w:num="2">
            <w:col w:w="5380" w:space="360"/>
            <w:col w:w="5380"/>
          </w:cols>
          <w:pgMar w:left="320" w:top="459" w:right="459" w:bottom="1440" w:gutter="0" w:footer="0" w:header="0"/>
          <w:type w:val="continuous"/>
        </w:sectPr>
      </w:pPr>
    </w:p>
    <w:p>
      <w:pPr>
        <w:spacing w:after="0" w:line="89"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440" w:type="dxa"/>
            <w:vAlign w:val="bottom"/>
            <w:tcBorders>
              <w:right w:val="single" w:sz="8" w:color="005CB9"/>
            </w:tcBorders>
          </w:tcPr>
          <w:p>
            <w:pPr>
              <w:jc w:val="right"/>
              <w:ind w:right="179"/>
              <w:spacing w:after="0"/>
              <w:rPr>
                <w:sz w:val="20"/>
                <w:szCs w:val="20"/>
                <w:color w:val="auto"/>
              </w:rPr>
            </w:pPr>
            <w:r>
              <w:rPr>
                <w:rFonts w:ascii="Arial" w:cs="Arial" w:eastAsia="Arial" w:hAnsi="Arial"/>
                <w:sz w:val="16"/>
                <w:szCs w:val="16"/>
                <w:b w:val="1"/>
                <w:bCs w:val="1"/>
                <w:color w:val="005CB9"/>
                <w:w w:val="89"/>
              </w:rPr>
              <w:t>28</w:t>
            </w:r>
          </w:p>
        </w:tc>
        <w:tc>
          <w:tcPr>
            <w:tcW w:w="4700" w:type="dxa"/>
            <w:vAlign w:val="bottom"/>
          </w:tcPr>
          <w:p>
            <w:pPr>
              <w:ind w:left="106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0"/>
        </w:trPr>
        <w:tc>
          <w:tcPr>
            <w:tcW w:w="440" w:type="dxa"/>
            <w:vAlign w:val="bottom"/>
            <w:tcBorders>
              <w:right w:val="single" w:sz="8" w:color="005CB9"/>
            </w:tcBorders>
          </w:tcPr>
          <w:p>
            <w:pPr>
              <w:spacing w:after="0"/>
              <w:rPr>
                <w:sz w:val="8"/>
                <w:szCs w:val="8"/>
                <w:color w:val="auto"/>
              </w:rPr>
            </w:pPr>
          </w:p>
        </w:tc>
        <w:tc>
          <w:tcPr>
            <w:tcW w:w="47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-205105</wp:posOffset>
            </wp:positionV>
            <wp:extent cx="428625"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Other Pay Elements</w:t>
      </w:r>
    </w:p>
    <w:p>
      <w:pPr>
        <w:spacing w:after="0" w:line="120"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As Roper has largely avoided perquisites, supplemental pensions, and other compensation not tied to performance, the other items summarized below represent only a small portion of our named executive officers’ total compensation.</w:t>
      </w:r>
    </w:p>
    <w:p>
      <w:pPr>
        <w:sectPr>
          <w:pgSz w:w="11900" w:h="16838" w:orient="portrait"/>
          <w:cols w:equalWidth="0" w:num="1">
            <w:col w:w="11140"/>
          </w:cols>
          <w:pgMar w:left="320" w:top="459" w:right="439" w:bottom="1440" w:gutter="0" w:footer="0" w:header="0"/>
        </w:sectPr>
      </w:pP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Retirement Benefits</w:t>
      </w:r>
    </w:p>
    <w:p>
      <w:pPr>
        <w:spacing w:after="0" w:line="134" w:lineRule="exact"/>
        <w:rPr>
          <w:sz w:val="20"/>
          <w:szCs w:val="20"/>
          <w:color w:val="auto"/>
        </w:rPr>
      </w:pPr>
    </w:p>
    <w:p>
      <w:pPr>
        <w:ind w:left="320" w:hanging="204"/>
        <w:spacing w:after="0" w:line="235" w:lineRule="auto"/>
        <w:tabs>
          <w:tab w:leader="none" w:pos="3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Named executive officers may participate under the same terms as other eligible employees in a 401(k) plan that provides matching contributions capped at 7.5% of cash compensation, subject to limitations imposed by the Internal Revenue Code of 1986, as amended (the “Code”).</w:t>
      </w:r>
    </w:p>
    <w:p>
      <w:pPr>
        <w:spacing w:after="0" w:line="109" w:lineRule="exact"/>
        <w:rPr>
          <w:rFonts w:ascii="Arial" w:cs="Arial" w:eastAsia="Arial" w:hAnsi="Arial"/>
          <w:sz w:val="17"/>
          <w:szCs w:val="17"/>
          <w:color w:val="auto"/>
        </w:rPr>
      </w:pPr>
    </w:p>
    <w:p>
      <w:pPr>
        <w:ind w:left="320" w:right="140" w:hanging="204"/>
        <w:spacing w:after="0" w:line="234" w:lineRule="auto"/>
        <w:tabs>
          <w:tab w:leader="none" w:pos="3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To provide financial planning flexibility, we maintain a Non-Qualified Retirement Plan, under which named executive officers may elect to defer cash compensation. This plan is intended to provide deferred compensation benefits that would have been earned under the tax-qualified 401(k) plan but for certain limitations imposed by the Code. For more information on this plan, see the “Executive Compensation—2021 Non-Qualified Deferred Compensation” section below.</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Perquisites and Other Benefits</w:t>
      </w:r>
    </w:p>
    <w:p>
      <w:pPr>
        <w:spacing w:after="0" w:line="120"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Perquisites and other non-cash benefits offered to named executive officers are limited to an automobile allowance, financial planning assistance (for Mr. Hunn) and periodic medical physicals. Club memberships are permitted when they have a business purpose.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Severance and Change in Control Provisions</w:t>
      </w:r>
    </w:p>
    <w:p>
      <w:pPr>
        <w:spacing w:after="0" w:line="120"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We have letter agreements only with Messrs. Hunn and Stipancich. These arrangements provide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severance benefits in the event of termination of employment under certain circumstances, including in connection with a change in control. For a description of these agreements and payments under various termination scenarios, see the “Executive Compensation—Potential Payments upon Termination or Change in Control” section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Double Trigger Equity Vesting</w:t>
      </w:r>
    </w:p>
    <w:p>
      <w:pPr>
        <w:spacing w:after="0" w:line="12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 regard to equity awards, we use a “double trigger” approach to vesting upon a change in control, rather than providing for vesting solely upon a change in control (“single trigger”), because we believe it provides adequate protection and reduces potential costs for a possible acquirer of the Company. See the “Executive Compensation—Potential Payments upon Termination or Change in Control” section below for additional detail.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No Tax Gross-Ups</w:t>
      </w:r>
    </w:p>
    <w:p>
      <w:pPr>
        <w:spacing w:after="0" w:line="120"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A named executive officer may be subject to excise taxes on benefits received in relation to a change in control of the Company. We do not provide excise-tax gross-ups to named executive officers (which would place the named executive officer in the same tax position as if the excise tax did not apply).</w:t>
      </w:r>
    </w:p>
    <w:p>
      <w:pPr>
        <w:spacing w:after="0" w:line="1029" w:lineRule="exact"/>
        <w:rPr>
          <w:sz w:val="20"/>
          <w:szCs w:val="20"/>
          <w:color w:val="auto"/>
        </w:rPr>
      </w:pPr>
    </w:p>
    <w:p>
      <w:pPr>
        <w:sectPr>
          <w:pgSz w:w="11900" w:h="16838" w:orient="portrait"/>
          <w:cols w:equalWidth="0" w:num="2">
            <w:col w:w="5380" w:space="360"/>
            <w:col w:w="5400"/>
          </w:cols>
          <w:pgMar w:left="320" w:top="459" w:right="439" w:bottom="1440" w:gutter="0" w:footer="0" w:header="0"/>
          <w:type w:val="continuous"/>
        </w:sectPr>
      </w:pPr>
    </w:p>
    <w:p>
      <w:pPr>
        <w:spacing w:after="0" w:line="85" w:lineRule="exact"/>
        <w:rPr>
          <w:sz w:val="20"/>
          <w:szCs w:val="20"/>
          <w:color w:val="auto"/>
        </w:rPr>
      </w:pPr>
    </w:p>
    <w:tbl>
      <w:tblPr>
        <w:tblLayout w:type="fixed"/>
        <w:tblInd w:w="6920" w:type="dxa"/>
        <w:tblCellMar>
          <w:top w:w="0" w:type="dxa"/>
          <w:left w:w="0" w:type="dxa"/>
          <w:bottom w:w="0" w:type="dxa"/>
          <w:right w:w="0" w:type="dxa"/>
        </w:tblCellMar>
      </w:tblPr>
      <w:tr>
        <w:trPr>
          <w:trHeight w:val="29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005CB9"/>
              </w:rPr>
              <w:t>29</w:t>
            </w:r>
          </w:p>
        </w:tc>
      </w:tr>
      <w:tr>
        <w:trPr>
          <w:trHeight w:val="100"/>
        </w:trPr>
        <w:tc>
          <w:tcPr>
            <w:tcW w:w="3900" w:type="dxa"/>
            <w:vAlign w:val="bottom"/>
            <w:tcBorders>
              <w:right w:val="single" w:sz="8" w:color="005CB9"/>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-205105</wp:posOffset>
            </wp:positionV>
            <wp:extent cx="428625"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Mix of Total Compensation</w:t>
      </w:r>
    </w:p>
    <w:p>
      <w:pPr>
        <w:spacing w:after="0" w:line="120"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Compensation for our named executive officers encourages a long-term focus and closely aligns with shareholder interests. For 2021, the total direct compensation at target that was at risk and tied to stock price and performance objectives was 95% for the CEO, and 88% on average for our other named executive officers.</w:t>
      </w:r>
    </w:p>
    <w:p>
      <w:pPr>
        <w:spacing w:after="0" w:line="200" w:lineRule="exact"/>
        <w:rPr>
          <w:sz w:val="20"/>
          <w:szCs w:val="20"/>
          <w:color w:val="auto"/>
        </w:rPr>
      </w:pPr>
    </w:p>
    <w:p>
      <w:pPr>
        <w:spacing w:after="0" w:line="2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2021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165735</wp:posOffset>
            </wp:positionV>
            <wp:extent cx="3814445" cy="18605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14445" cy="1860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PROCESS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Compensation Committee Oversight</w:t>
      </w:r>
    </w:p>
    <w:p>
      <w:pPr>
        <w:spacing w:after="0" w:line="120" w:lineRule="exact"/>
        <w:rPr>
          <w:sz w:val="20"/>
          <w:szCs w:val="20"/>
          <w:color w:val="auto"/>
        </w:rPr>
      </w:pPr>
    </w:p>
    <w:p>
      <w:pPr>
        <w:ind w:left="120" w:right="300"/>
        <w:spacing w:after="0" w:line="236" w:lineRule="auto"/>
        <w:rPr>
          <w:sz w:val="20"/>
          <w:szCs w:val="20"/>
          <w:color w:val="auto"/>
        </w:rPr>
      </w:pPr>
      <w:r>
        <w:rPr>
          <w:rFonts w:ascii="Arial" w:cs="Arial" w:eastAsia="Arial" w:hAnsi="Arial"/>
          <w:sz w:val="17"/>
          <w:szCs w:val="17"/>
          <w:color w:val="auto"/>
        </w:rPr>
        <w:t>The Compensation Committee oversees our executive compensation program to appropriately compensate our named executive officers, motivate our named executive officers to achieve our business objectives, and align our named executive officers’ interests with those of our shareholders. The Compensation Committee reviews each element of compensation for each named executive officer and determines any adjustments to compensation structure and levels in light of various considerations, including:</w:t>
      </w:r>
    </w:p>
    <w:p>
      <w:pPr>
        <w:spacing w:after="0" w:line="109" w:lineRule="exact"/>
        <w:rPr>
          <w:sz w:val="20"/>
          <w:szCs w:val="20"/>
          <w:color w:val="auto"/>
        </w:rPr>
      </w:pPr>
    </w:p>
    <w:p>
      <w:pPr>
        <w:ind w:left="340" w:hanging="224"/>
        <w:spacing w:after="0"/>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scope of the named executive officer’s responsibilities, performance and experience as well as competitive compensation levels.</w:t>
      </w:r>
    </w:p>
    <w:p>
      <w:pPr>
        <w:spacing w:after="0" w:line="115" w:lineRule="exact"/>
        <w:rPr>
          <w:rFonts w:ascii="Arial" w:cs="Arial" w:eastAsia="Arial" w:hAnsi="Arial"/>
          <w:sz w:val="17"/>
          <w:szCs w:val="17"/>
          <w:color w:val="auto"/>
        </w:rPr>
      </w:pPr>
    </w:p>
    <w:p>
      <w:pPr>
        <w:ind w:left="340" w:hanging="224"/>
        <w:spacing w:after="0"/>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financial results against prior periods.</w:t>
      </w:r>
    </w:p>
    <w:p>
      <w:pPr>
        <w:spacing w:after="0" w:line="115" w:lineRule="exact"/>
        <w:rPr>
          <w:rFonts w:ascii="Arial" w:cs="Arial" w:eastAsia="Arial" w:hAnsi="Arial"/>
          <w:sz w:val="17"/>
          <w:szCs w:val="17"/>
          <w:color w:val="auto"/>
        </w:rPr>
      </w:pPr>
    </w:p>
    <w:p>
      <w:pPr>
        <w:ind w:left="340" w:hanging="224"/>
        <w:spacing w:after="0"/>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structure of our compensation program relative to sound risk management, as discussed with management.</w:t>
      </w:r>
    </w:p>
    <w:p>
      <w:pPr>
        <w:spacing w:after="0" w:line="115" w:lineRule="exact"/>
        <w:rPr>
          <w:rFonts w:ascii="Arial" w:cs="Arial" w:eastAsia="Arial" w:hAnsi="Arial"/>
          <w:sz w:val="17"/>
          <w:szCs w:val="17"/>
          <w:color w:val="auto"/>
        </w:rPr>
      </w:pPr>
    </w:p>
    <w:p>
      <w:pPr>
        <w:ind w:left="340" w:hanging="224"/>
        <w:spacing w:after="0"/>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results of the advisory shareholder vote on the compensation of our named executive officers and input from shareholders.</w:t>
      </w:r>
    </w:p>
    <w:p>
      <w:pPr>
        <w:spacing w:after="0" w:line="115" w:lineRule="exact"/>
        <w:rPr>
          <w:rFonts w:ascii="Arial" w:cs="Arial" w:eastAsia="Arial" w:hAnsi="Arial"/>
          <w:sz w:val="17"/>
          <w:szCs w:val="17"/>
          <w:color w:val="auto"/>
        </w:rPr>
      </w:pPr>
    </w:p>
    <w:p>
      <w:pPr>
        <w:ind w:left="340" w:right="580" w:hanging="224"/>
        <w:spacing w:after="0" w:line="243" w:lineRule="auto"/>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Competitive pressures from private equity and capital deployment companies, as well as market practices and external developments generally.</w:t>
      </w:r>
    </w:p>
    <w:p>
      <w:pPr>
        <w:spacing w:after="0" w:line="103" w:lineRule="exact"/>
        <w:rPr>
          <w:rFonts w:ascii="Arial" w:cs="Arial" w:eastAsia="Arial" w:hAnsi="Arial"/>
          <w:sz w:val="17"/>
          <w:szCs w:val="17"/>
          <w:color w:val="auto"/>
        </w:rPr>
      </w:pPr>
    </w:p>
    <w:p>
      <w:pPr>
        <w:ind w:left="340" w:right="380" w:hanging="224"/>
        <w:spacing w:after="0" w:line="243" w:lineRule="auto"/>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utilization of a compensation consultant who provides extensive external benchmarking of named executive officer compensation of industry peer group companies for comparison purposes.</w:t>
      </w:r>
    </w:p>
    <w:p>
      <w:pPr>
        <w:spacing w:after="0" w:line="137"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440" w:type="dxa"/>
            <w:vAlign w:val="bottom"/>
            <w:tcBorders>
              <w:right w:val="single" w:sz="8" w:color="005CB9"/>
            </w:tcBorders>
          </w:tcPr>
          <w:p>
            <w:pPr>
              <w:jc w:val="right"/>
              <w:ind w:right="179"/>
              <w:spacing w:after="0"/>
              <w:rPr>
                <w:sz w:val="20"/>
                <w:szCs w:val="20"/>
                <w:color w:val="auto"/>
              </w:rPr>
            </w:pPr>
            <w:r>
              <w:rPr>
                <w:rFonts w:ascii="Arial" w:cs="Arial" w:eastAsia="Arial" w:hAnsi="Arial"/>
                <w:sz w:val="16"/>
                <w:szCs w:val="16"/>
                <w:b w:val="1"/>
                <w:bCs w:val="1"/>
                <w:color w:val="005CB9"/>
                <w:w w:val="89"/>
              </w:rPr>
              <w:t>30</w:t>
            </w:r>
          </w:p>
        </w:tc>
        <w:tc>
          <w:tcPr>
            <w:tcW w:w="4700" w:type="dxa"/>
            <w:vAlign w:val="bottom"/>
          </w:tcPr>
          <w:p>
            <w:pPr>
              <w:ind w:left="106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0"/>
        </w:trPr>
        <w:tc>
          <w:tcPr>
            <w:tcW w:w="440" w:type="dxa"/>
            <w:vAlign w:val="bottom"/>
            <w:tcBorders>
              <w:right w:val="single" w:sz="8" w:color="005CB9"/>
            </w:tcBorders>
          </w:tcPr>
          <w:p>
            <w:pPr>
              <w:spacing w:after="0"/>
              <w:rPr>
                <w:sz w:val="8"/>
                <w:szCs w:val="8"/>
                <w:color w:val="auto"/>
              </w:rPr>
            </w:pPr>
          </w:p>
        </w:tc>
        <w:tc>
          <w:tcPr>
            <w:tcW w:w="47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-205105</wp:posOffset>
            </wp:positionV>
            <wp:extent cx="428625"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0980"/>
          </w:cols>
          <w:pgMar w:left="320" w:top="459" w:right="5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57"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The Compensation Committee has maintained a simple program that drives long-term performance and superior value creation for shareholders enabling Roper to attract, retain, and motivate an outstanding leadership team.</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Compensation Consultant</w:t>
      </w:r>
    </w:p>
    <w:p>
      <w:pPr>
        <w:spacing w:after="0" w:line="120"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In September 2019, the Compensation Committee, as part of an effort to bring a fresh perspective to our compensation practices, retained the services of Compensia, a national compensation consulting firm, (the “Consultant”) to closely monitor developments and trends in executive compensation and to provide recommendations for appropriate adjustments to the Company’s compensation program, policies and practices in line with the Company’s business and talent strategies and investor expectations.</w:t>
      </w:r>
    </w:p>
    <w:p>
      <w:pPr>
        <w:spacing w:after="0" w:line="109" w:lineRule="exact"/>
        <w:rPr>
          <w:sz w:val="20"/>
          <w:szCs w:val="20"/>
          <w:color w:val="auto"/>
        </w:rPr>
      </w:pPr>
    </w:p>
    <w:p>
      <w:pPr>
        <w:ind w:left="340" w:right="60" w:hanging="224"/>
        <w:spacing w:after="0" w:line="238" w:lineRule="auto"/>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Consultant is independent, reports directly to the Chair of the Compensation Committee and has never performed other work for the Company. Each year the Compensation Committee confirms that its engagement of the Consultant does not raise any conflicts of interest, and consistent with prior years, for 2021 there were no conflicts of interest.</w:t>
      </w:r>
    </w:p>
    <w:p>
      <w:pPr>
        <w:spacing w:after="0" w:line="106" w:lineRule="exact"/>
        <w:rPr>
          <w:rFonts w:ascii="Arial" w:cs="Arial" w:eastAsia="Arial" w:hAnsi="Arial"/>
          <w:sz w:val="17"/>
          <w:szCs w:val="17"/>
          <w:color w:val="auto"/>
        </w:rPr>
      </w:pPr>
    </w:p>
    <w:p>
      <w:pPr>
        <w:ind w:left="340" w:right="840" w:hanging="224"/>
        <w:spacing w:after="0" w:line="243" w:lineRule="auto"/>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Consultant attends all meetings of the Compensation Committee where evaluations of the effectiveness of our overall executive compensation program are conducted or where compensation for named executive officers is analyzed or approved.</w:t>
      </w:r>
    </w:p>
    <w:p>
      <w:pPr>
        <w:spacing w:after="0" w:line="103" w:lineRule="exact"/>
        <w:rPr>
          <w:rFonts w:ascii="Arial" w:cs="Arial" w:eastAsia="Arial" w:hAnsi="Arial"/>
          <w:sz w:val="17"/>
          <w:szCs w:val="17"/>
          <w:color w:val="auto"/>
        </w:rPr>
      </w:pPr>
    </w:p>
    <w:p>
      <w:pPr>
        <w:ind w:left="340" w:right="460" w:hanging="224"/>
        <w:spacing w:after="0" w:line="243" w:lineRule="auto"/>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Chair of the Compensation Committee meets with the Consultant in advance of committee meetings and confers with the Consultant between meetings.</w:t>
      </w:r>
    </w:p>
    <w:p>
      <w:pPr>
        <w:spacing w:after="0" w:line="103" w:lineRule="exact"/>
        <w:rPr>
          <w:rFonts w:ascii="Arial" w:cs="Arial" w:eastAsia="Arial" w:hAnsi="Arial"/>
          <w:sz w:val="17"/>
          <w:szCs w:val="17"/>
          <w:color w:val="auto"/>
        </w:rPr>
      </w:pPr>
    </w:p>
    <w:p>
      <w:pPr>
        <w:ind w:left="340" w:right="160" w:hanging="224"/>
        <w:spacing w:after="0" w:line="243" w:lineRule="auto"/>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Consultant assists in gathering and analyzing market data on compensation levels and provides expert knowledge of marketplace trends and best practices relating to competitive pay levels as well as developments in regulatory and technical matters.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Roles of Our Named Executive Officers</w:t>
      </w:r>
    </w:p>
    <w:p>
      <w:pPr>
        <w:spacing w:after="0" w:line="120" w:lineRule="exact"/>
        <w:rPr>
          <w:sz w:val="20"/>
          <w:szCs w:val="20"/>
          <w:color w:val="auto"/>
        </w:rPr>
      </w:pPr>
    </w:p>
    <w:p>
      <w:pPr>
        <w:jc w:val="both"/>
        <w:ind w:left="120" w:right="240"/>
        <w:spacing w:after="0" w:line="238" w:lineRule="auto"/>
        <w:rPr>
          <w:sz w:val="20"/>
          <w:szCs w:val="20"/>
          <w:color w:val="auto"/>
        </w:rPr>
      </w:pPr>
      <w:r>
        <w:rPr>
          <w:rFonts w:ascii="Arial" w:cs="Arial" w:eastAsia="Arial" w:hAnsi="Arial"/>
          <w:sz w:val="17"/>
          <w:szCs w:val="17"/>
          <w:color w:val="auto"/>
        </w:rPr>
        <w:t>While the Compensation Committee is ultimately responsible for making all compensation decisions affecting our named executive officers, our CEO participates in the process because of his close day-to-day association with the other named executive officers and his knowledge of the Company’s diverse business operations.</w:t>
      </w:r>
    </w:p>
    <w:p>
      <w:pPr>
        <w:spacing w:after="0" w:line="107" w:lineRule="exact"/>
        <w:rPr>
          <w:sz w:val="20"/>
          <w:szCs w:val="20"/>
          <w:color w:val="auto"/>
        </w:rPr>
      </w:pPr>
    </w:p>
    <w:p>
      <w:pPr>
        <w:ind w:left="340" w:right="560" w:hanging="224"/>
        <w:spacing w:after="0" w:line="243" w:lineRule="auto"/>
        <w:tabs>
          <w:tab w:leader="none" w:pos="3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Our CEO discusses with the Compensation Committee the performance of the Company and of each named executive officer, including himself. The CEO also discusses with the committee the performance of other key executives.</w:t>
      </w:r>
    </w:p>
    <w:p>
      <w:pPr>
        <w:spacing w:after="0" w:line="103" w:lineRule="exact"/>
        <w:rPr>
          <w:rFonts w:ascii="Arial" w:cs="Arial" w:eastAsia="Arial" w:hAnsi="Arial"/>
          <w:sz w:val="17"/>
          <w:szCs w:val="17"/>
          <w:color w:val="auto"/>
        </w:rPr>
      </w:pPr>
    </w:p>
    <w:p>
      <w:pPr>
        <w:ind w:left="340" w:right="160" w:hanging="224"/>
        <w:spacing w:after="0" w:line="238" w:lineRule="auto"/>
        <w:tabs>
          <w:tab w:leader="none" w:pos="3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CEO makes recommendations on the components of compensation for the named executive officers, other than himself, but does not participate in the portion of the committee meeting regarding the review of his own performance or the determination of the actual amounts of his compensation.</w:t>
      </w:r>
    </w:p>
    <w:p>
      <w:pPr>
        <w:spacing w:after="0" w:line="201"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Our Chief Financial Officer and Chief Accounting Officer also assist the Compensation Committee as an information resource in regard to metrics related to incentive compensation. Our General Counsel also provides support to the Committee, as needed, with respect to his areas of expertise.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Market Benchmarking</w:t>
      </w:r>
    </w:p>
    <w:p>
      <w:pPr>
        <w:spacing w:after="0" w:line="120"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Market pay levels and practices, including those of a self-selected peer group, are among many factors the Compensation Committee considers in making compensation decisions.</w:t>
      </w:r>
    </w:p>
    <w:p>
      <w:pPr>
        <w:spacing w:after="0" w:line="137" w:lineRule="exact"/>
        <w:rPr>
          <w:sz w:val="20"/>
          <w:szCs w:val="20"/>
          <w:color w:val="auto"/>
        </w:rPr>
      </w:pPr>
    </w:p>
    <w:tbl>
      <w:tblPr>
        <w:tblLayout w:type="fixed"/>
        <w:tblInd w:w="6920" w:type="dxa"/>
        <w:tblCellMar>
          <w:top w:w="0" w:type="dxa"/>
          <w:left w:w="0" w:type="dxa"/>
          <w:bottom w:w="0" w:type="dxa"/>
          <w:right w:w="0" w:type="dxa"/>
        </w:tblCellMar>
      </w:tblPr>
      <w:tr>
        <w:trPr>
          <w:trHeight w:val="29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005CB9"/>
              </w:rPr>
              <w:t>31</w:t>
            </w:r>
          </w:p>
        </w:tc>
      </w:tr>
      <w:tr>
        <w:trPr>
          <w:trHeight w:val="100"/>
        </w:trPr>
        <w:tc>
          <w:tcPr>
            <w:tcW w:w="3900" w:type="dxa"/>
            <w:vAlign w:val="bottom"/>
            <w:tcBorders>
              <w:right w:val="single" w:sz="8" w:color="005CB9"/>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-205105</wp:posOffset>
            </wp:positionV>
            <wp:extent cx="428625"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429" w:lineRule="auto"/>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r>
        <w:rPr>
          <w:rFonts w:ascii="Arial" w:cs="Arial" w:eastAsia="Arial" w:hAnsi="Arial"/>
          <w:sz w:val="18"/>
          <w:szCs w:val="18"/>
          <w:color w:val="005CB9"/>
        </w:rPr>
        <w:t xml:space="preserve"> </w:t>
      </w:r>
      <w:r>
        <w:rPr>
          <w:rFonts w:ascii="Arial" w:cs="Arial" w:eastAsia="Arial" w:hAnsi="Arial"/>
          <w:sz w:val="18"/>
          <w:szCs w:val="18"/>
          <w:b w:val="1"/>
          <w:bCs w:val="1"/>
          <w:i w:val="1"/>
          <w:iCs w:val="1"/>
          <w:color w:val="005CB9"/>
        </w:rPr>
        <w:t>Purpose</w:t>
      </w:r>
    </w:p>
    <w:p>
      <w:pPr>
        <w:spacing w:after="0" w:line="2" w:lineRule="exact"/>
        <w:rPr>
          <w:sz w:val="20"/>
          <w:szCs w:val="20"/>
          <w:color w:val="auto"/>
        </w:rPr>
      </w:pPr>
    </w:p>
    <w:p>
      <w:pPr>
        <w:jc w:val="both"/>
        <w:ind w:left="320" w:right="40" w:hanging="204"/>
        <w:spacing w:after="0" w:line="236" w:lineRule="auto"/>
        <w:tabs>
          <w:tab w:leader="none" w:pos="3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We benchmark to provide an external frame of reference on range and reasonableness of compensation levels and practices. Market information is used as a data point in decision-making, and not as a primary factor.</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Challenges</w:t>
      </w:r>
    </w:p>
    <w:p>
      <w:pPr>
        <w:spacing w:after="0" w:line="134" w:lineRule="exact"/>
        <w:rPr>
          <w:sz w:val="20"/>
          <w:szCs w:val="20"/>
          <w:color w:val="auto"/>
        </w:rPr>
      </w:pPr>
    </w:p>
    <w:p>
      <w:pPr>
        <w:ind w:left="320" w:hanging="204"/>
        <w:spacing w:after="0" w:line="233" w:lineRule="auto"/>
        <w:tabs>
          <w:tab w:leader="none" w:pos="3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Our high-margin, high-cash generating, asset-light business model and diversified end-markets make it challenging to select peers using traditional criteria, such as revenue, industry codes or competitors. Roper’s 43 operating businesses have peers that can be assigned by industry, but at the enterprise level Roper has no peers that match our diverse set of businesses and unique operating model. Given our valuation relative to revenue, using only revenue in measuring Roper’s size understates the relative market value of Roper and is therefore a poor indicator. Likewise, benchmarking Roper against a</w:t>
      </w: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2021 Peer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6" w:right="180"/>
        <w:spacing w:after="0" w:line="236" w:lineRule="auto"/>
        <w:rPr>
          <w:sz w:val="20"/>
          <w:szCs w:val="20"/>
          <w:color w:val="auto"/>
        </w:rPr>
      </w:pPr>
      <w:r>
        <w:rPr>
          <w:rFonts w:ascii="Arial" w:cs="Arial" w:eastAsia="Arial" w:hAnsi="Arial"/>
          <w:sz w:val="17"/>
          <w:szCs w:val="17"/>
          <w:color w:val="auto"/>
        </w:rPr>
        <w:t>peer group selected primarily on the basis of GICS code classification can lead to inappropriate comparisons, particularly in light of Roper’s diverse business mix and private equity-like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-1280795</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66"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005CB9"/>
        </w:rPr>
        <w:t>Private Equity</w:t>
      </w:r>
    </w:p>
    <w:p>
      <w:pPr>
        <w:spacing w:after="0" w:line="134" w:lineRule="exact"/>
        <w:rPr>
          <w:sz w:val="20"/>
          <w:szCs w:val="20"/>
          <w:color w:val="auto"/>
        </w:rPr>
      </w:pPr>
    </w:p>
    <w:p>
      <w:pPr>
        <w:ind w:left="206" w:right="80" w:hanging="206"/>
        <w:spacing w:after="0" w:line="233" w:lineRule="auto"/>
        <w:tabs>
          <w:tab w:leader="none" w:pos="206" w:val="left"/>
        </w:tabs>
        <w:numPr>
          <w:ilvl w:val="0"/>
          <w:numId w:val="66"/>
        </w:numPr>
        <w:rPr>
          <w:rFonts w:ascii="Arial" w:cs="Arial" w:eastAsia="Arial" w:hAnsi="Arial"/>
          <w:sz w:val="17"/>
          <w:szCs w:val="17"/>
          <w:color w:val="auto"/>
        </w:rPr>
      </w:pPr>
      <w:r>
        <w:rPr>
          <w:rFonts w:ascii="Arial" w:cs="Arial" w:eastAsia="Arial" w:hAnsi="Arial"/>
          <w:sz w:val="17"/>
          <w:szCs w:val="17"/>
          <w:color w:val="auto"/>
        </w:rPr>
        <w:t>Given the capital deployment responsibilities of our named executive officers and the private equity-like nature of our business, we consider the compensation levels and practices used by private equity firms that offer comprehensive programs, which often include co-investment and leveraged carried-interest opportunities. While Roper’s operating model is closely akin to that of private equity firms, we do not allow our named executive officers to co-invest in Company investments, nor do they benefit from carried-interest tax treatment. Our compensation practices often compete with private equity opportunities when recruiting and retaining talented professionals who possess deep expertise in both operations and capital deployment.</w:t>
      </w:r>
    </w:p>
    <w:p>
      <w:pPr>
        <w:spacing w:after="0" w:line="692" w:lineRule="exact"/>
        <w:rPr>
          <w:sz w:val="20"/>
          <w:szCs w:val="20"/>
          <w:color w:val="auto"/>
        </w:rPr>
      </w:pPr>
    </w:p>
    <w:p>
      <w:pPr>
        <w:sectPr>
          <w:pgSz w:w="11900" w:h="16838" w:orient="portrait"/>
          <w:cols w:equalWidth="0" w:num="2">
            <w:col w:w="5360" w:space="374"/>
            <w:col w:w="5406"/>
          </w:cols>
          <w:pgMar w:left="320" w:top="459" w:right="439" w:bottom="1440" w:gutter="0" w:footer="0" w:header="0"/>
        </w:sectPr>
      </w:pPr>
    </w:p>
    <w:p>
      <w:pPr>
        <w:ind w:left="120" w:right="60"/>
        <w:spacing w:after="0" w:line="234" w:lineRule="auto"/>
        <w:rPr>
          <w:sz w:val="20"/>
          <w:szCs w:val="20"/>
          <w:color w:val="auto"/>
        </w:rPr>
      </w:pPr>
      <w:r>
        <w:rPr>
          <w:rFonts w:ascii="Arial" w:cs="Arial" w:eastAsia="Arial" w:hAnsi="Arial"/>
          <w:sz w:val="17"/>
          <w:szCs w:val="17"/>
          <w:color w:val="auto"/>
        </w:rPr>
        <w:t>Our self-selected peer group reflects our continued strong growth, sustained value creation, continuing expansion into software and technology-driven businesses, market valuation relative to revenues and gross investment, and intense competition with private equity for talent and investment opportunities. Roper’s decision and subsequent transformation to focus on software has changed the performance of the Company significantly. Today, approximately 70% of Roper’s EBITDA is derived from our software businesses. In addition, Roper’s historical growth and exceptional shareholder returns are in part the result of Roper’s capital deployment strategy. All of these facts make it continually difficult to select appropriate peers. In 2021, the Committee revised the peer group to more closely reflect Roper’s increasing focus on its software businesses. TransDigm Group Incorporated, Waters Corporation and Zimmer Biomet Holdings, Inc. were removed from the peer group and replaced with software-focused companies Autodesk, Inc. and ServiceNow, Inc. The peer companies are listed below along with various size indicators.</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31"/>
        </w:trPr>
        <w:tc>
          <w:tcPr>
            <w:tcW w:w="2840" w:type="dxa"/>
            <w:vAlign w:val="bottom"/>
            <w:shd w:val="clear" w:color="auto" w:fill="005CB9"/>
          </w:tcPr>
          <w:p>
            <w:pPr>
              <w:spacing w:after="0"/>
              <w:rPr>
                <w:sz w:val="20"/>
                <w:szCs w:val="20"/>
                <w:color w:val="auto"/>
              </w:rPr>
            </w:pPr>
          </w:p>
        </w:tc>
        <w:tc>
          <w:tcPr>
            <w:tcW w:w="1000" w:type="dxa"/>
            <w:vAlign w:val="bottom"/>
            <w:shd w:val="clear" w:color="auto" w:fill="005CB9"/>
          </w:tcPr>
          <w:p>
            <w:pPr>
              <w:spacing w:after="0"/>
              <w:rPr>
                <w:sz w:val="20"/>
                <w:szCs w:val="20"/>
                <w:color w:val="auto"/>
              </w:rPr>
            </w:pPr>
          </w:p>
        </w:tc>
        <w:tc>
          <w:tcPr>
            <w:tcW w:w="1440" w:type="dxa"/>
            <w:vAlign w:val="bottom"/>
            <w:gridSpan w:val="2"/>
            <w:shd w:val="clear" w:color="auto" w:fill="005CB9"/>
          </w:tcPr>
          <w:p>
            <w:pPr>
              <w:jc w:val="center"/>
              <w:ind w:right="8"/>
              <w:spacing w:after="0"/>
              <w:rPr>
                <w:sz w:val="20"/>
                <w:szCs w:val="20"/>
                <w:color w:val="auto"/>
              </w:rPr>
            </w:pPr>
            <w:r>
              <w:rPr>
                <w:rFonts w:ascii="Arial" w:cs="Arial" w:eastAsia="Arial" w:hAnsi="Arial"/>
                <w:sz w:val="14"/>
                <w:szCs w:val="14"/>
                <w:color w:val="FFFFFF"/>
              </w:rPr>
              <w:t>Market</w:t>
            </w:r>
          </w:p>
        </w:tc>
        <w:tc>
          <w:tcPr>
            <w:tcW w:w="1200" w:type="dxa"/>
            <w:vAlign w:val="bottom"/>
            <w:gridSpan w:val="2"/>
            <w:shd w:val="clear" w:color="auto" w:fill="005CB9"/>
          </w:tcPr>
          <w:p>
            <w:pPr>
              <w:jc w:val="center"/>
              <w:ind w:right="28"/>
              <w:spacing w:after="0"/>
              <w:rPr>
                <w:sz w:val="20"/>
                <w:szCs w:val="20"/>
                <w:color w:val="auto"/>
              </w:rPr>
            </w:pPr>
            <w:r>
              <w:rPr>
                <w:rFonts w:ascii="Arial" w:cs="Arial" w:eastAsia="Arial" w:hAnsi="Arial"/>
                <w:sz w:val="14"/>
                <w:szCs w:val="14"/>
                <w:color w:val="FFFFFF"/>
              </w:rPr>
              <w:t>Enterprise</w:t>
            </w:r>
          </w:p>
        </w:tc>
        <w:tc>
          <w:tcPr>
            <w:tcW w:w="580" w:type="dxa"/>
            <w:vAlign w:val="bottom"/>
            <w:shd w:val="clear" w:color="auto" w:fill="005CB9"/>
          </w:tcPr>
          <w:p>
            <w:pPr>
              <w:spacing w:after="0"/>
              <w:rPr>
                <w:sz w:val="20"/>
                <w:szCs w:val="20"/>
                <w:color w:val="auto"/>
              </w:rPr>
            </w:pPr>
          </w:p>
        </w:tc>
        <w:tc>
          <w:tcPr>
            <w:tcW w:w="620" w:type="dxa"/>
            <w:vAlign w:val="bottom"/>
            <w:shd w:val="clear" w:color="auto" w:fill="005CB9"/>
          </w:tcPr>
          <w:p>
            <w:pPr>
              <w:spacing w:after="0"/>
              <w:rPr>
                <w:sz w:val="20"/>
                <w:szCs w:val="20"/>
                <w:color w:val="auto"/>
              </w:rPr>
            </w:pPr>
          </w:p>
        </w:tc>
        <w:tc>
          <w:tcPr>
            <w:tcW w:w="720" w:type="dxa"/>
            <w:vAlign w:val="bottom"/>
            <w:shd w:val="clear" w:color="auto" w:fill="005CB9"/>
          </w:tcPr>
          <w:p>
            <w:pPr>
              <w:jc w:val="center"/>
              <w:ind w:left="348"/>
              <w:spacing w:after="0"/>
              <w:rPr>
                <w:sz w:val="20"/>
                <w:szCs w:val="20"/>
                <w:color w:val="auto"/>
              </w:rPr>
            </w:pPr>
            <w:r>
              <w:rPr>
                <w:rFonts w:ascii="Arial" w:cs="Arial" w:eastAsia="Arial" w:hAnsi="Arial"/>
                <w:sz w:val="14"/>
                <w:szCs w:val="14"/>
                <w:color w:val="FFFFFF"/>
              </w:rPr>
              <w:t>Net</w:t>
            </w:r>
          </w:p>
        </w:tc>
        <w:tc>
          <w:tcPr>
            <w:tcW w:w="640" w:type="dxa"/>
            <w:vAlign w:val="bottom"/>
            <w:shd w:val="clear" w:color="auto" w:fill="005CB9"/>
          </w:tcPr>
          <w:p>
            <w:pPr>
              <w:spacing w:after="0"/>
              <w:rPr>
                <w:sz w:val="20"/>
                <w:szCs w:val="20"/>
                <w:color w:val="auto"/>
              </w:rPr>
            </w:pPr>
          </w:p>
        </w:tc>
        <w:tc>
          <w:tcPr>
            <w:tcW w:w="1980" w:type="dxa"/>
            <w:vAlign w:val="bottom"/>
            <w:shd w:val="clear" w:color="auto" w:fill="005CB9"/>
          </w:tcPr>
          <w:p>
            <w:pPr>
              <w:spacing w:after="0"/>
              <w:rPr>
                <w:sz w:val="20"/>
                <w:szCs w:val="20"/>
                <w:color w:val="auto"/>
              </w:rPr>
            </w:pPr>
          </w:p>
        </w:tc>
      </w:tr>
      <w:tr>
        <w:trPr>
          <w:trHeight w:val="175"/>
        </w:trPr>
        <w:tc>
          <w:tcPr>
            <w:tcW w:w="2840" w:type="dxa"/>
            <w:vAlign w:val="bottom"/>
            <w:shd w:val="clear" w:color="auto" w:fill="005CB9"/>
          </w:tcPr>
          <w:p>
            <w:pPr>
              <w:spacing w:after="0"/>
              <w:rPr>
                <w:sz w:val="15"/>
                <w:szCs w:val="15"/>
                <w:color w:val="auto"/>
              </w:rPr>
            </w:pPr>
          </w:p>
        </w:tc>
        <w:tc>
          <w:tcPr>
            <w:tcW w:w="1000" w:type="dxa"/>
            <w:vAlign w:val="bottom"/>
            <w:shd w:val="clear" w:color="auto" w:fill="005CB9"/>
          </w:tcPr>
          <w:p>
            <w:pPr>
              <w:spacing w:after="0"/>
              <w:rPr>
                <w:sz w:val="15"/>
                <w:szCs w:val="15"/>
                <w:color w:val="auto"/>
              </w:rPr>
            </w:pPr>
          </w:p>
        </w:tc>
        <w:tc>
          <w:tcPr>
            <w:tcW w:w="1440" w:type="dxa"/>
            <w:vAlign w:val="bottom"/>
            <w:gridSpan w:val="2"/>
            <w:shd w:val="clear" w:color="auto" w:fill="005CB9"/>
          </w:tcPr>
          <w:p>
            <w:pPr>
              <w:jc w:val="center"/>
              <w:ind w:right="8"/>
              <w:spacing w:after="0"/>
              <w:rPr>
                <w:sz w:val="20"/>
                <w:szCs w:val="20"/>
                <w:color w:val="auto"/>
              </w:rPr>
            </w:pPr>
            <w:r>
              <w:rPr>
                <w:rFonts w:ascii="Arial" w:cs="Arial" w:eastAsia="Arial" w:hAnsi="Arial"/>
                <w:sz w:val="14"/>
                <w:szCs w:val="14"/>
                <w:color w:val="FFFFFF"/>
              </w:rPr>
              <w:t>Capitalization</w:t>
            </w:r>
            <w:r>
              <w:rPr>
                <w:rFonts w:ascii="Arial" w:cs="Arial" w:eastAsia="Arial" w:hAnsi="Arial"/>
                <w:sz w:val="7"/>
                <w:szCs w:val="7"/>
                <w:color w:val="FFFFFF"/>
              </w:rPr>
              <w:t>(1)</w:t>
            </w:r>
          </w:p>
        </w:tc>
        <w:tc>
          <w:tcPr>
            <w:tcW w:w="1200" w:type="dxa"/>
            <w:vAlign w:val="bottom"/>
            <w:gridSpan w:val="2"/>
            <w:shd w:val="clear" w:color="auto" w:fill="005CB9"/>
          </w:tcPr>
          <w:p>
            <w:pPr>
              <w:jc w:val="center"/>
              <w:ind w:right="28"/>
              <w:spacing w:after="0"/>
              <w:rPr>
                <w:sz w:val="20"/>
                <w:szCs w:val="20"/>
                <w:color w:val="auto"/>
              </w:rPr>
            </w:pPr>
            <w:r>
              <w:rPr>
                <w:rFonts w:ascii="Arial" w:cs="Arial" w:eastAsia="Arial" w:hAnsi="Arial"/>
                <w:sz w:val="14"/>
                <w:szCs w:val="14"/>
                <w:color w:val="FFFFFF"/>
              </w:rPr>
              <w:t>Value</w:t>
            </w:r>
            <w:r>
              <w:rPr>
                <w:rFonts w:ascii="Arial" w:cs="Arial" w:eastAsia="Arial" w:hAnsi="Arial"/>
                <w:sz w:val="7"/>
                <w:szCs w:val="7"/>
                <w:color w:val="FFFFFF"/>
              </w:rPr>
              <w:t>(1)</w:t>
            </w:r>
          </w:p>
        </w:tc>
        <w:tc>
          <w:tcPr>
            <w:tcW w:w="1200" w:type="dxa"/>
            <w:vAlign w:val="bottom"/>
            <w:gridSpan w:val="2"/>
            <w:shd w:val="clear" w:color="auto" w:fill="005CB9"/>
          </w:tcPr>
          <w:p>
            <w:pPr>
              <w:jc w:val="right"/>
              <w:ind w:right="228"/>
              <w:spacing w:after="0"/>
              <w:rPr>
                <w:sz w:val="20"/>
                <w:szCs w:val="20"/>
                <w:color w:val="auto"/>
              </w:rPr>
            </w:pPr>
            <w:r>
              <w:rPr>
                <w:rFonts w:ascii="Arial" w:cs="Arial" w:eastAsia="Arial" w:hAnsi="Arial"/>
                <w:sz w:val="14"/>
                <w:szCs w:val="14"/>
                <w:color w:val="FFFFFF"/>
              </w:rPr>
              <w:t>Revenue</w:t>
            </w:r>
            <w:r>
              <w:rPr>
                <w:rFonts w:ascii="Arial" w:cs="Arial" w:eastAsia="Arial" w:hAnsi="Arial"/>
                <w:sz w:val="7"/>
                <w:szCs w:val="7"/>
                <w:color w:val="FFFFFF"/>
              </w:rPr>
              <w:t>(2)</w:t>
            </w:r>
          </w:p>
        </w:tc>
        <w:tc>
          <w:tcPr>
            <w:tcW w:w="1360" w:type="dxa"/>
            <w:vAlign w:val="bottom"/>
            <w:gridSpan w:val="2"/>
            <w:shd w:val="clear" w:color="auto" w:fill="005CB9"/>
          </w:tcPr>
          <w:p>
            <w:pPr>
              <w:jc w:val="center"/>
              <w:ind w:right="148"/>
              <w:spacing w:after="0"/>
              <w:rPr>
                <w:sz w:val="20"/>
                <w:szCs w:val="20"/>
                <w:color w:val="auto"/>
              </w:rPr>
            </w:pPr>
            <w:r>
              <w:rPr>
                <w:rFonts w:ascii="Arial" w:cs="Arial" w:eastAsia="Arial" w:hAnsi="Arial"/>
                <w:sz w:val="14"/>
                <w:szCs w:val="14"/>
                <w:color w:val="FFFFFF"/>
              </w:rPr>
              <w:t>Income</w:t>
            </w:r>
            <w:r>
              <w:rPr>
                <w:rFonts w:ascii="Arial" w:cs="Arial" w:eastAsia="Arial" w:hAnsi="Arial"/>
                <w:sz w:val="7"/>
                <w:szCs w:val="7"/>
                <w:color w:val="FFFFFF"/>
              </w:rPr>
              <w:t>(2)</w:t>
            </w:r>
          </w:p>
        </w:tc>
        <w:tc>
          <w:tcPr>
            <w:tcW w:w="1980" w:type="dxa"/>
            <w:vAlign w:val="bottom"/>
            <w:shd w:val="clear" w:color="auto" w:fill="005CB9"/>
          </w:tcPr>
          <w:p>
            <w:pPr>
              <w:ind w:left="60"/>
              <w:spacing w:after="0"/>
              <w:rPr>
                <w:sz w:val="20"/>
                <w:szCs w:val="20"/>
                <w:color w:val="auto"/>
              </w:rPr>
            </w:pPr>
            <w:r>
              <w:rPr>
                <w:rFonts w:ascii="Arial" w:cs="Arial" w:eastAsia="Arial" w:hAnsi="Arial"/>
                <w:sz w:val="14"/>
                <w:szCs w:val="14"/>
                <w:color w:val="FFFFFF"/>
              </w:rPr>
              <w:t>Global Industry Classification</w:t>
            </w:r>
          </w:p>
        </w:tc>
      </w:tr>
      <w:tr>
        <w:trPr>
          <w:trHeight w:val="181"/>
        </w:trPr>
        <w:tc>
          <w:tcPr>
            <w:tcW w:w="2840" w:type="dxa"/>
            <w:vAlign w:val="bottom"/>
            <w:tcBorders>
              <w:bottom w:val="single" w:sz="8" w:color="005CB9"/>
            </w:tcBorders>
            <w:shd w:val="clear" w:color="auto" w:fill="005CB9"/>
          </w:tcPr>
          <w:p>
            <w:pPr>
              <w:ind w:left="80"/>
              <w:spacing w:after="0"/>
              <w:rPr>
                <w:sz w:val="20"/>
                <w:szCs w:val="20"/>
                <w:color w:val="auto"/>
              </w:rPr>
            </w:pPr>
            <w:r>
              <w:rPr>
                <w:rFonts w:ascii="Arial" w:cs="Arial" w:eastAsia="Arial" w:hAnsi="Arial"/>
                <w:sz w:val="14"/>
                <w:szCs w:val="14"/>
                <w:color w:val="FFFFFF"/>
              </w:rPr>
              <w:t>Company</w:t>
            </w:r>
          </w:p>
        </w:tc>
        <w:tc>
          <w:tcPr>
            <w:tcW w:w="1000" w:type="dxa"/>
            <w:vAlign w:val="bottom"/>
            <w:tcBorders>
              <w:bottom w:val="single" w:sz="8" w:color="005CB9"/>
            </w:tcBorders>
            <w:shd w:val="clear" w:color="auto" w:fill="005CB9"/>
          </w:tcPr>
          <w:p>
            <w:pPr>
              <w:spacing w:after="0"/>
              <w:rPr>
                <w:sz w:val="15"/>
                <w:szCs w:val="15"/>
                <w:color w:val="auto"/>
              </w:rPr>
            </w:pPr>
          </w:p>
        </w:tc>
        <w:tc>
          <w:tcPr>
            <w:tcW w:w="1440" w:type="dxa"/>
            <w:vAlign w:val="bottom"/>
            <w:tcBorders>
              <w:bottom w:val="single" w:sz="8" w:color="005CB9"/>
            </w:tcBorders>
            <w:gridSpan w:val="2"/>
            <w:shd w:val="clear" w:color="auto" w:fill="005CB9"/>
          </w:tcPr>
          <w:p>
            <w:pPr>
              <w:jc w:val="center"/>
              <w:ind w:right="28"/>
              <w:spacing w:after="0"/>
              <w:rPr>
                <w:sz w:val="20"/>
                <w:szCs w:val="20"/>
                <w:color w:val="auto"/>
              </w:rPr>
            </w:pPr>
            <w:r>
              <w:rPr>
                <w:rFonts w:ascii="Arial" w:cs="Arial" w:eastAsia="Arial" w:hAnsi="Arial"/>
                <w:sz w:val="14"/>
                <w:szCs w:val="14"/>
                <w:color w:val="FFFFFF"/>
              </w:rPr>
              <w:t>($ millions)</w:t>
            </w:r>
          </w:p>
        </w:tc>
        <w:tc>
          <w:tcPr>
            <w:tcW w:w="1200" w:type="dxa"/>
            <w:vAlign w:val="bottom"/>
            <w:tcBorders>
              <w:bottom w:val="single" w:sz="8" w:color="005CB9"/>
            </w:tcBorders>
            <w:gridSpan w:val="2"/>
            <w:shd w:val="clear" w:color="auto" w:fill="005CB9"/>
          </w:tcPr>
          <w:p>
            <w:pPr>
              <w:jc w:val="center"/>
              <w:ind w:right="28"/>
              <w:spacing w:after="0"/>
              <w:rPr>
                <w:sz w:val="20"/>
                <w:szCs w:val="20"/>
                <w:color w:val="auto"/>
              </w:rPr>
            </w:pPr>
            <w:r>
              <w:rPr>
                <w:rFonts w:ascii="Arial" w:cs="Arial" w:eastAsia="Arial" w:hAnsi="Arial"/>
                <w:sz w:val="14"/>
                <w:szCs w:val="14"/>
                <w:color w:val="FFFFFF"/>
              </w:rPr>
              <w:t>($ millions)</w:t>
            </w:r>
          </w:p>
        </w:tc>
        <w:tc>
          <w:tcPr>
            <w:tcW w:w="1200" w:type="dxa"/>
            <w:vAlign w:val="bottom"/>
            <w:tcBorders>
              <w:bottom w:val="single" w:sz="8" w:color="005CB9"/>
            </w:tcBorders>
            <w:gridSpan w:val="2"/>
            <w:shd w:val="clear" w:color="auto" w:fill="005CB9"/>
          </w:tcPr>
          <w:p>
            <w:pPr>
              <w:jc w:val="right"/>
              <w:ind w:right="228"/>
              <w:spacing w:after="0"/>
              <w:rPr>
                <w:sz w:val="20"/>
                <w:szCs w:val="20"/>
                <w:color w:val="auto"/>
              </w:rPr>
            </w:pPr>
            <w:r>
              <w:rPr>
                <w:rFonts w:ascii="Arial" w:cs="Arial" w:eastAsia="Arial" w:hAnsi="Arial"/>
                <w:sz w:val="14"/>
                <w:szCs w:val="14"/>
                <w:color w:val="FFFFFF"/>
              </w:rPr>
              <w:t>($ millions)</w:t>
            </w:r>
          </w:p>
        </w:tc>
        <w:tc>
          <w:tcPr>
            <w:tcW w:w="1360" w:type="dxa"/>
            <w:vAlign w:val="bottom"/>
            <w:tcBorders>
              <w:bottom w:val="single" w:sz="8" w:color="005CB9"/>
            </w:tcBorders>
            <w:gridSpan w:val="2"/>
            <w:shd w:val="clear" w:color="auto" w:fill="005CB9"/>
          </w:tcPr>
          <w:p>
            <w:pPr>
              <w:jc w:val="center"/>
              <w:ind w:right="148"/>
              <w:spacing w:after="0"/>
              <w:rPr>
                <w:sz w:val="20"/>
                <w:szCs w:val="20"/>
                <w:color w:val="auto"/>
              </w:rPr>
            </w:pPr>
            <w:r>
              <w:rPr>
                <w:rFonts w:ascii="Arial" w:cs="Arial" w:eastAsia="Arial" w:hAnsi="Arial"/>
                <w:sz w:val="14"/>
                <w:szCs w:val="14"/>
                <w:color w:val="FFFFFF"/>
              </w:rPr>
              <w:t>($ millions)</w:t>
            </w:r>
          </w:p>
        </w:tc>
        <w:tc>
          <w:tcPr>
            <w:tcW w:w="1980" w:type="dxa"/>
            <w:vAlign w:val="bottom"/>
            <w:tcBorders>
              <w:bottom w:val="single" w:sz="8" w:color="005CB9"/>
            </w:tcBorders>
            <w:shd w:val="clear" w:color="auto" w:fill="005CB9"/>
          </w:tcPr>
          <w:p>
            <w:pPr>
              <w:ind w:left="20"/>
              <w:spacing w:after="0"/>
              <w:rPr>
                <w:sz w:val="20"/>
                <w:szCs w:val="20"/>
                <w:color w:val="auto"/>
              </w:rPr>
            </w:pPr>
            <w:r>
              <w:rPr>
                <w:rFonts w:ascii="Arial" w:cs="Arial" w:eastAsia="Arial" w:hAnsi="Arial"/>
                <w:sz w:val="14"/>
                <w:szCs w:val="14"/>
                <w:color w:val="FFFFFF"/>
              </w:rPr>
              <w:t>Standard (GICS) Sub-Industry</w:t>
            </w:r>
          </w:p>
        </w:tc>
      </w:tr>
      <w:tr>
        <w:trPr>
          <w:trHeight w:val="216"/>
        </w:trPr>
        <w:tc>
          <w:tcPr>
            <w:tcW w:w="2840" w:type="dxa"/>
            <w:vAlign w:val="bottom"/>
            <w:shd w:val="clear" w:color="auto" w:fill="E5EEF8"/>
          </w:tcPr>
          <w:p>
            <w:pPr>
              <w:ind w:left="60"/>
              <w:spacing w:after="0"/>
              <w:rPr>
                <w:sz w:val="20"/>
                <w:szCs w:val="20"/>
                <w:color w:val="auto"/>
              </w:rPr>
            </w:pPr>
            <w:r>
              <w:rPr>
                <w:rFonts w:ascii="Arial" w:cs="Arial" w:eastAsia="Arial" w:hAnsi="Arial"/>
                <w:sz w:val="14"/>
                <w:szCs w:val="14"/>
                <w:color w:val="auto"/>
              </w:rPr>
              <w:t>Adobe Inc.</w:t>
            </w:r>
          </w:p>
        </w:tc>
        <w:tc>
          <w:tcPr>
            <w:tcW w:w="1000" w:type="dxa"/>
            <w:vAlign w:val="bottom"/>
            <w:shd w:val="clear" w:color="auto" w:fill="E5EEF8"/>
          </w:tcPr>
          <w:p>
            <w:pPr>
              <w:jc w:val="right"/>
              <w:ind w:right="108"/>
              <w:spacing w:after="0"/>
              <w:rPr>
                <w:sz w:val="20"/>
                <w:szCs w:val="20"/>
                <w:color w:val="auto"/>
              </w:rPr>
            </w:pPr>
            <w:r>
              <w:rPr>
                <w:rFonts w:ascii="Arial" w:cs="Arial" w:eastAsia="Arial" w:hAnsi="Arial"/>
                <w:sz w:val="14"/>
                <w:szCs w:val="14"/>
                <w:color w:val="auto"/>
              </w:rPr>
              <w:t>ADBE</w:t>
            </w:r>
          </w:p>
        </w:tc>
        <w:tc>
          <w:tcPr>
            <w:tcW w:w="1440" w:type="dxa"/>
            <w:vAlign w:val="bottom"/>
            <w:gridSpan w:val="2"/>
            <w:shd w:val="clear" w:color="auto" w:fill="E5EEF8"/>
          </w:tcPr>
          <w:p>
            <w:pPr>
              <w:jc w:val="right"/>
              <w:ind w:right="148"/>
              <w:spacing w:after="0"/>
              <w:rPr>
                <w:sz w:val="20"/>
                <w:szCs w:val="20"/>
                <w:color w:val="auto"/>
              </w:rPr>
            </w:pPr>
            <w:r>
              <w:rPr>
                <w:rFonts w:ascii="Arial" w:cs="Arial" w:eastAsia="Arial" w:hAnsi="Arial"/>
                <w:sz w:val="14"/>
                <w:szCs w:val="14"/>
                <w:color w:val="auto"/>
              </w:rPr>
              <w:t>$269,807</w:t>
            </w:r>
          </w:p>
        </w:tc>
        <w:tc>
          <w:tcPr>
            <w:tcW w:w="1200" w:type="dxa"/>
            <w:vAlign w:val="bottom"/>
            <w:gridSpan w:val="2"/>
            <w:shd w:val="clear" w:color="auto" w:fill="E5EEF8"/>
          </w:tcPr>
          <w:p>
            <w:pPr>
              <w:jc w:val="right"/>
              <w:ind w:right="148"/>
              <w:spacing w:after="0"/>
              <w:rPr>
                <w:sz w:val="20"/>
                <w:szCs w:val="20"/>
                <w:color w:val="auto"/>
              </w:rPr>
            </w:pPr>
            <w:r>
              <w:rPr>
                <w:rFonts w:ascii="Arial" w:cs="Arial" w:eastAsia="Arial" w:hAnsi="Arial"/>
                <w:sz w:val="14"/>
                <w:szCs w:val="14"/>
                <w:color w:val="auto"/>
              </w:rPr>
              <w:t>$269,363</w:t>
            </w:r>
          </w:p>
        </w:tc>
        <w:tc>
          <w:tcPr>
            <w:tcW w:w="1200" w:type="dxa"/>
            <w:vAlign w:val="bottom"/>
            <w:gridSpan w:val="2"/>
            <w:shd w:val="clear" w:color="auto" w:fill="E5EEF8"/>
          </w:tcPr>
          <w:p>
            <w:pPr>
              <w:jc w:val="right"/>
              <w:ind w:right="148"/>
              <w:spacing w:after="0"/>
              <w:rPr>
                <w:sz w:val="20"/>
                <w:szCs w:val="20"/>
                <w:color w:val="auto"/>
              </w:rPr>
            </w:pPr>
            <w:r>
              <w:rPr>
                <w:rFonts w:ascii="Arial" w:cs="Arial" w:eastAsia="Arial" w:hAnsi="Arial"/>
                <w:sz w:val="14"/>
                <w:szCs w:val="14"/>
                <w:color w:val="auto"/>
              </w:rPr>
              <w:t>$15,812</w:t>
            </w:r>
          </w:p>
        </w:tc>
        <w:tc>
          <w:tcPr>
            <w:tcW w:w="1360" w:type="dxa"/>
            <w:vAlign w:val="bottom"/>
            <w:gridSpan w:val="2"/>
            <w:shd w:val="clear" w:color="auto" w:fill="E5EEF8"/>
          </w:tcPr>
          <w:p>
            <w:pPr>
              <w:jc w:val="right"/>
              <w:ind w:right="288"/>
              <w:spacing w:after="0"/>
              <w:rPr>
                <w:sz w:val="20"/>
                <w:szCs w:val="20"/>
                <w:color w:val="auto"/>
              </w:rPr>
            </w:pPr>
            <w:r>
              <w:rPr>
                <w:rFonts w:ascii="Arial" w:cs="Arial" w:eastAsia="Arial" w:hAnsi="Arial"/>
                <w:sz w:val="14"/>
                <w:szCs w:val="14"/>
                <w:color w:val="auto"/>
              </w:rPr>
              <w:t>$4,822</w:t>
            </w:r>
          </w:p>
        </w:tc>
        <w:tc>
          <w:tcPr>
            <w:tcW w:w="1980" w:type="dxa"/>
            <w:vAlign w:val="bottom"/>
            <w:shd w:val="clear" w:color="auto" w:fill="E5EEF8"/>
          </w:tcPr>
          <w:p>
            <w:pPr>
              <w:spacing w:after="0"/>
              <w:rPr>
                <w:sz w:val="20"/>
                <w:szCs w:val="20"/>
                <w:color w:val="auto"/>
              </w:rPr>
            </w:pPr>
            <w:r>
              <w:rPr>
                <w:rFonts w:ascii="Arial" w:cs="Arial" w:eastAsia="Arial" w:hAnsi="Arial"/>
                <w:sz w:val="14"/>
                <w:szCs w:val="14"/>
                <w:color w:val="auto"/>
              </w:rPr>
              <w:t>Application Software</w:t>
            </w:r>
          </w:p>
        </w:tc>
      </w:tr>
      <w:tr>
        <w:trPr>
          <w:trHeight w:val="210"/>
        </w:trPr>
        <w:tc>
          <w:tcPr>
            <w:tcW w:w="2840" w:type="dxa"/>
            <w:vAlign w:val="bottom"/>
          </w:tcPr>
          <w:p>
            <w:pPr>
              <w:ind w:left="80"/>
              <w:spacing w:after="0"/>
              <w:rPr>
                <w:sz w:val="20"/>
                <w:szCs w:val="20"/>
                <w:color w:val="auto"/>
              </w:rPr>
            </w:pPr>
            <w:r>
              <w:rPr>
                <w:rFonts w:ascii="Arial" w:cs="Arial" w:eastAsia="Arial" w:hAnsi="Arial"/>
                <w:sz w:val="14"/>
                <w:szCs w:val="14"/>
                <w:color w:val="auto"/>
              </w:rPr>
              <w:t>Salesforce, Inc.</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CRM</w:t>
            </w:r>
          </w:p>
        </w:tc>
        <w:tc>
          <w:tcPr>
            <w:tcW w:w="1440" w:type="dxa"/>
            <w:vAlign w:val="bottom"/>
            <w:gridSpan w:val="2"/>
          </w:tcPr>
          <w:p>
            <w:pPr>
              <w:jc w:val="right"/>
              <w:ind w:right="148"/>
              <w:spacing w:after="0"/>
              <w:rPr>
                <w:sz w:val="20"/>
                <w:szCs w:val="20"/>
                <w:color w:val="auto"/>
              </w:rPr>
            </w:pPr>
            <w:r>
              <w:rPr>
                <w:rFonts w:ascii="Arial" w:cs="Arial" w:eastAsia="Arial" w:hAnsi="Arial"/>
                <w:sz w:val="14"/>
                <w:szCs w:val="14"/>
                <w:color w:val="auto"/>
              </w:rPr>
              <w:t>$250,318</w:t>
            </w:r>
          </w:p>
        </w:tc>
        <w:tc>
          <w:tcPr>
            <w:tcW w:w="1200" w:type="dxa"/>
            <w:vAlign w:val="bottom"/>
            <w:gridSpan w:val="2"/>
          </w:tcPr>
          <w:p>
            <w:pPr>
              <w:jc w:val="right"/>
              <w:ind w:right="148"/>
              <w:spacing w:after="0"/>
              <w:rPr>
                <w:sz w:val="20"/>
                <w:szCs w:val="20"/>
                <w:color w:val="auto"/>
              </w:rPr>
            </w:pPr>
            <w:r>
              <w:rPr>
                <w:rFonts w:ascii="Arial" w:cs="Arial" w:eastAsia="Arial" w:hAnsi="Arial"/>
                <w:sz w:val="14"/>
                <w:szCs w:val="14"/>
                <w:color w:val="auto"/>
              </w:rPr>
              <w:t>$255,245</w:t>
            </w:r>
          </w:p>
        </w:tc>
        <w:tc>
          <w:tcPr>
            <w:tcW w:w="1200" w:type="dxa"/>
            <w:vAlign w:val="bottom"/>
            <w:gridSpan w:val="2"/>
          </w:tcPr>
          <w:p>
            <w:pPr>
              <w:jc w:val="right"/>
              <w:ind w:right="148"/>
              <w:spacing w:after="0"/>
              <w:rPr>
                <w:sz w:val="20"/>
                <w:szCs w:val="20"/>
                <w:color w:val="auto"/>
              </w:rPr>
            </w:pPr>
            <w:r>
              <w:rPr>
                <w:rFonts w:ascii="Arial" w:cs="Arial" w:eastAsia="Arial" w:hAnsi="Arial"/>
                <w:sz w:val="14"/>
                <w:szCs w:val="14"/>
                <w:color w:val="auto"/>
              </w:rPr>
              <w:t>$24,983</w:t>
            </w:r>
          </w:p>
        </w:tc>
        <w:tc>
          <w:tcPr>
            <w:tcW w:w="1360" w:type="dxa"/>
            <w:vAlign w:val="bottom"/>
            <w:gridSpan w:val="2"/>
          </w:tcPr>
          <w:p>
            <w:pPr>
              <w:jc w:val="right"/>
              <w:ind w:right="288"/>
              <w:spacing w:after="0"/>
              <w:rPr>
                <w:sz w:val="20"/>
                <w:szCs w:val="20"/>
                <w:color w:val="auto"/>
              </w:rPr>
            </w:pPr>
            <w:r>
              <w:rPr>
                <w:rFonts w:ascii="Arial" w:cs="Arial" w:eastAsia="Arial" w:hAnsi="Arial"/>
                <w:sz w:val="14"/>
                <w:szCs w:val="14"/>
                <w:color w:val="auto"/>
              </w:rPr>
              <w:t>$1,739</w:t>
            </w:r>
          </w:p>
        </w:tc>
        <w:tc>
          <w:tcPr>
            <w:tcW w:w="1980" w:type="dxa"/>
            <w:vAlign w:val="bottom"/>
          </w:tcPr>
          <w:p>
            <w:pPr>
              <w:spacing w:after="0"/>
              <w:rPr>
                <w:sz w:val="20"/>
                <w:szCs w:val="20"/>
                <w:color w:val="auto"/>
              </w:rPr>
            </w:pPr>
            <w:r>
              <w:rPr>
                <w:rFonts w:ascii="Arial" w:cs="Arial" w:eastAsia="Arial" w:hAnsi="Arial"/>
                <w:sz w:val="14"/>
                <w:szCs w:val="14"/>
                <w:color w:val="auto"/>
              </w:rPr>
              <w:t>Application Software</w:t>
            </w:r>
          </w:p>
        </w:tc>
      </w:tr>
      <w:tr>
        <w:trPr>
          <w:trHeight w:val="222"/>
        </w:trPr>
        <w:tc>
          <w:tcPr>
            <w:tcW w:w="2840" w:type="dxa"/>
            <w:vAlign w:val="bottom"/>
            <w:shd w:val="clear" w:color="auto" w:fill="E5EEF8"/>
          </w:tcPr>
          <w:p>
            <w:pPr>
              <w:ind w:left="80"/>
              <w:spacing w:after="0"/>
              <w:rPr>
                <w:sz w:val="20"/>
                <w:szCs w:val="20"/>
                <w:color w:val="auto"/>
              </w:rPr>
            </w:pPr>
            <w:r>
              <w:rPr>
                <w:rFonts w:ascii="Arial" w:cs="Arial" w:eastAsia="Arial" w:hAnsi="Arial"/>
                <w:sz w:val="14"/>
                <w:szCs w:val="14"/>
                <w:color w:val="auto"/>
              </w:rPr>
              <w:t>Intuit Inc.</w:t>
            </w:r>
          </w:p>
        </w:tc>
        <w:tc>
          <w:tcPr>
            <w:tcW w:w="1000" w:type="dxa"/>
            <w:vAlign w:val="bottom"/>
            <w:shd w:val="clear" w:color="auto" w:fill="E5EEF8"/>
          </w:tcPr>
          <w:p>
            <w:pPr>
              <w:jc w:val="right"/>
              <w:ind w:right="108"/>
              <w:spacing w:after="0"/>
              <w:rPr>
                <w:sz w:val="20"/>
                <w:szCs w:val="20"/>
                <w:color w:val="auto"/>
              </w:rPr>
            </w:pPr>
            <w:r>
              <w:rPr>
                <w:rFonts w:ascii="Arial" w:cs="Arial" w:eastAsia="Arial" w:hAnsi="Arial"/>
                <w:sz w:val="14"/>
                <w:szCs w:val="14"/>
                <w:color w:val="auto"/>
              </w:rPr>
              <w:t>INTU</w:t>
            </w:r>
          </w:p>
        </w:tc>
        <w:tc>
          <w:tcPr>
            <w:tcW w:w="1440" w:type="dxa"/>
            <w:vAlign w:val="bottom"/>
            <w:gridSpan w:val="2"/>
            <w:shd w:val="clear" w:color="auto" w:fill="E5EEF8"/>
          </w:tcPr>
          <w:p>
            <w:pPr>
              <w:jc w:val="right"/>
              <w:ind w:right="148"/>
              <w:spacing w:after="0"/>
              <w:rPr>
                <w:sz w:val="20"/>
                <w:szCs w:val="20"/>
                <w:color w:val="auto"/>
              </w:rPr>
            </w:pPr>
            <w:r>
              <w:rPr>
                <w:rFonts w:ascii="Arial" w:cs="Arial" w:eastAsia="Arial" w:hAnsi="Arial"/>
                <w:sz w:val="14"/>
                <w:szCs w:val="14"/>
                <w:color w:val="auto"/>
              </w:rPr>
              <w:t>$182,140</w:t>
            </w:r>
          </w:p>
        </w:tc>
        <w:tc>
          <w:tcPr>
            <w:tcW w:w="1200" w:type="dxa"/>
            <w:vAlign w:val="bottom"/>
            <w:gridSpan w:val="2"/>
            <w:shd w:val="clear" w:color="auto" w:fill="E5EEF8"/>
          </w:tcPr>
          <w:p>
            <w:pPr>
              <w:jc w:val="right"/>
              <w:ind w:right="148"/>
              <w:spacing w:after="0"/>
              <w:rPr>
                <w:sz w:val="20"/>
                <w:szCs w:val="20"/>
                <w:color w:val="auto"/>
              </w:rPr>
            </w:pPr>
            <w:r>
              <w:rPr>
                <w:rFonts w:ascii="Arial" w:cs="Arial" w:eastAsia="Arial" w:hAnsi="Arial"/>
                <w:sz w:val="14"/>
                <w:szCs w:val="14"/>
                <w:color w:val="auto"/>
              </w:rPr>
              <w:t>$181,396</w:t>
            </w:r>
          </w:p>
        </w:tc>
        <w:tc>
          <w:tcPr>
            <w:tcW w:w="1200" w:type="dxa"/>
            <w:vAlign w:val="bottom"/>
            <w:gridSpan w:val="2"/>
            <w:shd w:val="clear" w:color="auto" w:fill="E5EEF8"/>
          </w:tcPr>
          <w:p>
            <w:pPr>
              <w:jc w:val="right"/>
              <w:ind w:right="148"/>
              <w:spacing w:after="0"/>
              <w:rPr>
                <w:sz w:val="20"/>
                <w:szCs w:val="20"/>
                <w:color w:val="auto"/>
              </w:rPr>
            </w:pPr>
            <w:r>
              <w:rPr>
                <w:rFonts w:ascii="Arial" w:cs="Arial" w:eastAsia="Arial" w:hAnsi="Arial"/>
                <w:sz w:val="14"/>
                <w:szCs w:val="14"/>
                <w:color w:val="auto"/>
              </w:rPr>
              <w:t>$10,317</w:t>
            </w:r>
          </w:p>
        </w:tc>
        <w:tc>
          <w:tcPr>
            <w:tcW w:w="1360" w:type="dxa"/>
            <w:vAlign w:val="bottom"/>
            <w:gridSpan w:val="2"/>
            <w:shd w:val="clear" w:color="auto" w:fill="E5EEF8"/>
          </w:tcPr>
          <w:p>
            <w:pPr>
              <w:jc w:val="right"/>
              <w:ind w:right="288"/>
              <w:spacing w:after="0"/>
              <w:rPr>
                <w:sz w:val="20"/>
                <w:szCs w:val="20"/>
                <w:color w:val="auto"/>
              </w:rPr>
            </w:pPr>
            <w:r>
              <w:rPr>
                <w:rFonts w:ascii="Arial" w:cs="Arial" w:eastAsia="Arial" w:hAnsi="Arial"/>
                <w:sz w:val="14"/>
                <w:szCs w:val="14"/>
                <w:color w:val="auto"/>
              </w:rPr>
              <w:t>$2,092</w:t>
            </w:r>
          </w:p>
        </w:tc>
        <w:tc>
          <w:tcPr>
            <w:tcW w:w="1980" w:type="dxa"/>
            <w:vAlign w:val="bottom"/>
            <w:shd w:val="clear" w:color="auto" w:fill="E5EEF8"/>
          </w:tcPr>
          <w:p>
            <w:pPr>
              <w:spacing w:after="0"/>
              <w:rPr>
                <w:sz w:val="20"/>
                <w:szCs w:val="20"/>
                <w:color w:val="auto"/>
              </w:rPr>
            </w:pPr>
            <w:r>
              <w:rPr>
                <w:rFonts w:ascii="Arial" w:cs="Arial" w:eastAsia="Arial" w:hAnsi="Arial"/>
                <w:sz w:val="14"/>
                <w:szCs w:val="14"/>
                <w:color w:val="auto"/>
              </w:rPr>
              <w:t>Application Software</w:t>
            </w:r>
          </w:p>
        </w:tc>
      </w:tr>
      <w:tr>
        <w:trPr>
          <w:trHeight w:val="210"/>
        </w:trPr>
        <w:tc>
          <w:tcPr>
            <w:tcW w:w="2840" w:type="dxa"/>
            <w:vAlign w:val="bottom"/>
          </w:tcPr>
          <w:p>
            <w:pPr>
              <w:ind w:left="60"/>
              <w:spacing w:after="0"/>
              <w:rPr>
                <w:sz w:val="20"/>
                <w:szCs w:val="20"/>
                <w:color w:val="auto"/>
              </w:rPr>
            </w:pPr>
            <w:r>
              <w:rPr>
                <w:rFonts w:ascii="Arial" w:cs="Arial" w:eastAsia="Arial" w:hAnsi="Arial"/>
                <w:sz w:val="14"/>
                <w:szCs w:val="14"/>
                <w:color w:val="auto"/>
              </w:rPr>
              <w:t>Autodesk, Inc.</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ADSK</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61,854</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63,112</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4,232</w:t>
            </w:r>
          </w:p>
        </w:tc>
        <w:tc>
          <w:tcPr>
            <w:tcW w:w="1360" w:type="dxa"/>
            <w:vAlign w:val="bottom"/>
            <w:gridSpan w:val="2"/>
          </w:tcPr>
          <w:p>
            <w:pPr>
              <w:jc w:val="right"/>
              <w:ind w:right="288"/>
              <w:spacing w:after="0"/>
              <w:rPr>
                <w:sz w:val="20"/>
                <w:szCs w:val="20"/>
                <w:color w:val="auto"/>
              </w:rPr>
            </w:pPr>
            <w:r>
              <w:rPr>
                <w:rFonts w:ascii="Arial" w:cs="Arial" w:eastAsia="Arial" w:hAnsi="Arial"/>
                <w:sz w:val="14"/>
                <w:szCs w:val="14"/>
                <w:color w:val="auto"/>
              </w:rPr>
              <w:t>$1,319</w:t>
            </w:r>
          </w:p>
        </w:tc>
        <w:tc>
          <w:tcPr>
            <w:tcW w:w="1980" w:type="dxa"/>
            <w:vAlign w:val="bottom"/>
          </w:tcPr>
          <w:p>
            <w:pPr>
              <w:spacing w:after="0"/>
              <w:rPr>
                <w:sz w:val="20"/>
                <w:szCs w:val="20"/>
                <w:color w:val="auto"/>
              </w:rPr>
            </w:pPr>
            <w:r>
              <w:rPr>
                <w:rFonts w:ascii="Arial" w:cs="Arial" w:eastAsia="Arial" w:hAnsi="Arial"/>
                <w:sz w:val="14"/>
                <w:szCs w:val="14"/>
                <w:color w:val="auto"/>
              </w:rPr>
              <w:t>Application Software</w:t>
            </w:r>
          </w:p>
        </w:tc>
      </w:tr>
      <w:tr>
        <w:trPr>
          <w:trHeight w:val="222"/>
        </w:trPr>
        <w:tc>
          <w:tcPr>
            <w:tcW w:w="2840" w:type="dxa"/>
            <w:vAlign w:val="bottom"/>
            <w:shd w:val="clear" w:color="auto" w:fill="E5EEF8"/>
          </w:tcPr>
          <w:p>
            <w:pPr>
              <w:ind w:left="80"/>
              <w:spacing w:after="0"/>
              <w:rPr>
                <w:sz w:val="20"/>
                <w:szCs w:val="20"/>
                <w:color w:val="auto"/>
              </w:rPr>
            </w:pPr>
            <w:r>
              <w:rPr>
                <w:rFonts w:ascii="Arial" w:cs="Arial" w:eastAsia="Arial" w:hAnsi="Arial"/>
                <w:sz w:val="14"/>
                <w:szCs w:val="14"/>
                <w:color w:val="auto"/>
              </w:rPr>
              <w:t>Citrix Systems, Inc.</w:t>
            </w:r>
          </w:p>
        </w:tc>
        <w:tc>
          <w:tcPr>
            <w:tcW w:w="1000" w:type="dxa"/>
            <w:vAlign w:val="bottom"/>
            <w:shd w:val="clear" w:color="auto" w:fill="E5EEF8"/>
          </w:tcPr>
          <w:p>
            <w:pPr>
              <w:jc w:val="right"/>
              <w:ind w:right="108"/>
              <w:spacing w:after="0"/>
              <w:rPr>
                <w:sz w:val="20"/>
                <w:szCs w:val="20"/>
                <w:color w:val="auto"/>
              </w:rPr>
            </w:pPr>
            <w:r>
              <w:rPr>
                <w:rFonts w:ascii="Arial" w:cs="Arial" w:eastAsia="Arial" w:hAnsi="Arial"/>
                <w:sz w:val="14"/>
                <w:szCs w:val="14"/>
                <w:color w:val="auto"/>
              </w:rPr>
              <w:t>CTXS</w:t>
            </w:r>
          </w:p>
        </w:tc>
        <w:tc>
          <w:tcPr>
            <w:tcW w:w="740" w:type="dxa"/>
            <w:vAlign w:val="bottom"/>
            <w:shd w:val="clear" w:color="auto" w:fill="E5EEF8"/>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5EEF8"/>
          </w:tcPr>
          <w:p>
            <w:pPr>
              <w:jc w:val="right"/>
              <w:ind w:right="148"/>
              <w:spacing w:after="0"/>
              <w:rPr>
                <w:sz w:val="20"/>
                <w:szCs w:val="20"/>
                <w:color w:val="auto"/>
              </w:rPr>
            </w:pPr>
            <w:r>
              <w:rPr>
                <w:rFonts w:ascii="Arial" w:cs="Arial" w:eastAsia="Arial" w:hAnsi="Arial"/>
                <w:sz w:val="14"/>
                <w:szCs w:val="14"/>
                <w:color w:val="auto"/>
              </w:rPr>
              <w:t>11,798</w:t>
            </w:r>
          </w:p>
        </w:tc>
        <w:tc>
          <w:tcPr>
            <w:tcW w:w="500" w:type="dxa"/>
            <w:vAlign w:val="bottom"/>
            <w:shd w:val="clear" w:color="auto" w:fill="E5EEF8"/>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5EEF8"/>
          </w:tcPr>
          <w:p>
            <w:pPr>
              <w:jc w:val="right"/>
              <w:ind w:right="148"/>
              <w:spacing w:after="0"/>
              <w:rPr>
                <w:sz w:val="20"/>
                <w:szCs w:val="20"/>
                <w:color w:val="auto"/>
              </w:rPr>
            </w:pPr>
            <w:r>
              <w:rPr>
                <w:rFonts w:ascii="Arial" w:cs="Arial" w:eastAsia="Arial" w:hAnsi="Arial"/>
                <w:sz w:val="14"/>
                <w:szCs w:val="14"/>
                <w:color w:val="auto"/>
              </w:rPr>
              <w:t>14,857</w:t>
            </w:r>
          </w:p>
        </w:tc>
        <w:tc>
          <w:tcPr>
            <w:tcW w:w="5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5EEF8"/>
          </w:tcPr>
          <w:p>
            <w:pPr>
              <w:jc w:val="right"/>
              <w:ind w:right="148"/>
              <w:spacing w:after="0"/>
              <w:rPr>
                <w:sz w:val="20"/>
                <w:szCs w:val="20"/>
                <w:color w:val="auto"/>
              </w:rPr>
            </w:pPr>
            <w:r>
              <w:rPr>
                <w:rFonts w:ascii="Arial" w:cs="Arial" w:eastAsia="Arial" w:hAnsi="Arial"/>
                <w:sz w:val="14"/>
                <w:szCs w:val="14"/>
                <w:color w:val="auto"/>
              </w:rPr>
              <w:t>3,176</w:t>
            </w:r>
          </w:p>
        </w:tc>
        <w:tc>
          <w:tcPr>
            <w:tcW w:w="720" w:type="dxa"/>
            <w:vAlign w:val="bottom"/>
            <w:shd w:val="clear" w:color="auto" w:fill="E5EEF8"/>
          </w:tcPr>
          <w:p>
            <w:pPr>
              <w:jc w:val="center"/>
              <w:ind w:left="368"/>
              <w:spacing w:after="0"/>
              <w:rPr>
                <w:sz w:val="20"/>
                <w:szCs w:val="20"/>
                <w:color w:val="auto"/>
              </w:rPr>
            </w:pPr>
            <w:r>
              <w:rPr>
                <w:rFonts w:ascii="Arial" w:cs="Arial" w:eastAsia="Arial" w:hAnsi="Arial"/>
                <w:sz w:val="14"/>
                <w:szCs w:val="14"/>
                <w:color w:val="auto"/>
              </w:rPr>
              <w:t>$</w:t>
            </w:r>
          </w:p>
        </w:tc>
        <w:tc>
          <w:tcPr>
            <w:tcW w:w="640" w:type="dxa"/>
            <w:vAlign w:val="bottom"/>
            <w:shd w:val="clear" w:color="auto" w:fill="E5EEF8"/>
          </w:tcPr>
          <w:p>
            <w:pPr>
              <w:jc w:val="right"/>
              <w:ind w:right="288"/>
              <w:spacing w:after="0"/>
              <w:rPr>
                <w:sz w:val="20"/>
                <w:szCs w:val="20"/>
                <w:color w:val="auto"/>
              </w:rPr>
            </w:pPr>
            <w:r>
              <w:rPr>
                <w:rFonts w:ascii="Arial" w:cs="Arial" w:eastAsia="Arial" w:hAnsi="Arial"/>
                <w:sz w:val="14"/>
                <w:szCs w:val="14"/>
                <w:color w:val="auto"/>
              </w:rPr>
              <w:t>317</w:t>
            </w:r>
          </w:p>
        </w:tc>
        <w:tc>
          <w:tcPr>
            <w:tcW w:w="1980" w:type="dxa"/>
            <w:vAlign w:val="bottom"/>
            <w:shd w:val="clear" w:color="auto" w:fill="E5EEF8"/>
          </w:tcPr>
          <w:p>
            <w:pPr>
              <w:spacing w:after="0"/>
              <w:rPr>
                <w:sz w:val="20"/>
                <w:szCs w:val="20"/>
                <w:color w:val="auto"/>
              </w:rPr>
            </w:pPr>
            <w:r>
              <w:rPr>
                <w:rFonts w:ascii="Arial" w:cs="Arial" w:eastAsia="Arial" w:hAnsi="Arial"/>
                <w:sz w:val="14"/>
                <w:szCs w:val="14"/>
                <w:color w:val="auto"/>
              </w:rPr>
              <w:t>Application Software</w:t>
            </w:r>
          </w:p>
        </w:tc>
      </w:tr>
      <w:tr>
        <w:trPr>
          <w:trHeight w:val="162"/>
        </w:trPr>
        <w:tc>
          <w:tcPr>
            <w:tcW w:w="2840" w:type="dxa"/>
            <w:vAlign w:val="bottom"/>
          </w:tcPr>
          <w:p>
            <w:pPr>
              <w:ind w:left="80"/>
              <w:spacing w:after="0"/>
              <w:rPr>
                <w:sz w:val="20"/>
                <w:szCs w:val="20"/>
                <w:color w:val="auto"/>
              </w:rPr>
            </w:pPr>
            <w:r>
              <w:rPr>
                <w:rFonts w:ascii="Arial" w:cs="Arial" w:eastAsia="Arial" w:hAnsi="Arial"/>
                <w:sz w:val="14"/>
                <w:szCs w:val="14"/>
                <w:color w:val="auto"/>
              </w:rPr>
              <w:t>ServiceNow, Inc.</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NOW</w:t>
            </w:r>
          </w:p>
        </w:tc>
        <w:tc>
          <w:tcPr>
            <w:tcW w:w="1440" w:type="dxa"/>
            <w:vAlign w:val="bottom"/>
            <w:gridSpan w:val="2"/>
          </w:tcPr>
          <w:p>
            <w:pPr>
              <w:jc w:val="right"/>
              <w:ind w:right="148"/>
              <w:spacing w:after="0"/>
              <w:rPr>
                <w:sz w:val="20"/>
                <w:szCs w:val="20"/>
                <w:color w:val="auto"/>
              </w:rPr>
            </w:pPr>
            <w:r>
              <w:rPr>
                <w:rFonts w:ascii="Arial" w:cs="Arial" w:eastAsia="Arial" w:hAnsi="Arial"/>
                <w:sz w:val="14"/>
                <w:szCs w:val="14"/>
                <w:color w:val="auto"/>
              </w:rPr>
              <w:t>$129,173</w:t>
            </w:r>
          </w:p>
        </w:tc>
        <w:tc>
          <w:tcPr>
            <w:tcW w:w="1200" w:type="dxa"/>
            <w:vAlign w:val="bottom"/>
            <w:gridSpan w:val="2"/>
          </w:tcPr>
          <w:p>
            <w:pPr>
              <w:jc w:val="right"/>
              <w:ind w:right="148"/>
              <w:spacing w:after="0"/>
              <w:rPr>
                <w:sz w:val="20"/>
                <w:szCs w:val="20"/>
                <w:color w:val="auto"/>
              </w:rPr>
            </w:pPr>
            <w:r>
              <w:rPr>
                <w:rFonts w:ascii="Arial" w:cs="Arial" w:eastAsia="Arial" w:hAnsi="Arial"/>
                <w:sz w:val="14"/>
                <w:szCs w:val="14"/>
                <w:color w:val="auto"/>
              </w:rPr>
              <w:t>$128,363</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5,531</w:t>
            </w:r>
          </w:p>
        </w:tc>
        <w:tc>
          <w:tcPr>
            <w:tcW w:w="720" w:type="dxa"/>
            <w:vAlign w:val="bottom"/>
          </w:tcPr>
          <w:p>
            <w:pPr>
              <w:jc w:val="center"/>
              <w:ind w:left="3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8"/>
              <w:spacing w:after="0"/>
              <w:rPr>
                <w:sz w:val="20"/>
                <w:szCs w:val="20"/>
                <w:color w:val="auto"/>
              </w:rPr>
            </w:pPr>
            <w:r>
              <w:rPr>
                <w:rFonts w:ascii="Arial" w:cs="Arial" w:eastAsia="Arial" w:hAnsi="Arial"/>
                <w:sz w:val="14"/>
                <w:szCs w:val="14"/>
                <w:color w:val="auto"/>
              </w:rPr>
              <w:t>221</w:t>
            </w:r>
          </w:p>
        </w:tc>
        <w:tc>
          <w:tcPr>
            <w:tcW w:w="1980" w:type="dxa"/>
            <w:vAlign w:val="bottom"/>
          </w:tcPr>
          <w:p>
            <w:pPr>
              <w:spacing w:after="0"/>
              <w:rPr>
                <w:sz w:val="20"/>
                <w:szCs w:val="20"/>
                <w:color w:val="auto"/>
              </w:rPr>
            </w:pPr>
            <w:r>
              <w:rPr>
                <w:rFonts w:ascii="Arial" w:cs="Arial" w:eastAsia="Arial" w:hAnsi="Arial"/>
                <w:sz w:val="14"/>
                <w:szCs w:val="14"/>
                <w:color w:val="auto"/>
              </w:rPr>
              <w:t>Systems Software</w:t>
            </w:r>
          </w:p>
        </w:tc>
      </w:tr>
      <w:tr>
        <w:trPr>
          <w:trHeight w:val="216"/>
        </w:trPr>
        <w:tc>
          <w:tcPr>
            <w:tcW w:w="2840" w:type="dxa"/>
            <w:vAlign w:val="bottom"/>
            <w:shd w:val="clear" w:color="auto" w:fill="E5EEF8"/>
          </w:tcPr>
          <w:p>
            <w:pPr>
              <w:ind w:left="80"/>
              <w:spacing w:after="0"/>
              <w:rPr>
                <w:sz w:val="20"/>
                <w:szCs w:val="20"/>
                <w:color w:val="auto"/>
              </w:rPr>
            </w:pPr>
            <w:r>
              <w:rPr>
                <w:rFonts w:ascii="Arial" w:cs="Arial" w:eastAsia="Arial" w:hAnsi="Arial"/>
                <w:sz w:val="14"/>
                <w:szCs w:val="14"/>
                <w:color w:val="auto"/>
              </w:rPr>
              <w:t>VMware, Inc. Class A</w:t>
            </w:r>
          </w:p>
        </w:tc>
        <w:tc>
          <w:tcPr>
            <w:tcW w:w="1000" w:type="dxa"/>
            <w:vAlign w:val="bottom"/>
            <w:shd w:val="clear" w:color="auto" w:fill="E5EEF8"/>
          </w:tcPr>
          <w:p>
            <w:pPr>
              <w:jc w:val="right"/>
              <w:ind w:right="108"/>
              <w:spacing w:after="0"/>
              <w:rPr>
                <w:sz w:val="20"/>
                <w:szCs w:val="20"/>
                <w:color w:val="auto"/>
              </w:rPr>
            </w:pPr>
            <w:r>
              <w:rPr>
                <w:rFonts w:ascii="Arial" w:cs="Arial" w:eastAsia="Arial" w:hAnsi="Arial"/>
                <w:sz w:val="14"/>
                <w:szCs w:val="14"/>
                <w:color w:val="auto"/>
              </w:rPr>
              <w:t>VMW</w:t>
            </w:r>
          </w:p>
        </w:tc>
        <w:tc>
          <w:tcPr>
            <w:tcW w:w="740" w:type="dxa"/>
            <w:vAlign w:val="bottom"/>
            <w:shd w:val="clear" w:color="auto" w:fill="E5EEF8"/>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5EEF8"/>
          </w:tcPr>
          <w:p>
            <w:pPr>
              <w:jc w:val="right"/>
              <w:ind w:right="148"/>
              <w:spacing w:after="0"/>
              <w:rPr>
                <w:sz w:val="20"/>
                <w:szCs w:val="20"/>
                <w:color w:val="auto"/>
              </w:rPr>
            </w:pPr>
            <w:r>
              <w:rPr>
                <w:rFonts w:ascii="Arial" w:cs="Arial" w:eastAsia="Arial" w:hAnsi="Arial"/>
                <w:sz w:val="14"/>
                <w:szCs w:val="14"/>
                <w:color w:val="auto"/>
              </w:rPr>
              <w:t>48,712</w:t>
            </w:r>
          </w:p>
        </w:tc>
        <w:tc>
          <w:tcPr>
            <w:tcW w:w="500" w:type="dxa"/>
            <w:vAlign w:val="bottom"/>
            <w:shd w:val="clear" w:color="auto" w:fill="E5EEF8"/>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5EEF8"/>
          </w:tcPr>
          <w:p>
            <w:pPr>
              <w:jc w:val="right"/>
              <w:ind w:right="148"/>
              <w:spacing w:after="0"/>
              <w:rPr>
                <w:sz w:val="20"/>
                <w:szCs w:val="20"/>
                <w:color w:val="auto"/>
              </w:rPr>
            </w:pPr>
            <w:r>
              <w:rPr>
                <w:rFonts w:ascii="Arial" w:cs="Arial" w:eastAsia="Arial" w:hAnsi="Arial"/>
                <w:sz w:val="14"/>
                <w:szCs w:val="14"/>
                <w:color w:val="auto"/>
              </w:rPr>
              <w:t>47,862</w:t>
            </w:r>
          </w:p>
        </w:tc>
        <w:tc>
          <w:tcPr>
            <w:tcW w:w="1200" w:type="dxa"/>
            <w:vAlign w:val="bottom"/>
            <w:gridSpan w:val="2"/>
            <w:shd w:val="clear" w:color="auto" w:fill="E5EEF8"/>
          </w:tcPr>
          <w:p>
            <w:pPr>
              <w:jc w:val="right"/>
              <w:ind w:right="148"/>
              <w:spacing w:after="0"/>
              <w:rPr>
                <w:sz w:val="20"/>
                <w:szCs w:val="20"/>
                <w:color w:val="auto"/>
              </w:rPr>
            </w:pPr>
            <w:r>
              <w:rPr>
                <w:rFonts w:ascii="Arial" w:cs="Arial" w:eastAsia="Arial" w:hAnsi="Arial"/>
                <w:sz w:val="14"/>
                <w:szCs w:val="14"/>
                <w:color w:val="auto"/>
              </w:rPr>
              <w:t>$12,614</w:t>
            </w:r>
          </w:p>
        </w:tc>
        <w:tc>
          <w:tcPr>
            <w:tcW w:w="1360" w:type="dxa"/>
            <w:vAlign w:val="bottom"/>
            <w:gridSpan w:val="2"/>
            <w:shd w:val="clear" w:color="auto" w:fill="E5EEF8"/>
          </w:tcPr>
          <w:p>
            <w:pPr>
              <w:jc w:val="right"/>
              <w:ind w:right="288"/>
              <w:spacing w:after="0"/>
              <w:rPr>
                <w:sz w:val="20"/>
                <w:szCs w:val="20"/>
                <w:color w:val="auto"/>
              </w:rPr>
            </w:pPr>
            <w:r>
              <w:rPr>
                <w:rFonts w:ascii="Arial" w:cs="Arial" w:eastAsia="Arial" w:hAnsi="Arial"/>
                <w:sz w:val="14"/>
                <w:szCs w:val="14"/>
                <w:color w:val="auto"/>
              </w:rPr>
              <w:t>$2,025</w:t>
            </w:r>
          </w:p>
        </w:tc>
        <w:tc>
          <w:tcPr>
            <w:tcW w:w="1980" w:type="dxa"/>
            <w:vAlign w:val="bottom"/>
            <w:shd w:val="clear" w:color="auto" w:fill="E5EEF8"/>
          </w:tcPr>
          <w:p>
            <w:pPr>
              <w:spacing w:after="0"/>
              <w:rPr>
                <w:sz w:val="20"/>
                <w:szCs w:val="20"/>
                <w:color w:val="auto"/>
              </w:rPr>
            </w:pPr>
            <w:r>
              <w:rPr>
                <w:rFonts w:ascii="Arial" w:cs="Arial" w:eastAsia="Arial" w:hAnsi="Arial"/>
                <w:sz w:val="14"/>
                <w:szCs w:val="14"/>
                <w:color w:val="auto"/>
              </w:rPr>
              <w:t>Systems Software</w:t>
            </w:r>
          </w:p>
        </w:tc>
      </w:tr>
      <w:tr>
        <w:trPr>
          <w:trHeight w:val="204"/>
        </w:trPr>
        <w:tc>
          <w:tcPr>
            <w:tcW w:w="2840" w:type="dxa"/>
            <w:vAlign w:val="bottom"/>
          </w:tcPr>
          <w:p>
            <w:pPr>
              <w:ind w:left="80"/>
              <w:spacing w:after="0"/>
              <w:rPr>
                <w:sz w:val="20"/>
                <w:szCs w:val="20"/>
                <w:color w:val="auto"/>
              </w:rPr>
            </w:pPr>
            <w:r>
              <w:rPr>
                <w:rFonts w:ascii="Arial" w:cs="Arial" w:eastAsia="Arial" w:hAnsi="Arial"/>
                <w:sz w:val="14"/>
                <w:szCs w:val="14"/>
                <w:color w:val="auto"/>
              </w:rPr>
              <w:t>Blackstone Group L.P.</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BX</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88,874</w:t>
            </w:r>
          </w:p>
        </w:tc>
        <w:tc>
          <w:tcPr>
            <w:tcW w:w="1200" w:type="dxa"/>
            <w:vAlign w:val="bottom"/>
            <w:gridSpan w:val="2"/>
          </w:tcPr>
          <w:p>
            <w:pPr>
              <w:jc w:val="right"/>
              <w:ind w:right="148"/>
              <w:spacing w:after="0"/>
              <w:rPr>
                <w:sz w:val="20"/>
                <w:szCs w:val="20"/>
                <w:color w:val="auto"/>
              </w:rPr>
            </w:pPr>
            <w:r>
              <w:rPr>
                <w:rFonts w:ascii="Arial" w:cs="Arial" w:eastAsia="Arial" w:hAnsi="Arial"/>
                <w:sz w:val="14"/>
                <w:szCs w:val="14"/>
                <w:color w:val="auto"/>
              </w:rPr>
              <w:t>$170,249</w:t>
            </w:r>
          </w:p>
        </w:tc>
        <w:tc>
          <w:tcPr>
            <w:tcW w:w="1200" w:type="dxa"/>
            <w:vAlign w:val="bottom"/>
            <w:gridSpan w:val="2"/>
          </w:tcPr>
          <w:p>
            <w:pPr>
              <w:jc w:val="right"/>
              <w:ind w:right="148"/>
              <w:spacing w:after="0"/>
              <w:rPr>
                <w:sz w:val="20"/>
                <w:szCs w:val="20"/>
                <w:color w:val="auto"/>
              </w:rPr>
            </w:pPr>
            <w:r>
              <w:rPr>
                <w:rFonts w:ascii="Arial" w:cs="Arial" w:eastAsia="Arial" w:hAnsi="Arial"/>
                <w:sz w:val="14"/>
                <w:szCs w:val="14"/>
                <w:color w:val="auto"/>
              </w:rPr>
              <w:t>$10,695</w:t>
            </w:r>
          </w:p>
        </w:tc>
        <w:tc>
          <w:tcPr>
            <w:tcW w:w="1360" w:type="dxa"/>
            <w:vAlign w:val="bottom"/>
            <w:gridSpan w:val="2"/>
          </w:tcPr>
          <w:p>
            <w:pPr>
              <w:jc w:val="right"/>
              <w:ind w:right="288"/>
              <w:spacing w:after="0"/>
              <w:rPr>
                <w:sz w:val="20"/>
                <w:szCs w:val="20"/>
                <w:color w:val="auto"/>
              </w:rPr>
            </w:pPr>
            <w:r>
              <w:rPr>
                <w:rFonts w:ascii="Arial" w:cs="Arial" w:eastAsia="Arial" w:hAnsi="Arial"/>
                <w:sz w:val="14"/>
                <w:szCs w:val="14"/>
                <w:color w:val="auto"/>
              </w:rPr>
              <w:t>$5,208</w:t>
            </w:r>
          </w:p>
        </w:tc>
        <w:tc>
          <w:tcPr>
            <w:tcW w:w="1980" w:type="dxa"/>
            <w:vAlign w:val="bottom"/>
          </w:tcPr>
          <w:p>
            <w:pPr>
              <w:spacing w:after="0"/>
              <w:rPr>
                <w:sz w:val="20"/>
                <w:szCs w:val="20"/>
                <w:color w:val="auto"/>
              </w:rPr>
            </w:pPr>
            <w:r>
              <w:rPr>
                <w:rFonts w:ascii="Arial" w:cs="Arial" w:eastAsia="Arial" w:hAnsi="Arial"/>
                <w:sz w:val="14"/>
                <w:szCs w:val="14"/>
                <w:color w:val="auto"/>
              </w:rPr>
              <w:t>Asset Management and</w:t>
            </w:r>
          </w:p>
        </w:tc>
      </w:tr>
      <w:tr>
        <w:trPr>
          <w:trHeight w:val="222"/>
        </w:trPr>
        <w:tc>
          <w:tcPr>
            <w:tcW w:w="2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4"/>
                <w:szCs w:val="14"/>
                <w:color w:val="auto"/>
              </w:rPr>
              <w:t>Custody Banks</w:t>
            </w:r>
          </w:p>
        </w:tc>
      </w:tr>
      <w:tr>
        <w:trPr>
          <w:trHeight w:val="210"/>
        </w:trPr>
        <w:tc>
          <w:tcPr>
            <w:tcW w:w="2840" w:type="dxa"/>
            <w:vAlign w:val="bottom"/>
            <w:shd w:val="clear" w:color="auto" w:fill="E5EEF8"/>
          </w:tcPr>
          <w:p>
            <w:pPr>
              <w:ind w:left="80"/>
              <w:spacing w:after="0"/>
              <w:rPr>
                <w:sz w:val="20"/>
                <w:szCs w:val="20"/>
                <w:color w:val="auto"/>
              </w:rPr>
            </w:pPr>
            <w:r>
              <w:rPr>
                <w:rFonts w:ascii="Arial" w:cs="Arial" w:eastAsia="Arial" w:hAnsi="Arial"/>
                <w:sz w:val="14"/>
                <w:szCs w:val="14"/>
                <w:color w:val="auto"/>
              </w:rPr>
              <w:t>KKR &amp; Co. Inc. Class A</w:t>
            </w:r>
          </w:p>
        </w:tc>
        <w:tc>
          <w:tcPr>
            <w:tcW w:w="1000" w:type="dxa"/>
            <w:vAlign w:val="bottom"/>
            <w:shd w:val="clear" w:color="auto" w:fill="E5EEF8"/>
          </w:tcPr>
          <w:p>
            <w:pPr>
              <w:jc w:val="right"/>
              <w:ind w:right="108"/>
              <w:spacing w:after="0"/>
              <w:rPr>
                <w:sz w:val="20"/>
                <w:szCs w:val="20"/>
                <w:color w:val="auto"/>
              </w:rPr>
            </w:pPr>
            <w:r>
              <w:rPr>
                <w:rFonts w:ascii="Arial" w:cs="Arial" w:eastAsia="Arial" w:hAnsi="Arial"/>
                <w:sz w:val="14"/>
                <w:szCs w:val="14"/>
                <w:color w:val="auto"/>
              </w:rPr>
              <w:t>KKR</w:t>
            </w:r>
          </w:p>
        </w:tc>
        <w:tc>
          <w:tcPr>
            <w:tcW w:w="740" w:type="dxa"/>
            <w:vAlign w:val="bottom"/>
            <w:shd w:val="clear" w:color="auto" w:fill="E5EEF8"/>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5EEF8"/>
          </w:tcPr>
          <w:p>
            <w:pPr>
              <w:jc w:val="right"/>
              <w:ind w:right="148"/>
              <w:spacing w:after="0"/>
              <w:rPr>
                <w:sz w:val="20"/>
                <w:szCs w:val="20"/>
                <w:color w:val="auto"/>
              </w:rPr>
            </w:pPr>
            <w:r>
              <w:rPr>
                <w:rFonts w:ascii="Arial" w:cs="Arial" w:eastAsia="Arial" w:hAnsi="Arial"/>
                <w:sz w:val="14"/>
                <w:szCs w:val="14"/>
                <w:color w:val="auto"/>
              </w:rPr>
              <w:t>43,583</w:t>
            </w:r>
          </w:p>
        </w:tc>
        <w:tc>
          <w:tcPr>
            <w:tcW w:w="1200" w:type="dxa"/>
            <w:vAlign w:val="bottom"/>
            <w:gridSpan w:val="2"/>
            <w:shd w:val="clear" w:color="auto" w:fill="E5EEF8"/>
          </w:tcPr>
          <w:p>
            <w:pPr>
              <w:jc w:val="right"/>
              <w:ind w:right="148"/>
              <w:spacing w:after="0"/>
              <w:rPr>
                <w:sz w:val="20"/>
                <w:szCs w:val="20"/>
                <w:color w:val="auto"/>
              </w:rPr>
            </w:pPr>
            <w:r>
              <w:rPr>
                <w:rFonts w:ascii="Arial" w:cs="Arial" w:eastAsia="Arial" w:hAnsi="Arial"/>
                <w:sz w:val="14"/>
                <w:szCs w:val="14"/>
                <w:color w:val="auto"/>
              </w:rPr>
              <w:t>$114,505</w:t>
            </w:r>
          </w:p>
        </w:tc>
        <w:tc>
          <w:tcPr>
            <w:tcW w:w="1200" w:type="dxa"/>
            <w:vAlign w:val="bottom"/>
            <w:gridSpan w:val="2"/>
            <w:shd w:val="clear" w:color="auto" w:fill="E5EEF8"/>
          </w:tcPr>
          <w:p>
            <w:pPr>
              <w:jc w:val="right"/>
              <w:ind w:right="148"/>
              <w:spacing w:after="0"/>
              <w:rPr>
                <w:sz w:val="20"/>
                <w:szCs w:val="20"/>
                <w:color w:val="auto"/>
              </w:rPr>
            </w:pPr>
            <w:r>
              <w:rPr>
                <w:rFonts w:ascii="Arial" w:cs="Arial" w:eastAsia="Arial" w:hAnsi="Arial"/>
                <w:sz w:val="14"/>
                <w:szCs w:val="14"/>
                <w:color w:val="auto"/>
              </w:rPr>
              <w:t>$16,158</w:t>
            </w:r>
          </w:p>
        </w:tc>
        <w:tc>
          <w:tcPr>
            <w:tcW w:w="1360" w:type="dxa"/>
            <w:vAlign w:val="bottom"/>
            <w:gridSpan w:val="2"/>
            <w:shd w:val="clear" w:color="auto" w:fill="E5EEF8"/>
          </w:tcPr>
          <w:p>
            <w:pPr>
              <w:jc w:val="right"/>
              <w:ind w:right="288"/>
              <w:spacing w:after="0"/>
              <w:rPr>
                <w:sz w:val="20"/>
                <w:szCs w:val="20"/>
                <w:color w:val="auto"/>
              </w:rPr>
            </w:pPr>
            <w:r>
              <w:rPr>
                <w:rFonts w:ascii="Arial" w:cs="Arial" w:eastAsia="Arial" w:hAnsi="Arial"/>
                <w:sz w:val="14"/>
                <w:szCs w:val="14"/>
                <w:color w:val="auto"/>
              </w:rPr>
              <w:t>$5,653</w:t>
            </w:r>
          </w:p>
        </w:tc>
        <w:tc>
          <w:tcPr>
            <w:tcW w:w="1980" w:type="dxa"/>
            <w:vAlign w:val="bottom"/>
            <w:shd w:val="clear" w:color="auto" w:fill="E5EEF8"/>
          </w:tcPr>
          <w:p>
            <w:pPr>
              <w:spacing w:after="0"/>
              <w:rPr>
                <w:sz w:val="20"/>
                <w:szCs w:val="20"/>
                <w:color w:val="auto"/>
              </w:rPr>
            </w:pPr>
            <w:r>
              <w:rPr>
                <w:rFonts w:ascii="Arial" w:cs="Arial" w:eastAsia="Arial" w:hAnsi="Arial"/>
                <w:sz w:val="14"/>
                <w:szCs w:val="14"/>
                <w:color w:val="auto"/>
              </w:rPr>
              <w:t>Asset Management and</w:t>
            </w:r>
          </w:p>
        </w:tc>
      </w:tr>
      <w:tr>
        <w:trPr>
          <w:trHeight w:val="228"/>
        </w:trPr>
        <w:tc>
          <w:tcPr>
            <w:tcW w:w="2840" w:type="dxa"/>
            <w:vAlign w:val="bottom"/>
            <w:shd w:val="clear" w:color="auto" w:fill="E5EEF8"/>
          </w:tcPr>
          <w:p>
            <w:pPr>
              <w:spacing w:after="0"/>
              <w:rPr>
                <w:sz w:val="19"/>
                <w:szCs w:val="19"/>
                <w:color w:val="auto"/>
              </w:rPr>
            </w:pPr>
          </w:p>
        </w:tc>
        <w:tc>
          <w:tcPr>
            <w:tcW w:w="1000" w:type="dxa"/>
            <w:vAlign w:val="bottom"/>
            <w:shd w:val="clear" w:color="auto" w:fill="E5EEF8"/>
          </w:tcPr>
          <w:p>
            <w:pPr>
              <w:spacing w:after="0"/>
              <w:rPr>
                <w:sz w:val="19"/>
                <w:szCs w:val="19"/>
                <w:color w:val="auto"/>
              </w:rPr>
            </w:pPr>
          </w:p>
        </w:tc>
        <w:tc>
          <w:tcPr>
            <w:tcW w:w="740" w:type="dxa"/>
            <w:vAlign w:val="bottom"/>
            <w:shd w:val="clear" w:color="auto" w:fill="E5EEF8"/>
          </w:tcPr>
          <w:p>
            <w:pPr>
              <w:spacing w:after="0"/>
              <w:rPr>
                <w:sz w:val="19"/>
                <w:szCs w:val="19"/>
                <w:color w:val="auto"/>
              </w:rPr>
            </w:pPr>
          </w:p>
        </w:tc>
        <w:tc>
          <w:tcPr>
            <w:tcW w:w="700" w:type="dxa"/>
            <w:vAlign w:val="bottom"/>
            <w:shd w:val="clear" w:color="auto" w:fill="E5EEF8"/>
          </w:tcPr>
          <w:p>
            <w:pPr>
              <w:spacing w:after="0"/>
              <w:rPr>
                <w:sz w:val="19"/>
                <w:szCs w:val="19"/>
                <w:color w:val="auto"/>
              </w:rPr>
            </w:pPr>
          </w:p>
        </w:tc>
        <w:tc>
          <w:tcPr>
            <w:tcW w:w="500" w:type="dxa"/>
            <w:vAlign w:val="bottom"/>
            <w:shd w:val="clear" w:color="auto" w:fill="E5EEF8"/>
          </w:tcPr>
          <w:p>
            <w:pPr>
              <w:spacing w:after="0"/>
              <w:rPr>
                <w:sz w:val="19"/>
                <w:szCs w:val="19"/>
                <w:color w:val="auto"/>
              </w:rPr>
            </w:pPr>
          </w:p>
        </w:tc>
        <w:tc>
          <w:tcPr>
            <w:tcW w:w="700" w:type="dxa"/>
            <w:vAlign w:val="bottom"/>
            <w:shd w:val="clear" w:color="auto" w:fill="E5EEF8"/>
          </w:tcPr>
          <w:p>
            <w:pPr>
              <w:spacing w:after="0"/>
              <w:rPr>
                <w:sz w:val="19"/>
                <w:szCs w:val="19"/>
                <w:color w:val="auto"/>
              </w:rPr>
            </w:pPr>
          </w:p>
        </w:tc>
        <w:tc>
          <w:tcPr>
            <w:tcW w:w="580" w:type="dxa"/>
            <w:vAlign w:val="bottom"/>
            <w:shd w:val="clear" w:color="auto" w:fill="E5EEF8"/>
          </w:tcPr>
          <w:p>
            <w:pPr>
              <w:spacing w:after="0"/>
              <w:rPr>
                <w:sz w:val="19"/>
                <w:szCs w:val="19"/>
                <w:color w:val="auto"/>
              </w:rPr>
            </w:pPr>
          </w:p>
        </w:tc>
        <w:tc>
          <w:tcPr>
            <w:tcW w:w="620" w:type="dxa"/>
            <w:vAlign w:val="bottom"/>
            <w:shd w:val="clear" w:color="auto" w:fill="E5EEF8"/>
          </w:tcPr>
          <w:p>
            <w:pPr>
              <w:spacing w:after="0"/>
              <w:rPr>
                <w:sz w:val="19"/>
                <w:szCs w:val="19"/>
                <w:color w:val="auto"/>
              </w:rPr>
            </w:pPr>
          </w:p>
        </w:tc>
        <w:tc>
          <w:tcPr>
            <w:tcW w:w="720" w:type="dxa"/>
            <w:vAlign w:val="bottom"/>
            <w:shd w:val="clear" w:color="auto" w:fill="E5EEF8"/>
          </w:tcPr>
          <w:p>
            <w:pPr>
              <w:spacing w:after="0"/>
              <w:rPr>
                <w:sz w:val="19"/>
                <w:szCs w:val="19"/>
                <w:color w:val="auto"/>
              </w:rPr>
            </w:pPr>
          </w:p>
        </w:tc>
        <w:tc>
          <w:tcPr>
            <w:tcW w:w="640" w:type="dxa"/>
            <w:vAlign w:val="bottom"/>
            <w:shd w:val="clear" w:color="auto" w:fill="E5EEF8"/>
          </w:tcPr>
          <w:p>
            <w:pPr>
              <w:spacing w:after="0"/>
              <w:rPr>
                <w:sz w:val="19"/>
                <w:szCs w:val="19"/>
                <w:color w:val="auto"/>
              </w:rPr>
            </w:pPr>
          </w:p>
        </w:tc>
        <w:tc>
          <w:tcPr>
            <w:tcW w:w="1980" w:type="dxa"/>
            <w:vAlign w:val="bottom"/>
            <w:shd w:val="clear" w:color="auto" w:fill="E5EEF8"/>
          </w:tcPr>
          <w:p>
            <w:pPr>
              <w:spacing w:after="0"/>
              <w:rPr>
                <w:sz w:val="20"/>
                <w:szCs w:val="20"/>
                <w:color w:val="auto"/>
              </w:rPr>
            </w:pPr>
            <w:r>
              <w:rPr>
                <w:rFonts w:ascii="Arial" w:cs="Arial" w:eastAsia="Arial" w:hAnsi="Arial"/>
                <w:sz w:val="14"/>
                <w:szCs w:val="14"/>
                <w:color w:val="auto"/>
              </w:rPr>
              <w:t>Custody Banks</w:t>
            </w:r>
          </w:p>
        </w:tc>
      </w:tr>
      <w:tr>
        <w:trPr>
          <w:trHeight w:val="210"/>
        </w:trPr>
        <w:tc>
          <w:tcPr>
            <w:tcW w:w="2840" w:type="dxa"/>
            <w:vAlign w:val="bottom"/>
            <w:tcBorders>
              <w:bottom w:val="single" w:sz="8" w:color="005CB9"/>
            </w:tcBorders>
          </w:tcPr>
          <w:p>
            <w:pPr>
              <w:ind w:left="80"/>
              <w:spacing w:after="0"/>
              <w:rPr>
                <w:sz w:val="20"/>
                <w:szCs w:val="20"/>
                <w:color w:val="auto"/>
              </w:rPr>
            </w:pPr>
            <w:r>
              <w:rPr>
                <w:rFonts w:ascii="Arial" w:cs="Arial" w:eastAsia="Arial" w:hAnsi="Arial"/>
                <w:sz w:val="14"/>
                <w:szCs w:val="14"/>
                <w:color w:val="auto"/>
              </w:rPr>
              <w:t>Motorola Solutions, Inc.</w:t>
            </w:r>
          </w:p>
        </w:tc>
        <w:tc>
          <w:tcPr>
            <w:tcW w:w="1000" w:type="dxa"/>
            <w:vAlign w:val="bottom"/>
            <w:tcBorders>
              <w:bottom w:val="single" w:sz="8" w:color="005CB9"/>
            </w:tcBorders>
          </w:tcPr>
          <w:p>
            <w:pPr>
              <w:jc w:val="right"/>
              <w:ind w:right="108"/>
              <w:spacing w:after="0"/>
              <w:rPr>
                <w:sz w:val="20"/>
                <w:szCs w:val="20"/>
                <w:color w:val="auto"/>
              </w:rPr>
            </w:pPr>
            <w:r>
              <w:rPr>
                <w:rFonts w:ascii="Arial" w:cs="Arial" w:eastAsia="Arial" w:hAnsi="Arial"/>
                <w:sz w:val="14"/>
                <w:szCs w:val="14"/>
                <w:color w:val="auto"/>
              </w:rPr>
              <w:t>MSI</w:t>
            </w:r>
          </w:p>
        </w:tc>
        <w:tc>
          <w:tcPr>
            <w:tcW w:w="740" w:type="dxa"/>
            <w:vAlign w:val="bottom"/>
            <w:tcBorders>
              <w:bottom w:val="single" w:sz="8" w:color="005CB9"/>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5CB9"/>
            </w:tcBorders>
          </w:tcPr>
          <w:p>
            <w:pPr>
              <w:jc w:val="right"/>
              <w:ind w:right="148"/>
              <w:spacing w:after="0"/>
              <w:rPr>
                <w:sz w:val="20"/>
                <w:szCs w:val="20"/>
                <w:color w:val="auto"/>
              </w:rPr>
            </w:pPr>
            <w:r>
              <w:rPr>
                <w:rFonts w:ascii="Arial" w:cs="Arial" w:eastAsia="Arial" w:hAnsi="Arial"/>
                <w:sz w:val="14"/>
                <w:szCs w:val="14"/>
                <w:color w:val="auto"/>
              </w:rPr>
              <w:t>45,889</w:t>
            </w:r>
          </w:p>
        </w:tc>
        <w:tc>
          <w:tcPr>
            <w:tcW w:w="500" w:type="dxa"/>
            <w:vAlign w:val="bottom"/>
            <w:tcBorders>
              <w:bottom w:val="single" w:sz="8" w:color="005CB9"/>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5CB9"/>
            </w:tcBorders>
          </w:tcPr>
          <w:p>
            <w:pPr>
              <w:jc w:val="right"/>
              <w:ind w:right="148"/>
              <w:spacing w:after="0"/>
              <w:rPr>
                <w:sz w:val="20"/>
                <w:szCs w:val="20"/>
                <w:color w:val="auto"/>
              </w:rPr>
            </w:pPr>
            <w:r>
              <w:rPr>
                <w:rFonts w:ascii="Arial" w:cs="Arial" w:eastAsia="Arial" w:hAnsi="Arial"/>
                <w:sz w:val="14"/>
                <w:szCs w:val="14"/>
                <w:color w:val="auto"/>
              </w:rPr>
              <w:t>50,390</w:t>
            </w:r>
          </w:p>
        </w:tc>
        <w:tc>
          <w:tcPr>
            <w:tcW w:w="580" w:type="dxa"/>
            <w:vAlign w:val="bottom"/>
            <w:tcBorders>
              <w:bottom w:val="single" w:sz="8" w:color="005CB9"/>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5CB9"/>
            </w:tcBorders>
          </w:tcPr>
          <w:p>
            <w:pPr>
              <w:jc w:val="right"/>
              <w:ind w:right="148"/>
              <w:spacing w:after="0"/>
              <w:rPr>
                <w:sz w:val="20"/>
                <w:szCs w:val="20"/>
                <w:color w:val="auto"/>
              </w:rPr>
            </w:pPr>
            <w:r>
              <w:rPr>
                <w:rFonts w:ascii="Arial" w:cs="Arial" w:eastAsia="Arial" w:hAnsi="Arial"/>
                <w:sz w:val="14"/>
                <w:szCs w:val="14"/>
                <w:color w:val="auto"/>
              </w:rPr>
              <w:t>8,124</w:t>
            </w:r>
          </w:p>
        </w:tc>
        <w:tc>
          <w:tcPr>
            <w:tcW w:w="1360" w:type="dxa"/>
            <w:vAlign w:val="bottom"/>
            <w:tcBorders>
              <w:bottom w:val="single" w:sz="8" w:color="005CB9"/>
            </w:tcBorders>
            <w:gridSpan w:val="2"/>
          </w:tcPr>
          <w:p>
            <w:pPr>
              <w:jc w:val="right"/>
              <w:ind w:right="288"/>
              <w:spacing w:after="0"/>
              <w:rPr>
                <w:sz w:val="20"/>
                <w:szCs w:val="20"/>
                <w:color w:val="auto"/>
              </w:rPr>
            </w:pPr>
            <w:r>
              <w:rPr>
                <w:rFonts w:ascii="Arial" w:cs="Arial" w:eastAsia="Arial" w:hAnsi="Arial"/>
                <w:sz w:val="14"/>
                <w:szCs w:val="14"/>
                <w:color w:val="auto"/>
              </w:rPr>
              <w:t>$1,256</w:t>
            </w:r>
          </w:p>
        </w:tc>
        <w:tc>
          <w:tcPr>
            <w:tcW w:w="1980" w:type="dxa"/>
            <w:vAlign w:val="bottom"/>
            <w:tcBorders>
              <w:bottom w:val="single" w:sz="8" w:color="005CB9"/>
            </w:tcBorders>
          </w:tcPr>
          <w:p>
            <w:pPr>
              <w:spacing w:after="0"/>
              <w:rPr>
                <w:sz w:val="20"/>
                <w:szCs w:val="20"/>
                <w:color w:val="auto"/>
              </w:rPr>
            </w:pPr>
            <w:r>
              <w:rPr>
                <w:rFonts w:ascii="Arial" w:cs="Arial" w:eastAsia="Arial" w:hAnsi="Arial"/>
                <w:sz w:val="14"/>
                <w:szCs w:val="14"/>
                <w:color w:val="auto"/>
              </w:rPr>
              <w:t>Communications Equipment</w:t>
            </w:r>
          </w:p>
        </w:tc>
      </w:tr>
      <w:tr>
        <w:trPr>
          <w:trHeight w:val="216"/>
        </w:trPr>
        <w:tc>
          <w:tcPr>
            <w:tcW w:w="2840" w:type="dxa"/>
            <w:vAlign w:val="bottom"/>
            <w:shd w:val="clear" w:color="auto" w:fill="E5EEF8"/>
          </w:tcPr>
          <w:p>
            <w:pPr>
              <w:ind w:left="80"/>
              <w:spacing w:after="0"/>
              <w:rPr>
                <w:sz w:val="20"/>
                <w:szCs w:val="20"/>
                <w:color w:val="auto"/>
              </w:rPr>
            </w:pPr>
            <w:r>
              <w:rPr>
                <w:rFonts w:ascii="Arial" w:cs="Arial" w:eastAsia="Arial" w:hAnsi="Arial"/>
                <w:sz w:val="14"/>
                <w:szCs w:val="14"/>
                <w:b w:val="1"/>
                <w:bCs w:val="1"/>
                <w:color w:val="auto"/>
              </w:rPr>
              <w:t>Median</w:t>
            </w:r>
          </w:p>
        </w:tc>
        <w:tc>
          <w:tcPr>
            <w:tcW w:w="1000" w:type="dxa"/>
            <w:vAlign w:val="bottom"/>
            <w:shd w:val="clear" w:color="auto" w:fill="E5EEF8"/>
          </w:tcPr>
          <w:p>
            <w:pPr>
              <w:spacing w:after="0"/>
              <w:rPr>
                <w:sz w:val="18"/>
                <w:szCs w:val="18"/>
                <w:color w:val="auto"/>
              </w:rPr>
            </w:pPr>
          </w:p>
        </w:tc>
        <w:tc>
          <w:tcPr>
            <w:tcW w:w="740" w:type="dxa"/>
            <w:vAlign w:val="bottom"/>
            <w:shd w:val="clear" w:color="auto" w:fill="E5EEF8"/>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E5EEF8"/>
          </w:tcPr>
          <w:p>
            <w:pPr>
              <w:jc w:val="right"/>
              <w:ind w:right="148"/>
              <w:spacing w:after="0"/>
              <w:rPr>
                <w:sz w:val="20"/>
                <w:szCs w:val="20"/>
                <w:color w:val="auto"/>
              </w:rPr>
            </w:pPr>
            <w:r>
              <w:rPr>
                <w:rFonts w:ascii="Arial" w:cs="Arial" w:eastAsia="Arial" w:hAnsi="Arial"/>
                <w:sz w:val="14"/>
                <w:szCs w:val="14"/>
                <w:b w:val="1"/>
                <w:bCs w:val="1"/>
                <w:color w:val="auto"/>
              </w:rPr>
              <w:t>75,364</w:t>
            </w:r>
          </w:p>
        </w:tc>
        <w:tc>
          <w:tcPr>
            <w:tcW w:w="1200" w:type="dxa"/>
            <w:vAlign w:val="bottom"/>
            <w:gridSpan w:val="2"/>
            <w:shd w:val="clear" w:color="auto" w:fill="E5EEF8"/>
          </w:tcPr>
          <w:p>
            <w:pPr>
              <w:jc w:val="right"/>
              <w:ind w:right="148"/>
              <w:spacing w:after="0"/>
              <w:rPr>
                <w:sz w:val="20"/>
                <w:szCs w:val="20"/>
                <w:color w:val="auto"/>
              </w:rPr>
            </w:pPr>
            <w:r>
              <w:rPr>
                <w:rFonts w:ascii="Arial" w:cs="Arial" w:eastAsia="Arial" w:hAnsi="Arial"/>
                <w:sz w:val="14"/>
                <w:szCs w:val="14"/>
                <w:b w:val="1"/>
                <w:bCs w:val="1"/>
                <w:color w:val="auto"/>
              </w:rPr>
              <w:t>$121,434</w:t>
            </w:r>
          </w:p>
        </w:tc>
        <w:tc>
          <w:tcPr>
            <w:tcW w:w="1200" w:type="dxa"/>
            <w:vAlign w:val="bottom"/>
            <w:gridSpan w:val="2"/>
            <w:shd w:val="clear" w:color="auto" w:fill="E5EEF8"/>
          </w:tcPr>
          <w:p>
            <w:pPr>
              <w:jc w:val="right"/>
              <w:ind w:right="148"/>
              <w:spacing w:after="0"/>
              <w:rPr>
                <w:sz w:val="20"/>
                <w:szCs w:val="20"/>
                <w:color w:val="auto"/>
              </w:rPr>
            </w:pPr>
            <w:r>
              <w:rPr>
                <w:rFonts w:ascii="Arial" w:cs="Arial" w:eastAsia="Arial" w:hAnsi="Arial"/>
                <w:sz w:val="14"/>
                <w:szCs w:val="14"/>
                <w:b w:val="1"/>
                <w:bCs w:val="1"/>
                <w:color w:val="auto"/>
              </w:rPr>
              <w:t>$10,506</w:t>
            </w:r>
          </w:p>
        </w:tc>
        <w:tc>
          <w:tcPr>
            <w:tcW w:w="1360" w:type="dxa"/>
            <w:vAlign w:val="bottom"/>
            <w:gridSpan w:val="2"/>
            <w:shd w:val="clear" w:color="auto" w:fill="E5EEF8"/>
          </w:tcPr>
          <w:p>
            <w:pPr>
              <w:jc w:val="right"/>
              <w:ind w:right="288"/>
              <w:spacing w:after="0"/>
              <w:rPr>
                <w:sz w:val="20"/>
                <w:szCs w:val="20"/>
                <w:color w:val="auto"/>
              </w:rPr>
            </w:pPr>
            <w:r>
              <w:rPr>
                <w:rFonts w:ascii="Arial" w:cs="Arial" w:eastAsia="Arial" w:hAnsi="Arial"/>
                <w:sz w:val="14"/>
                <w:szCs w:val="14"/>
                <w:b w:val="1"/>
                <w:bCs w:val="1"/>
                <w:color w:val="auto"/>
              </w:rPr>
              <w:t>$1,882</w:t>
            </w:r>
          </w:p>
        </w:tc>
        <w:tc>
          <w:tcPr>
            <w:tcW w:w="1980" w:type="dxa"/>
            <w:vAlign w:val="bottom"/>
            <w:shd w:val="clear" w:color="auto" w:fill="E5EEF8"/>
          </w:tcPr>
          <w:p>
            <w:pPr>
              <w:spacing w:after="0"/>
              <w:rPr>
                <w:sz w:val="18"/>
                <w:szCs w:val="18"/>
                <w:color w:val="auto"/>
              </w:rPr>
            </w:pPr>
          </w:p>
        </w:tc>
      </w:tr>
      <w:tr>
        <w:trPr>
          <w:trHeight w:val="210"/>
        </w:trPr>
        <w:tc>
          <w:tcPr>
            <w:tcW w:w="2840" w:type="dxa"/>
            <w:vAlign w:val="bottom"/>
            <w:tcBorders>
              <w:bottom w:val="single" w:sz="8" w:color="005CB9"/>
            </w:tcBorders>
          </w:tcPr>
          <w:p>
            <w:pPr>
              <w:ind w:left="80"/>
              <w:spacing w:after="0"/>
              <w:rPr>
                <w:sz w:val="20"/>
                <w:szCs w:val="20"/>
                <w:color w:val="auto"/>
              </w:rPr>
            </w:pPr>
            <w:r>
              <w:rPr>
                <w:rFonts w:ascii="Arial" w:cs="Arial" w:eastAsia="Arial" w:hAnsi="Arial"/>
                <w:sz w:val="14"/>
                <w:szCs w:val="14"/>
                <w:b w:val="1"/>
                <w:bCs w:val="1"/>
                <w:color w:val="auto"/>
              </w:rPr>
              <w:t>Roper</w:t>
            </w:r>
          </w:p>
        </w:tc>
        <w:tc>
          <w:tcPr>
            <w:tcW w:w="1000" w:type="dxa"/>
            <w:vAlign w:val="bottom"/>
            <w:tcBorders>
              <w:bottom w:val="single" w:sz="8" w:color="005CB9"/>
            </w:tcBorders>
          </w:tcPr>
          <w:p>
            <w:pPr>
              <w:jc w:val="right"/>
              <w:ind w:right="108"/>
              <w:spacing w:after="0"/>
              <w:rPr>
                <w:sz w:val="20"/>
                <w:szCs w:val="20"/>
                <w:color w:val="auto"/>
              </w:rPr>
            </w:pPr>
            <w:r>
              <w:rPr>
                <w:rFonts w:ascii="Arial" w:cs="Arial" w:eastAsia="Arial" w:hAnsi="Arial"/>
                <w:sz w:val="14"/>
                <w:szCs w:val="14"/>
                <w:b w:val="1"/>
                <w:bCs w:val="1"/>
                <w:color w:val="auto"/>
              </w:rPr>
              <w:t>ROP</w:t>
            </w:r>
          </w:p>
        </w:tc>
        <w:tc>
          <w:tcPr>
            <w:tcW w:w="740" w:type="dxa"/>
            <w:vAlign w:val="bottom"/>
            <w:tcBorders>
              <w:bottom w:val="single" w:sz="8" w:color="005CB9"/>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5CB9"/>
            </w:tcBorders>
          </w:tcPr>
          <w:p>
            <w:pPr>
              <w:jc w:val="right"/>
              <w:ind w:right="148"/>
              <w:spacing w:after="0"/>
              <w:rPr>
                <w:sz w:val="20"/>
                <w:szCs w:val="20"/>
                <w:color w:val="auto"/>
              </w:rPr>
            </w:pPr>
            <w:r>
              <w:rPr>
                <w:rFonts w:ascii="Arial" w:cs="Arial" w:eastAsia="Arial" w:hAnsi="Arial"/>
                <w:sz w:val="14"/>
                <w:szCs w:val="14"/>
                <w:b w:val="1"/>
                <w:bCs w:val="1"/>
                <w:color w:val="auto"/>
              </w:rPr>
              <w:t>51,884</w:t>
            </w:r>
          </w:p>
        </w:tc>
        <w:tc>
          <w:tcPr>
            <w:tcW w:w="500" w:type="dxa"/>
            <w:vAlign w:val="bottom"/>
            <w:tcBorders>
              <w:bottom w:val="single" w:sz="8" w:color="005CB9"/>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5CB9"/>
            </w:tcBorders>
          </w:tcPr>
          <w:p>
            <w:pPr>
              <w:jc w:val="right"/>
              <w:ind w:right="148"/>
              <w:spacing w:after="0"/>
              <w:rPr>
                <w:sz w:val="20"/>
                <w:szCs w:val="20"/>
                <w:color w:val="auto"/>
              </w:rPr>
            </w:pPr>
            <w:r>
              <w:rPr>
                <w:rFonts w:ascii="Arial" w:cs="Arial" w:eastAsia="Arial" w:hAnsi="Arial"/>
                <w:sz w:val="14"/>
                <w:szCs w:val="14"/>
                <w:b w:val="1"/>
                <w:bCs w:val="1"/>
                <w:color w:val="auto"/>
              </w:rPr>
              <w:t>59,860</w:t>
            </w:r>
          </w:p>
        </w:tc>
        <w:tc>
          <w:tcPr>
            <w:tcW w:w="580" w:type="dxa"/>
            <w:vAlign w:val="bottom"/>
            <w:tcBorders>
              <w:bottom w:val="single" w:sz="8" w:color="005CB9"/>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5CB9"/>
            </w:tcBorders>
          </w:tcPr>
          <w:p>
            <w:pPr>
              <w:jc w:val="right"/>
              <w:ind w:right="148"/>
              <w:spacing w:after="0"/>
              <w:rPr>
                <w:sz w:val="20"/>
                <w:szCs w:val="20"/>
                <w:color w:val="auto"/>
              </w:rPr>
            </w:pPr>
            <w:r>
              <w:rPr>
                <w:rFonts w:ascii="Arial" w:cs="Arial" w:eastAsia="Arial" w:hAnsi="Arial"/>
                <w:sz w:val="14"/>
                <w:szCs w:val="14"/>
                <w:b w:val="1"/>
                <w:bCs w:val="1"/>
                <w:color w:val="auto"/>
              </w:rPr>
              <w:t>6,084</w:t>
            </w:r>
          </w:p>
        </w:tc>
        <w:tc>
          <w:tcPr>
            <w:tcW w:w="1360" w:type="dxa"/>
            <w:vAlign w:val="bottom"/>
            <w:tcBorders>
              <w:bottom w:val="single" w:sz="8" w:color="005CB9"/>
            </w:tcBorders>
            <w:gridSpan w:val="2"/>
          </w:tcPr>
          <w:p>
            <w:pPr>
              <w:jc w:val="right"/>
              <w:ind w:right="288"/>
              <w:spacing w:after="0"/>
              <w:rPr>
                <w:sz w:val="20"/>
                <w:szCs w:val="20"/>
                <w:color w:val="auto"/>
              </w:rPr>
            </w:pPr>
            <w:r>
              <w:rPr>
                <w:rFonts w:ascii="Arial" w:cs="Arial" w:eastAsia="Arial" w:hAnsi="Arial"/>
                <w:sz w:val="14"/>
                <w:szCs w:val="14"/>
                <w:b w:val="1"/>
                <w:bCs w:val="1"/>
                <w:color w:val="auto"/>
              </w:rPr>
              <w:t>$1,091</w:t>
            </w:r>
          </w:p>
        </w:tc>
        <w:tc>
          <w:tcPr>
            <w:tcW w:w="1980" w:type="dxa"/>
            <w:vAlign w:val="bottom"/>
            <w:tcBorders>
              <w:bottom w:val="single" w:sz="8" w:color="005CB9"/>
            </w:tcBorders>
          </w:tcPr>
          <w:p>
            <w:pPr>
              <w:spacing w:after="0"/>
              <w:rPr>
                <w:sz w:val="20"/>
                <w:szCs w:val="20"/>
                <w:color w:val="auto"/>
              </w:rPr>
            </w:pPr>
            <w:r>
              <w:rPr>
                <w:rFonts w:ascii="Arial" w:cs="Arial" w:eastAsia="Arial" w:hAnsi="Arial"/>
                <w:sz w:val="14"/>
                <w:szCs w:val="14"/>
                <w:b w:val="1"/>
                <w:bCs w:val="1"/>
                <w:color w:val="auto"/>
              </w:rPr>
              <w:t>Industrial Conglomerates</w:t>
            </w:r>
          </w:p>
        </w:tc>
      </w:tr>
    </w:tbl>
    <w:p>
      <w:pPr>
        <w:spacing w:after="0" w:line="7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Source: FactSet</w:t>
      </w:r>
    </w:p>
    <w:p>
      <w:pPr>
        <w:spacing w:after="0" w:line="1" w:lineRule="exact"/>
        <w:rPr>
          <w:sz w:val="20"/>
          <w:szCs w:val="20"/>
          <w:color w:val="auto"/>
        </w:rPr>
      </w:pPr>
    </w:p>
    <w:p>
      <w:pPr>
        <w:ind w:left="540" w:hanging="424"/>
        <w:spacing w:after="0"/>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As of 12/31/21</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Last four quarters available as of 12/31/21</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440" w:type="dxa"/>
            <w:vAlign w:val="bottom"/>
            <w:tcBorders>
              <w:right w:val="single" w:sz="8" w:color="005CB9"/>
            </w:tcBorders>
          </w:tcPr>
          <w:p>
            <w:pPr>
              <w:jc w:val="right"/>
              <w:ind w:right="179"/>
              <w:spacing w:after="0"/>
              <w:rPr>
                <w:sz w:val="20"/>
                <w:szCs w:val="20"/>
                <w:color w:val="auto"/>
              </w:rPr>
            </w:pPr>
            <w:r>
              <w:rPr>
                <w:rFonts w:ascii="Arial" w:cs="Arial" w:eastAsia="Arial" w:hAnsi="Arial"/>
                <w:sz w:val="16"/>
                <w:szCs w:val="16"/>
                <w:b w:val="1"/>
                <w:bCs w:val="1"/>
                <w:color w:val="005CB9"/>
                <w:w w:val="89"/>
              </w:rPr>
              <w:t>32</w:t>
            </w:r>
          </w:p>
        </w:tc>
        <w:tc>
          <w:tcPr>
            <w:tcW w:w="4700" w:type="dxa"/>
            <w:vAlign w:val="bottom"/>
          </w:tcPr>
          <w:p>
            <w:pPr>
              <w:ind w:left="106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0"/>
        </w:trPr>
        <w:tc>
          <w:tcPr>
            <w:tcW w:w="440" w:type="dxa"/>
            <w:vAlign w:val="bottom"/>
            <w:tcBorders>
              <w:right w:val="single" w:sz="8" w:color="005CB9"/>
            </w:tcBorders>
          </w:tcPr>
          <w:p>
            <w:pPr>
              <w:spacing w:after="0"/>
              <w:rPr>
                <w:sz w:val="8"/>
                <w:szCs w:val="8"/>
                <w:color w:val="auto"/>
              </w:rPr>
            </w:pPr>
          </w:p>
        </w:tc>
        <w:tc>
          <w:tcPr>
            <w:tcW w:w="47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-205105</wp:posOffset>
            </wp:positionV>
            <wp:extent cx="428625"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Long-Term Measurement Period</w:t>
      </w:r>
    </w:p>
    <w:p>
      <w:pPr>
        <w:spacing w:after="0" w:line="120"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A long-term performance period most accurately portrays Roper’s relative performance. Over shorter periods, performance comparisons can be skewed by the easier performance baselines of peer companies that, unlike Roper, have experienced periods of historical underperformance and benefit from a “bounce back” from lower starting points. Conversely, due to Roper’s consistently strong performance and business transformation, comparing other companies short-term performance to that of Roper can generate misleading or distorted results.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CEO Compensation</w:t>
      </w:r>
    </w:p>
    <w:p>
      <w:pPr>
        <w:spacing w:after="0" w:line="120"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The Compensation Committee considers many factors in determining the compensation of Roper’s CEO, and believes the compensation for the position is reasonable, appropriate, and aligned with shareholders’ best interests.</w:t>
      </w:r>
    </w:p>
    <w:p>
      <w:pPr>
        <w:sectPr>
          <w:pgSz w:w="11900" w:h="16838" w:orient="portrait"/>
          <w:cols w:equalWidth="0" w:num="1">
            <w:col w:w="11140"/>
          </w:cols>
          <w:pgMar w:left="320" w:top="459" w:right="439" w:bottom="1440" w:gutter="0" w:footer="0" w:header="0"/>
        </w:sectPr>
      </w:pP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Broad Responsibilities and Effective Leadership</w:t>
      </w:r>
    </w:p>
    <w:p>
      <w:pPr>
        <w:spacing w:after="0" w:line="12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Mr. Hunn joined Roper in 2011, and worked closely with our prior CEO and President, Brian D. Jellison, to develop and implement the capital deployment process under which Roper has invested billions of dollars in acquisitions that have generated sustained superior returns for shareholders. Following his appointment as CEO and President in September 2018, Mr. Hunn has led the Company’s capital deployment efforts and has continued to build and champion Roper’s sustainable high-performance and entrepreneurial culture. Prior to his appointment as CEO, Mr. Hunn served as the Company’s first Chief Operating Officer.</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Outstanding Performance and Value Creation</w:t>
      </w:r>
    </w:p>
    <w:p>
      <w:pPr>
        <w:spacing w:after="0" w:line="12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Beginning in 2003, Roper has undergone a business transformation with increasing CRI and margins, providing a platform for continuing growth and future value creation for shareholders. Mr. Hunn made significant contributions to this effort since joining the Company. During Mr. Hunn’s ten years with the Company, including time as our Chief Operating Officer and Chief Executive Officer, Roper’s shareholders have earned a 21.8% compound annual return and a total shareholder return of 673.4%, compared to the S&amp;P 500’s total shareholder return of 414.3% over the same period.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Alignment with Shareholder Value Creation</w:t>
      </w:r>
    </w:p>
    <w:p>
      <w:pPr>
        <w:spacing w:after="0" w:line="120" w:lineRule="exact"/>
        <w:rPr>
          <w:sz w:val="20"/>
          <w:szCs w:val="20"/>
          <w:color w:val="auto"/>
        </w:rPr>
      </w:pPr>
    </w:p>
    <w:p>
      <w:pPr>
        <w:ind w:left="120" w:right="260"/>
        <w:spacing w:after="0" w:line="238" w:lineRule="auto"/>
        <w:rPr>
          <w:sz w:val="20"/>
          <w:szCs w:val="20"/>
          <w:color w:val="auto"/>
        </w:rPr>
      </w:pPr>
      <w:r>
        <w:rPr>
          <w:rFonts w:ascii="Arial" w:cs="Arial" w:eastAsia="Arial" w:hAnsi="Arial"/>
          <w:sz w:val="17"/>
          <w:szCs w:val="17"/>
          <w:color w:val="auto"/>
        </w:rPr>
        <w:t>Mr. Hunn’s compensation is closely tied to the performance of the Company. In 2021, approximately 85% of his total direct compensation was tied to equity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awards. This tight alignment between compensation and share price creates a strong incentive to profitably grow the enterprise. In recognition of Mr. Hunn’s heightened responsibilities upon his succession as CEO following Mr. Jellison’s untimely death, in 2019 the Committee also determined to provide Mr. Hunn with a long-term cash incentive to emphasize the importance of attaining continuing and sustainable growth over a five-year term and to protect the continuity of leadership during the period of transition. For additional information on the long-term cash incentive see “CEO Special Long-Term Cash Incentive”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External Comparisons</w:t>
      </w:r>
    </w:p>
    <w:p>
      <w:pPr>
        <w:spacing w:after="0" w:line="12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Compensation for Roper’s CEO is within the range for Roper’s self-selected peers and high-performing chief executive officers of publicly traded companies. Among private equity firms, compensation for Roper’s CEO is below levels that would be expected for commensurate levels of performance. Further, we believe that compensation for our CEO has been reasonable and reflects the value created for shareholders over both the short and long-term.</w:t>
      </w:r>
    </w:p>
    <w:p>
      <w:pPr>
        <w:spacing w:after="0" w:line="97"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 reviewing Mr. Hunn’s compensation in early 2021, the Compensation Committee reviewed his compensation compared to similarly situated CEOs, and in light of an 11% increase in his salary in 2019, the Compensation Committee decided to maintain his salary and his annual bonus opportunity at $1,000,000, and 200% of his base salary, respectively. The Committee did increase Mr. Hunn’s total target direct compensation by 3.5%, with the increase allocated entirely to long-term equity compensation.</w:t>
      </w:r>
    </w:p>
    <w:p>
      <w:pPr>
        <w:spacing w:after="0" w:line="363" w:lineRule="exact"/>
        <w:rPr>
          <w:sz w:val="20"/>
          <w:szCs w:val="20"/>
          <w:color w:val="auto"/>
        </w:rPr>
      </w:pPr>
    </w:p>
    <w:p>
      <w:pPr>
        <w:sectPr>
          <w:pgSz w:w="11900" w:h="16838" w:orient="portrait"/>
          <w:cols w:equalWidth="0" w:num="2">
            <w:col w:w="5320" w:space="420"/>
            <w:col w:w="5400"/>
          </w:cols>
          <w:pgMar w:left="320" w:top="459" w:right="439" w:bottom="1440" w:gutter="0" w:footer="0" w:header="0"/>
          <w:type w:val="continuous"/>
        </w:sectPr>
      </w:pPr>
    </w:p>
    <w:p>
      <w:pPr>
        <w:spacing w:after="0" w:line="89" w:lineRule="exact"/>
        <w:rPr>
          <w:sz w:val="20"/>
          <w:szCs w:val="20"/>
          <w:color w:val="auto"/>
        </w:rPr>
      </w:pPr>
    </w:p>
    <w:tbl>
      <w:tblPr>
        <w:tblLayout w:type="fixed"/>
        <w:tblInd w:w="6920" w:type="dxa"/>
        <w:tblCellMar>
          <w:top w:w="0" w:type="dxa"/>
          <w:left w:w="0" w:type="dxa"/>
          <w:bottom w:w="0" w:type="dxa"/>
          <w:right w:w="0" w:type="dxa"/>
        </w:tblCellMar>
      </w:tblPr>
      <w:tr>
        <w:trPr>
          <w:trHeight w:val="29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005CB9"/>
              </w:rPr>
              <w:t>33</w:t>
            </w:r>
          </w:p>
        </w:tc>
      </w:tr>
      <w:tr>
        <w:trPr>
          <w:trHeight w:val="100"/>
        </w:trPr>
        <w:tc>
          <w:tcPr>
            <w:tcW w:w="3900" w:type="dxa"/>
            <w:vAlign w:val="bottom"/>
            <w:tcBorders>
              <w:right w:val="single" w:sz="8" w:color="005CB9"/>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-205105</wp:posOffset>
            </wp:positionV>
            <wp:extent cx="428625"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422" w:lineRule="auto"/>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r>
        <w:rPr>
          <w:rFonts w:ascii="Arial" w:cs="Arial" w:eastAsia="Arial" w:hAnsi="Arial"/>
          <w:sz w:val="18"/>
          <w:szCs w:val="18"/>
          <w:color w:val="005CB9"/>
        </w:rPr>
        <w:t xml:space="preserve"> </w:t>
      </w:r>
      <w:r>
        <w:rPr>
          <w:rFonts w:ascii="Arial" w:cs="Arial" w:eastAsia="Arial" w:hAnsi="Arial"/>
          <w:sz w:val="18"/>
          <w:szCs w:val="18"/>
          <w:b w:val="1"/>
          <w:bCs w:val="1"/>
          <w:i w:val="1"/>
          <w:iCs w:val="1"/>
          <w:color w:val="005CB9"/>
        </w:rPr>
        <w:t>Internal Pay Equity</w:t>
      </w:r>
    </w:p>
    <w:p>
      <w:pPr>
        <w:ind w:left="120"/>
        <w:spacing w:after="0"/>
        <w:rPr>
          <w:sz w:val="20"/>
          <w:szCs w:val="20"/>
          <w:color w:val="auto"/>
        </w:rPr>
      </w:pPr>
      <w:r>
        <w:rPr>
          <w:rFonts w:ascii="Arial" w:cs="Arial" w:eastAsia="Arial" w:hAnsi="Arial"/>
          <w:sz w:val="17"/>
          <w:szCs w:val="17"/>
          <w:color w:val="auto"/>
        </w:rPr>
        <w:t>The Compensation Committee considers the scope of responsibilities, experience, and performance of our executive officers and believes all named executive officers are appropriately compensated from an internal pay equity perspective. Specific considerations in regard to the CEO’s compensation include the breadth of his responsibilities and his leadership role in developing and executing Roper’s business strategy. Consistent with Roper’s lean organization, we made a conscious decision to not have many traditional corporate staff positions and levels. In addition to low corporate overhead, Roper’s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decentralized model results in operating business leaders who are highly compensated but are not named executive officers. In addition to rigorous executive development programs for key employees who may become executive officers, the Compensation Committee monitors compensation of other key Company leaders against external and internal standards. This supports our succession planning process and ensures its continuing effectiveness, as evidenced by the Company’s performance since Mr. Hunn’s succession of Mr. Jellison as President and CEO in September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-1882140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554" w:lineRule="exact"/>
        <w:rPr>
          <w:sz w:val="20"/>
          <w:szCs w:val="20"/>
          <w:color w:val="auto"/>
        </w:rPr>
      </w:pPr>
    </w:p>
    <w:p>
      <w:pPr>
        <w:sectPr>
          <w:pgSz w:w="11900" w:h="16838" w:orient="portrait"/>
          <w:cols w:equalWidth="0" w:num="2">
            <w:col w:w="5400" w:space="340"/>
            <w:col w:w="5380"/>
          </w:cols>
          <w:pgMar w:left="320" w:top="459" w:right="45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ANALYSIS OF 2021 COMPENSATION</w:t>
      </w:r>
    </w:p>
    <w:p>
      <w:pPr>
        <w:spacing w:after="0" w:line="124" w:lineRule="exact"/>
        <w:rPr>
          <w:sz w:val="20"/>
          <w:szCs w:val="20"/>
          <w:color w:val="auto"/>
        </w:rPr>
      </w:pPr>
    </w:p>
    <w:p>
      <w:pPr>
        <w:ind w:left="120" w:right="560"/>
        <w:spacing w:after="0" w:line="243" w:lineRule="auto"/>
        <w:rPr>
          <w:sz w:val="20"/>
          <w:szCs w:val="20"/>
          <w:color w:val="auto"/>
        </w:rPr>
      </w:pPr>
      <w:r>
        <w:rPr>
          <w:rFonts w:ascii="Arial" w:cs="Arial" w:eastAsia="Arial" w:hAnsi="Arial"/>
          <w:sz w:val="17"/>
          <w:szCs w:val="17"/>
          <w:color w:val="auto"/>
        </w:rPr>
        <w:t>This section discusses compensation actions taken in 2021 for our named executive officers, as reported in the “Executive Compensation” section below.</w:t>
      </w:r>
    </w:p>
    <w:p>
      <w:pPr>
        <w:sectPr>
          <w:pgSz w:w="11900" w:h="16838" w:orient="portrait"/>
          <w:cols w:equalWidth="0" w:num="1">
            <w:col w:w="11120"/>
          </w:cols>
          <w:pgMar w:left="320" w:top="459" w:right="459" w:bottom="1440" w:gutter="0" w:footer="0" w:header="0"/>
          <w:type w:val="continuous"/>
        </w:sectPr>
      </w:pP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Base Salary</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early 2021, the Compensation Committee increased the salaries of</w:t>
      </w:r>
    </w:p>
    <w:p>
      <w:pPr>
        <w:ind w:left="120"/>
        <w:spacing w:after="0" w:line="232" w:lineRule="auto"/>
        <w:rPr>
          <w:sz w:val="20"/>
          <w:szCs w:val="20"/>
          <w:color w:val="auto"/>
        </w:rPr>
      </w:pPr>
      <w:r>
        <w:rPr>
          <w:rFonts w:ascii="Arial" w:cs="Arial" w:eastAsia="Arial" w:hAnsi="Arial"/>
          <w:sz w:val="17"/>
          <w:szCs w:val="17"/>
          <w:color w:val="auto"/>
        </w:rPr>
        <w:t>three of our named executive officers to reflect market practice and</w:t>
      </w:r>
    </w:p>
    <w:p>
      <w:pPr>
        <w:ind w:left="120"/>
        <w:spacing w:after="0" w:line="232" w:lineRule="auto"/>
        <w:rPr>
          <w:sz w:val="20"/>
          <w:szCs w:val="20"/>
          <w:color w:val="auto"/>
        </w:rPr>
      </w:pPr>
      <w:r>
        <w:rPr>
          <w:rFonts w:ascii="Arial" w:cs="Arial" w:eastAsia="Arial" w:hAnsi="Arial"/>
          <w:sz w:val="17"/>
          <w:szCs w:val="17"/>
          <w:color w:val="auto"/>
        </w:rPr>
        <w:t>continued superior performance: Mr. Conley from $565,000 to</w:t>
      </w:r>
    </w:p>
    <w:p>
      <w:pPr>
        <w:ind w:left="120"/>
        <w:spacing w:after="0" w:line="232" w:lineRule="auto"/>
        <w:rPr>
          <w:sz w:val="20"/>
          <w:szCs w:val="20"/>
          <w:color w:val="auto"/>
        </w:rPr>
      </w:pPr>
      <w:r>
        <w:rPr>
          <w:rFonts w:ascii="Arial" w:cs="Arial" w:eastAsia="Arial" w:hAnsi="Arial"/>
          <w:sz w:val="17"/>
          <w:szCs w:val="17"/>
          <w:color w:val="auto"/>
        </w:rPr>
        <w:t>$590,000, Mr. Crisci from $660,000 to $690,000, and Mr. Stipancich</w:t>
      </w:r>
    </w:p>
    <w:p>
      <w:pPr>
        <w:ind w:left="120"/>
        <w:spacing w:after="0" w:line="232" w:lineRule="auto"/>
        <w:rPr>
          <w:sz w:val="20"/>
          <w:szCs w:val="20"/>
          <w:color w:val="auto"/>
        </w:rPr>
      </w:pPr>
      <w:r>
        <w:rPr>
          <w:rFonts w:ascii="Arial" w:cs="Arial" w:eastAsia="Arial" w:hAnsi="Arial"/>
          <w:sz w:val="17"/>
          <w:szCs w:val="17"/>
          <w:color w:val="auto"/>
        </w:rPr>
        <w:t>from $720,000 to $750,000. Mr. Hunn’s salary remained unchanged</w:t>
      </w:r>
    </w:p>
    <w:p>
      <w:pPr>
        <w:ind w:left="120"/>
        <w:spacing w:after="0"/>
        <w:rPr>
          <w:sz w:val="20"/>
          <w:szCs w:val="20"/>
          <w:color w:val="auto"/>
        </w:rPr>
      </w:pPr>
      <w:r>
        <w:rPr>
          <w:rFonts w:ascii="Arial" w:cs="Arial" w:eastAsia="Arial" w:hAnsi="Arial"/>
          <w:sz w:val="17"/>
          <w:szCs w:val="17"/>
          <w:color w:val="auto"/>
        </w:rPr>
        <w:t>at $1,000,000.</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Annual Cash Incentive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Incentive Opportunities</w:t>
      </w:r>
    </w:p>
    <w:p>
      <w:pPr>
        <w:spacing w:after="0" w:line="120" w:lineRule="exact"/>
        <w:rPr>
          <w:sz w:val="20"/>
          <w:szCs w:val="20"/>
          <w:color w:val="auto"/>
        </w:rPr>
      </w:pPr>
    </w:p>
    <w:p>
      <w:pPr>
        <w:jc w:val="both"/>
        <w:ind w:left="120" w:right="20"/>
        <w:spacing w:after="0" w:line="232" w:lineRule="auto"/>
        <w:rPr>
          <w:sz w:val="20"/>
          <w:szCs w:val="20"/>
          <w:color w:val="auto"/>
        </w:rPr>
      </w:pPr>
      <w:r>
        <w:rPr>
          <w:rFonts w:ascii="Arial" w:cs="Arial" w:eastAsia="Arial" w:hAnsi="Arial"/>
          <w:sz w:val="17"/>
          <w:szCs w:val="17"/>
          <w:color w:val="auto"/>
        </w:rPr>
        <w:t>Annual cash incentive opportunities for 2021 for our named executive officers, expressed as a percentage of base salary (as established in early 2021) were set as follows: Mr. Hunn (200%), Mr. Crisci</w:t>
      </w:r>
    </w:p>
    <w:p>
      <w:pPr>
        <w:ind w:left="120"/>
        <w:spacing w:after="0" w:line="234" w:lineRule="auto"/>
        <w:rPr>
          <w:sz w:val="20"/>
          <w:szCs w:val="20"/>
          <w:color w:val="auto"/>
        </w:rPr>
      </w:pPr>
      <w:r>
        <w:rPr>
          <w:rFonts w:ascii="Arial" w:cs="Arial" w:eastAsia="Arial" w:hAnsi="Arial"/>
          <w:sz w:val="17"/>
          <w:szCs w:val="17"/>
          <w:color w:val="auto"/>
        </w:rPr>
        <w:t>(125%), Mr. Conley (100%) and Mr. Stipancich (125%). Opportunities are reflective of market practice and were maintained at the same percentages as 2020. Our practice has been to cap our annual incentive bonuses at the percentages above in the interest of risk mitigation and avoidance of a short-term focus to decision-making. With respect to 2021 only, the named executive officers had the opportunity to earn an incremental cash incentive as described below.</w:t>
      </w:r>
    </w:p>
    <w:p>
      <w:pPr>
        <w:spacing w:after="0" w:line="188"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b w:val="1"/>
          <w:bCs w:val="1"/>
          <w:i w:val="1"/>
          <w:iCs w:val="1"/>
          <w:color w:val="005CB9"/>
        </w:rPr>
        <w:t>Funding Schedule and 2021 Incremental Cash Incentive Opportunity</w:t>
      </w:r>
    </w:p>
    <w:p>
      <w:pPr>
        <w:spacing w:after="0" w:line="62"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Similar to prior years, the annual cash incentive was determined based on the growth in adjusted net earnings. The 2021 adjusted net earnings were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required to reach at least $1.346 billion (2020 adjusted net earnings) for any bonus to be earned. At $1.346 billion of adjusted net earnings, 20% of the full bonus opportunity would be earned. If adjusted net earnings increased 10% to $1.480 billion, then 100% of the full bonus amount would be earned. If between $1.346 billion and $1.480 billion, the percentage of the bonus opportunity earned would be determined through straight-line interpolation, as shown in the chart below.</w:t>
      </w:r>
    </w:p>
    <w:p>
      <w:pPr>
        <w:spacing w:after="0" w:line="205"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In light of the challenges posed by COVID-19 and deterioration in the energy markets in both 2020 and a significant portion of 2021, as well as the Compensation Committee’s determination to not reduce performance targets or otherwise exercise discretion with respect to the 2020 annual incentive bonus, solely for 2021 the Compensation Committee adopted an incremental cash opportunity to earn up to 50% of each named executive officer’s target bonus should the Company overdrive growth beyond the maximum payout threshold of 10% adjusted net earnings growth under the 2021 annual cash incentive plan. If adjusted net earnings increased 15% to $1.548 billion, then the entire incremental bonus would be earned (with straight-line interpolation applied between 10% and 15% adjusted net earnings growth). The Compensation Committee provided this incremental overdrive bonus opportunity to further incentivize the management team to deliver outstanding incremental growth to make up for the lower than anticipated earnings growth in 2020. This incremental opportunity applied only to 2021 and is not being continued in 2022.</w:t>
      </w:r>
    </w:p>
    <w:p>
      <w:pPr>
        <w:spacing w:after="0" w:line="916" w:lineRule="exact"/>
        <w:rPr>
          <w:sz w:val="20"/>
          <w:szCs w:val="20"/>
          <w:color w:val="auto"/>
        </w:rPr>
      </w:pPr>
    </w:p>
    <w:p>
      <w:pPr>
        <w:sectPr>
          <w:pgSz w:w="11900" w:h="16838" w:orient="portrait"/>
          <w:cols w:equalWidth="0" w:num="2">
            <w:col w:w="5380" w:space="360"/>
            <w:col w:w="5380"/>
          </w:cols>
          <w:pgMar w:left="320" w:top="459" w:right="459" w:bottom="1440" w:gutter="0" w:footer="0" w:header="0"/>
          <w:type w:val="continuous"/>
        </w:sectPr>
      </w:pPr>
    </w:p>
    <w:p>
      <w:pPr>
        <w:spacing w:after="0" w:line="89"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440" w:type="dxa"/>
            <w:vAlign w:val="bottom"/>
            <w:tcBorders>
              <w:right w:val="single" w:sz="8" w:color="005CB9"/>
            </w:tcBorders>
          </w:tcPr>
          <w:p>
            <w:pPr>
              <w:jc w:val="right"/>
              <w:ind w:right="179"/>
              <w:spacing w:after="0"/>
              <w:rPr>
                <w:sz w:val="20"/>
                <w:szCs w:val="20"/>
                <w:color w:val="auto"/>
              </w:rPr>
            </w:pPr>
            <w:r>
              <w:rPr>
                <w:rFonts w:ascii="Arial" w:cs="Arial" w:eastAsia="Arial" w:hAnsi="Arial"/>
                <w:sz w:val="16"/>
                <w:szCs w:val="16"/>
                <w:b w:val="1"/>
                <w:bCs w:val="1"/>
                <w:color w:val="005CB9"/>
                <w:w w:val="89"/>
              </w:rPr>
              <w:t>34</w:t>
            </w:r>
          </w:p>
        </w:tc>
        <w:tc>
          <w:tcPr>
            <w:tcW w:w="4700" w:type="dxa"/>
            <w:vAlign w:val="bottom"/>
          </w:tcPr>
          <w:p>
            <w:pPr>
              <w:ind w:left="106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0"/>
        </w:trPr>
        <w:tc>
          <w:tcPr>
            <w:tcW w:w="440" w:type="dxa"/>
            <w:vAlign w:val="bottom"/>
            <w:tcBorders>
              <w:right w:val="single" w:sz="8" w:color="005CB9"/>
            </w:tcBorders>
          </w:tcPr>
          <w:p>
            <w:pPr>
              <w:spacing w:after="0"/>
              <w:rPr>
                <w:sz w:val="8"/>
                <w:szCs w:val="8"/>
                <w:color w:val="auto"/>
              </w:rPr>
            </w:pPr>
          </w:p>
        </w:tc>
        <w:tc>
          <w:tcPr>
            <w:tcW w:w="47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-205105</wp:posOffset>
            </wp:positionV>
            <wp:extent cx="428625"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color w:val="005CB9"/>
        </w:rPr>
        <w:t xml:space="preserve">COMPENSATION DISCUSSION AND ANALYSIS </w:t>
      </w:r>
      <w:r>
        <w:rPr>
          <w:rFonts w:ascii="Arial" w:cs="Arial" w:eastAsia="Arial" w:hAnsi="Arial"/>
          <w:sz w:val="17"/>
          <w:szCs w:val="17"/>
          <w:i w:val="1"/>
          <w:iCs w:val="1"/>
          <w:color w:val="005CB9"/>
        </w:rPr>
        <w:t>(CONTINUED)</w:t>
      </w:r>
    </w:p>
    <w:p>
      <w:pPr>
        <w:spacing w:after="0" w:line="222"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For 2021, the Company’s adjusted net earnings were $ 1.624 billion (representing a 20.7% increase over the prior year);</w:t>
      </w:r>
      <w:r>
        <w:rPr>
          <w:rFonts w:ascii="Arial" w:cs="Arial" w:eastAsia="Arial" w:hAnsi="Arial"/>
          <w:sz w:val="14"/>
          <w:szCs w:val="14"/>
          <w:color w:val="auto"/>
        </w:rPr>
        <w:t>1</w:t>
      </w:r>
      <w:r>
        <w:rPr>
          <w:rFonts w:ascii="Arial" w:cs="Arial" w:eastAsia="Arial" w:hAnsi="Arial"/>
          <w:sz w:val="17"/>
          <w:szCs w:val="17"/>
          <w:color w:val="auto"/>
        </w:rPr>
        <w:t xml:space="preserve"> accordingly, the Compensation Committee approved payment of 100% of the bonus opportunity as well as the entire incremental bonus opportunity. The performance bonuses to our named executive officers for 2021 are shown in the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Summary Compensation Table below under the “Non-Equity Incentive Plan Compensation”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-1043940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78" w:lineRule="exact"/>
        <w:rPr>
          <w:sz w:val="20"/>
          <w:szCs w:val="20"/>
          <w:color w:val="auto"/>
        </w:rPr>
      </w:pPr>
    </w:p>
    <w:p>
      <w:pPr>
        <w:ind w:right="540"/>
        <w:spacing w:after="0" w:line="238" w:lineRule="auto"/>
        <w:rPr>
          <w:sz w:val="20"/>
          <w:szCs w:val="20"/>
          <w:color w:val="auto"/>
        </w:rPr>
      </w:pPr>
      <w:r>
        <w:rPr>
          <w:rFonts w:ascii="Arial" w:cs="Arial" w:eastAsia="Arial" w:hAnsi="Arial"/>
          <w:sz w:val="17"/>
          <w:szCs w:val="17"/>
          <w:color w:val="auto"/>
        </w:rPr>
        <w:t>For 2022, the Committee increased the threshold for earning the minimum bonus from flat growth in adjusted net earnings to an increase of 2.5% over 2021.</w:t>
      </w:r>
    </w:p>
    <w:p>
      <w:pPr>
        <w:spacing w:after="0" w:line="200" w:lineRule="exact"/>
        <w:rPr>
          <w:sz w:val="20"/>
          <w:szCs w:val="20"/>
          <w:color w:val="auto"/>
        </w:rPr>
      </w:pPr>
    </w:p>
    <w:p>
      <w:pPr>
        <w:sectPr>
          <w:pgSz w:w="11900" w:h="16838" w:orient="portrait"/>
          <w:cols w:equalWidth="0" w:num="2">
            <w:col w:w="5340" w:space="400"/>
            <w:col w:w="5400"/>
          </w:cols>
          <w:pgMar w:left="320" w:top="459" w:right="439" w:bottom="1440" w:gutter="0" w:footer="0" w:header="0"/>
        </w:sect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2021 Annual Cash Incentive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88900</wp:posOffset>
            </wp:positionV>
            <wp:extent cx="3171825" cy="16802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171825"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80" w:right="260"/>
        <w:spacing w:after="0" w:line="247" w:lineRule="auto"/>
        <w:rPr>
          <w:sz w:val="20"/>
          <w:szCs w:val="20"/>
          <w:color w:val="auto"/>
        </w:rPr>
      </w:pPr>
      <w:r>
        <w:rPr>
          <w:rFonts w:ascii="Arial" w:cs="Arial" w:eastAsia="Arial" w:hAnsi="Arial"/>
          <w:sz w:val="14"/>
          <w:szCs w:val="14"/>
          <w:color w:val="auto"/>
        </w:rPr>
        <w:t>Adjusted net earnings is net earnings increased or reduced to eliminate the effects of extraordinary items, accounting changes, income-related taxes, restructuring of debt obligations, asset dispositions, asset write-downs or impairment charges, acquisition-related expenses, acquisition-related intangible amortization, impact of GAAP adjustments to acquired deferred revenue, litigation expenses and settlements, reorganization and restructuring programs, and non-recurring or special items (as discussed in the Company’s quarterly earnings releases).</w:t>
      </w:r>
    </w:p>
    <w:p>
      <w:pPr>
        <w:spacing w:after="0" w:line="190"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The table below shows the annual incentive cash payments for fiscal years 2020 and 2021, as well as the percent of base salary that such payment represented for each named executive officer. With respect to 2020, the Compensation Committee determined not to revise the annual incentive plan targets despite the unprecedented challenges posed by COVID-19, along with the significant deterioration in the energy markets. For 2020, 29.2% of the bonus opportunity was earned.</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5120" w:type="dxa"/>
            <w:vAlign w:val="bottom"/>
            <w:shd w:val="clear" w:color="auto" w:fill="005CB9"/>
          </w:tcPr>
          <w:p>
            <w:pPr>
              <w:spacing w:after="0"/>
              <w:rPr>
                <w:sz w:val="19"/>
                <w:szCs w:val="19"/>
                <w:color w:val="auto"/>
              </w:rPr>
            </w:pPr>
          </w:p>
        </w:tc>
        <w:tc>
          <w:tcPr>
            <w:tcW w:w="1320" w:type="dxa"/>
            <w:vAlign w:val="bottom"/>
            <w:shd w:val="clear" w:color="auto" w:fill="005CB9"/>
          </w:tcPr>
          <w:p>
            <w:pPr>
              <w:spacing w:after="0"/>
              <w:rPr>
                <w:sz w:val="19"/>
                <w:szCs w:val="19"/>
                <w:color w:val="auto"/>
              </w:rPr>
            </w:pPr>
          </w:p>
        </w:tc>
        <w:tc>
          <w:tcPr>
            <w:tcW w:w="112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Percent of</w:t>
            </w:r>
          </w:p>
        </w:tc>
        <w:tc>
          <w:tcPr>
            <w:tcW w:w="1180" w:type="dxa"/>
            <w:vAlign w:val="bottom"/>
            <w:shd w:val="clear" w:color="auto" w:fill="005CB9"/>
          </w:tcPr>
          <w:p>
            <w:pPr>
              <w:spacing w:after="0"/>
              <w:rPr>
                <w:sz w:val="19"/>
                <w:szCs w:val="19"/>
                <w:color w:val="auto"/>
              </w:rPr>
            </w:pPr>
          </w:p>
        </w:tc>
        <w:tc>
          <w:tcPr>
            <w:tcW w:w="340" w:type="dxa"/>
            <w:vAlign w:val="bottom"/>
            <w:shd w:val="clear" w:color="auto" w:fill="005CB9"/>
          </w:tcPr>
          <w:p>
            <w:pPr>
              <w:spacing w:after="0"/>
              <w:rPr>
                <w:sz w:val="19"/>
                <w:szCs w:val="19"/>
                <w:color w:val="auto"/>
              </w:rPr>
            </w:pPr>
          </w:p>
        </w:tc>
        <w:tc>
          <w:tcPr>
            <w:tcW w:w="900" w:type="dxa"/>
            <w:vAlign w:val="bottom"/>
            <w:shd w:val="clear" w:color="auto" w:fill="005CB9"/>
          </w:tcPr>
          <w:p>
            <w:pPr>
              <w:spacing w:after="0"/>
              <w:rPr>
                <w:sz w:val="19"/>
                <w:szCs w:val="19"/>
                <w:color w:val="auto"/>
              </w:rPr>
            </w:pPr>
          </w:p>
        </w:tc>
        <w:tc>
          <w:tcPr>
            <w:tcW w:w="1040" w:type="dxa"/>
            <w:vAlign w:val="bottom"/>
            <w:shd w:val="clear" w:color="auto" w:fill="005CB9"/>
          </w:tcPr>
          <w:p>
            <w:pPr>
              <w:spacing w:after="0"/>
              <w:rPr>
                <w:sz w:val="19"/>
                <w:szCs w:val="19"/>
                <w:color w:val="auto"/>
              </w:rPr>
            </w:pPr>
          </w:p>
        </w:tc>
      </w:tr>
      <w:tr>
        <w:trPr>
          <w:trHeight w:val="162"/>
        </w:trPr>
        <w:tc>
          <w:tcPr>
            <w:tcW w:w="5120" w:type="dxa"/>
            <w:vAlign w:val="bottom"/>
            <w:shd w:val="clear" w:color="auto" w:fill="005CB9"/>
          </w:tcPr>
          <w:p>
            <w:pPr>
              <w:spacing w:after="0"/>
              <w:rPr>
                <w:sz w:val="14"/>
                <w:szCs w:val="14"/>
                <w:color w:val="auto"/>
              </w:rPr>
            </w:pPr>
          </w:p>
        </w:tc>
        <w:tc>
          <w:tcPr>
            <w:tcW w:w="1320" w:type="dxa"/>
            <w:vAlign w:val="bottom"/>
            <w:shd w:val="clear" w:color="auto" w:fill="005CB9"/>
          </w:tcPr>
          <w:p>
            <w:pPr>
              <w:spacing w:after="0"/>
              <w:rPr>
                <w:sz w:val="14"/>
                <w:szCs w:val="14"/>
                <w:color w:val="auto"/>
              </w:rPr>
            </w:pPr>
          </w:p>
        </w:tc>
        <w:tc>
          <w:tcPr>
            <w:tcW w:w="112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Bonus</w:t>
            </w:r>
          </w:p>
        </w:tc>
        <w:tc>
          <w:tcPr>
            <w:tcW w:w="1180" w:type="dxa"/>
            <w:vAlign w:val="bottom"/>
            <w:shd w:val="clear" w:color="auto" w:fill="005CB9"/>
          </w:tcPr>
          <w:p>
            <w:pPr>
              <w:spacing w:after="0"/>
              <w:rPr>
                <w:sz w:val="14"/>
                <w:szCs w:val="14"/>
                <w:color w:val="auto"/>
              </w:rPr>
            </w:pPr>
          </w:p>
        </w:tc>
        <w:tc>
          <w:tcPr>
            <w:tcW w:w="340" w:type="dxa"/>
            <w:vAlign w:val="bottom"/>
            <w:shd w:val="clear" w:color="auto" w:fill="005CB9"/>
          </w:tcPr>
          <w:p>
            <w:pPr>
              <w:spacing w:after="0"/>
              <w:rPr>
                <w:sz w:val="14"/>
                <w:szCs w:val="14"/>
                <w:color w:val="auto"/>
              </w:rPr>
            </w:pPr>
          </w:p>
        </w:tc>
        <w:tc>
          <w:tcPr>
            <w:tcW w:w="900" w:type="dxa"/>
            <w:vAlign w:val="bottom"/>
            <w:shd w:val="clear" w:color="auto" w:fill="005CB9"/>
          </w:tcPr>
          <w:p>
            <w:pPr>
              <w:spacing w:after="0"/>
              <w:rPr>
                <w:sz w:val="14"/>
                <w:szCs w:val="14"/>
                <w:color w:val="auto"/>
              </w:rPr>
            </w:pPr>
          </w:p>
        </w:tc>
        <w:tc>
          <w:tcPr>
            <w:tcW w:w="1040" w:type="dxa"/>
            <w:vAlign w:val="bottom"/>
            <w:shd w:val="clear" w:color="auto" w:fill="005CB9"/>
          </w:tcPr>
          <w:p>
            <w:pPr>
              <w:spacing w:after="0"/>
              <w:rPr>
                <w:sz w:val="14"/>
                <w:szCs w:val="14"/>
                <w:color w:val="auto"/>
              </w:rPr>
            </w:pPr>
          </w:p>
        </w:tc>
      </w:tr>
      <w:tr>
        <w:trPr>
          <w:trHeight w:val="162"/>
        </w:trPr>
        <w:tc>
          <w:tcPr>
            <w:tcW w:w="5120" w:type="dxa"/>
            <w:vAlign w:val="bottom"/>
            <w:shd w:val="clear" w:color="auto" w:fill="005CB9"/>
          </w:tcPr>
          <w:p>
            <w:pPr>
              <w:spacing w:after="0"/>
              <w:rPr>
                <w:sz w:val="14"/>
                <w:szCs w:val="14"/>
                <w:color w:val="auto"/>
              </w:rPr>
            </w:pPr>
          </w:p>
        </w:tc>
        <w:tc>
          <w:tcPr>
            <w:tcW w:w="1320" w:type="dxa"/>
            <w:vAlign w:val="bottom"/>
            <w:shd w:val="clear" w:color="auto" w:fill="005CB9"/>
          </w:tcPr>
          <w:p>
            <w:pPr>
              <w:jc w:val="right"/>
              <w:ind w:right="139"/>
              <w:spacing w:after="0"/>
              <w:rPr>
                <w:sz w:val="20"/>
                <w:szCs w:val="20"/>
                <w:color w:val="auto"/>
              </w:rPr>
            </w:pPr>
            <w:r>
              <w:rPr>
                <w:rFonts w:ascii="Arial" w:cs="Arial" w:eastAsia="Arial" w:hAnsi="Arial"/>
                <w:sz w:val="14"/>
                <w:szCs w:val="14"/>
                <w:color w:val="FFFFFF"/>
              </w:rPr>
              <w:t>2020 Bonus</w:t>
            </w:r>
          </w:p>
        </w:tc>
        <w:tc>
          <w:tcPr>
            <w:tcW w:w="1120" w:type="dxa"/>
            <w:vAlign w:val="bottom"/>
            <w:shd w:val="clear" w:color="auto" w:fill="005CB9"/>
          </w:tcPr>
          <w:p>
            <w:pPr>
              <w:jc w:val="right"/>
              <w:ind w:right="121"/>
              <w:spacing w:after="0"/>
              <w:rPr>
                <w:sz w:val="20"/>
                <w:szCs w:val="20"/>
                <w:color w:val="auto"/>
              </w:rPr>
            </w:pPr>
            <w:r>
              <w:rPr>
                <w:rFonts w:ascii="Arial" w:cs="Arial" w:eastAsia="Arial" w:hAnsi="Arial"/>
                <w:sz w:val="14"/>
                <w:szCs w:val="14"/>
                <w:color w:val="FFFFFF"/>
              </w:rPr>
              <w:t>Opportunity</w:t>
            </w:r>
          </w:p>
        </w:tc>
        <w:tc>
          <w:tcPr>
            <w:tcW w:w="1180" w:type="dxa"/>
            <w:vAlign w:val="bottom"/>
            <w:shd w:val="clear" w:color="auto" w:fill="005CB9"/>
          </w:tcPr>
          <w:p>
            <w:pPr>
              <w:jc w:val="right"/>
              <w:ind w:right="199"/>
              <w:spacing w:after="0"/>
              <w:rPr>
                <w:sz w:val="20"/>
                <w:szCs w:val="20"/>
                <w:color w:val="auto"/>
              </w:rPr>
            </w:pPr>
            <w:r>
              <w:rPr>
                <w:rFonts w:ascii="Arial" w:cs="Arial" w:eastAsia="Arial" w:hAnsi="Arial"/>
                <w:sz w:val="14"/>
                <w:szCs w:val="14"/>
                <w:color w:val="FFFFFF"/>
              </w:rPr>
              <w:t>Percent of</w:t>
            </w:r>
          </w:p>
        </w:tc>
        <w:tc>
          <w:tcPr>
            <w:tcW w:w="1240" w:type="dxa"/>
            <w:vAlign w:val="bottom"/>
            <w:gridSpan w:val="2"/>
            <w:shd w:val="clear" w:color="auto" w:fill="005CB9"/>
          </w:tcPr>
          <w:p>
            <w:pPr>
              <w:jc w:val="right"/>
              <w:ind w:right="97"/>
              <w:spacing w:after="0"/>
              <w:rPr>
                <w:sz w:val="20"/>
                <w:szCs w:val="20"/>
                <w:color w:val="auto"/>
              </w:rPr>
            </w:pPr>
            <w:r>
              <w:rPr>
                <w:rFonts w:ascii="Arial" w:cs="Arial" w:eastAsia="Arial" w:hAnsi="Arial"/>
                <w:sz w:val="14"/>
                <w:szCs w:val="14"/>
                <w:color w:val="FFFFFF"/>
              </w:rPr>
              <w:t>2021 Bonus</w:t>
            </w:r>
          </w:p>
        </w:tc>
        <w:tc>
          <w:tcPr>
            <w:tcW w:w="1040" w:type="dxa"/>
            <w:vAlign w:val="bottom"/>
            <w:shd w:val="clear" w:color="auto" w:fill="005CB9"/>
          </w:tcPr>
          <w:p>
            <w:pPr>
              <w:jc w:val="right"/>
              <w:ind w:right="99"/>
              <w:spacing w:after="0"/>
              <w:rPr>
                <w:sz w:val="20"/>
                <w:szCs w:val="20"/>
                <w:color w:val="auto"/>
              </w:rPr>
            </w:pPr>
            <w:r>
              <w:rPr>
                <w:rFonts w:ascii="Arial" w:cs="Arial" w:eastAsia="Arial" w:hAnsi="Arial"/>
                <w:sz w:val="14"/>
                <w:szCs w:val="14"/>
                <w:color w:val="FFFFFF"/>
              </w:rPr>
              <w:t>Percent of</w:t>
            </w:r>
          </w:p>
        </w:tc>
      </w:tr>
      <w:tr>
        <w:trPr>
          <w:trHeight w:val="184"/>
        </w:trPr>
        <w:tc>
          <w:tcPr>
            <w:tcW w:w="5120" w:type="dxa"/>
            <w:vAlign w:val="bottom"/>
            <w:shd w:val="clear" w:color="auto" w:fill="005CB9"/>
          </w:tcPr>
          <w:p>
            <w:pPr>
              <w:spacing w:after="0"/>
              <w:rPr>
                <w:sz w:val="16"/>
                <w:szCs w:val="16"/>
                <w:color w:val="auto"/>
              </w:rPr>
            </w:pPr>
          </w:p>
        </w:tc>
        <w:tc>
          <w:tcPr>
            <w:tcW w:w="1320" w:type="dxa"/>
            <w:vAlign w:val="bottom"/>
            <w:shd w:val="clear" w:color="auto" w:fill="005CB9"/>
          </w:tcPr>
          <w:p>
            <w:pPr>
              <w:jc w:val="right"/>
              <w:ind w:right="239"/>
              <w:spacing w:after="0"/>
              <w:rPr>
                <w:sz w:val="20"/>
                <w:szCs w:val="20"/>
                <w:color w:val="auto"/>
              </w:rPr>
            </w:pPr>
            <w:r>
              <w:rPr>
                <w:rFonts w:ascii="Arial" w:cs="Arial" w:eastAsia="Arial" w:hAnsi="Arial"/>
                <w:sz w:val="14"/>
                <w:szCs w:val="14"/>
                <w:color w:val="FFFFFF"/>
              </w:rPr>
              <w:t>Payment</w:t>
            </w:r>
          </w:p>
        </w:tc>
        <w:tc>
          <w:tcPr>
            <w:tcW w:w="112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Earned</w:t>
            </w:r>
          </w:p>
        </w:tc>
        <w:tc>
          <w:tcPr>
            <w:tcW w:w="1180" w:type="dxa"/>
            <w:vAlign w:val="bottom"/>
            <w:shd w:val="clear" w:color="auto" w:fill="005CB9"/>
          </w:tcPr>
          <w:p>
            <w:pPr>
              <w:jc w:val="right"/>
              <w:ind w:right="139"/>
              <w:spacing w:after="0"/>
              <w:rPr>
                <w:sz w:val="20"/>
                <w:szCs w:val="20"/>
                <w:color w:val="auto"/>
              </w:rPr>
            </w:pPr>
            <w:r>
              <w:rPr>
                <w:rFonts w:ascii="Arial" w:cs="Arial" w:eastAsia="Arial" w:hAnsi="Arial"/>
                <w:sz w:val="14"/>
                <w:szCs w:val="14"/>
                <w:color w:val="FFFFFF"/>
              </w:rPr>
              <w:t>Base Salary</w:t>
            </w:r>
          </w:p>
        </w:tc>
        <w:tc>
          <w:tcPr>
            <w:tcW w:w="340" w:type="dxa"/>
            <w:vAlign w:val="bottom"/>
            <w:shd w:val="clear" w:color="auto" w:fill="005CB9"/>
          </w:tcPr>
          <w:p>
            <w:pPr>
              <w:spacing w:after="0"/>
              <w:rPr>
                <w:sz w:val="16"/>
                <w:szCs w:val="16"/>
                <w:color w:val="auto"/>
              </w:rPr>
            </w:pPr>
          </w:p>
        </w:tc>
        <w:tc>
          <w:tcPr>
            <w:tcW w:w="900" w:type="dxa"/>
            <w:vAlign w:val="bottom"/>
            <w:shd w:val="clear" w:color="auto" w:fill="005CB9"/>
          </w:tcPr>
          <w:p>
            <w:pPr>
              <w:jc w:val="right"/>
              <w:ind w:right="197"/>
              <w:spacing w:after="0"/>
              <w:rPr>
                <w:sz w:val="20"/>
                <w:szCs w:val="20"/>
                <w:color w:val="auto"/>
              </w:rPr>
            </w:pPr>
            <w:r>
              <w:rPr>
                <w:rFonts w:ascii="Arial" w:cs="Arial" w:eastAsia="Arial" w:hAnsi="Arial"/>
                <w:sz w:val="14"/>
                <w:szCs w:val="14"/>
                <w:color w:val="FFFFFF"/>
              </w:rPr>
              <w:t>Payment</w:t>
            </w:r>
          </w:p>
        </w:tc>
        <w:tc>
          <w:tcPr>
            <w:tcW w:w="1040" w:type="dxa"/>
            <w:vAlign w:val="bottom"/>
            <w:shd w:val="clear" w:color="auto" w:fill="005CB9"/>
          </w:tcPr>
          <w:p>
            <w:pPr>
              <w:jc w:val="right"/>
              <w:ind w:right="39"/>
              <w:spacing w:after="0"/>
              <w:rPr>
                <w:sz w:val="20"/>
                <w:szCs w:val="20"/>
                <w:color w:val="auto"/>
              </w:rPr>
            </w:pPr>
            <w:r>
              <w:rPr>
                <w:rFonts w:ascii="Arial" w:cs="Arial" w:eastAsia="Arial" w:hAnsi="Arial"/>
                <w:sz w:val="14"/>
                <w:szCs w:val="14"/>
                <w:color w:val="FFFFFF"/>
              </w:rPr>
              <w:t>Base Salary</w:t>
            </w:r>
          </w:p>
        </w:tc>
      </w:tr>
      <w:tr>
        <w:trPr>
          <w:trHeight w:val="266"/>
        </w:trPr>
        <w:tc>
          <w:tcPr>
            <w:tcW w:w="5120" w:type="dxa"/>
            <w:vAlign w:val="bottom"/>
            <w:shd w:val="clear" w:color="auto" w:fill="E5EEF8"/>
          </w:tcPr>
          <w:p>
            <w:pPr>
              <w:ind w:left="40"/>
              <w:spacing w:after="0"/>
              <w:rPr>
                <w:sz w:val="20"/>
                <w:szCs w:val="20"/>
                <w:color w:val="auto"/>
              </w:rPr>
            </w:pPr>
            <w:r>
              <w:rPr>
                <w:rFonts w:ascii="Arial" w:cs="Arial" w:eastAsia="Arial" w:hAnsi="Arial"/>
                <w:sz w:val="17"/>
                <w:szCs w:val="17"/>
                <w:b w:val="1"/>
                <w:bCs w:val="1"/>
                <w:color w:val="auto"/>
              </w:rPr>
              <w:t>Mr. Hunn</w:t>
            </w:r>
          </w:p>
        </w:tc>
        <w:tc>
          <w:tcPr>
            <w:tcW w:w="1320" w:type="dxa"/>
            <w:vAlign w:val="bottom"/>
            <w:shd w:val="clear" w:color="auto" w:fill="E5EEF8"/>
          </w:tcPr>
          <w:p>
            <w:pPr>
              <w:jc w:val="right"/>
              <w:ind w:right="119"/>
              <w:spacing w:after="0"/>
              <w:rPr>
                <w:sz w:val="20"/>
                <w:szCs w:val="20"/>
                <w:color w:val="auto"/>
              </w:rPr>
            </w:pPr>
            <w:r>
              <w:rPr>
                <w:rFonts w:ascii="Arial" w:cs="Arial" w:eastAsia="Arial" w:hAnsi="Arial"/>
                <w:sz w:val="17"/>
                <w:szCs w:val="17"/>
                <w:color w:val="auto"/>
              </w:rPr>
              <w:t>$584,000</w:t>
            </w:r>
          </w:p>
        </w:tc>
        <w:tc>
          <w:tcPr>
            <w:tcW w:w="1120" w:type="dxa"/>
            <w:vAlign w:val="bottom"/>
            <w:shd w:val="clear" w:color="auto" w:fill="E5EEF8"/>
          </w:tcPr>
          <w:p>
            <w:pPr>
              <w:jc w:val="right"/>
              <w:ind w:right="121"/>
              <w:spacing w:after="0"/>
              <w:rPr>
                <w:sz w:val="20"/>
                <w:szCs w:val="20"/>
                <w:color w:val="auto"/>
              </w:rPr>
            </w:pPr>
            <w:r>
              <w:rPr>
                <w:rFonts w:ascii="Arial" w:cs="Arial" w:eastAsia="Arial" w:hAnsi="Arial"/>
                <w:sz w:val="17"/>
                <w:szCs w:val="17"/>
                <w:color w:val="auto"/>
              </w:rPr>
              <w:t>29.2%</w:t>
            </w:r>
          </w:p>
        </w:tc>
        <w:tc>
          <w:tcPr>
            <w:tcW w:w="1180" w:type="dxa"/>
            <w:vAlign w:val="bottom"/>
            <w:shd w:val="clear" w:color="auto" w:fill="E5EEF8"/>
          </w:tcPr>
          <w:p>
            <w:pPr>
              <w:jc w:val="right"/>
              <w:ind w:right="139"/>
              <w:spacing w:after="0"/>
              <w:rPr>
                <w:sz w:val="20"/>
                <w:szCs w:val="20"/>
                <w:color w:val="auto"/>
              </w:rPr>
            </w:pPr>
            <w:r>
              <w:rPr>
                <w:rFonts w:ascii="Arial" w:cs="Arial" w:eastAsia="Arial" w:hAnsi="Arial"/>
                <w:sz w:val="17"/>
                <w:szCs w:val="17"/>
                <w:color w:val="auto"/>
              </w:rPr>
              <w:t>58.4%</w:t>
            </w:r>
          </w:p>
        </w:tc>
        <w:tc>
          <w:tcPr>
            <w:tcW w:w="340" w:type="dxa"/>
            <w:vAlign w:val="bottom"/>
            <w:shd w:val="clear" w:color="auto" w:fill="E5EEF8"/>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5EEF8"/>
          </w:tcPr>
          <w:p>
            <w:pPr>
              <w:jc w:val="right"/>
              <w:ind w:right="37"/>
              <w:spacing w:after="0"/>
              <w:rPr>
                <w:sz w:val="20"/>
                <w:szCs w:val="20"/>
                <w:color w:val="auto"/>
              </w:rPr>
            </w:pPr>
            <w:r>
              <w:rPr>
                <w:rFonts w:ascii="Arial" w:cs="Arial" w:eastAsia="Arial" w:hAnsi="Arial"/>
                <w:sz w:val="17"/>
                <w:szCs w:val="17"/>
                <w:color w:val="auto"/>
              </w:rPr>
              <w:t>3,000,000</w:t>
            </w:r>
          </w:p>
        </w:tc>
        <w:tc>
          <w:tcPr>
            <w:tcW w:w="1040" w:type="dxa"/>
            <w:vAlign w:val="bottom"/>
            <w:shd w:val="clear" w:color="auto" w:fill="E5EEF8"/>
          </w:tcPr>
          <w:p>
            <w:pPr>
              <w:jc w:val="right"/>
              <w:ind w:right="39"/>
              <w:spacing w:after="0"/>
              <w:rPr>
                <w:sz w:val="20"/>
                <w:szCs w:val="20"/>
                <w:color w:val="auto"/>
              </w:rPr>
            </w:pPr>
            <w:r>
              <w:rPr>
                <w:rFonts w:ascii="Arial" w:cs="Arial" w:eastAsia="Arial" w:hAnsi="Arial"/>
                <w:sz w:val="17"/>
                <w:szCs w:val="17"/>
                <w:color w:val="auto"/>
              </w:rPr>
              <w:t>300%</w:t>
            </w:r>
          </w:p>
        </w:tc>
      </w:tr>
      <w:tr>
        <w:trPr>
          <w:trHeight w:val="71"/>
        </w:trPr>
        <w:tc>
          <w:tcPr>
            <w:tcW w:w="5120" w:type="dxa"/>
            <w:vAlign w:val="bottom"/>
            <w:shd w:val="clear" w:color="auto" w:fill="E5EEF8"/>
          </w:tcPr>
          <w:p>
            <w:pPr>
              <w:spacing w:after="0"/>
              <w:rPr>
                <w:sz w:val="6"/>
                <w:szCs w:val="6"/>
                <w:color w:val="auto"/>
              </w:rPr>
            </w:pPr>
          </w:p>
        </w:tc>
        <w:tc>
          <w:tcPr>
            <w:tcW w:w="1320" w:type="dxa"/>
            <w:vAlign w:val="bottom"/>
            <w:shd w:val="clear" w:color="auto" w:fill="E5EEF8"/>
          </w:tcPr>
          <w:p>
            <w:pPr>
              <w:spacing w:after="0"/>
              <w:rPr>
                <w:sz w:val="6"/>
                <w:szCs w:val="6"/>
                <w:color w:val="auto"/>
              </w:rPr>
            </w:pPr>
          </w:p>
        </w:tc>
        <w:tc>
          <w:tcPr>
            <w:tcW w:w="1120" w:type="dxa"/>
            <w:vAlign w:val="bottom"/>
            <w:shd w:val="clear" w:color="auto" w:fill="E5EEF8"/>
          </w:tcPr>
          <w:p>
            <w:pPr>
              <w:spacing w:after="0"/>
              <w:rPr>
                <w:sz w:val="6"/>
                <w:szCs w:val="6"/>
                <w:color w:val="auto"/>
              </w:rPr>
            </w:pPr>
          </w:p>
        </w:tc>
        <w:tc>
          <w:tcPr>
            <w:tcW w:w="1180" w:type="dxa"/>
            <w:vAlign w:val="bottom"/>
            <w:shd w:val="clear" w:color="auto" w:fill="E5EEF8"/>
          </w:tcPr>
          <w:p>
            <w:pPr>
              <w:spacing w:after="0"/>
              <w:rPr>
                <w:sz w:val="6"/>
                <w:szCs w:val="6"/>
                <w:color w:val="auto"/>
              </w:rPr>
            </w:pPr>
          </w:p>
        </w:tc>
        <w:tc>
          <w:tcPr>
            <w:tcW w:w="340" w:type="dxa"/>
            <w:vAlign w:val="bottom"/>
            <w:shd w:val="clear" w:color="auto" w:fill="E5EEF8"/>
          </w:tcPr>
          <w:p>
            <w:pPr>
              <w:spacing w:after="0"/>
              <w:rPr>
                <w:sz w:val="6"/>
                <w:szCs w:val="6"/>
                <w:color w:val="auto"/>
              </w:rPr>
            </w:pPr>
          </w:p>
        </w:tc>
        <w:tc>
          <w:tcPr>
            <w:tcW w:w="900" w:type="dxa"/>
            <w:vAlign w:val="bottom"/>
            <w:shd w:val="clear" w:color="auto" w:fill="E5EEF8"/>
          </w:tcPr>
          <w:p>
            <w:pPr>
              <w:spacing w:after="0"/>
              <w:rPr>
                <w:sz w:val="6"/>
                <w:szCs w:val="6"/>
                <w:color w:val="auto"/>
              </w:rPr>
            </w:pPr>
          </w:p>
        </w:tc>
        <w:tc>
          <w:tcPr>
            <w:tcW w:w="1040" w:type="dxa"/>
            <w:vAlign w:val="bottom"/>
            <w:shd w:val="clear" w:color="auto" w:fill="E5EEF8"/>
          </w:tcPr>
          <w:p>
            <w:pPr>
              <w:spacing w:after="0"/>
              <w:rPr>
                <w:sz w:val="6"/>
                <w:szCs w:val="6"/>
                <w:color w:val="auto"/>
              </w:rPr>
            </w:pPr>
          </w:p>
        </w:tc>
      </w:tr>
      <w:tr>
        <w:trPr>
          <w:trHeight w:val="266"/>
        </w:trPr>
        <w:tc>
          <w:tcPr>
            <w:tcW w:w="5120" w:type="dxa"/>
            <w:vAlign w:val="bottom"/>
          </w:tcPr>
          <w:p>
            <w:pPr>
              <w:ind w:left="40"/>
              <w:spacing w:after="0"/>
              <w:rPr>
                <w:sz w:val="20"/>
                <w:szCs w:val="20"/>
                <w:color w:val="auto"/>
              </w:rPr>
            </w:pPr>
            <w:r>
              <w:rPr>
                <w:rFonts w:ascii="Arial" w:cs="Arial" w:eastAsia="Arial" w:hAnsi="Arial"/>
                <w:sz w:val="17"/>
                <w:szCs w:val="17"/>
                <w:b w:val="1"/>
                <w:bCs w:val="1"/>
                <w:color w:val="auto"/>
              </w:rPr>
              <w:t>Mr. Crisci</w:t>
            </w:r>
          </w:p>
        </w:tc>
        <w:tc>
          <w:tcPr>
            <w:tcW w:w="1320" w:type="dxa"/>
            <w:vAlign w:val="bottom"/>
          </w:tcPr>
          <w:p>
            <w:pPr>
              <w:jc w:val="right"/>
              <w:ind w:right="119"/>
              <w:spacing w:after="0"/>
              <w:rPr>
                <w:sz w:val="20"/>
                <w:szCs w:val="20"/>
                <w:color w:val="auto"/>
              </w:rPr>
            </w:pPr>
            <w:r>
              <w:rPr>
                <w:rFonts w:ascii="Arial" w:cs="Arial" w:eastAsia="Arial" w:hAnsi="Arial"/>
                <w:sz w:val="17"/>
                <w:szCs w:val="17"/>
                <w:color w:val="auto"/>
              </w:rPr>
              <w:t>$240,900</w:t>
            </w:r>
          </w:p>
        </w:tc>
        <w:tc>
          <w:tcPr>
            <w:tcW w:w="1120" w:type="dxa"/>
            <w:vAlign w:val="bottom"/>
          </w:tcPr>
          <w:p>
            <w:pPr>
              <w:jc w:val="right"/>
              <w:ind w:right="121"/>
              <w:spacing w:after="0"/>
              <w:rPr>
                <w:sz w:val="20"/>
                <w:szCs w:val="20"/>
                <w:color w:val="auto"/>
              </w:rPr>
            </w:pPr>
            <w:r>
              <w:rPr>
                <w:rFonts w:ascii="Arial" w:cs="Arial" w:eastAsia="Arial" w:hAnsi="Arial"/>
                <w:sz w:val="17"/>
                <w:szCs w:val="17"/>
                <w:color w:val="auto"/>
              </w:rPr>
              <w:t>29.2%</w:t>
            </w:r>
          </w:p>
        </w:tc>
        <w:tc>
          <w:tcPr>
            <w:tcW w:w="1180" w:type="dxa"/>
            <w:vAlign w:val="bottom"/>
          </w:tcPr>
          <w:p>
            <w:pPr>
              <w:jc w:val="right"/>
              <w:ind w:right="139"/>
              <w:spacing w:after="0"/>
              <w:rPr>
                <w:sz w:val="20"/>
                <w:szCs w:val="20"/>
                <w:color w:val="auto"/>
              </w:rPr>
            </w:pPr>
            <w:r>
              <w:rPr>
                <w:rFonts w:ascii="Arial" w:cs="Arial" w:eastAsia="Arial" w:hAnsi="Arial"/>
                <w:sz w:val="17"/>
                <w:szCs w:val="17"/>
                <w:color w:val="auto"/>
              </w:rPr>
              <w:t>36.5%</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7"/>
              <w:spacing w:after="0"/>
              <w:rPr>
                <w:sz w:val="20"/>
                <w:szCs w:val="20"/>
                <w:color w:val="auto"/>
              </w:rPr>
            </w:pPr>
            <w:r>
              <w:rPr>
                <w:rFonts w:ascii="Arial" w:cs="Arial" w:eastAsia="Arial" w:hAnsi="Arial"/>
                <w:sz w:val="17"/>
                <w:szCs w:val="17"/>
                <w:color w:val="auto"/>
              </w:rPr>
              <w:t>1,293,750</w:t>
            </w:r>
          </w:p>
        </w:tc>
        <w:tc>
          <w:tcPr>
            <w:tcW w:w="1040" w:type="dxa"/>
            <w:vAlign w:val="bottom"/>
          </w:tcPr>
          <w:p>
            <w:pPr>
              <w:jc w:val="right"/>
              <w:ind w:right="39"/>
              <w:spacing w:after="0"/>
              <w:rPr>
                <w:sz w:val="20"/>
                <w:szCs w:val="20"/>
                <w:color w:val="auto"/>
              </w:rPr>
            </w:pPr>
            <w:r>
              <w:rPr>
                <w:rFonts w:ascii="Arial" w:cs="Arial" w:eastAsia="Arial" w:hAnsi="Arial"/>
                <w:sz w:val="17"/>
                <w:szCs w:val="17"/>
                <w:color w:val="auto"/>
              </w:rPr>
              <w:t>187.5%</w:t>
            </w:r>
          </w:p>
        </w:tc>
      </w:tr>
      <w:tr>
        <w:trPr>
          <w:trHeight w:val="72"/>
        </w:trPr>
        <w:tc>
          <w:tcPr>
            <w:tcW w:w="5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266"/>
        </w:trPr>
        <w:tc>
          <w:tcPr>
            <w:tcW w:w="5120" w:type="dxa"/>
            <w:vAlign w:val="bottom"/>
            <w:shd w:val="clear" w:color="auto" w:fill="E5EEF8"/>
          </w:tcPr>
          <w:p>
            <w:pPr>
              <w:ind w:left="40"/>
              <w:spacing w:after="0"/>
              <w:rPr>
                <w:sz w:val="20"/>
                <w:szCs w:val="20"/>
                <w:color w:val="auto"/>
              </w:rPr>
            </w:pPr>
            <w:r>
              <w:rPr>
                <w:rFonts w:ascii="Arial" w:cs="Arial" w:eastAsia="Arial" w:hAnsi="Arial"/>
                <w:sz w:val="17"/>
                <w:szCs w:val="17"/>
                <w:b w:val="1"/>
                <w:bCs w:val="1"/>
                <w:color w:val="auto"/>
              </w:rPr>
              <w:t>Mr. Stipancich</w:t>
            </w:r>
          </w:p>
        </w:tc>
        <w:tc>
          <w:tcPr>
            <w:tcW w:w="1320" w:type="dxa"/>
            <w:vAlign w:val="bottom"/>
            <w:shd w:val="clear" w:color="auto" w:fill="E5EEF8"/>
          </w:tcPr>
          <w:p>
            <w:pPr>
              <w:jc w:val="right"/>
              <w:ind w:right="119"/>
              <w:spacing w:after="0"/>
              <w:rPr>
                <w:sz w:val="20"/>
                <w:szCs w:val="20"/>
                <w:color w:val="auto"/>
              </w:rPr>
            </w:pPr>
            <w:r>
              <w:rPr>
                <w:rFonts w:ascii="Arial" w:cs="Arial" w:eastAsia="Arial" w:hAnsi="Arial"/>
                <w:sz w:val="17"/>
                <w:szCs w:val="17"/>
                <w:color w:val="auto"/>
              </w:rPr>
              <w:t>$262,800</w:t>
            </w:r>
          </w:p>
        </w:tc>
        <w:tc>
          <w:tcPr>
            <w:tcW w:w="1120" w:type="dxa"/>
            <w:vAlign w:val="bottom"/>
            <w:shd w:val="clear" w:color="auto" w:fill="E5EEF8"/>
          </w:tcPr>
          <w:p>
            <w:pPr>
              <w:jc w:val="right"/>
              <w:ind w:right="121"/>
              <w:spacing w:after="0"/>
              <w:rPr>
                <w:sz w:val="20"/>
                <w:szCs w:val="20"/>
                <w:color w:val="auto"/>
              </w:rPr>
            </w:pPr>
            <w:r>
              <w:rPr>
                <w:rFonts w:ascii="Arial" w:cs="Arial" w:eastAsia="Arial" w:hAnsi="Arial"/>
                <w:sz w:val="17"/>
                <w:szCs w:val="17"/>
                <w:color w:val="auto"/>
              </w:rPr>
              <w:t>29.2%</w:t>
            </w:r>
          </w:p>
        </w:tc>
        <w:tc>
          <w:tcPr>
            <w:tcW w:w="1180" w:type="dxa"/>
            <w:vAlign w:val="bottom"/>
            <w:shd w:val="clear" w:color="auto" w:fill="E5EEF8"/>
          </w:tcPr>
          <w:p>
            <w:pPr>
              <w:jc w:val="right"/>
              <w:ind w:right="139"/>
              <w:spacing w:after="0"/>
              <w:rPr>
                <w:sz w:val="20"/>
                <w:szCs w:val="20"/>
                <w:color w:val="auto"/>
              </w:rPr>
            </w:pPr>
            <w:r>
              <w:rPr>
                <w:rFonts w:ascii="Arial" w:cs="Arial" w:eastAsia="Arial" w:hAnsi="Arial"/>
                <w:sz w:val="17"/>
                <w:szCs w:val="17"/>
                <w:color w:val="auto"/>
              </w:rPr>
              <w:t>36.5%</w:t>
            </w:r>
          </w:p>
        </w:tc>
        <w:tc>
          <w:tcPr>
            <w:tcW w:w="340" w:type="dxa"/>
            <w:vAlign w:val="bottom"/>
            <w:shd w:val="clear" w:color="auto" w:fill="E5EEF8"/>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5EEF8"/>
          </w:tcPr>
          <w:p>
            <w:pPr>
              <w:jc w:val="right"/>
              <w:ind w:right="37"/>
              <w:spacing w:after="0"/>
              <w:rPr>
                <w:sz w:val="20"/>
                <w:szCs w:val="20"/>
                <w:color w:val="auto"/>
              </w:rPr>
            </w:pPr>
            <w:r>
              <w:rPr>
                <w:rFonts w:ascii="Arial" w:cs="Arial" w:eastAsia="Arial" w:hAnsi="Arial"/>
                <w:sz w:val="17"/>
                <w:szCs w:val="17"/>
                <w:color w:val="auto"/>
              </w:rPr>
              <w:t>1,406,250</w:t>
            </w:r>
          </w:p>
        </w:tc>
        <w:tc>
          <w:tcPr>
            <w:tcW w:w="1040" w:type="dxa"/>
            <w:vAlign w:val="bottom"/>
            <w:shd w:val="clear" w:color="auto" w:fill="E5EEF8"/>
          </w:tcPr>
          <w:p>
            <w:pPr>
              <w:jc w:val="right"/>
              <w:ind w:right="39"/>
              <w:spacing w:after="0"/>
              <w:rPr>
                <w:sz w:val="20"/>
                <w:szCs w:val="20"/>
                <w:color w:val="auto"/>
              </w:rPr>
            </w:pPr>
            <w:r>
              <w:rPr>
                <w:rFonts w:ascii="Arial" w:cs="Arial" w:eastAsia="Arial" w:hAnsi="Arial"/>
                <w:sz w:val="17"/>
                <w:szCs w:val="17"/>
                <w:color w:val="auto"/>
              </w:rPr>
              <w:t>187.5%</w:t>
            </w:r>
          </w:p>
        </w:tc>
      </w:tr>
      <w:tr>
        <w:trPr>
          <w:trHeight w:val="72"/>
        </w:trPr>
        <w:tc>
          <w:tcPr>
            <w:tcW w:w="5120" w:type="dxa"/>
            <w:vAlign w:val="bottom"/>
            <w:shd w:val="clear" w:color="auto" w:fill="E5EEF8"/>
          </w:tcPr>
          <w:p>
            <w:pPr>
              <w:spacing w:after="0"/>
              <w:rPr>
                <w:sz w:val="6"/>
                <w:szCs w:val="6"/>
                <w:color w:val="auto"/>
              </w:rPr>
            </w:pPr>
          </w:p>
        </w:tc>
        <w:tc>
          <w:tcPr>
            <w:tcW w:w="1320" w:type="dxa"/>
            <w:vAlign w:val="bottom"/>
            <w:shd w:val="clear" w:color="auto" w:fill="E5EEF8"/>
          </w:tcPr>
          <w:p>
            <w:pPr>
              <w:spacing w:after="0"/>
              <w:rPr>
                <w:sz w:val="6"/>
                <w:szCs w:val="6"/>
                <w:color w:val="auto"/>
              </w:rPr>
            </w:pPr>
          </w:p>
        </w:tc>
        <w:tc>
          <w:tcPr>
            <w:tcW w:w="1120" w:type="dxa"/>
            <w:vAlign w:val="bottom"/>
            <w:shd w:val="clear" w:color="auto" w:fill="E5EEF8"/>
          </w:tcPr>
          <w:p>
            <w:pPr>
              <w:spacing w:after="0"/>
              <w:rPr>
                <w:sz w:val="6"/>
                <w:szCs w:val="6"/>
                <w:color w:val="auto"/>
              </w:rPr>
            </w:pPr>
          </w:p>
        </w:tc>
        <w:tc>
          <w:tcPr>
            <w:tcW w:w="1180" w:type="dxa"/>
            <w:vAlign w:val="bottom"/>
            <w:shd w:val="clear" w:color="auto" w:fill="E5EEF8"/>
          </w:tcPr>
          <w:p>
            <w:pPr>
              <w:spacing w:after="0"/>
              <w:rPr>
                <w:sz w:val="6"/>
                <w:szCs w:val="6"/>
                <w:color w:val="auto"/>
              </w:rPr>
            </w:pPr>
          </w:p>
        </w:tc>
        <w:tc>
          <w:tcPr>
            <w:tcW w:w="340" w:type="dxa"/>
            <w:vAlign w:val="bottom"/>
            <w:shd w:val="clear" w:color="auto" w:fill="E5EEF8"/>
          </w:tcPr>
          <w:p>
            <w:pPr>
              <w:spacing w:after="0"/>
              <w:rPr>
                <w:sz w:val="6"/>
                <w:szCs w:val="6"/>
                <w:color w:val="auto"/>
              </w:rPr>
            </w:pPr>
          </w:p>
        </w:tc>
        <w:tc>
          <w:tcPr>
            <w:tcW w:w="900" w:type="dxa"/>
            <w:vAlign w:val="bottom"/>
            <w:shd w:val="clear" w:color="auto" w:fill="E5EEF8"/>
          </w:tcPr>
          <w:p>
            <w:pPr>
              <w:spacing w:after="0"/>
              <w:rPr>
                <w:sz w:val="6"/>
                <w:szCs w:val="6"/>
                <w:color w:val="auto"/>
              </w:rPr>
            </w:pPr>
          </w:p>
        </w:tc>
        <w:tc>
          <w:tcPr>
            <w:tcW w:w="1040" w:type="dxa"/>
            <w:vAlign w:val="bottom"/>
            <w:shd w:val="clear" w:color="auto" w:fill="E5EEF8"/>
          </w:tcPr>
          <w:p>
            <w:pPr>
              <w:spacing w:after="0"/>
              <w:rPr>
                <w:sz w:val="6"/>
                <w:szCs w:val="6"/>
                <w:color w:val="auto"/>
              </w:rPr>
            </w:pPr>
          </w:p>
        </w:tc>
      </w:tr>
      <w:tr>
        <w:trPr>
          <w:trHeight w:val="266"/>
        </w:trPr>
        <w:tc>
          <w:tcPr>
            <w:tcW w:w="5120" w:type="dxa"/>
            <w:vAlign w:val="bottom"/>
          </w:tcPr>
          <w:p>
            <w:pPr>
              <w:ind w:left="40"/>
              <w:spacing w:after="0"/>
              <w:rPr>
                <w:sz w:val="20"/>
                <w:szCs w:val="20"/>
                <w:color w:val="auto"/>
              </w:rPr>
            </w:pPr>
            <w:r>
              <w:rPr>
                <w:rFonts w:ascii="Arial" w:cs="Arial" w:eastAsia="Arial" w:hAnsi="Arial"/>
                <w:sz w:val="17"/>
                <w:szCs w:val="17"/>
                <w:b w:val="1"/>
                <w:bCs w:val="1"/>
                <w:color w:val="auto"/>
              </w:rPr>
              <w:t>Mr. Conley</w:t>
            </w:r>
          </w:p>
        </w:tc>
        <w:tc>
          <w:tcPr>
            <w:tcW w:w="1320" w:type="dxa"/>
            <w:vAlign w:val="bottom"/>
          </w:tcPr>
          <w:p>
            <w:pPr>
              <w:jc w:val="right"/>
              <w:ind w:right="119"/>
              <w:spacing w:after="0"/>
              <w:rPr>
                <w:sz w:val="20"/>
                <w:szCs w:val="20"/>
                <w:color w:val="auto"/>
              </w:rPr>
            </w:pPr>
            <w:r>
              <w:rPr>
                <w:rFonts w:ascii="Arial" w:cs="Arial" w:eastAsia="Arial" w:hAnsi="Arial"/>
                <w:sz w:val="17"/>
                <w:szCs w:val="17"/>
                <w:color w:val="auto"/>
              </w:rPr>
              <w:t>$164,980</w:t>
            </w:r>
          </w:p>
        </w:tc>
        <w:tc>
          <w:tcPr>
            <w:tcW w:w="1120" w:type="dxa"/>
            <w:vAlign w:val="bottom"/>
          </w:tcPr>
          <w:p>
            <w:pPr>
              <w:jc w:val="right"/>
              <w:ind w:right="121"/>
              <w:spacing w:after="0"/>
              <w:rPr>
                <w:sz w:val="20"/>
                <w:szCs w:val="20"/>
                <w:color w:val="auto"/>
              </w:rPr>
            </w:pPr>
            <w:r>
              <w:rPr>
                <w:rFonts w:ascii="Arial" w:cs="Arial" w:eastAsia="Arial" w:hAnsi="Arial"/>
                <w:sz w:val="17"/>
                <w:szCs w:val="17"/>
                <w:color w:val="auto"/>
              </w:rPr>
              <w:t>29.2%</w:t>
            </w:r>
          </w:p>
        </w:tc>
        <w:tc>
          <w:tcPr>
            <w:tcW w:w="1180" w:type="dxa"/>
            <w:vAlign w:val="bottom"/>
          </w:tcPr>
          <w:p>
            <w:pPr>
              <w:jc w:val="right"/>
              <w:ind w:right="139"/>
              <w:spacing w:after="0"/>
              <w:rPr>
                <w:sz w:val="20"/>
                <w:szCs w:val="20"/>
                <w:color w:val="auto"/>
              </w:rPr>
            </w:pPr>
            <w:r>
              <w:rPr>
                <w:rFonts w:ascii="Arial" w:cs="Arial" w:eastAsia="Arial" w:hAnsi="Arial"/>
                <w:sz w:val="17"/>
                <w:szCs w:val="17"/>
                <w:color w:val="auto"/>
              </w:rPr>
              <w:t>29.2%</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7"/>
              <w:spacing w:after="0"/>
              <w:rPr>
                <w:sz w:val="20"/>
                <w:szCs w:val="20"/>
                <w:color w:val="auto"/>
              </w:rPr>
            </w:pPr>
            <w:r>
              <w:rPr>
                <w:rFonts w:ascii="Arial" w:cs="Arial" w:eastAsia="Arial" w:hAnsi="Arial"/>
                <w:sz w:val="17"/>
                <w:szCs w:val="17"/>
                <w:color w:val="auto"/>
              </w:rPr>
              <w:t>885,000</w:t>
            </w:r>
          </w:p>
        </w:tc>
        <w:tc>
          <w:tcPr>
            <w:tcW w:w="1040" w:type="dxa"/>
            <w:vAlign w:val="bottom"/>
          </w:tcPr>
          <w:p>
            <w:pPr>
              <w:jc w:val="right"/>
              <w:ind w:right="39"/>
              <w:spacing w:after="0"/>
              <w:rPr>
                <w:sz w:val="20"/>
                <w:szCs w:val="20"/>
                <w:color w:val="auto"/>
              </w:rPr>
            </w:pPr>
            <w:r>
              <w:rPr>
                <w:rFonts w:ascii="Arial" w:cs="Arial" w:eastAsia="Arial" w:hAnsi="Arial"/>
                <w:sz w:val="17"/>
                <w:szCs w:val="17"/>
                <w:color w:val="auto"/>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988695</wp:posOffset>
            </wp:positionV>
            <wp:extent cx="7715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40" w:right="60" w:hanging="224"/>
        <w:spacing w:after="0" w:line="183" w:lineRule="auto"/>
        <w:tabs>
          <w:tab w:leader="none" w:pos="340" w:val="left"/>
        </w:tabs>
        <w:numPr>
          <w:ilvl w:val="0"/>
          <w:numId w:val="68"/>
        </w:numPr>
        <w:rPr>
          <w:rFonts w:ascii="Arial" w:cs="Arial" w:eastAsia="Arial" w:hAnsi="Arial"/>
          <w:sz w:val="24"/>
          <w:szCs w:val="24"/>
          <w:color w:val="auto"/>
          <w:vertAlign w:val="superscript"/>
        </w:rPr>
      </w:pPr>
      <w:r>
        <w:rPr>
          <w:rFonts w:ascii="Arial" w:cs="Arial" w:eastAsia="Arial" w:hAnsi="Arial"/>
          <w:sz w:val="14"/>
          <w:szCs w:val="14"/>
          <w:color w:val="auto"/>
        </w:rPr>
        <w:t>On a basis adjusted for continuing operations (eliminating discontinued operations), adjusted net earnings increased 23.5%. As such, 100% of the bonus opportunity and the entire incremental bonus opportunity was earned had discontinued operations been removed from the calculation.</w:t>
      </w:r>
    </w:p>
    <w:p>
      <w:pPr>
        <w:spacing w:after="0" w:line="135" w:lineRule="exact"/>
        <w:rPr>
          <w:sz w:val="20"/>
          <w:szCs w:val="20"/>
          <w:color w:val="auto"/>
        </w:rPr>
      </w:pPr>
    </w:p>
    <w:tbl>
      <w:tblPr>
        <w:tblLayout w:type="fixed"/>
        <w:tblInd w:w="6920" w:type="dxa"/>
        <w:tblCellMar>
          <w:top w:w="0" w:type="dxa"/>
          <w:left w:w="0" w:type="dxa"/>
          <w:bottom w:w="0" w:type="dxa"/>
          <w:right w:w="0" w:type="dxa"/>
        </w:tblCellMar>
      </w:tblPr>
      <w:tr>
        <w:trPr>
          <w:trHeight w:val="29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005CB9"/>
              </w:rPr>
              <w:t>35</w:t>
            </w:r>
          </w:p>
        </w:tc>
      </w:tr>
      <w:tr>
        <w:trPr>
          <w:trHeight w:val="100"/>
        </w:trPr>
        <w:tc>
          <w:tcPr>
            <w:tcW w:w="3900" w:type="dxa"/>
            <w:vAlign w:val="bottom"/>
            <w:tcBorders>
              <w:right w:val="single" w:sz="8" w:color="005CB9"/>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-205105</wp:posOffset>
            </wp:positionV>
            <wp:extent cx="428625"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CEO Special Long-Term Cash Incentive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2019-23 Incentive Opportunity</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2019, the Compensation Committee provided Mr. Hunn with a</w:t>
      </w:r>
    </w:p>
    <w:p>
      <w:pPr>
        <w:ind w:left="120"/>
        <w:spacing w:after="0" w:line="232" w:lineRule="auto"/>
        <w:rPr>
          <w:sz w:val="20"/>
          <w:szCs w:val="20"/>
          <w:color w:val="auto"/>
        </w:rPr>
      </w:pPr>
      <w:r>
        <w:rPr>
          <w:rFonts w:ascii="Arial" w:cs="Arial" w:eastAsia="Arial" w:hAnsi="Arial"/>
          <w:sz w:val="17"/>
          <w:szCs w:val="17"/>
          <w:color w:val="auto"/>
        </w:rPr>
        <w:t>special long-term cash incentive award in recognition of his</w:t>
      </w:r>
    </w:p>
    <w:p>
      <w:pPr>
        <w:ind w:left="120"/>
        <w:spacing w:after="0" w:line="232" w:lineRule="auto"/>
        <w:rPr>
          <w:sz w:val="20"/>
          <w:szCs w:val="20"/>
          <w:color w:val="auto"/>
        </w:rPr>
      </w:pPr>
      <w:r>
        <w:rPr>
          <w:rFonts w:ascii="Arial" w:cs="Arial" w:eastAsia="Arial" w:hAnsi="Arial"/>
          <w:sz w:val="17"/>
          <w:szCs w:val="17"/>
          <w:color w:val="auto"/>
        </w:rPr>
        <w:t>heightened responsibility in assuming the CEO role upon Mr.</w:t>
      </w:r>
    </w:p>
    <w:p>
      <w:pPr>
        <w:ind w:left="120"/>
        <w:spacing w:after="0" w:line="232" w:lineRule="auto"/>
        <w:rPr>
          <w:sz w:val="20"/>
          <w:szCs w:val="20"/>
          <w:color w:val="auto"/>
        </w:rPr>
      </w:pPr>
      <w:r>
        <w:rPr>
          <w:rFonts w:ascii="Arial" w:cs="Arial" w:eastAsia="Arial" w:hAnsi="Arial"/>
          <w:sz w:val="17"/>
          <w:szCs w:val="17"/>
          <w:color w:val="auto"/>
        </w:rPr>
        <w:t>Jellison’s untimely death, to protect continuity of leadership during a</w:t>
      </w:r>
    </w:p>
    <w:p>
      <w:pPr>
        <w:ind w:left="120"/>
        <w:spacing w:after="0" w:line="232" w:lineRule="auto"/>
        <w:rPr>
          <w:sz w:val="20"/>
          <w:szCs w:val="20"/>
          <w:color w:val="auto"/>
        </w:rPr>
      </w:pPr>
      <w:r>
        <w:rPr>
          <w:rFonts w:ascii="Arial" w:cs="Arial" w:eastAsia="Arial" w:hAnsi="Arial"/>
          <w:sz w:val="17"/>
          <w:szCs w:val="17"/>
          <w:color w:val="auto"/>
        </w:rPr>
        <w:t>period of transition, and to emphasize the importance of long-term</w:t>
      </w:r>
    </w:p>
    <w:p>
      <w:pPr>
        <w:ind w:left="120"/>
        <w:spacing w:after="0" w:line="232" w:lineRule="auto"/>
        <w:rPr>
          <w:sz w:val="20"/>
          <w:szCs w:val="20"/>
          <w:color w:val="auto"/>
        </w:rPr>
      </w:pPr>
      <w:r>
        <w:rPr>
          <w:rFonts w:ascii="Arial" w:cs="Arial" w:eastAsia="Arial" w:hAnsi="Arial"/>
          <w:sz w:val="17"/>
          <w:szCs w:val="17"/>
          <w:color w:val="auto"/>
        </w:rPr>
        <w:t>sustained earnings and cash flow generation. The Compensation</w:t>
      </w:r>
    </w:p>
    <w:p>
      <w:pPr>
        <w:ind w:left="120"/>
        <w:spacing w:after="0" w:line="232" w:lineRule="auto"/>
        <w:rPr>
          <w:sz w:val="20"/>
          <w:szCs w:val="20"/>
          <w:color w:val="auto"/>
        </w:rPr>
      </w:pPr>
      <w:r>
        <w:rPr>
          <w:rFonts w:ascii="Arial" w:cs="Arial" w:eastAsia="Arial" w:hAnsi="Arial"/>
          <w:sz w:val="17"/>
          <w:szCs w:val="17"/>
          <w:color w:val="auto"/>
        </w:rPr>
        <w:t>Committee established a special five-year performance period</w:t>
      </w:r>
    </w:p>
    <w:p>
      <w:pPr>
        <w:ind w:left="120"/>
        <w:spacing w:after="0" w:line="232" w:lineRule="auto"/>
        <w:rPr>
          <w:sz w:val="20"/>
          <w:szCs w:val="20"/>
          <w:color w:val="auto"/>
        </w:rPr>
      </w:pPr>
      <w:r>
        <w:rPr>
          <w:rFonts w:ascii="Arial" w:cs="Arial" w:eastAsia="Arial" w:hAnsi="Arial"/>
          <w:sz w:val="17"/>
          <w:szCs w:val="17"/>
          <w:color w:val="auto"/>
        </w:rPr>
        <w:t>commencing January 1, 2019 and concluding December 31, 2023.</w:t>
      </w:r>
    </w:p>
    <w:p>
      <w:pPr>
        <w:ind w:left="120"/>
        <w:spacing w:after="0" w:line="232" w:lineRule="auto"/>
        <w:rPr>
          <w:sz w:val="20"/>
          <w:szCs w:val="20"/>
          <w:color w:val="auto"/>
        </w:rPr>
      </w:pPr>
      <w:r>
        <w:rPr>
          <w:rFonts w:ascii="Arial" w:cs="Arial" w:eastAsia="Arial" w:hAnsi="Arial"/>
          <w:sz w:val="17"/>
          <w:szCs w:val="17"/>
          <w:color w:val="auto"/>
        </w:rPr>
        <w:t>The maximum amount that may be earned at the end of the five-year</w:t>
      </w:r>
    </w:p>
    <w:p>
      <w:pPr>
        <w:ind w:left="120"/>
        <w:spacing w:after="0" w:line="232" w:lineRule="auto"/>
        <w:rPr>
          <w:sz w:val="20"/>
          <w:szCs w:val="20"/>
          <w:color w:val="auto"/>
        </w:rPr>
      </w:pPr>
      <w:r>
        <w:rPr>
          <w:rFonts w:ascii="Arial" w:cs="Arial" w:eastAsia="Arial" w:hAnsi="Arial"/>
          <w:sz w:val="17"/>
          <w:szCs w:val="17"/>
          <w:color w:val="auto"/>
        </w:rPr>
        <w:t>period is $18.6 million. The Company’s cumulative adjusted EBITDA</w:t>
      </w:r>
    </w:p>
    <w:p>
      <w:pPr>
        <w:ind w:left="120"/>
        <w:spacing w:after="0" w:line="232" w:lineRule="auto"/>
        <w:rPr>
          <w:sz w:val="20"/>
          <w:szCs w:val="20"/>
          <w:color w:val="auto"/>
        </w:rPr>
      </w:pPr>
      <w:r>
        <w:rPr>
          <w:rFonts w:ascii="Arial" w:cs="Arial" w:eastAsia="Arial" w:hAnsi="Arial"/>
          <w:sz w:val="17"/>
          <w:szCs w:val="17"/>
          <w:color w:val="auto"/>
        </w:rPr>
        <w:t>over the five-year performance period is required to reach at least</w:t>
      </w:r>
    </w:p>
    <w:p>
      <w:pPr>
        <w:ind w:left="120"/>
        <w:spacing w:after="0" w:line="232" w:lineRule="auto"/>
        <w:rPr>
          <w:sz w:val="20"/>
          <w:szCs w:val="20"/>
          <w:color w:val="auto"/>
        </w:rPr>
      </w:pPr>
      <w:r>
        <w:rPr>
          <w:rFonts w:ascii="Arial" w:cs="Arial" w:eastAsia="Arial" w:hAnsi="Arial"/>
          <w:sz w:val="17"/>
          <w:szCs w:val="17"/>
          <w:color w:val="auto"/>
        </w:rPr>
        <w:t>$9.880 billion for any portion of the award to be earned. If cumulative</w:t>
      </w:r>
    </w:p>
    <w:p>
      <w:pPr>
        <w:ind w:left="120"/>
        <w:spacing w:after="0" w:line="232" w:lineRule="auto"/>
        <w:rPr>
          <w:sz w:val="20"/>
          <w:szCs w:val="20"/>
          <w:color w:val="auto"/>
        </w:rPr>
      </w:pPr>
      <w:r>
        <w:rPr>
          <w:rFonts w:ascii="Arial" w:cs="Arial" w:eastAsia="Arial" w:hAnsi="Arial"/>
          <w:sz w:val="17"/>
          <w:szCs w:val="17"/>
          <w:color w:val="auto"/>
        </w:rPr>
        <w:t>adjusted EBITDA is $9.880 billion, then the amount to be awarded will</w:t>
      </w:r>
    </w:p>
    <w:p>
      <w:pPr>
        <w:ind w:left="120"/>
        <w:spacing w:after="0" w:line="232" w:lineRule="auto"/>
        <w:rPr>
          <w:sz w:val="20"/>
          <w:szCs w:val="20"/>
          <w:color w:val="auto"/>
        </w:rPr>
      </w:pPr>
      <w:r>
        <w:rPr>
          <w:rFonts w:ascii="Arial" w:cs="Arial" w:eastAsia="Arial" w:hAnsi="Arial"/>
          <w:sz w:val="17"/>
          <w:szCs w:val="17"/>
          <w:color w:val="auto"/>
        </w:rPr>
        <w:t>be $6.512 million</w:t>
      </w:r>
      <w:r>
        <w:rPr>
          <w:rFonts w:ascii="Arial" w:cs="Arial" w:eastAsia="Arial" w:hAnsi="Arial"/>
          <w:sz w:val="14"/>
          <w:szCs w:val="14"/>
          <w:color w:val="auto"/>
        </w:rPr>
        <w:t>1</w:t>
      </w:r>
      <w:r>
        <w:rPr>
          <w:rFonts w:ascii="Arial" w:cs="Arial" w:eastAsia="Arial" w:hAnsi="Arial"/>
          <w:sz w:val="17"/>
          <w:szCs w:val="17"/>
          <w:color w:val="auto"/>
        </w:rPr>
        <w:t>. If the cumulative adjusted EBITDA reaches</w:t>
      </w:r>
    </w:p>
    <w:p>
      <w:pPr>
        <w:ind w:left="120"/>
        <w:spacing w:after="0" w:line="232" w:lineRule="auto"/>
        <w:rPr>
          <w:sz w:val="20"/>
          <w:szCs w:val="20"/>
          <w:color w:val="auto"/>
        </w:rPr>
      </w:pPr>
      <w:r>
        <w:rPr>
          <w:rFonts w:ascii="Arial" w:cs="Arial" w:eastAsia="Arial" w:hAnsi="Arial"/>
          <w:sz w:val="17"/>
          <w:szCs w:val="17"/>
          <w:color w:val="auto"/>
        </w:rPr>
        <w:t>$11.290 billion, then the full award, $18.6 million, will be earned</w:t>
      </w:r>
      <w:r>
        <w:rPr>
          <w:rFonts w:ascii="Arial" w:cs="Arial" w:eastAsia="Arial" w:hAnsi="Arial"/>
          <w:sz w:val="14"/>
          <w:szCs w:val="14"/>
          <w:color w:val="auto"/>
        </w:rPr>
        <w:t>2</w:t>
      </w:r>
      <w:r>
        <w:rPr>
          <w:rFonts w:ascii="Arial" w:cs="Arial" w:eastAsia="Arial" w:hAnsi="Arial"/>
          <w:sz w:val="17"/>
          <w:szCs w:val="17"/>
          <w:color w:val="auto"/>
        </w:rPr>
        <w:t>. If</w:t>
      </w:r>
    </w:p>
    <w:p>
      <w:pPr>
        <w:ind w:left="120"/>
        <w:spacing w:after="0" w:line="232" w:lineRule="auto"/>
        <w:rPr>
          <w:sz w:val="20"/>
          <w:szCs w:val="20"/>
          <w:color w:val="auto"/>
        </w:rPr>
      </w:pPr>
      <w:r>
        <w:rPr>
          <w:rFonts w:ascii="Arial" w:cs="Arial" w:eastAsia="Arial" w:hAnsi="Arial"/>
          <w:sz w:val="17"/>
          <w:szCs w:val="17"/>
          <w:color w:val="auto"/>
        </w:rPr>
        <w:t>between $9.880 billion and $11.290 billion, the percentage of the</w:t>
      </w:r>
    </w:p>
    <w:p>
      <w:pPr>
        <w:ind w:left="120"/>
        <w:spacing w:after="0" w:line="232" w:lineRule="auto"/>
        <w:rPr>
          <w:sz w:val="20"/>
          <w:szCs w:val="20"/>
          <w:color w:val="auto"/>
        </w:rPr>
      </w:pPr>
      <w:r>
        <w:rPr>
          <w:rFonts w:ascii="Arial" w:cs="Arial" w:eastAsia="Arial" w:hAnsi="Arial"/>
          <w:sz w:val="17"/>
          <w:szCs w:val="17"/>
          <w:color w:val="auto"/>
        </w:rPr>
        <w:t>long-term incentive opportunity earned will be determined through</w:t>
      </w:r>
    </w:p>
    <w:p>
      <w:pPr>
        <w:ind w:left="120"/>
        <w:spacing w:after="0" w:line="232" w:lineRule="auto"/>
        <w:rPr>
          <w:sz w:val="20"/>
          <w:szCs w:val="20"/>
          <w:color w:val="auto"/>
        </w:rPr>
      </w:pPr>
      <w:r>
        <w:rPr>
          <w:rFonts w:ascii="Arial" w:cs="Arial" w:eastAsia="Arial" w:hAnsi="Arial"/>
          <w:sz w:val="17"/>
          <w:szCs w:val="17"/>
          <w:color w:val="auto"/>
        </w:rPr>
        <w:t>straight-line interpolation, as shown in the chart below. The</w:t>
      </w:r>
    </w:p>
    <w:p>
      <w:pPr>
        <w:ind w:left="120"/>
        <w:spacing w:after="0" w:line="232" w:lineRule="auto"/>
        <w:rPr>
          <w:sz w:val="20"/>
          <w:szCs w:val="20"/>
          <w:color w:val="auto"/>
        </w:rPr>
      </w:pPr>
      <w:r>
        <w:rPr>
          <w:rFonts w:ascii="Arial" w:cs="Arial" w:eastAsia="Arial" w:hAnsi="Arial"/>
          <w:sz w:val="17"/>
          <w:szCs w:val="17"/>
          <w:color w:val="auto"/>
        </w:rPr>
        <w:t>cumulative adjusted EBITDA target is subject to adjustment on an</w:t>
      </w:r>
    </w:p>
    <w:p>
      <w:pPr>
        <w:ind w:left="120"/>
        <w:spacing w:after="0" w:line="232" w:lineRule="auto"/>
        <w:rPr>
          <w:sz w:val="20"/>
          <w:szCs w:val="20"/>
          <w:color w:val="auto"/>
        </w:rPr>
      </w:pPr>
      <w:r>
        <w:rPr>
          <w:rFonts w:ascii="Arial" w:cs="Arial" w:eastAsia="Arial" w:hAnsi="Arial"/>
          <w:sz w:val="17"/>
          <w:szCs w:val="17"/>
          <w:color w:val="auto"/>
        </w:rPr>
        <w:t>annual basis to reflect the impact of material acquisitions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divestitures.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 w:right="80"/>
        <w:spacing w:after="0" w:line="238" w:lineRule="auto"/>
        <w:rPr>
          <w:sz w:val="20"/>
          <w:szCs w:val="20"/>
          <w:color w:val="auto"/>
        </w:rPr>
      </w:pPr>
      <w:r>
        <w:rPr>
          <w:rFonts w:ascii="Arial" w:cs="Arial" w:eastAsia="Arial" w:hAnsi="Arial"/>
          <w:sz w:val="17"/>
          <w:szCs w:val="17"/>
          <w:color w:val="auto"/>
        </w:rPr>
        <w:t>This special long-term cash incentive award was granted to Mr. Hunn for the reasons stated above and is not intended to be a recurring element of his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-1162050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80645</wp:posOffset>
            </wp:positionV>
            <wp:extent cx="3771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51" w:lineRule="exact"/>
        <w:rPr>
          <w:sz w:val="20"/>
          <w:szCs w:val="20"/>
          <w:color w:val="auto"/>
        </w:rPr>
      </w:pPr>
    </w:p>
    <w:p>
      <w:pPr>
        <w:ind w:left="126" w:hanging="126"/>
        <w:spacing w:after="0"/>
        <w:tabs>
          <w:tab w:leader="none" w:pos="126" w:val="left"/>
        </w:tabs>
        <w:numPr>
          <w:ilvl w:val="0"/>
          <w:numId w:val="69"/>
        </w:numPr>
        <w:rPr>
          <w:rFonts w:ascii="Arial" w:cs="Arial" w:eastAsia="Arial" w:hAnsi="Arial"/>
          <w:sz w:val="24"/>
          <w:szCs w:val="24"/>
          <w:color w:val="auto"/>
          <w:vertAlign w:val="superscript"/>
        </w:rPr>
      </w:pPr>
      <w:r>
        <w:rPr>
          <w:rFonts w:ascii="Arial" w:cs="Arial" w:eastAsia="Arial" w:hAnsi="Arial"/>
          <w:sz w:val="14"/>
          <w:szCs w:val="14"/>
          <w:color w:val="auto"/>
        </w:rPr>
        <w:t>In 2020, the cumulative adjusted EBITDA target was revised to address the</w:t>
      </w:r>
    </w:p>
    <w:p>
      <w:pPr>
        <w:ind w:left="126"/>
        <w:spacing w:after="0" w:line="230" w:lineRule="auto"/>
        <w:rPr>
          <w:sz w:val="20"/>
          <w:szCs w:val="20"/>
          <w:color w:val="auto"/>
        </w:rPr>
      </w:pPr>
      <w:r>
        <w:rPr>
          <w:rFonts w:ascii="Arial" w:cs="Arial" w:eastAsia="Arial" w:hAnsi="Arial"/>
          <w:sz w:val="14"/>
          <w:szCs w:val="14"/>
          <w:color w:val="auto"/>
        </w:rPr>
        <w:t>impact of the Company’s divestitures of its Gatan and imaging businesses.</w:t>
      </w:r>
    </w:p>
    <w:p>
      <w:pPr>
        <w:spacing w:after="0" w:line="8" w:lineRule="exact"/>
        <w:rPr>
          <w:sz w:val="20"/>
          <w:szCs w:val="20"/>
          <w:color w:val="auto"/>
        </w:rPr>
      </w:pPr>
    </w:p>
    <w:p>
      <w:pPr>
        <w:ind w:left="126" w:right="100" w:hanging="126"/>
        <w:spacing w:after="0" w:line="199" w:lineRule="auto"/>
        <w:tabs>
          <w:tab w:leader="none" w:pos="126" w:val="left"/>
        </w:tabs>
        <w:numPr>
          <w:ilvl w:val="0"/>
          <w:numId w:val="70"/>
        </w:numPr>
        <w:rPr>
          <w:rFonts w:ascii="Arial" w:cs="Arial" w:eastAsia="Arial" w:hAnsi="Arial"/>
          <w:sz w:val="24"/>
          <w:szCs w:val="24"/>
          <w:color w:val="auto"/>
          <w:vertAlign w:val="superscript"/>
        </w:rPr>
      </w:pPr>
      <w:r>
        <w:rPr>
          <w:rFonts w:ascii="Arial" w:cs="Arial" w:eastAsia="Arial" w:hAnsi="Arial"/>
          <w:sz w:val="14"/>
          <w:szCs w:val="14"/>
          <w:color w:val="auto"/>
        </w:rPr>
        <w:t>To the extent Mr. Hunn elects not to defer payment of the incentive amount or is unable to defer such amount, the incentive amount that is not deferred shall be increased by 7.5%.</w:t>
      </w:r>
    </w:p>
    <w:p>
      <w:pPr>
        <w:spacing w:after="0" w:line="3209" w:lineRule="exact"/>
        <w:rPr>
          <w:sz w:val="20"/>
          <w:szCs w:val="20"/>
          <w:color w:val="auto"/>
        </w:rPr>
      </w:pPr>
    </w:p>
    <w:p>
      <w:pPr>
        <w:sectPr>
          <w:pgSz w:w="11900" w:h="16838" w:orient="portrait"/>
          <w:cols w:equalWidth="0" w:num="2">
            <w:col w:w="5400" w:space="334"/>
            <w:col w:w="5306"/>
          </w:cols>
          <w:pgMar w:left="320" w:top="459" w:right="539" w:bottom="1440" w:gutter="0" w:footer="0" w:header="0"/>
        </w:sectPr>
      </w:pPr>
    </w:p>
    <w:p>
      <w:pPr>
        <w:spacing w:after="0" w:line="2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CEO 2019-23 Special Long-Term Cash Incentive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88900</wp:posOffset>
            </wp:positionV>
            <wp:extent cx="3171825" cy="13030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171825"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880"/>
        <w:spacing w:after="0" w:line="247" w:lineRule="auto"/>
        <w:rPr>
          <w:sz w:val="20"/>
          <w:szCs w:val="20"/>
          <w:color w:val="auto"/>
        </w:rPr>
      </w:pPr>
      <w:r>
        <w:rPr>
          <w:rFonts w:ascii="Arial" w:cs="Arial" w:eastAsia="Arial" w:hAnsi="Arial"/>
          <w:sz w:val="14"/>
          <w:szCs w:val="14"/>
          <w:color w:val="auto"/>
        </w:rPr>
        <w:t>Adjusted EBITDA is earnings before interest, income-related taxes, depreciation and amortization, increased or reduced to eliminate the effects of extraordinary items, discontinued operations, restructuring of debt obligations, asset dispositions, asset write-downs or impairment charges, acquisition-related expenses, litigation expenses and settlements, reorganization and restructuring programs, and non-recurring or special items (as discussed in the Company’s quarterly earnings releases).</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440" w:type="dxa"/>
            <w:vAlign w:val="bottom"/>
            <w:tcBorders>
              <w:right w:val="single" w:sz="8" w:color="005CB9"/>
            </w:tcBorders>
          </w:tcPr>
          <w:p>
            <w:pPr>
              <w:jc w:val="right"/>
              <w:ind w:right="179"/>
              <w:spacing w:after="0"/>
              <w:rPr>
                <w:sz w:val="20"/>
                <w:szCs w:val="20"/>
                <w:color w:val="auto"/>
              </w:rPr>
            </w:pPr>
            <w:r>
              <w:rPr>
                <w:rFonts w:ascii="Arial" w:cs="Arial" w:eastAsia="Arial" w:hAnsi="Arial"/>
                <w:sz w:val="16"/>
                <w:szCs w:val="16"/>
                <w:b w:val="1"/>
                <w:bCs w:val="1"/>
                <w:color w:val="005CB9"/>
                <w:w w:val="89"/>
              </w:rPr>
              <w:t>36</w:t>
            </w:r>
          </w:p>
        </w:tc>
        <w:tc>
          <w:tcPr>
            <w:tcW w:w="4700" w:type="dxa"/>
            <w:vAlign w:val="bottom"/>
          </w:tcPr>
          <w:p>
            <w:pPr>
              <w:ind w:left="106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1"/>
        </w:trPr>
        <w:tc>
          <w:tcPr>
            <w:tcW w:w="440" w:type="dxa"/>
            <w:vAlign w:val="bottom"/>
            <w:tcBorders>
              <w:right w:val="single" w:sz="8" w:color="005CB9"/>
            </w:tcBorders>
          </w:tcPr>
          <w:p>
            <w:pPr>
              <w:spacing w:after="0"/>
              <w:rPr>
                <w:sz w:val="8"/>
                <w:szCs w:val="8"/>
                <w:color w:val="auto"/>
              </w:rPr>
            </w:pPr>
          </w:p>
        </w:tc>
        <w:tc>
          <w:tcPr>
            <w:tcW w:w="47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-205105</wp:posOffset>
            </wp:positionV>
            <wp:extent cx="428625"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040"/>
          </w:cols>
          <w:pgMar w:left="320" w:top="459" w:right="5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422" w:lineRule="auto"/>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r>
        <w:rPr>
          <w:rFonts w:ascii="Arial" w:cs="Arial" w:eastAsia="Arial" w:hAnsi="Arial"/>
          <w:sz w:val="18"/>
          <w:szCs w:val="18"/>
          <w:color w:val="005CB9"/>
        </w:rPr>
        <w:t xml:space="preserve"> </w:t>
      </w:r>
      <w:r>
        <w:rPr>
          <w:rFonts w:ascii="Arial" w:cs="Arial" w:eastAsia="Arial" w:hAnsi="Arial"/>
          <w:sz w:val="18"/>
          <w:szCs w:val="18"/>
          <w:b w:val="1"/>
          <w:bCs w:val="1"/>
          <w:color w:val="005CB9"/>
        </w:rPr>
        <w:t>Long-Term Stock Incentives</w:t>
      </w:r>
    </w:p>
    <w:p>
      <w:pPr>
        <w:ind w:left="120"/>
        <w:spacing w:after="0" w:line="233" w:lineRule="auto"/>
        <w:rPr>
          <w:sz w:val="20"/>
          <w:szCs w:val="20"/>
          <w:color w:val="auto"/>
        </w:rPr>
      </w:pPr>
      <w:r>
        <w:rPr>
          <w:rFonts w:ascii="Arial" w:cs="Arial" w:eastAsia="Arial" w:hAnsi="Arial"/>
          <w:sz w:val="17"/>
          <w:szCs w:val="17"/>
          <w:color w:val="auto"/>
        </w:rPr>
        <w:t>We award both stock options and performance-based restricted stock to our named executive officers. In combination, we believe these awards provide a balanced focus on sustainable long-term shareholder value creation and retention of key executives. Prior to 2020, Roper’s historical practice had been to award a fixed number of long-term stock incentives. However, as a result of the sustained superior performance of Roper’s stock price, and in light of market practice, the Compensation Committee transitioned to a dollar value-based approach for all named executive officers in 2020. The value of the awards is reflective of market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60"/>
        <w:spacing w:after="0" w:line="233" w:lineRule="auto"/>
        <w:rPr>
          <w:sz w:val="20"/>
          <w:szCs w:val="20"/>
          <w:color w:val="auto"/>
        </w:rPr>
      </w:pPr>
      <w:r>
        <w:rPr>
          <w:rFonts w:ascii="Arial" w:cs="Arial" w:eastAsia="Arial" w:hAnsi="Arial"/>
          <w:sz w:val="17"/>
          <w:szCs w:val="17"/>
          <w:color w:val="auto"/>
        </w:rPr>
        <w:t>practice within our compensation peer group. We have consistently used EBITDA and operating cash flow (less capital expenditures and capitalized software) as the metrics for determining the vesting of performance-based restricted stock awards as these two metrics are strongly correlated with the value our shareholders receive from Company performance. The target value of the awards granted to our named executive officers in January 2021 is set forth below. The total target value of awards for 2021 increased over 2020 by 4.1% for Mr. Hunn, 4.6% for Messrs. Crisci and Stipancich, and 4.7% for Mr.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-1997710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510" w:lineRule="exact"/>
        <w:rPr>
          <w:sz w:val="20"/>
          <w:szCs w:val="20"/>
          <w:color w:val="auto"/>
        </w:rPr>
      </w:pPr>
    </w:p>
    <w:p>
      <w:pPr>
        <w:sectPr>
          <w:pgSz w:w="11900" w:h="16838" w:orient="portrait"/>
          <w:cols w:equalWidth="0" w:num="2">
            <w:col w:w="5380" w:space="360"/>
            <w:col w:w="5400"/>
          </w:cols>
          <w:pgMar w:left="320" w:top="459" w:right="439" w:bottom="1440" w:gutter="0" w:footer="0" w:header="0"/>
        </w:sectPr>
      </w:pP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Fiscal 2021 Long-Term Equity Awards</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160" w:type="dxa"/>
            <w:vAlign w:val="bottom"/>
            <w:shd w:val="clear" w:color="auto" w:fill="005CB9"/>
          </w:tcPr>
          <w:p>
            <w:pPr>
              <w:spacing w:after="0"/>
              <w:rPr>
                <w:sz w:val="20"/>
                <w:szCs w:val="20"/>
                <w:color w:val="auto"/>
              </w:rPr>
            </w:pPr>
          </w:p>
        </w:tc>
        <w:tc>
          <w:tcPr>
            <w:tcW w:w="360" w:type="dxa"/>
            <w:vAlign w:val="bottom"/>
            <w:shd w:val="clear" w:color="auto" w:fill="005CB9"/>
          </w:tcPr>
          <w:p>
            <w:pPr>
              <w:spacing w:after="0"/>
              <w:rPr>
                <w:sz w:val="20"/>
                <w:szCs w:val="20"/>
                <w:color w:val="auto"/>
              </w:rPr>
            </w:pPr>
          </w:p>
        </w:tc>
        <w:tc>
          <w:tcPr>
            <w:tcW w:w="940" w:type="dxa"/>
            <w:vAlign w:val="bottom"/>
            <w:shd w:val="clear" w:color="auto" w:fill="005CB9"/>
          </w:tcPr>
          <w:p>
            <w:pPr>
              <w:spacing w:after="0"/>
              <w:rPr>
                <w:sz w:val="20"/>
                <w:szCs w:val="20"/>
                <w:color w:val="auto"/>
              </w:rPr>
            </w:pPr>
          </w:p>
        </w:tc>
        <w:tc>
          <w:tcPr>
            <w:tcW w:w="280" w:type="dxa"/>
            <w:vAlign w:val="bottom"/>
            <w:shd w:val="clear" w:color="auto" w:fill="005CB9"/>
          </w:tcPr>
          <w:p>
            <w:pPr>
              <w:spacing w:after="0"/>
              <w:rPr>
                <w:sz w:val="20"/>
                <w:szCs w:val="20"/>
                <w:color w:val="auto"/>
              </w:rPr>
            </w:pPr>
          </w:p>
        </w:tc>
        <w:tc>
          <w:tcPr>
            <w:tcW w:w="1120" w:type="dxa"/>
            <w:vAlign w:val="bottom"/>
            <w:shd w:val="clear" w:color="auto" w:fill="005CB9"/>
          </w:tcPr>
          <w:p>
            <w:pPr>
              <w:jc w:val="center"/>
              <w:ind w:right="321"/>
              <w:spacing w:after="0"/>
              <w:rPr>
                <w:sz w:val="20"/>
                <w:szCs w:val="20"/>
                <w:color w:val="auto"/>
              </w:rPr>
            </w:pPr>
            <w:r>
              <w:rPr>
                <w:rFonts w:ascii="Arial" w:cs="Arial" w:eastAsia="Arial" w:hAnsi="Arial"/>
                <w:sz w:val="14"/>
                <w:szCs w:val="14"/>
                <w:color w:val="FFFFFF"/>
              </w:rPr>
              <w:t>Value of</w:t>
            </w:r>
          </w:p>
        </w:tc>
        <w:tc>
          <w:tcPr>
            <w:tcW w:w="200" w:type="dxa"/>
            <w:vAlign w:val="bottom"/>
            <w:shd w:val="clear" w:color="auto" w:fill="005CB9"/>
          </w:tcPr>
          <w:p>
            <w:pPr>
              <w:spacing w:after="0"/>
              <w:rPr>
                <w:sz w:val="20"/>
                <w:szCs w:val="20"/>
                <w:color w:val="auto"/>
              </w:rPr>
            </w:pPr>
          </w:p>
        </w:tc>
        <w:tc>
          <w:tcPr>
            <w:tcW w:w="960" w:type="dxa"/>
            <w:vAlign w:val="bottom"/>
            <w:shd w:val="clear" w:color="auto" w:fill="005CB9"/>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005CB9"/>
          </w:tcPr>
          <w:p>
            <w:pPr>
              <w:spacing w:after="0"/>
              <w:rPr>
                <w:sz w:val="14"/>
                <w:szCs w:val="14"/>
                <w:color w:val="auto"/>
              </w:rPr>
            </w:pPr>
          </w:p>
        </w:tc>
        <w:tc>
          <w:tcPr>
            <w:tcW w:w="360" w:type="dxa"/>
            <w:vAlign w:val="bottom"/>
            <w:shd w:val="clear" w:color="auto" w:fill="005CB9"/>
          </w:tcPr>
          <w:p>
            <w:pPr>
              <w:spacing w:after="0"/>
              <w:rPr>
                <w:sz w:val="14"/>
                <w:szCs w:val="14"/>
                <w:color w:val="auto"/>
              </w:rPr>
            </w:pPr>
          </w:p>
        </w:tc>
        <w:tc>
          <w:tcPr>
            <w:tcW w:w="940" w:type="dxa"/>
            <w:vAlign w:val="bottom"/>
            <w:shd w:val="clear" w:color="auto" w:fill="005CB9"/>
          </w:tcPr>
          <w:p>
            <w:pPr>
              <w:spacing w:after="0"/>
              <w:rPr>
                <w:sz w:val="14"/>
                <w:szCs w:val="14"/>
                <w:color w:val="auto"/>
              </w:rPr>
            </w:pPr>
          </w:p>
        </w:tc>
        <w:tc>
          <w:tcPr>
            <w:tcW w:w="1400" w:type="dxa"/>
            <w:vAlign w:val="bottom"/>
            <w:gridSpan w:val="2"/>
            <w:shd w:val="clear" w:color="auto" w:fill="005CB9"/>
          </w:tcPr>
          <w:p>
            <w:pPr>
              <w:jc w:val="center"/>
              <w:ind w:right="41"/>
              <w:spacing w:after="0"/>
              <w:rPr>
                <w:sz w:val="20"/>
                <w:szCs w:val="20"/>
                <w:color w:val="auto"/>
              </w:rPr>
            </w:pPr>
            <w:r>
              <w:rPr>
                <w:rFonts w:ascii="Arial" w:cs="Arial" w:eastAsia="Arial" w:hAnsi="Arial"/>
                <w:sz w:val="14"/>
                <w:szCs w:val="14"/>
                <w:color w:val="FFFFFF"/>
              </w:rPr>
              <w:t>Performance-</w:t>
            </w:r>
          </w:p>
        </w:tc>
        <w:tc>
          <w:tcPr>
            <w:tcW w:w="1160" w:type="dxa"/>
            <w:vAlign w:val="bottom"/>
            <w:gridSpan w:val="2"/>
            <w:vMerge w:val="restart"/>
            <w:shd w:val="clear" w:color="auto" w:fill="005CB9"/>
          </w:tcPr>
          <w:p>
            <w:pPr>
              <w:jc w:val="center"/>
              <w:spacing w:after="0"/>
              <w:rPr>
                <w:sz w:val="20"/>
                <w:szCs w:val="20"/>
                <w:color w:val="auto"/>
              </w:rPr>
            </w:pPr>
            <w:r>
              <w:rPr>
                <w:rFonts w:ascii="Arial" w:cs="Arial" w:eastAsia="Arial" w:hAnsi="Arial"/>
                <w:sz w:val="14"/>
                <w:szCs w:val="14"/>
                <w:color w:val="FFFFFF"/>
                <w:w w:val="97"/>
              </w:rPr>
              <w:t>Total Target</w:t>
            </w:r>
          </w:p>
        </w:tc>
        <w:tc>
          <w:tcPr>
            <w:tcW w:w="0" w:type="dxa"/>
            <w:vAlign w:val="bottom"/>
          </w:tcPr>
          <w:p>
            <w:pPr>
              <w:spacing w:after="0"/>
              <w:rPr>
                <w:sz w:val="1"/>
                <w:szCs w:val="1"/>
                <w:color w:val="auto"/>
              </w:rPr>
            </w:pPr>
          </w:p>
        </w:tc>
      </w:tr>
      <w:tr>
        <w:trPr>
          <w:trHeight w:val="148"/>
        </w:trPr>
        <w:tc>
          <w:tcPr>
            <w:tcW w:w="7160" w:type="dxa"/>
            <w:vAlign w:val="bottom"/>
            <w:shd w:val="clear" w:color="auto" w:fill="005CB9"/>
          </w:tcPr>
          <w:p>
            <w:pPr>
              <w:spacing w:after="0"/>
              <w:rPr>
                <w:sz w:val="12"/>
                <w:szCs w:val="12"/>
                <w:color w:val="auto"/>
              </w:rPr>
            </w:pPr>
          </w:p>
        </w:tc>
        <w:tc>
          <w:tcPr>
            <w:tcW w:w="360" w:type="dxa"/>
            <w:vAlign w:val="bottom"/>
            <w:shd w:val="clear" w:color="auto" w:fill="005CB9"/>
          </w:tcPr>
          <w:p>
            <w:pPr>
              <w:spacing w:after="0"/>
              <w:rPr>
                <w:sz w:val="12"/>
                <w:szCs w:val="12"/>
                <w:color w:val="auto"/>
              </w:rPr>
            </w:pPr>
          </w:p>
        </w:tc>
        <w:tc>
          <w:tcPr>
            <w:tcW w:w="940" w:type="dxa"/>
            <w:vAlign w:val="bottom"/>
            <w:shd w:val="clear" w:color="auto" w:fill="005CB9"/>
          </w:tcPr>
          <w:p>
            <w:pPr>
              <w:jc w:val="center"/>
              <w:ind w:right="220"/>
              <w:spacing w:after="0" w:line="149" w:lineRule="exact"/>
              <w:rPr>
                <w:sz w:val="20"/>
                <w:szCs w:val="20"/>
                <w:color w:val="auto"/>
              </w:rPr>
            </w:pPr>
            <w:r>
              <w:rPr>
                <w:rFonts w:ascii="Arial" w:cs="Arial" w:eastAsia="Arial" w:hAnsi="Arial"/>
                <w:sz w:val="14"/>
                <w:szCs w:val="14"/>
                <w:color w:val="FFFFFF"/>
              </w:rPr>
              <w:t>Value of</w:t>
            </w:r>
          </w:p>
        </w:tc>
        <w:tc>
          <w:tcPr>
            <w:tcW w:w="280" w:type="dxa"/>
            <w:vAlign w:val="bottom"/>
            <w:shd w:val="clear" w:color="auto" w:fill="005CB9"/>
          </w:tcPr>
          <w:p>
            <w:pPr>
              <w:spacing w:after="0"/>
              <w:rPr>
                <w:sz w:val="12"/>
                <w:szCs w:val="12"/>
                <w:color w:val="auto"/>
              </w:rPr>
            </w:pPr>
          </w:p>
        </w:tc>
        <w:tc>
          <w:tcPr>
            <w:tcW w:w="1120" w:type="dxa"/>
            <w:vAlign w:val="bottom"/>
            <w:shd w:val="clear" w:color="auto" w:fill="005CB9"/>
          </w:tcPr>
          <w:p>
            <w:pPr>
              <w:jc w:val="center"/>
              <w:ind w:right="321"/>
              <w:spacing w:after="0" w:line="149" w:lineRule="exact"/>
              <w:rPr>
                <w:sz w:val="20"/>
                <w:szCs w:val="20"/>
                <w:color w:val="auto"/>
              </w:rPr>
            </w:pPr>
            <w:r>
              <w:rPr>
                <w:rFonts w:ascii="Arial" w:cs="Arial" w:eastAsia="Arial" w:hAnsi="Arial"/>
                <w:sz w:val="14"/>
                <w:szCs w:val="14"/>
                <w:color w:val="FFFFFF"/>
              </w:rPr>
              <w:t>Based</w:t>
            </w:r>
          </w:p>
        </w:tc>
        <w:tc>
          <w:tcPr>
            <w:tcW w:w="1160" w:type="dxa"/>
            <w:vAlign w:val="bottom"/>
            <w:gridSpan w:val="2"/>
            <w:vMerge w:val="continue"/>
            <w:shd w:val="clear" w:color="auto" w:fill="005CB9"/>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005CB9"/>
          </w:tcPr>
          <w:p>
            <w:pPr>
              <w:spacing w:after="0"/>
              <w:rPr>
                <w:sz w:val="14"/>
                <w:szCs w:val="14"/>
                <w:color w:val="auto"/>
              </w:rPr>
            </w:pPr>
          </w:p>
        </w:tc>
        <w:tc>
          <w:tcPr>
            <w:tcW w:w="360" w:type="dxa"/>
            <w:vAlign w:val="bottom"/>
            <w:shd w:val="clear" w:color="auto" w:fill="005CB9"/>
          </w:tcPr>
          <w:p>
            <w:pPr>
              <w:spacing w:after="0"/>
              <w:rPr>
                <w:sz w:val="14"/>
                <w:szCs w:val="14"/>
                <w:color w:val="auto"/>
              </w:rPr>
            </w:pPr>
          </w:p>
        </w:tc>
        <w:tc>
          <w:tcPr>
            <w:tcW w:w="940" w:type="dxa"/>
            <w:vAlign w:val="bottom"/>
            <w:shd w:val="clear" w:color="auto" w:fill="005CB9"/>
          </w:tcPr>
          <w:p>
            <w:pPr>
              <w:jc w:val="center"/>
              <w:ind w:right="220"/>
              <w:spacing w:after="0"/>
              <w:rPr>
                <w:sz w:val="20"/>
                <w:szCs w:val="20"/>
                <w:color w:val="auto"/>
              </w:rPr>
            </w:pPr>
            <w:r>
              <w:rPr>
                <w:rFonts w:ascii="Arial" w:cs="Arial" w:eastAsia="Arial" w:hAnsi="Arial"/>
                <w:sz w:val="14"/>
                <w:szCs w:val="14"/>
                <w:color w:val="FFFFFF"/>
              </w:rPr>
              <w:t>Stock</w:t>
            </w:r>
          </w:p>
        </w:tc>
        <w:tc>
          <w:tcPr>
            <w:tcW w:w="280" w:type="dxa"/>
            <w:vAlign w:val="bottom"/>
            <w:shd w:val="clear" w:color="auto" w:fill="005CB9"/>
          </w:tcPr>
          <w:p>
            <w:pPr>
              <w:spacing w:after="0"/>
              <w:rPr>
                <w:sz w:val="14"/>
                <w:szCs w:val="14"/>
                <w:color w:val="auto"/>
              </w:rPr>
            </w:pPr>
          </w:p>
        </w:tc>
        <w:tc>
          <w:tcPr>
            <w:tcW w:w="1120" w:type="dxa"/>
            <w:vAlign w:val="bottom"/>
            <w:shd w:val="clear" w:color="auto" w:fill="005CB9"/>
          </w:tcPr>
          <w:p>
            <w:pPr>
              <w:jc w:val="center"/>
              <w:ind w:right="321"/>
              <w:spacing w:after="0"/>
              <w:rPr>
                <w:sz w:val="20"/>
                <w:szCs w:val="20"/>
                <w:color w:val="auto"/>
              </w:rPr>
            </w:pPr>
            <w:r>
              <w:rPr>
                <w:rFonts w:ascii="Arial" w:cs="Arial" w:eastAsia="Arial" w:hAnsi="Arial"/>
                <w:sz w:val="14"/>
                <w:szCs w:val="14"/>
                <w:color w:val="FFFFFF"/>
              </w:rPr>
              <w:t>Restricted</w:t>
            </w:r>
          </w:p>
        </w:tc>
        <w:tc>
          <w:tcPr>
            <w:tcW w:w="200" w:type="dxa"/>
            <w:vAlign w:val="bottom"/>
            <w:shd w:val="clear" w:color="auto" w:fill="005CB9"/>
          </w:tcPr>
          <w:p>
            <w:pPr>
              <w:spacing w:after="0"/>
              <w:rPr>
                <w:sz w:val="14"/>
                <w:szCs w:val="14"/>
                <w:color w:val="auto"/>
              </w:rPr>
            </w:pPr>
          </w:p>
        </w:tc>
        <w:tc>
          <w:tcPr>
            <w:tcW w:w="960" w:type="dxa"/>
            <w:vAlign w:val="bottom"/>
            <w:shd w:val="clear" w:color="auto" w:fill="005CB9"/>
          </w:tcPr>
          <w:p>
            <w:pPr>
              <w:jc w:val="center"/>
              <w:ind w:right="159"/>
              <w:spacing w:after="0"/>
              <w:rPr>
                <w:sz w:val="20"/>
                <w:szCs w:val="20"/>
                <w:color w:val="auto"/>
              </w:rPr>
            </w:pPr>
            <w:r>
              <w:rPr>
                <w:rFonts w:ascii="Arial" w:cs="Arial" w:eastAsia="Arial" w:hAnsi="Arial"/>
                <w:sz w:val="14"/>
                <w:szCs w:val="14"/>
                <w:color w:val="FFFFFF"/>
              </w:rPr>
              <w:t>Value of</w:t>
            </w:r>
          </w:p>
        </w:tc>
        <w:tc>
          <w:tcPr>
            <w:tcW w:w="0" w:type="dxa"/>
            <w:vAlign w:val="bottom"/>
          </w:tcPr>
          <w:p>
            <w:pPr>
              <w:spacing w:after="0"/>
              <w:rPr>
                <w:sz w:val="1"/>
                <w:szCs w:val="1"/>
                <w:color w:val="auto"/>
              </w:rPr>
            </w:pPr>
          </w:p>
        </w:tc>
      </w:tr>
      <w:tr>
        <w:trPr>
          <w:trHeight w:val="171"/>
        </w:trPr>
        <w:tc>
          <w:tcPr>
            <w:tcW w:w="7160" w:type="dxa"/>
            <w:vAlign w:val="bottom"/>
            <w:shd w:val="clear" w:color="auto" w:fill="005CB9"/>
          </w:tcPr>
          <w:p>
            <w:pPr>
              <w:spacing w:after="0"/>
              <w:rPr>
                <w:sz w:val="14"/>
                <w:szCs w:val="14"/>
                <w:color w:val="auto"/>
              </w:rPr>
            </w:pPr>
          </w:p>
        </w:tc>
        <w:tc>
          <w:tcPr>
            <w:tcW w:w="360" w:type="dxa"/>
            <w:vAlign w:val="bottom"/>
            <w:shd w:val="clear" w:color="auto" w:fill="005CB9"/>
          </w:tcPr>
          <w:p>
            <w:pPr>
              <w:spacing w:after="0"/>
              <w:rPr>
                <w:sz w:val="14"/>
                <w:szCs w:val="14"/>
                <w:color w:val="auto"/>
              </w:rPr>
            </w:pPr>
          </w:p>
        </w:tc>
        <w:tc>
          <w:tcPr>
            <w:tcW w:w="940" w:type="dxa"/>
            <w:vAlign w:val="bottom"/>
            <w:shd w:val="clear" w:color="auto" w:fill="005CB9"/>
          </w:tcPr>
          <w:p>
            <w:pPr>
              <w:jc w:val="center"/>
              <w:ind w:right="200"/>
              <w:spacing w:after="0"/>
              <w:rPr>
                <w:sz w:val="20"/>
                <w:szCs w:val="20"/>
                <w:color w:val="auto"/>
              </w:rPr>
            </w:pPr>
            <w:r>
              <w:rPr>
                <w:rFonts w:ascii="Arial" w:cs="Arial" w:eastAsia="Arial" w:hAnsi="Arial"/>
                <w:sz w:val="14"/>
                <w:szCs w:val="14"/>
                <w:color w:val="FFFFFF"/>
              </w:rPr>
              <w:t>Options</w:t>
            </w:r>
          </w:p>
        </w:tc>
        <w:tc>
          <w:tcPr>
            <w:tcW w:w="280" w:type="dxa"/>
            <w:vAlign w:val="bottom"/>
            <w:shd w:val="clear" w:color="auto" w:fill="005CB9"/>
          </w:tcPr>
          <w:p>
            <w:pPr>
              <w:spacing w:after="0"/>
              <w:rPr>
                <w:sz w:val="14"/>
                <w:szCs w:val="14"/>
                <w:color w:val="auto"/>
              </w:rPr>
            </w:pPr>
          </w:p>
        </w:tc>
        <w:tc>
          <w:tcPr>
            <w:tcW w:w="1120" w:type="dxa"/>
            <w:vAlign w:val="bottom"/>
            <w:shd w:val="clear" w:color="auto" w:fill="005CB9"/>
          </w:tcPr>
          <w:p>
            <w:pPr>
              <w:jc w:val="center"/>
              <w:ind w:right="341"/>
              <w:spacing w:after="0"/>
              <w:rPr>
                <w:sz w:val="20"/>
                <w:szCs w:val="20"/>
                <w:color w:val="auto"/>
              </w:rPr>
            </w:pPr>
            <w:r>
              <w:rPr>
                <w:rFonts w:ascii="Arial" w:cs="Arial" w:eastAsia="Arial" w:hAnsi="Arial"/>
                <w:sz w:val="14"/>
                <w:szCs w:val="14"/>
                <w:color w:val="FFFFFF"/>
              </w:rPr>
              <w:t>Stock*</w:t>
            </w:r>
          </w:p>
        </w:tc>
        <w:tc>
          <w:tcPr>
            <w:tcW w:w="200" w:type="dxa"/>
            <w:vAlign w:val="bottom"/>
            <w:shd w:val="clear" w:color="auto" w:fill="005CB9"/>
          </w:tcPr>
          <w:p>
            <w:pPr>
              <w:spacing w:after="0"/>
              <w:rPr>
                <w:sz w:val="14"/>
                <w:szCs w:val="14"/>
                <w:color w:val="auto"/>
              </w:rPr>
            </w:pPr>
          </w:p>
        </w:tc>
        <w:tc>
          <w:tcPr>
            <w:tcW w:w="960" w:type="dxa"/>
            <w:vAlign w:val="bottom"/>
            <w:shd w:val="clear" w:color="auto" w:fill="005CB9"/>
          </w:tcPr>
          <w:p>
            <w:pPr>
              <w:jc w:val="center"/>
              <w:ind w:right="159"/>
              <w:spacing w:after="0"/>
              <w:rPr>
                <w:sz w:val="20"/>
                <w:szCs w:val="20"/>
                <w:color w:val="auto"/>
              </w:rPr>
            </w:pPr>
            <w:r>
              <w:rPr>
                <w:rFonts w:ascii="Arial" w:cs="Arial" w:eastAsia="Arial" w:hAnsi="Arial"/>
                <w:sz w:val="14"/>
                <w:szCs w:val="14"/>
                <w:color w:val="FFFFFF"/>
              </w:rPr>
              <w:t>Awards</w:t>
            </w:r>
          </w:p>
        </w:tc>
        <w:tc>
          <w:tcPr>
            <w:tcW w:w="0" w:type="dxa"/>
            <w:vAlign w:val="bottom"/>
          </w:tcPr>
          <w:p>
            <w:pPr>
              <w:spacing w:after="0"/>
              <w:rPr>
                <w:sz w:val="1"/>
                <w:szCs w:val="1"/>
                <w:color w:val="auto"/>
              </w:rPr>
            </w:pPr>
          </w:p>
        </w:tc>
      </w:tr>
      <w:tr>
        <w:trPr>
          <w:trHeight w:val="266"/>
        </w:trPr>
        <w:tc>
          <w:tcPr>
            <w:tcW w:w="7160" w:type="dxa"/>
            <w:vAlign w:val="bottom"/>
            <w:shd w:val="clear" w:color="auto" w:fill="E5EEF8"/>
          </w:tcPr>
          <w:p>
            <w:pPr>
              <w:ind w:left="40"/>
              <w:spacing w:after="0"/>
              <w:rPr>
                <w:sz w:val="20"/>
                <w:szCs w:val="20"/>
                <w:color w:val="auto"/>
              </w:rPr>
            </w:pPr>
            <w:r>
              <w:rPr>
                <w:rFonts w:ascii="Arial" w:cs="Arial" w:eastAsia="Arial" w:hAnsi="Arial"/>
                <w:sz w:val="17"/>
                <w:szCs w:val="17"/>
                <w:color w:val="auto"/>
              </w:rPr>
              <w:t>Mr. Hunn</w:t>
            </w:r>
          </w:p>
        </w:tc>
        <w:tc>
          <w:tcPr>
            <w:tcW w:w="360" w:type="dxa"/>
            <w:vAlign w:val="bottom"/>
            <w:shd w:val="clear" w:color="auto" w:fill="E5EEF8"/>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5EEF8"/>
          </w:tcPr>
          <w:p>
            <w:pPr>
              <w:jc w:val="right"/>
              <w:ind w:right="80"/>
              <w:spacing w:after="0"/>
              <w:rPr>
                <w:sz w:val="20"/>
                <w:szCs w:val="20"/>
                <w:color w:val="auto"/>
              </w:rPr>
            </w:pPr>
            <w:r>
              <w:rPr>
                <w:rFonts w:ascii="Arial" w:cs="Arial" w:eastAsia="Arial" w:hAnsi="Arial"/>
                <w:sz w:val="17"/>
                <w:szCs w:val="17"/>
                <w:color w:val="auto"/>
              </w:rPr>
              <w:t>4,425,000</w:t>
            </w:r>
          </w:p>
        </w:tc>
        <w:tc>
          <w:tcPr>
            <w:tcW w:w="280" w:type="dxa"/>
            <w:vAlign w:val="bottom"/>
            <w:shd w:val="clear" w:color="auto" w:fill="E5EEF8"/>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E5EEF8"/>
          </w:tcPr>
          <w:p>
            <w:pPr>
              <w:jc w:val="right"/>
              <w:ind w:right="181"/>
              <w:spacing w:after="0"/>
              <w:rPr>
                <w:sz w:val="20"/>
                <w:szCs w:val="20"/>
                <w:color w:val="auto"/>
              </w:rPr>
            </w:pPr>
            <w:r>
              <w:rPr>
                <w:rFonts w:ascii="Arial" w:cs="Arial" w:eastAsia="Arial" w:hAnsi="Arial"/>
                <w:sz w:val="17"/>
                <w:szCs w:val="17"/>
                <w:color w:val="auto"/>
                <w:w w:val="98"/>
              </w:rPr>
              <w:t>13,275,000</w:t>
            </w:r>
          </w:p>
        </w:tc>
        <w:tc>
          <w:tcPr>
            <w:tcW w:w="200" w:type="dxa"/>
            <w:vAlign w:val="bottom"/>
            <w:shd w:val="clear" w:color="auto" w:fill="E5EEF8"/>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5EEF8"/>
          </w:tcPr>
          <w:p>
            <w:pPr>
              <w:jc w:val="right"/>
              <w:ind w:right="19"/>
              <w:spacing w:after="0"/>
              <w:rPr>
                <w:sz w:val="20"/>
                <w:szCs w:val="20"/>
                <w:color w:val="auto"/>
              </w:rPr>
            </w:pPr>
            <w:r>
              <w:rPr>
                <w:rFonts w:ascii="Arial" w:cs="Arial" w:eastAsia="Arial" w:hAnsi="Arial"/>
                <w:sz w:val="17"/>
                <w:szCs w:val="17"/>
                <w:color w:val="auto"/>
                <w:w w:val="98"/>
              </w:rPr>
              <w:t>17,700,000</w:t>
            </w:r>
          </w:p>
        </w:tc>
        <w:tc>
          <w:tcPr>
            <w:tcW w:w="0" w:type="dxa"/>
            <w:vAlign w:val="bottom"/>
          </w:tcPr>
          <w:p>
            <w:pPr>
              <w:spacing w:after="0"/>
              <w:rPr>
                <w:sz w:val="1"/>
                <w:szCs w:val="1"/>
                <w:color w:val="auto"/>
              </w:rPr>
            </w:pPr>
          </w:p>
        </w:tc>
      </w:tr>
      <w:tr>
        <w:trPr>
          <w:trHeight w:val="72"/>
        </w:trPr>
        <w:tc>
          <w:tcPr>
            <w:tcW w:w="7160" w:type="dxa"/>
            <w:vAlign w:val="bottom"/>
            <w:shd w:val="clear" w:color="auto" w:fill="E5EEF8"/>
          </w:tcPr>
          <w:p>
            <w:pPr>
              <w:spacing w:after="0"/>
              <w:rPr>
                <w:sz w:val="6"/>
                <w:szCs w:val="6"/>
                <w:color w:val="auto"/>
              </w:rPr>
            </w:pPr>
          </w:p>
        </w:tc>
        <w:tc>
          <w:tcPr>
            <w:tcW w:w="360" w:type="dxa"/>
            <w:vAlign w:val="bottom"/>
            <w:shd w:val="clear" w:color="auto" w:fill="E5EEF8"/>
          </w:tcPr>
          <w:p>
            <w:pPr>
              <w:spacing w:after="0"/>
              <w:rPr>
                <w:sz w:val="6"/>
                <w:szCs w:val="6"/>
                <w:color w:val="auto"/>
              </w:rPr>
            </w:pPr>
          </w:p>
        </w:tc>
        <w:tc>
          <w:tcPr>
            <w:tcW w:w="940" w:type="dxa"/>
            <w:vAlign w:val="bottom"/>
            <w:shd w:val="clear" w:color="auto" w:fill="E5EEF8"/>
          </w:tcPr>
          <w:p>
            <w:pPr>
              <w:spacing w:after="0"/>
              <w:rPr>
                <w:sz w:val="6"/>
                <w:szCs w:val="6"/>
                <w:color w:val="auto"/>
              </w:rPr>
            </w:pPr>
          </w:p>
        </w:tc>
        <w:tc>
          <w:tcPr>
            <w:tcW w:w="280" w:type="dxa"/>
            <w:vAlign w:val="bottom"/>
            <w:shd w:val="clear" w:color="auto" w:fill="E5EEF8"/>
          </w:tcPr>
          <w:p>
            <w:pPr>
              <w:spacing w:after="0"/>
              <w:rPr>
                <w:sz w:val="6"/>
                <w:szCs w:val="6"/>
                <w:color w:val="auto"/>
              </w:rPr>
            </w:pPr>
          </w:p>
        </w:tc>
        <w:tc>
          <w:tcPr>
            <w:tcW w:w="1120" w:type="dxa"/>
            <w:vAlign w:val="bottom"/>
            <w:shd w:val="clear" w:color="auto" w:fill="E5EEF8"/>
          </w:tcPr>
          <w:p>
            <w:pPr>
              <w:spacing w:after="0"/>
              <w:rPr>
                <w:sz w:val="6"/>
                <w:szCs w:val="6"/>
                <w:color w:val="auto"/>
              </w:rPr>
            </w:pPr>
          </w:p>
        </w:tc>
        <w:tc>
          <w:tcPr>
            <w:tcW w:w="200" w:type="dxa"/>
            <w:vAlign w:val="bottom"/>
            <w:shd w:val="clear" w:color="auto" w:fill="E5EEF8"/>
          </w:tcPr>
          <w:p>
            <w:pPr>
              <w:spacing w:after="0"/>
              <w:rPr>
                <w:sz w:val="6"/>
                <w:szCs w:val="6"/>
                <w:color w:val="auto"/>
              </w:rPr>
            </w:pPr>
          </w:p>
        </w:tc>
        <w:tc>
          <w:tcPr>
            <w:tcW w:w="960" w:type="dxa"/>
            <w:vAlign w:val="bottom"/>
            <w:shd w:val="clear" w:color="auto" w:fill="E5EEF8"/>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7160" w:type="dxa"/>
            <w:vAlign w:val="bottom"/>
          </w:tcPr>
          <w:p>
            <w:pPr>
              <w:ind w:left="40"/>
              <w:spacing w:after="0"/>
              <w:rPr>
                <w:sz w:val="20"/>
                <w:szCs w:val="20"/>
                <w:color w:val="auto"/>
              </w:rPr>
            </w:pPr>
            <w:r>
              <w:rPr>
                <w:rFonts w:ascii="Arial" w:cs="Arial" w:eastAsia="Arial" w:hAnsi="Arial"/>
                <w:sz w:val="17"/>
                <w:szCs w:val="17"/>
                <w:color w:val="auto"/>
              </w:rPr>
              <w:t>Mr. Crisci</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80"/>
              <w:spacing w:after="0"/>
              <w:rPr>
                <w:sz w:val="20"/>
                <w:szCs w:val="20"/>
                <w:color w:val="auto"/>
              </w:rPr>
            </w:pPr>
            <w:r>
              <w:rPr>
                <w:rFonts w:ascii="Arial" w:cs="Arial" w:eastAsia="Arial" w:hAnsi="Arial"/>
                <w:sz w:val="17"/>
                <w:szCs w:val="17"/>
                <w:color w:val="auto"/>
              </w:rPr>
              <w:t>1,450,000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81"/>
              <w:spacing w:after="0"/>
              <w:rPr>
                <w:sz w:val="20"/>
                <w:szCs w:val="20"/>
                <w:color w:val="auto"/>
              </w:rPr>
            </w:pPr>
            <w:r>
              <w:rPr>
                <w:rFonts w:ascii="Arial" w:cs="Arial" w:eastAsia="Arial" w:hAnsi="Arial"/>
                <w:sz w:val="17"/>
                <w:szCs w:val="17"/>
                <w:color w:val="auto"/>
              </w:rPr>
              <w:t>4,200,000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9"/>
              <w:spacing w:after="0"/>
              <w:rPr>
                <w:sz w:val="20"/>
                <w:szCs w:val="20"/>
                <w:color w:val="auto"/>
              </w:rPr>
            </w:pPr>
            <w:r>
              <w:rPr>
                <w:rFonts w:ascii="Arial" w:cs="Arial" w:eastAsia="Arial" w:hAnsi="Arial"/>
                <w:sz w:val="17"/>
                <w:szCs w:val="17"/>
                <w:color w:val="auto"/>
              </w:rPr>
              <w:t>5,650,000</w:t>
            </w:r>
          </w:p>
        </w:tc>
        <w:tc>
          <w:tcPr>
            <w:tcW w:w="0" w:type="dxa"/>
            <w:vAlign w:val="bottom"/>
          </w:tcPr>
          <w:p>
            <w:pPr>
              <w:spacing w:after="0"/>
              <w:rPr>
                <w:sz w:val="1"/>
                <w:szCs w:val="1"/>
                <w:color w:val="auto"/>
              </w:rPr>
            </w:pPr>
          </w:p>
        </w:tc>
      </w:tr>
      <w:tr>
        <w:trPr>
          <w:trHeight w:val="72"/>
        </w:trPr>
        <w:tc>
          <w:tcPr>
            <w:tcW w:w="7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7160" w:type="dxa"/>
            <w:vAlign w:val="bottom"/>
            <w:shd w:val="clear" w:color="auto" w:fill="E5EEF8"/>
          </w:tcPr>
          <w:p>
            <w:pPr>
              <w:ind w:left="40"/>
              <w:spacing w:after="0"/>
              <w:rPr>
                <w:sz w:val="20"/>
                <w:szCs w:val="20"/>
                <w:color w:val="auto"/>
              </w:rPr>
            </w:pPr>
            <w:r>
              <w:rPr>
                <w:rFonts w:ascii="Arial" w:cs="Arial" w:eastAsia="Arial" w:hAnsi="Arial"/>
                <w:sz w:val="17"/>
                <w:szCs w:val="17"/>
                <w:color w:val="auto"/>
              </w:rPr>
              <w:t>Mr. Stipancich</w:t>
            </w:r>
          </w:p>
        </w:tc>
        <w:tc>
          <w:tcPr>
            <w:tcW w:w="360" w:type="dxa"/>
            <w:vAlign w:val="bottom"/>
            <w:shd w:val="clear" w:color="auto" w:fill="E5EEF8"/>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5EEF8"/>
          </w:tcPr>
          <w:p>
            <w:pPr>
              <w:jc w:val="right"/>
              <w:ind w:right="80"/>
              <w:spacing w:after="0"/>
              <w:rPr>
                <w:sz w:val="20"/>
                <w:szCs w:val="20"/>
                <w:color w:val="auto"/>
              </w:rPr>
            </w:pPr>
            <w:r>
              <w:rPr>
                <w:rFonts w:ascii="Arial" w:cs="Arial" w:eastAsia="Arial" w:hAnsi="Arial"/>
                <w:sz w:val="17"/>
                <w:szCs w:val="17"/>
                <w:color w:val="auto"/>
              </w:rPr>
              <w:t>900,000</w:t>
            </w:r>
          </w:p>
        </w:tc>
        <w:tc>
          <w:tcPr>
            <w:tcW w:w="280" w:type="dxa"/>
            <w:vAlign w:val="bottom"/>
            <w:shd w:val="clear" w:color="auto" w:fill="E5EEF8"/>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E5EEF8"/>
          </w:tcPr>
          <w:p>
            <w:pPr>
              <w:jc w:val="right"/>
              <w:ind w:right="181"/>
              <w:spacing w:after="0"/>
              <w:rPr>
                <w:sz w:val="20"/>
                <w:szCs w:val="20"/>
                <w:color w:val="auto"/>
              </w:rPr>
            </w:pPr>
            <w:r>
              <w:rPr>
                <w:rFonts w:ascii="Arial" w:cs="Arial" w:eastAsia="Arial" w:hAnsi="Arial"/>
                <w:sz w:val="17"/>
                <w:szCs w:val="17"/>
                <w:color w:val="auto"/>
              </w:rPr>
              <w:t>2,500,000</w:t>
            </w:r>
          </w:p>
        </w:tc>
        <w:tc>
          <w:tcPr>
            <w:tcW w:w="200" w:type="dxa"/>
            <w:vAlign w:val="bottom"/>
            <w:shd w:val="clear" w:color="auto" w:fill="E5EEF8"/>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5EEF8"/>
          </w:tcPr>
          <w:p>
            <w:pPr>
              <w:jc w:val="right"/>
              <w:ind w:right="19"/>
              <w:spacing w:after="0"/>
              <w:rPr>
                <w:sz w:val="20"/>
                <w:szCs w:val="20"/>
                <w:color w:val="auto"/>
              </w:rPr>
            </w:pPr>
            <w:r>
              <w:rPr>
                <w:rFonts w:ascii="Arial" w:cs="Arial" w:eastAsia="Arial" w:hAnsi="Arial"/>
                <w:sz w:val="17"/>
                <w:szCs w:val="17"/>
                <w:color w:val="auto"/>
              </w:rPr>
              <w:t>3,400,000</w:t>
            </w:r>
          </w:p>
        </w:tc>
        <w:tc>
          <w:tcPr>
            <w:tcW w:w="0" w:type="dxa"/>
            <w:vAlign w:val="bottom"/>
          </w:tcPr>
          <w:p>
            <w:pPr>
              <w:spacing w:after="0"/>
              <w:rPr>
                <w:sz w:val="1"/>
                <w:szCs w:val="1"/>
                <w:color w:val="auto"/>
              </w:rPr>
            </w:pPr>
          </w:p>
        </w:tc>
      </w:tr>
      <w:tr>
        <w:trPr>
          <w:trHeight w:val="72"/>
        </w:trPr>
        <w:tc>
          <w:tcPr>
            <w:tcW w:w="7160" w:type="dxa"/>
            <w:vAlign w:val="bottom"/>
            <w:shd w:val="clear" w:color="auto" w:fill="E5EEF8"/>
          </w:tcPr>
          <w:p>
            <w:pPr>
              <w:spacing w:after="0"/>
              <w:rPr>
                <w:sz w:val="6"/>
                <w:szCs w:val="6"/>
                <w:color w:val="auto"/>
              </w:rPr>
            </w:pPr>
          </w:p>
        </w:tc>
        <w:tc>
          <w:tcPr>
            <w:tcW w:w="360" w:type="dxa"/>
            <w:vAlign w:val="bottom"/>
            <w:shd w:val="clear" w:color="auto" w:fill="E5EEF8"/>
          </w:tcPr>
          <w:p>
            <w:pPr>
              <w:spacing w:after="0"/>
              <w:rPr>
                <w:sz w:val="6"/>
                <w:szCs w:val="6"/>
                <w:color w:val="auto"/>
              </w:rPr>
            </w:pPr>
          </w:p>
        </w:tc>
        <w:tc>
          <w:tcPr>
            <w:tcW w:w="940" w:type="dxa"/>
            <w:vAlign w:val="bottom"/>
            <w:shd w:val="clear" w:color="auto" w:fill="E5EEF8"/>
          </w:tcPr>
          <w:p>
            <w:pPr>
              <w:spacing w:after="0"/>
              <w:rPr>
                <w:sz w:val="6"/>
                <w:szCs w:val="6"/>
                <w:color w:val="auto"/>
              </w:rPr>
            </w:pPr>
          </w:p>
        </w:tc>
        <w:tc>
          <w:tcPr>
            <w:tcW w:w="280" w:type="dxa"/>
            <w:vAlign w:val="bottom"/>
            <w:shd w:val="clear" w:color="auto" w:fill="E5EEF8"/>
          </w:tcPr>
          <w:p>
            <w:pPr>
              <w:spacing w:after="0"/>
              <w:rPr>
                <w:sz w:val="6"/>
                <w:szCs w:val="6"/>
                <w:color w:val="auto"/>
              </w:rPr>
            </w:pPr>
          </w:p>
        </w:tc>
        <w:tc>
          <w:tcPr>
            <w:tcW w:w="1120" w:type="dxa"/>
            <w:vAlign w:val="bottom"/>
            <w:shd w:val="clear" w:color="auto" w:fill="E5EEF8"/>
          </w:tcPr>
          <w:p>
            <w:pPr>
              <w:spacing w:after="0"/>
              <w:rPr>
                <w:sz w:val="6"/>
                <w:szCs w:val="6"/>
                <w:color w:val="auto"/>
              </w:rPr>
            </w:pPr>
          </w:p>
        </w:tc>
        <w:tc>
          <w:tcPr>
            <w:tcW w:w="200" w:type="dxa"/>
            <w:vAlign w:val="bottom"/>
            <w:shd w:val="clear" w:color="auto" w:fill="E5EEF8"/>
          </w:tcPr>
          <w:p>
            <w:pPr>
              <w:spacing w:after="0"/>
              <w:rPr>
                <w:sz w:val="6"/>
                <w:szCs w:val="6"/>
                <w:color w:val="auto"/>
              </w:rPr>
            </w:pPr>
          </w:p>
        </w:tc>
        <w:tc>
          <w:tcPr>
            <w:tcW w:w="960" w:type="dxa"/>
            <w:vAlign w:val="bottom"/>
            <w:shd w:val="clear" w:color="auto" w:fill="E5EEF8"/>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7160" w:type="dxa"/>
            <w:vAlign w:val="bottom"/>
          </w:tcPr>
          <w:p>
            <w:pPr>
              <w:ind w:left="40"/>
              <w:spacing w:after="0"/>
              <w:rPr>
                <w:sz w:val="20"/>
                <w:szCs w:val="20"/>
                <w:color w:val="auto"/>
              </w:rPr>
            </w:pPr>
            <w:r>
              <w:rPr>
                <w:rFonts w:ascii="Arial" w:cs="Arial" w:eastAsia="Arial" w:hAnsi="Arial"/>
                <w:sz w:val="17"/>
                <w:szCs w:val="17"/>
                <w:color w:val="auto"/>
              </w:rPr>
              <w:t>Mr. Conley</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80"/>
              <w:spacing w:after="0"/>
              <w:rPr>
                <w:sz w:val="20"/>
                <w:szCs w:val="20"/>
                <w:color w:val="auto"/>
              </w:rPr>
            </w:pPr>
            <w:r>
              <w:rPr>
                <w:rFonts w:ascii="Arial" w:cs="Arial" w:eastAsia="Arial" w:hAnsi="Arial"/>
                <w:sz w:val="17"/>
                <w:szCs w:val="17"/>
                <w:color w:val="auto"/>
              </w:rPr>
              <w:t>850,000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81"/>
              <w:spacing w:after="0"/>
              <w:rPr>
                <w:sz w:val="20"/>
                <w:szCs w:val="20"/>
                <w:color w:val="auto"/>
              </w:rPr>
            </w:pPr>
            <w:r>
              <w:rPr>
                <w:rFonts w:ascii="Arial" w:cs="Arial" w:eastAsia="Arial" w:hAnsi="Arial"/>
                <w:sz w:val="17"/>
                <w:szCs w:val="17"/>
                <w:color w:val="auto"/>
              </w:rPr>
              <w:t>2,525,000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9"/>
              <w:spacing w:after="0"/>
              <w:rPr>
                <w:sz w:val="20"/>
                <w:szCs w:val="20"/>
                <w:color w:val="auto"/>
              </w:rPr>
            </w:pPr>
            <w:r>
              <w:rPr>
                <w:rFonts w:ascii="Arial" w:cs="Arial" w:eastAsia="Arial" w:hAnsi="Arial"/>
                <w:sz w:val="17"/>
                <w:szCs w:val="17"/>
                <w:color w:val="auto"/>
              </w:rPr>
              <w:t>3,375,000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40" w:right="20" w:hanging="424"/>
        <w:spacing w:after="0" w:line="258" w:lineRule="auto"/>
        <w:tabs>
          <w:tab w:leader="none" w:pos="5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value of the award granted is based on the weighted average closing price for the Company’s common stock over the 15 trading days ending on the date of grant, which is reflected in the minor discrepancies in the amounts reported under the “Stock Awards” column in the Summary Compensation Table.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These awards are shown in the 2021 Grants of Plan-Based Awards table.</w:t>
      </w:r>
    </w:p>
    <w:p>
      <w:pPr>
        <w:spacing w:after="0" w:line="102"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The CEO’s 2021 stock options vest on the third anniversary of the date of grant. With respect to the other named executive officers, 50% of their stock options vest on the second and the third anniversaries of the date of grant.</w:t>
      </w:r>
    </w:p>
    <w:p>
      <w:pPr>
        <w:spacing w:after="0" w:line="104" w:lineRule="exact"/>
        <w:rPr>
          <w:sz w:val="20"/>
          <w:szCs w:val="20"/>
          <w:color w:val="auto"/>
        </w:rPr>
      </w:pPr>
    </w:p>
    <w:p>
      <w:pPr>
        <w:ind w:left="340" w:right="500" w:hanging="224"/>
        <w:spacing w:after="0" w:line="243" w:lineRule="auto"/>
        <w:tabs>
          <w:tab w:leader="none" w:pos="3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CEO’s 2021 restricted shares vest on the Compensation Committee’s certification of performance against the following performance criteria (with one half of the award assessed against the first criterion and the second half assessed against the second criterion):</w:t>
      </w:r>
    </w:p>
    <w:p>
      <w:pPr>
        <w:spacing w:after="0" w:line="103" w:lineRule="exact"/>
        <w:rPr>
          <w:rFonts w:ascii="Arial" w:cs="Arial" w:eastAsia="Arial" w:hAnsi="Arial"/>
          <w:sz w:val="17"/>
          <w:szCs w:val="17"/>
          <w:color w:val="auto"/>
        </w:rPr>
      </w:pPr>
    </w:p>
    <w:p>
      <w:pPr>
        <w:ind w:left="540" w:right="280" w:hanging="208"/>
        <w:spacing w:after="0" w:line="236" w:lineRule="auto"/>
        <w:tabs>
          <w:tab w:leader="none" w:pos="5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Generation of at least $5.049 billion of adjusted EBITDA (as defined above) for the 36-month period of October 2020 through September 2023. At $5.049 billion, 17.5% of the award shall vest, and at $5.449 billion, 50% of the award shall vest, with pro-rated vesting using straight line interpolation between these two points. No portion of this half of the award will vest if the Company fails to achieve $5.049 billion in adjusted EBITDA.</w:t>
      </w:r>
    </w:p>
    <w:p>
      <w:pPr>
        <w:spacing w:after="0" w:line="108" w:lineRule="exact"/>
        <w:rPr>
          <w:rFonts w:ascii="Arial" w:cs="Arial" w:eastAsia="Arial" w:hAnsi="Arial"/>
          <w:sz w:val="17"/>
          <w:szCs w:val="17"/>
          <w:color w:val="auto"/>
        </w:rPr>
      </w:pPr>
    </w:p>
    <w:p>
      <w:pPr>
        <w:ind w:left="540" w:right="160" w:hanging="208"/>
        <w:spacing w:after="0" w:line="235" w:lineRule="auto"/>
        <w:tabs>
          <w:tab w:leader="none" w:pos="5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For the 36-month period of October 2020 through September 2023, operating cash flow less capital expenditures and capitalized software (as a percentage of net revenue) must be at the 50</w:t>
      </w:r>
      <w:r>
        <w:rPr>
          <w:rFonts w:ascii="Arial" w:cs="Arial" w:eastAsia="Arial" w:hAnsi="Arial"/>
          <w:sz w:val="14"/>
          <w:szCs w:val="14"/>
          <w:color w:val="auto"/>
        </w:rPr>
        <w:t>th</w:t>
      </w:r>
      <w:r>
        <w:rPr>
          <w:rFonts w:ascii="Arial" w:cs="Arial" w:eastAsia="Arial" w:hAnsi="Arial"/>
          <w:sz w:val="17"/>
          <w:szCs w:val="17"/>
          <w:color w:val="auto"/>
        </w:rPr>
        <w:t xml:space="preserve"> percentile of the S&amp;P 500 (excluding finance, real estate, and utilities) (the “Modified S&amp;P 500”). At the 50</w:t>
      </w:r>
      <w:r>
        <w:rPr>
          <w:rFonts w:ascii="Arial" w:cs="Arial" w:eastAsia="Arial" w:hAnsi="Arial"/>
          <w:sz w:val="14"/>
          <w:szCs w:val="14"/>
          <w:color w:val="auto"/>
        </w:rPr>
        <w:t>th</w:t>
      </w:r>
      <w:r>
        <w:rPr>
          <w:rFonts w:ascii="Arial" w:cs="Arial" w:eastAsia="Arial" w:hAnsi="Arial"/>
          <w:sz w:val="17"/>
          <w:szCs w:val="17"/>
          <w:color w:val="auto"/>
        </w:rPr>
        <w:t xml:space="preserve"> percentile, 17.5% of the award shall vest, and at the 75</w:t>
      </w:r>
      <w:r>
        <w:rPr>
          <w:rFonts w:ascii="Arial" w:cs="Arial" w:eastAsia="Arial" w:hAnsi="Arial"/>
          <w:sz w:val="14"/>
          <w:szCs w:val="14"/>
          <w:color w:val="auto"/>
        </w:rPr>
        <w:t>th</w:t>
      </w:r>
      <w:r>
        <w:rPr>
          <w:rFonts w:ascii="Arial" w:cs="Arial" w:eastAsia="Arial" w:hAnsi="Arial"/>
          <w:sz w:val="17"/>
          <w:szCs w:val="17"/>
          <w:color w:val="auto"/>
        </w:rPr>
        <w:t xml:space="preserve"> percentile, 50% of the award shall vest, with pro-rated vesting using straight-line interpolation between these two points. No portion of this half of the award will vest if the Company fails to reach at least the 50</w:t>
      </w:r>
      <w:r>
        <w:rPr>
          <w:rFonts w:ascii="Arial" w:cs="Arial" w:eastAsia="Arial" w:hAnsi="Arial"/>
          <w:sz w:val="14"/>
          <w:szCs w:val="14"/>
          <w:color w:val="auto"/>
        </w:rPr>
        <w:t>th</w:t>
      </w:r>
      <w:r>
        <w:rPr>
          <w:rFonts w:ascii="Arial" w:cs="Arial" w:eastAsia="Arial" w:hAnsi="Arial"/>
          <w:sz w:val="17"/>
          <w:szCs w:val="17"/>
          <w:color w:val="auto"/>
        </w:rPr>
        <w:t xml:space="preserve"> percentile.</w:t>
      </w:r>
    </w:p>
    <w:p>
      <w:pPr>
        <w:spacing w:after="0" w:line="109" w:lineRule="exact"/>
        <w:rPr>
          <w:rFonts w:ascii="Arial" w:cs="Arial" w:eastAsia="Arial" w:hAnsi="Arial"/>
          <w:sz w:val="17"/>
          <w:szCs w:val="17"/>
          <w:color w:val="auto"/>
        </w:rPr>
      </w:pPr>
    </w:p>
    <w:p>
      <w:pPr>
        <w:ind w:left="340" w:right="80" w:hanging="224"/>
        <w:spacing w:after="0" w:line="243" w:lineRule="auto"/>
        <w:tabs>
          <w:tab w:leader="none" w:pos="3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For our other named executive officers, the 2021 restricted shares vest on the Compensation Committee’s certification of performance against the following performance criteria (with quarters of each award assessed against the individual criterion set forth below):</w:t>
      </w:r>
    </w:p>
    <w:p>
      <w:pPr>
        <w:spacing w:after="0" w:line="137" w:lineRule="exact"/>
        <w:rPr>
          <w:sz w:val="20"/>
          <w:szCs w:val="20"/>
          <w:color w:val="auto"/>
        </w:rPr>
      </w:pPr>
    </w:p>
    <w:tbl>
      <w:tblPr>
        <w:tblLayout w:type="fixed"/>
        <w:tblInd w:w="6920" w:type="dxa"/>
        <w:tblCellMar>
          <w:top w:w="0" w:type="dxa"/>
          <w:left w:w="0" w:type="dxa"/>
          <w:bottom w:w="0" w:type="dxa"/>
          <w:right w:w="0" w:type="dxa"/>
        </w:tblCellMar>
      </w:tblPr>
      <w:tr>
        <w:trPr>
          <w:trHeight w:val="29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005CB9"/>
              </w:rPr>
              <w:t>37</w:t>
            </w:r>
          </w:p>
        </w:tc>
      </w:tr>
      <w:tr>
        <w:trPr>
          <w:trHeight w:val="100"/>
        </w:trPr>
        <w:tc>
          <w:tcPr>
            <w:tcW w:w="3900" w:type="dxa"/>
            <w:vAlign w:val="bottom"/>
            <w:tcBorders>
              <w:right w:val="single" w:sz="8" w:color="005CB9"/>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-205105</wp:posOffset>
            </wp:positionV>
            <wp:extent cx="428625"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57" w:lineRule="exact"/>
        <w:rPr>
          <w:sz w:val="20"/>
          <w:szCs w:val="20"/>
          <w:color w:val="auto"/>
        </w:rPr>
      </w:pPr>
    </w:p>
    <w:p>
      <w:pPr>
        <w:ind w:left="540" w:right="240" w:hanging="208"/>
        <w:spacing w:after="0" w:line="236" w:lineRule="auto"/>
        <w:tabs>
          <w:tab w:leader="none" w:pos="5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Generation of at least $3.366 billion of adjusted EBITDA (as defined above) for the 24-month period of October 2020 through September 2022. At $3.366 billion, 8.75% of the award shall vest, and at $3.633 billion, 25% of the award shall vest, with pro-rated vesting using straight line interpolation between these two points. No portion of this quarter of the award will vest if the Company fails to achieve $3.366 billion in adjusted EBITDA.</w:t>
      </w:r>
    </w:p>
    <w:p>
      <w:pPr>
        <w:spacing w:after="0" w:line="108" w:lineRule="exact"/>
        <w:rPr>
          <w:rFonts w:ascii="Arial" w:cs="Arial" w:eastAsia="Arial" w:hAnsi="Arial"/>
          <w:sz w:val="17"/>
          <w:szCs w:val="17"/>
          <w:color w:val="auto"/>
        </w:rPr>
      </w:pPr>
    </w:p>
    <w:p>
      <w:pPr>
        <w:ind w:left="540" w:right="140" w:hanging="208"/>
        <w:spacing w:after="0" w:line="236" w:lineRule="auto"/>
        <w:tabs>
          <w:tab w:leader="none" w:pos="5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For the 24-month period of October 2020 through September 2022, operating cash flow less capital expenditures and capitalized software (as a percentage of net revenue) must be at the 50</w:t>
      </w:r>
      <w:r>
        <w:rPr>
          <w:rFonts w:ascii="Arial" w:cs="Arial" w:eastAsia="Arial" w:hAnsi="Arial"/>
          <w:sz w:val="14"/>
          <w:szCs w:val="14"/>
          <w:color w:val="auto"/>
        </w:rPr>
        <w:t>th</w:t>
      </w:r>
      <w:r>
        <w:rPr>
          <w:rFonts w:ascii="Arial" w:cs="Arial" w:eastAsia="Arial" w:hAnsi="Arial"/>
          <w:sz w:val="17"/>
          <w:szCs w:val="17"/>
          <w:color w:val="auto"/>
        </w:rPr>
        <w:t xml:space="preserve"> percentile of the Modified S&amp;P 500. At the 50</w:t>
      </w:r>
      <w:r>
        <w:rPr>
          <w:rFonts w:ascii="Arial" w:cs="Arial" w:eastAsia="Arial" w:hAnsi="Arial"/>
          <w:sz w:val="14"/>
          <w:szCs w:val="14"/>
          <w:color w:val="auto"/>
        </w:rPr>
        <w:t>th</w:t>
      </w:r>
      <w:r>
        <w:rPr>
          <w:rFonts w:ascii="Arial" w:cs="Arial" w:eastAsia="Arial" w:hAnsi="Arial"/>
          <w:sz w:val="17"/>
          <w:szCs w:val="17"/>
          <w:color w:val="auto"/>
        </w:rPr>
        <w:t xml:space="preserve"> percentile, 8.75% of the award shall vest, and at the 75</w:t>
      </w:r>
      <w:r>
        <w:rPr>
          <w:rFonts w:ascii="Arial" w:cs="Arial" w:eastAsia="Arial" w:hAnsi="Arial"/>
          <w:sz w:val="14"/>
          <w:szCs w:val="14"/>
          <w:color w:val="auto"/>
        </w:rPr>
        <w:t>th</w:t>
      </w:r>
      <w:r>
        <w:rPr>
          <w:rFonts w:ascii="Arial" w:cs="Arial" w:eastAsia="Arial" w:hAnsi="Arial"/>
          <w:sz w:val="17"/>
          <w:szCs w:val="17"/>
          <w:color w:val="auto"/>
        </w:rPr>
        <w:t xml:space="preserve"> percentile, 25% of the award shall vest, with pro-rated vesting using straight-line interpolation between these two points. No portion of this quarter of the award will vest if the Company fails to reach at least the 50</w:t>
      </w:r>
      <w:r>
        <w:rPr>
          <w:rFonts w:ascii="Arial" w:cs="Arial" w:eastAsia="Arial" w:hAnsi="Arial"/>
          <w:sz w:val="14"/>
          <w:szCs w:val="14"/>
          <w:color w:val="auto"/>
        </w:rPr>
        <w:t>th</w:t>
      </w:r>
      <w:r>
        <w:rPr>
          <w:rFonts w:ascii="Arial" w:cs="Arial" w:eastAsia="Arial" w:hAnsi="Arial"/>
          <w:sz w:val="17"/>
          <w:szCs w:val="17"/>
          <w:color w:val="auto"/>
        </w:rPr>
        <w:t xml:space="preserve"> percentile.</w:t>
      </w:r>
    </w:p>
    <w:p>
      <w:pPr>
        <w:spacing w:after="0" w:line="108" w:lineRule="exact"/>
        <w:rPr>
          <w:rFonts w:ascii="Arial" w:cs="Arial" w:eastAsia="Arial" w:hAnsi="Arial"/>
          <w:sz w:val="17"/>
          <w:szCs w:val="17"/>
          <w:color w:val="auto"/>
        </w:rPr>
      </w:pPr>
    </w:p>
    <w:p>
      <w:pPr>
        <w:ind w:left="540" w:right="240" w:hanging="208"/>
        <w:spacing w:after="0" w:line="236" w:lineRule="auto"/>
        <w:tabs>
          <w:tab w:leader="none" w:pos="5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Generation of at least $5.049 billion of adjusted EBITDA (as defined above) for the 36-month period of October 2020 through September 2023. At $5.049 billion, 8.75% of the award shall vest, and at $5.449 billion, 25% of the award shall vest, with pro-rated vesting using straight line interpolation between these two points. No portion of this quarter of the award will vest if the Company fails to achieve $5.049 billion in adjusted EBITDA.</w:t>
      </w:r>
    </w:p>
    <w:p>
      <w:pPr>
        <w:spacing w:after="0" w:line="108" w:lineRule="exact"/>
        <w:rPr>
          <w:rFonts w:ascii="Arial" w:cs="Arial" w:eastAsia="Arial" w:hAnsi="Arial"/>
          <w:sz w:val="17"/>
          <w:szCs w:val="17"/>
          <w:color w:val="auto"/>
        </w:rPr>
      </w:pPr>
    </w:p>
    <w:p>
      <w:pPr>
        <w:ind w:left="540" w:right="140" w:hanging="208"/>
        <w:spacing w:after="0" w:line="236" w:lineRule="auto"/>
        <w:tabs>
          <w:tab w:leader="none" w:pos="5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For the 36-month period of October 2020 through September 2023, operating cash flow less capital expenditures and capitalized software (as a percentage of net revenue) must be at the 50</w:t>
      </w:r>
      <w:r>
        <w:rPr>
          <w:rFonts w:ascii="Arial" w:cs="Arial" w:eastAsia="Arial" w:hAnsi="Arial"/>
          <w:sz w:val="14"/>
          <w:szCs w:val="14"/>
          <w:color w:val="auto"/>
        </w:rPr>
        <w:t>th</w:t>
      </w:r>
      <w:r>
        <w:rPr>
          <w:rFonts w:ascii="Arial" w:cs="Arial" w:eastAsia="Arial" w:hAnsi="Arial"/>
          <w:sz w:val="17"/>
          <w:szCs w:val="17"/>
          <w:color w:val="auto"/>
        </w:rPr>
        <w:t xml:space="preserve"> percentile of the Modified S&amp;P 500. At the 50</w:t>
      </w:r>
      <w:r>
        <w:rPr>
          <w:rFonts w:ascii="Arial" w:cs="Arial" w:eastAsia="Arial" w:hAnsi="Arial"/>
          <w:sz w:val="14"/>
          <w:szCs w:val="14"/>
          <w:color w:val="auto"/>
        </w:rPr>
        <w:t>th</w:t>
      </w:r>
      <w:r>
        <w:rPr>
          <w:rFonts w:ascii="Arial" w:cs="Arial" w:eastAsia="Arial" w:hAnsi="Arial"/>
          <w:sz w:val="17"/>
          <w:szCs w:val="17"/>
          <w:color w:val="auto"/>
        </w:rPr>
        <w:t xml:space="preserve"> percentile, 8.75% of the award shall vest, and at the 75</w:t>
      </w:r>
      <w:r>
        <w:rPr>
          <w:rFonts w:ascii="Arial" w:cs="Arial" w:eastAsia="Arial" w:hAnsi="Arial"/>
          <w:sz w:val="14"/>
          <w:szCs w:val="14"/>
          <w:color w:val="auto"/>
        </w:rPr>
        <w:t>th</w:t>
      </w:r>
      <w:r>
        <w:rPr>
          <w:rFonts w:ascii="Arial" w:cs="Arial" w:eastAsia="Arial" w:hAnsi="Arial"/>
          <w:sz w:val="17"/>
          <w:szCs w:val="17"/>
          <w:color w:val="auto"/>
        </w:rPr>
        <w:t xml:space="preserve"> percentile, 25% of the award shall vest, with pro-rated vesting using straight-line interpolation between these two points. No portion of this quarter of the award will vest if the Company fails to reach at least the 50</w:t>
      </w:r>
      <w:r>
        <w:rPr>
          <w:rFonts w:ascii="Arial" w:cs="Arial" w:eastAsia="Arial" w:hAnsi="Arial"/>
          <w:sz w:val="14"/>
          <w:szCs w:val="14"/>
          <w:color w:val="auto"/>
        </w:rPr>
        <w:t>th</w:t>
      </w:r>
      <w:r>
        <w:rPr>
          <w:rFonts w:ascii="Arial" w:cs="Arial" w:eastAsia="Arial" w:hAnsi="Arial"/>
          <w:sz w:val="17"/>
          <w:szCs w:val="17"/>
          <w:color w:val="auto"/>
        </w:rPr>
        <w:t xml:space="preserve"> percentile.</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the 2022 long-term equity awards tied to cumulative EBITDA growth, the Committee changed the methodology used to set the three-year</w:t>
      </w:r>
    </w:p>
    <w:p>
      <w:pPr>
        <w:ind w:left="120"/>
        <w:spacing w:after="0" w:line="232" w:lineRule="auto"/>
        <w:rPr>
          <w:sz w:val="20"/>
          <w:szCs w:val="20"/>
          <w:color w:val="auto"/>
        </w:rPr>
      </w:pPr>
      <w:r>
        <w:rPr>
          <w:rFonts w:ascii="Arial" w:cs="Arial" w:eastAsia="Arial" w:hAnsi="Arial"/>
          <w:sz w:val="17"/>
          <w:szCs w:val="17"/>
          <w:color w:val="auto"/>
        </w:rPr>
        <w:t>cumulative EBITDA targets required to achieve vesting. This revised methodology resulted in an incremental increase of approximately 9% (or</w:t>
      </w:r>
    </w:p>
    <w:p>
      <w:pPr>
        <w:ind w:left="120"/>
        <w:spacing w:after="0" w:line="232" w:lineRule="auto"/>
        <w:rPr>
          <w:sz w:val="20"/>
          <w:szCs w:val="20"/>
          <w:color w:val="auto"/>
        </w:rPr>
      </w:pPr>
      <w:r>
        <w:rPr>
          <w:rFonts w:ascii="Arial" w:cs="Arial" w:eastAsia="Arial" w:hAnsi="Arial"/>
          <w:sz w:val="17"/>
          <w:szCs w:val="17"/>
          <w:color w:val="auto"/>
        </w:rPr>
        <w:t>$536 million) of EBITDA, at both the threshold and maximum target levels, required for vesting under the 2022 awards. Such increase due to this</w:t>
      </w:r>
    </w:p>
    <w:p>
      <w:pPr>
        <w:ind w:left="120"/>
        <w:spacing w:after="0" w:line="232" w:lineRule="auto"/>
        <w:rPr>
          <w:sz w:val="20"/>
          <w:szCs w:val="20"/>
          <w:color w:val="auto"/>
        </w:rPr>
      </w:pPr>
      <w:r>
        <w:rPr>
          <w:rFonts w:ascii="Arial" w:cs="Arial" w:eastAsia="Arial" w:hAnsi="Arial"/>
          <w:sz w:val="17"/>
          <w:szCs w:val="17"/>
          <w:color w:val="auto"/>
        </w:rPr>
        <w:t>methodology change is in addition to the annual increase in baseline EBITDA growth the Committee requires each year for long-term equity</w:t>
      </w:r>
    </w:p>
    <w:p>
      <w:pPr>
        <w:ind w:left="120"/>
        <w:spacing w:after="0"/>
        <w:rPr>
          <w:sz w:val="20"/>
          <w:szCs w:val="20"/>
          <w:color w:val="auto"/>
        </w:rPr>
      </w:pPr>
      <w:r>
        <w:rPr>
          <w:rFonts w:ascii="Arial" w:cs="Arial" w:eastAsia="Arial" w:hAnsi="Arial"/>
          <w:sz w:val="17"/>
          <w:szCs w:val="17"/>
          <w:color w:val="auto"/>
        </w:rPr>
        <w:t>awards.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ADDITIONAL INFORMATION ABOUT OUR PROGRAM</w:t>
      </w:r>
    </w:p>
    <w:p>
      <w:pPr>
        <w:spacing w:after="0" w:line="124"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Other arrangements and considerations important to a shareholder’s understanding of our overall executive compensation program are described below.</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Share Ownership and Retention Guidelines</w:t>
      </w:r>
    </w:p>
    <w:p>
      <w:pPr>
        <w:spacing w:after="0" w:line="120"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We believe named executive officers should have a significant equity interest in the Company. To promote equity ownership and further align the interests of our named executive officers with those of our shareholders, we adopted share ownership and retention guidelines for our named executive officers. The guidelines are expected to be achieved within five years. Until the ownership requirements are met, a named executive officer must retain 60% of any applicable shares received (on a net after tax basis) under our equity compensation program. In 2021, the Committee revised the guidelines to exclude the value of any “in the money” vested stock options for purposes of determining compliance with the guidelines. At the end of fiscal 2021, all named executive officers were in compliance with our share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183515</wp:posOffset>
            </wp:positionV>
            <wp:extent cx="3420110" cy="2482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0110" cy="248285"/>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840" w:type="dxa"/>
            <w:vAlign w:val="bottom"/>
            <w:tcBorders>
              <w:bottom w:val="single" w:sz="8" w:color="005CB9"/>
            </w:tcBorders>
            <w:shd w:val="clear" w:color="auto" w:fill="005CB9"/>
          </w:tcPr>
          <w:p>
            <w:pPr>
              <w:ind w:left="1160"/>
              <w:spacing w:after="0"/>
              <w:rPr>
                <w:sz w:val="20"/>
                <w:szCs w:val="20"/>
                <w:color w:val="auto"/>
              </w:rPr>
            </w:pPr>
            <w:r>
              <w:rPr>
                <w:rFonts w:ascii="Arial" w:cs="Arial" w:eastAsia="Arial" w:hAnsi="Arial"/>
                <w:sz w:val="14"/>
                <w:szCs w:val="14"/>
                <w:color w:val="FFFFFF"/>
              </w:rPr>
              <w:t>Position</w:t>
            </w:r>
          </w:p>
        </w:tc>
        <w:tc>
          <w:tcPr>
            <w:tcW w:w="420" w:type="dxa"/>
            <w:vAlign w:val="bottom"/>
            <w:tcBorders>
              <w:bottom w:val="single" w:sz="8" w:color="005CB9"/>
            </w:tcBorders>
            <w:shd w:val="clear" w:color="auto" w:fill="005CB9"/>
          </w:tcPr>
          <w:p>
            <w:pPr>
              <w:spacing w:after="0"/>
              <w:rPr>
                <w:sz w:val="21"/>
                <w:szCs w:val="21"/>
                <w:color w:val="auto"/>
              </w:rPr>
            </w:pPr>
          </w:p>
        </w:tc>
        <w:tc>
          <w:tcPr>
            <w:tcW w:w="202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4"/>
                <w:szCs w:val="14"/>
                <w:color w:val="FFFFFF"/>
              </w:rPr>
              <w:t>Stock Ownership Multiple</w:t>
            </w:r>
          </w:p>
        </w:tc>
      </w:tr>
      <w:tr>
        <w:trPr>
          <w:trHeight w:val="192"/>
        </w:trPr>
        <w:tc>
          <w:tcPr>
            <w:tcW w:w="2840" w:type="dxa"/>
            <w:vAlign w:val="bottom"/>
          </w:tcPr>
          <w:p>
            <w:pPr>
              <w:spacing w:after="0" w:line="192" w:lineRule="exact"/>
              <w:rPr>
                <w:sz w:val="20"/>
                <w:szCs w:val="20"/>
                <w:color w:val="auto"/>
              </w:rPr>
            </w:pPr>
            <w:r>
              <w:rPr>
                <w:rFonts w:ascii="Arial" w:cs="Arial" w:eastAsia="Arial" w:hAnsi="Arial"/>
                <w:sz w:val="17"/>
                <w:szCs w:val="17"/>
                <w:color w:val="auto"/>
              </w:rPr>
              <w:t>CEO</w:t>
            </w:r>
          </w:p>
        </w:tc>
        <w:tc>
          <w:tcPr>
            <w:tcW w:w="420" w:type="dxa"/>
            <w:vAlign w:val="bottom"/>
          </w:tcPr>
          <w:p>
            <w:pPr>
              <w:spacing w:after="0"/>
              <w:rPr>
                <w:sz w:val="16"/>
                <w:szCs w:val="16"/>
                <w:color w:val="auto"/>
              </w:rPr>
            </w:pPr>
          </w:p>
        </w:tc>
        <w:tc>
          <w:tcPr>
            <w:tcW w:w="2020" w:type="dxa"/>
            <w:vAlign w:val="bottom"/>
          </w:tcPr>
          <w:p>
            <w:pPr>
              <w:jc w:val="center"/>
              <w:spacing w:after="0" w:line="192" w:lineRule="exact"/>
              <w:rPr>
                <w:sz w:val="20"/>
                <w:szCs w:val="20"/>
                <w:color w:val="auto"/>
              </w:rPr>
            </w:pPr>
            <w:r>
              <w:rPr>
                <w:rFonts w:ascii="Arial" w:cs="Arial" w:eastAsia="Arial" w:hAnsi="Arial"/>
                <w:sz w:val="17"/>
                <w:szCs w:val="17"/>
                <w:color w:val="auto"/>
                <w:w w:val="99"/>
              </w:rPr>
              <w:t>7 times base salary</w:t>
            </w:r>
          </w:p>
        </w:tc>
      </w:tr>
      <w:tr>
        <w:trPr>
          <w:trHeight w:val="230"/>
        </w:trPr>
        <w:tc>
          <w:tcPr>
            <w:tcW w:w="2840" w:type="dxa"/>
            <w:vAlign w:val="bottom"/>
          </w:tcPr>
          <w:p>
            <w:pPr>
              <w:spacing w:after="0"/>
              <w:rPr>
                <w:sz w:val="20"/>
                <w:szCs w:val="20"/>
                <w:color w:val="auto"/>
              </w:rPr>
            </w:pPr>
            <w:r>
              <w:rPr>
                <w:rFonts w:ascii="Arial" w:cs="Arial" w:eastAsia="Arial" w:hAnsi="Arial"/>
                <w:sz w:val="17"/>
                <w:szCs w:val="17"/>
                <w:color w:val="auto"/>
              </w:rPr>
              <w:t>Other Named Executive Officers</w:t>
            </w:r>
          </w:p>
        </w:tc>
        <w:tc>
          <w:tcPr>
            <w:tcW w:w="4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7"/>
                <w:szCs w:val="17"/>
                <w:color w:val="auto"/>
                <w:w w:val="99"/>
              </w:rPr>
              <w:t>3 times base salary</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ind w:left="690"/>
        <w:spacing w:after="0"/>
        <w:rPr>
          <w:sz w:val="20"/>
          <w:szCs w:val="20"/>
          <w:color w:val="auto"/>
        </w:rPr>
      </w:pPr>
      <w:r>
        <w:rPr>
          <w:rFonts w:ascii="Arial" w:cs="Arial" w:eastAsia="Arial" w:hAnsi="Arial"/>
          <w:sz w:val="14"/>
          <w:szCs w:val="14"/>
          <w:color w:val="FFFFFF"/>
        </w:rPr>
        <w:t>Shares Included</w:t>
      </w:r>
    </w:p>
    <w:p>
      <w:pPr>
        <w:spacing w:after="0" w:line="58" w:lineRule="exact"/>
        <w:rPr>
          <w:sz w:val="20"/>
          <w:szCs w:val="20"/>
          <w:color w:val="auto"/>
        </w:rPr>
      </w:pPr>
    </w:p>
    <w:p>
      <w:pPr>
        <w:ind w:left="170" w:hanging="170"/>
        <w:spacing w:after="0" w:line="236" w:lineRule="auto"/>
        <w:tabs>
          <w:tab w:leader="none" w:pos="155" w:val="left"/>
        </w:tabs>
        <w:numPr>
          <w:ilvl w:val="0"/>
          <w:numId w:val="74"/>
        </w:numPr>
        <w:rPr>
          <w:rFonts w:ascii="Arial" w:cs="Arial" w:eastAsia="Arial" w:hAnsi="Arial"/>
          <w:sz w:val="17"/>
          <w:szCs w:val="17"/>
          <w:color w:val="auto"/>
        </w:rPr>
      </w:pPr>
      <w:r>
        <w:rPr>
          <w:rFonts w:ascii="Arial" w:cs="Arial" w:eastAsia="Arial" w:hAnsi="Arial"/>
          <w:sz w:val="17"/>
          <w:szCs w:val="17"/>
          <w:color w:val="auto"/>
        </w:rPr>
        <w:t>Shares in which the executive or his or her spouse or child has a direct or indirect interest; and</w:t>
      </w:r>
    </w:p>
    <w:p>
      <w:pPr>
        <w:spacing w:after="0" w:line="54" w:lineRule="exact"/>
        <w:rPr>
          <w:rFonts w:ascii="Arial" w:cs="Arial" w:eastAsia="Arial" w:hAnsi="Arial"/>
          <w:sz w:val="17"/>
          <w:szCs w:val="17"/>
          <w:color w:val="auto"/>
        </w:rPr>
      </w:pPr>
    </w:p>
    <w:p>
      <w:pPr>
        <w:ind w:left="170" w:right="240" w:hanging="170"/>
        <w:spacing w:after="0" w:line="238" w:lineRule="auto"/>
        <w:tabs>
          <w:tab w:leader="none" w:pos="155" w:val="left"/>
        </w:tabs>
        <w:numPr>
          <w:ilvl w:val="0"/>
          <w:numId w:val="74"/>
        </w:numPr>
        <w:rPr>
          <w:rFonts w:ascii="Arial" w:cs="Arial" w:eastAsia="Arial" w:hAnsi="Arial"/>
          <w:sz w:val="17"/>
          <w:szCs w:val="17"/>
          <w:color w:val="auto"/>
        </w:rPr>
      </w:pPr>
      <w:r>
        <w:rPr>
          <w:rFonts w:ascii="Arial" w:cs="Arial" w:eastAsia="Arial" w:hAnsi="Arial"/>
          <w:sz w:val="17"/>
          <w:szCs w:val="17"/>
          <w:color w:val="auto"/>
        </w:rPr>
        <w:t>Shares owned in 401(k), savings, and profit sharing plans.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left="585"/>
        <w:spacing w:after="0"/>
        <w:rPr>
          <w:sz w:val="20"/>
          <w:szCs w:val="20"/>
          <w:color w:val="auto"/>
        </w:rPr>
      </w:pPr>
      <w:r>
        <w:rPr>
          <w:rFonts w:ascii="Arial" w:cs="Arial" w:eastAsia="Arial" w:hAnsi="Arial"/>
          <w:sz w:val="14"/>
          <w:szCs w:val="14"/>
          <w:color w:val="FFFFFF"/>
        </w:rPr>
        <w:t>Shares Not Included</w:t>
      </w:r>
    </w:p>
    <w:p>
      <w:pPr>
        <w:spacing w:after="0" w:line="17" w:lineRule="exact"/>
        <w:rPr>
          <w:sz w:val="20"/>
          <w:szCs w:val="20"/>
          <w:color w:val="auto"/>
        </w:rPr>
      </w:pPr>
    </w:p>
    <w:p>
      <w:pPr>
        <w:ind w:left="165" w:right="360" w:hanging="165"/>
        <w:spacing w:after="0" w:line="243" w:lineRule="auto"/>
        <w:tabs>
          <w:tab w:leader="none" w:pos="150" w:val="left"/>
        </w:tabs>
        <w:numPr>
          <w:ilvl w:val="0"/>
          <w:numId w:val="75"/>
        </w:numPr>
        <w:rPr>
          <w:rFonts w:ascii="Arial" w:cs="Arial" w:eastAsia="Arial" w:hAnsi="Arial"/>
          <w:sz w:val="17"/>
          <w:szCs w:val="17"/>
          <w:color w:val="auto"/>
        </w:rPr>
      </w:pPr>
      <w:r>
        <w:rPr>
          <w:rFonts w:ascii="Arial" w:cs="Arial" w:eastAsia="Arial" w:hAnsi="Arial"/>
          <w:sz w:val="17"/>
          <w:szCs w:val="17"/>
          <w:color w:val="auto"/>
        </w:rPr>
        <w:t>Vested or Unvested stock options; and</w:t>
      </w:r>
    </w:p>
    <w:p>
      <w:pPr>
        <w:spacing w:after="0" w:line="49" w:lineRule="exact"/>
        <w:rPr>
          <w:rFonts w:ascii="Arial" w:cs="Arial" w:eastAsia="Arial" w:hAnsi="Arial"/>
          <w:sz w:val="17"/>
          <w:szCs w:val="17"/>
          <w:color w:val="auto"/>
        </w:rPr>
      </w:pPr>
    </w:p>
    <w:p>
      <w:pPr>
        <w:ind w:left="165" w:right="40" w:hanging="165"/>
        <w:spacing w:after="0" w:line="243" w:lineRule="auto"/>
        <w:tabs>
          <w:tab w:leader="none" w:pos="150" w:val="left"/>
        </w:tabs>
        <w:numPr>
          <w:ilvl w:val="0"/>
          <w:numId w:val="75"/>
        </w:numPr>
        <w:rPr>
          <w:rFonts w:ascii="Arial" w:cs="Arial" w:eastAsia="Arial" w:hAnsi="Arial"/>
          <w:sz w:val="17"/>
          <w:szCs w:val="17"/>
          <w:color w:val="auto"/>
        </w:rPr>
      </w:pPr>
      <w:r>
        <w:rPr>
          <w:rFonts w:ascii="Arial" w:cs="Arial" w:eastAsia="Arial" w:hAnsi="Arial"/>
          <w:sz w:val="17"/>
          <w:szCs w:val="17"/>
          <w:color w:val="auto"/>
        </w:rPr>
        <w:t>Unvested performance-based equity awards.</w:t>
      </w:r>
    </w:p>
    <w:p>
      <w:pPr>
        <w:spacing w:after="0" w:line="763" w:lineRule="exact"/>
        <w:rPr>
          <w:sz w:val="20"/>
          <w:szCs w:val="20"/>
          <w:color w:val="auto"/>
        </w:rPr>
      </w:pPr>
    </w:p>
    <w:p>
      <w:pPr>
        <w:sectPr>
          <w:pgSz w:w="11900" w:h="16838" w:orient="portrait"/>
          <w:cols w:equalWidth="0" w:num="3">
            <w:col w:w="5400" w:space="510"/>
            <w:col w:w="2410" w:space="335"/>
            <w:col w:w="2445"/>
          </w:cols>
          <w:pgMar w:left="320" w:top="459" w:right="479" w:bottom="1440" w:gutter="0" w:footer="0" w:header="0"/>
          <w:type w:val="continuous"/>
        </w:sectPr>
      </w:pP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440" w:type="dxa"/>
            <w:vAlign w:val="bottom"/>
            <w:tcBorders>
              <w:right w:val="single" w:sz="8" w:color="005CB9"/>
            </w:tcBorders>
          </w:tcPr>
          <w:p>
            <w:pPr>
              <w:jc w:val="right"/>
              <w:ind w:right="179"/>
              <w:spacing w:after="0"/>
              <w:rPr>
                <w:sz w:val="20"/>
                <w:szCs w:val="20"/>
                <w:color w:val="auto"/>
              </w:rPr>
            </w:pPr>
            <w:r>
              <w:rPr>
                <w:rFonts w:ascii="Arial" w:cs="Arial" w:eastAsia="Arial" w:hAnsi="Arial"/>
                <w:sz w:val="16"/>
                <w:szCs w:val="16"/>
                <w:b w:val="1"/>
                <w:bCs w:val="1"/>
                <w:color w:val="005CB9"/>
                <w:w w:val="89"/>
              </w:rPr>
              <w:t>38</w:t>
            </w:r>
          </w:p>
        </w:tc>
        <w:tc>
          <w:tcPr>
            <w:tcW w:w="4700" w:type="dxa"/>
            <w:vAlign w:val="bottom"/>
          </w:tcPr>
          <w:p>
            <w:pPr>
              <w:ind w:left="106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0"/>
        </w:trPr>
        <w:tc>
          <w:tcPr>
            <w:tcW w:w="440" w:type="dxa"/>
            <w:vAlign w:val="bottom"/>
            <w:tcBorders>
              <w:right w:val="single" w:sz="8" w:color="005CB9"/>
            </w:tcBorders>
          </w:tcPr>
          <w:p>
            <w:pPr>
              <w:spacing w:after="0"/>
              <w:rPr>
                <w:sz w:val="8"/>
                <w:szCs w:val="8"/>
                <w:color w:val="auto"/>
              </w:rPr>
            </w:pPr>
          </w:p>
        </w:tc>
        <w:tc>
          <w:tcPr>
            <w:tcW w:w="47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-205105</wp:posOffset>
            </wp:positionV>
            <wp:extent cx="428625"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422" w:lineRule="auto"/>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r>
        <w:rPr>
          <w:rFonts w:ascii="Arial" w:cs="Arial" w:eastAsia="Arial" w:hAnsi="Arial"/>
          <w:sz w:val="18"/>
          <w:szCs w:val="18"/>
          <w:color w:val="005CB9"/>
        </w:rPr>
        <w:t xml:space="preserve"> </w:t>
      </w:r>
      <w:r>
        <w:rPr>
          <w:rFonts w:ascii="Arial" w:cs="Arial" w:eastAsia="Arial" w:hAnsi="Arial"/>
          <w:sz w:val="18"/>
          <w:szCs w:val="18"/>
          <w:b w:val="1"/>
          <w:bCs w:val="1"/>
          <w:i w:val="1"/>
          <w:iCs w:val="1"/>
          <w:color w:val="005CB9"/>
        </w:rPr>
        <w:t>Anti-Hedging and Anti-Pledging Policy</w:t>
      </w:r>
    </w:p>
    <w:p>
      <w:pPr>
        <w:ind w:left="120"/>
        <w:spacing w:after="0" w:line="233" w:lineRule="auto"/>
        <w:rPr>
          <w:sz w:val="20"/>
          <w:szCs w:val="20"/>
          <w:color w:val="auto"/>
        </w:rPr>
      </w:pPr>
      <w:r>
        <w:rPr>
          <w:rFonts w:ascii="Arial" w:cs="Arial" w:eastAsia="Arial" w:hAnsi="Arial"/>
          <w:sz w:val="17"/>
          <w:szCs w:val="17"/>
          <w:color w:val="auto"/>
        </w:rPr>
        <w:t>We prohibit our named executive officers and directors from engaging in transactions involving derivative instruments with respect to Company securities, and other securities immediately convertible or exchangeable into Company securities, and from pledging shares of Company common stock. The numbers of shares pledged as of the date of the adoption of the policy in January 2015 are excepted from this policy. Consistent with this exception, as of March 31, 2022, Christopher Wright directly held 35,208 shares in a margin account. In addition, 14,500 shares indirectly held by Mr. Wright (of which he has continuing beneficial ownership of 1%) are also held in a margin account. Mr. Wright is the only individual to whom this exception applies.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“Clawback” Policy</w:t>
      </w:r>
    </w:p>
    <w:p>
      <w:pPr>
        <w:spacing w:after="0" w:line="12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the event of a material restatement of the Company’s financial results, other than a restatement due to changes in accounting principles or applicable law or interpretations thereof, the Board will review the facts and circumstances that led to the requirement for the restatement and will take such actions, including clawback, as it deems necessary or appropriate. The Board will consider whether any named executive officer received cash or equity compensation based on the original financial statements because it appeared financial performance targets had been met, when in fact such targets were not achieved based on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restatement. The Board will also consider the accountability of any named executive officer whose acts or omissions were responsible in whole or in part for the events that led to the restatement and whether such acts or omissions constituted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-1280795</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Regulatory Considerations</w:t>
      </w:r>
    </w:p>
    <w:p>
      <w:pPr>
        <w:spacing w:after="0" w:line="12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Effective for taxable years beginning after December 31, 2017, the Tax Cuts and Jobs Act changed certain aspects of executive compensation, including elimination of a Company’s ability to deduct “performance-based” compensation in excess of $1 million to named executive officers under Section 162(m) of the Code. We will continue to consider tax implications in making compensation decisions and, when believed to be in the best long-term interests of our shareholders, we may provide compensation that is not fully deductible.</w:t>
      </w:r>
    </w:p>
    <w:p>
      <w:pPr>
        <w:spacing w:after="0" w:line="95"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In making decisions about executive compensation, we also consider the impact of other regulatory provisions, including Section 409A of the Code regarding non-qualified deferred compensation and</w:t>
      </w:r>
    </w:p>
    <w:p>
      <w:pPr>
        <w:ind w:right="20"/>
        <w:spacing w:after="0" w:line="235" w:lineRule="auto"/>
        <w:rPr>
          <w:sz w:val="20"/>
          <w:szCs w:val="20"/>
          <w:color w:val="auto"/>
        </w:rPr>
      </w:pPr>
      <w:r>
        <w:rPr>
          <w:rFonts w:ascii="Arial" w:cs="Arial" w:eastAsia="Arial" w:hAnsi="Arial"/>
          <w:sz w:val="17"/>
          <w:szCs w:val="17"/>
          <w:color w:val="auto"/>
        </w:rPr>
        <w:t>Section 280G of the Code regarding compensation pursuant to a change in control. We also consider how various elements of compensation will impact our financial results. For example, ASC Topic 718, the accounting standard that determines the cost to be recognized for equity awards, is considered when awarding stock options and restricted stock awards.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1180" w:type="dxa"/>
        <w:tblCellMar>
          <w:top w:w="0" w:type="dxa"/>
          <w:left w:w="0" w:type="dxa"/>
          <w:bottom w:w="0" w:type="dxa"/>
          <w:right w:w="0" w:type="dxa"/>
        </w:tblCellMar>
      </w:tblPr>
      <w:tr>
        <w:trPr>
          <w:trHeight w:val="29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005CB9"/>
              </w:rPr>
              <w:t>39</w:t>
            </w:r>
          </w:p>
        </w:tc>
      </w:tr>
      <w:tr>
        <w:trPr>
          <w:trHeight w:val="100"/>
        </w:trPr>
        <w:tc>
          <w:tcPr>
            <w:tcW w:w="3900" w:type="dxa"/>
            <w:vAlign w:val="bottom"/>
            <w:tcBorders>
              <w:right w:val="single" w:sz="8" w:color="005CB9"/>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-205105</wp:posOffset>
            </wp:positionV>
            <wp:extent cx="428625"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2">
            <w:col w:w="5400" w:space="340"/>
            <w:col w:w="540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COMPENSATION COMMITTEE INTERLOCKS AND INSIDER PARTICIPATION</w:t>
      </w:r>
    </w:p>
    <w:p>
      <w:pPr>
        <w:spacing w:after="0" w:line="32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During 2021, Mses. Thatcher and Brinkley and Messrs. Johnson, Prezzano and Wright served on the Compensation Committee. No member of the Compensation Committee was, during 2021, an officer or employee of the Company, was formerly an officer of the Company, or had any relationship requiring disclosure by the Company as a related party transaction under Item 404 of Regulation S-K under the Securities Act of 1933 (the “Securities Act”). During 2021, none of the Company’s executive officers served on either the board of directors or the compensation committee of any other entity, any officers of which served on either the Board of Directors or the Compensation Committee of the Company.</w:t>
      </w: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COMPENSATION COMMITTEE REPORT</w:t>
      </w:r>
    </w:p>
    <w:p>
      <w:pPr>
        <w:spacing w:after="0" w:line="326"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We have reviewed and discussed the foregoing Compensation Discussion and Analysis with management. Based on our review and discussion with management, we have recommended to the Board of Directors that the Compensation Discussion and Analysis be included in this Proxy Statement.</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Submitted by:</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Laura G. Thatcher, Chair</w:t>
      </w:r>
    </w:p>
    <w:p>
      <w:pPr>
        <w:ind w:left="560"/>
        <w:spacing w:after="0" w:line="232" w:lineRule="auto"/>
        <w:rPr>
          <w:sz w:val="20"/>
          <w:szCs w:val="20"/>
          <w:color w:val="auto"/>
        </w:rPr>
      </w:pPr>
      <w:r>
        <w:rPr>
          <w:rFonts w:ascii="Arial" w:cs="Arial" w:eastAsia="Arial" w:hAnsi="Arial"/>
          <w:sz w:val="17"/>
          <w:szCs w:val="17"/>
          <w:color w:val="auto"/>
        </w:rPr>
        <w:t>Amy Woods Brinkley</w:t>
      </w:r>
    </w:p>
    <w:p>
      <w:pPr>
        <w:ind w:left="560"/>
        <w:spacing w:after="0" w:line="232" w:lineRule="auto"/>
        <w:rPr>
          <w:sz w:val="20"/>
          <w:szCs w:val="20"/>
          <w:color w:val="auto"/>
        </w:rPr>
      </w:pPr>
      <w:r>
        <w:rPr>
          <w:rFonts w:ascii="Arial" w:cs="Arial" w:eastAsia="Arial" w:hAnsi="Arial"/>
          <w:sz w:val="17"/>
          <w:szCs w:val="17"/>
          <w:color w:val="auto"/>
        </w:rPr>
        <w:t>Robert D. Johnson</w:t>
      </w:r>
    </w:p>
    <w:p>
      <w:pPr>
        <w:ind w:left="560"/>
        <w:spacing w:after="0"/>
        <w:rPr>
          <w:sz w:val="20"/>
          <w:szCs w:val="20"/>
          <w:color w:val="auto"/>
        </w:rPr>
      </w:pPr>
      <w:r>
        <w:rPr>
          <w:rFonts w:ascii="Arial" w:cs="Arial" w:eastAsia="Arial" w:hAnsi="Arial"/>
          <w:sz w:val="17"/>
          <w:szCs w:val="17"/>
          <w:color w:val="auto"/>
        </w:rPr>
        <w:t>Christopher Wright</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440" w:type="dxa"/>
            <w:vAlign w:val="bottom"/>
            <w:tcBorders>
              <w:right w:val="single" w:sz="8" w:color="005CB9"/>
            </w:tcBorders>
          </w:tcPr>
          <w:p>
            <w:pPr>
              <w:jc w:val="right"/>
              <w:ind w:right="179"/>
              <w:spacing w:after="0"/>
              <w:rPr>
                <w:sz w:val="20"/>
                <w:szCs w:val="20"/>
                <w:color w:val="auto"/>
              </w:rPr>
            </w:pPr>
            <w:r>
              <w:rPr>
                <w:rFonts w:ascii="Arial" w:cs="Arial" w:eastAsia="Arial" w:hAnsi="Arial"/>
                <w:sz w:val="16"/>
                <w:szCs w:val="16"/>
                <w:b w:val="1"/>
                <w:bCs w:val="1"/>
                <w:color w:val="005CB9"/>
                <w:w w:val="89"/>
              </w:rPr>
              <w:t>40</w:t>
            </w:r>
          </w:p>
        </w:tc>
        <w:tc>
          <w:tcPr>
            <w:tcW w:w="4700" w:type="dxa"/>
            <w:vAlign w:val="bottom"/>
          </w:tcPr>
          <w:p>
            <w:pPr>
              <w:ind w:left="106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0"/>
        </w:trPr>
        <w:tc>
          <w:tcPr>
            <w:tcW w:w="440" w:type="dxa"/>
            <w:vAlign w:val="bottom"/>
            <w:tcBorders>
              <w:right w:val="single" w:sz="8" w:color="005CB9"/>
            </w:tcBorders>
          </w:tcPr>
          <w:p>
            <w:pPr>
              <w:spacing w:after="0"/>
              <w:rPr>
                <w:sz w:val="8"/>
                <w:szCs w:val="8"/>
                <w:color w:val="auto"/>
              </w:rPr>
            </w:pPr>
          </w:p>
        </w:tc>
        <w:tc>
          <w:tcPr>
            <w:tcW w:w="47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-205105</wp:posOffset>
            </wp:positionV>
            <wp:extent cx="428625"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EXECUTIVE COMPENSATION</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the compensation earned by our named executive officers in the fiscal years noted.</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Summary Compensation Table</w:t>
      </w: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660" w:type="dxa"/>
            <w:vAlign w:val="bottom"/>
            <w:shd w:val="clear" w:color="auto" w:fill="005CB9"/>
          </w:tcPr>
          <w:p>
            <w:pPr>
              <w:spacing w:after="0"/>
              <w:rPr>
                <w:sz w:val="13"/>
                <w:szCs w:val="13"/>
                <w:color w:val="auto"/>
              </w:rPr>
            </w:pPr>
          </w:p>
        </w:tc>
        <w:tc>
          <w:tcPr>
            <w:tcW w:w="520" w:type="dxa"/>
            <w:vAlign w:val="bottom"/>
            <w:shd w:val="clear" w:color="auto" w:fill="005CB9"/>
          </w:tcPr>
          <w:p>
            <w:pPr>
              <w:spacing w:after="0"/>
              <w:rPr>
                <w:sz w:val="13"/>
                <w:szCs w:val="13"/>
                <w:color w:val="auto"/>
              </w:rPr>
            </w:pPr>
          </w:p>
        </w:tc>
        <w:tc>
          <w:tcPr>
            <w:tcW w:w="820" w:type="dxa"/>
            <w:vAlign w:val="bottom"/>
            <w:shd w:val="clear" w:color="auto" w:fill="005CB9"/>
          </w:tcPr>
          <w:p>
            <w:pPr>
              <w:spacing w:after="0"/>
              <w:rPr>
                <w:sz w:val="13"/>
                <w:szCs w:val="13"/>
                <w:color w:val="auto"/>
              </w:rPr>
            </w:pPr>
          </w:p>
        </w:tc>
        <w:tc>
          <w:tcPr>
            <w:tcW w:w="880" w:type="dxa"/>
            <w:vAlign w:val="bottom"/>
            <w:shd w:val="clear" w:color="auto" w:fill="005CB9"/>
          </w:tcPr>
          <w:p>
            <w:pPr>
              <w:spacing w:after="0"/>
              <w:rPr>
                <w:sz w:val="13"/>
                <w:szCs w:val="13"/>
                <w:color w:val="auto"/>
              </w:rPr>
            </w:pPr>
          </w:p>
        </w:tc>
        <w:tc>
          <w:tcPr>
            <w:tcW w:w="800" w:type="dxa"/>
            <w:vAlign w:val="bottom"/>
            <w:shd w:val="clear" w:color="auto" w:fill="005CB9"/>
          </w:tcPr>
          <w:p>
            <w:pPr>
              <w:spacing w:after="0"/>
              <w:rPr>
                <w:sz w:val="13"/>
                <w:szCs w:val="13"/>
                <w:color w:val="auto"/>
              </w:rPr>
            </w:pPr>
          </w:p>
        </w:tc>
        <w:tc>
          <w:tcPr>
            <w:tcW w:w="118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Non-Equity</w:t>
            </w:r>
          </w:p>
        </w:tc>
        <w:tc>
          <w:tcPr>
            <w:tcW w:w="1100" w:type="dxa"/>
            <w:vAlign w:val="bottom"/>
            <w:shd w:val="clear" w:color="auto" w:fill="005CB9"/>
          </w:tcPr>
          <w:p>
            <w:pPr>
              <w:spacing w:after="0"/>
              <w:rPr>
                <w:sz w:val="13"/>
                <w:szCs w:val="13"/>
                <w:color w:val="auto"/>
              </w:rPr>
            </w:pPr>
          </w:p>
        </w:tc>
        <w:tc>
          <w:tcPr>
            <w:tcW w:w="1060" w:type="dxa"/>
            <w:vAlign w:val="bottom"/>
            <w:shd w:val="clear" w:color="auto" w:fill="005CB9"/>
          </w:tcPr>
          <w:p>
            <w:pPr>
              <w:spacing w:after="0"/>
              <w:rPr>
                <w:sz w:val="13"/>
                <w:szCs w:val="13"/>
                <w:color w:val="auto"/>
              </w:rPr>
            </w:pPr>
          </w:p>
        </w:tc>
      </w:tr>
      <w:tr>
        <w:trPr>
          <w:trHeight w:val="148"/>
        </w:trPr>
        <w:tc>
          <w:tcPr>
            <w:tcW w:w="4660" w:type="dxa"/>
            <w:vAlign w:val="bottom"/>
            <w:shd w:val="clear" w:color="auto" w:fill="005CB9"/>
          </w:tcPr>
          <w:p>
            <w:pPr>
              <w:spacing w:after="0"/>
              <w:rPr>
                <w:sz w:val="12"/>
                <w:szCs w:val="12"/>
                <w:color w:val="auto"/>
              </w:rPr>
            </w:pPr>
          </w:p>
        </w:tc>
        <w:tc>
          <w:tcPr>
            <w:tcW w:w="520" w:type="dxa"/>
            <w:vAlign w:val="bottom"/>
            <w:shd w:val="clear" w:color="auto" w:fill="005CB9"/>
          </w:tcPr>
          <w:p>
            <w:pPr>
              <w:spacing w:after="0"/>
              <w:rPr>
                <w:sz w:val="12"/>
                <w:szCs w:val="12"/>
                <w:color w:val="auto"/>
              </w:rPr>
            </w:pPr>
          </w:p>
        </w:tc>
        <w:tc>
          <w:tcPr>
            <w:tcW w:w="820" w:type="dxa"/>
            <w:vAlign w:val="bottom"/>
            <w:shd w:val="clear" w:color="auto" w:fill="005CB9"/>
          </w:tcPr>
          <w:p>
            <w:pPr>
              <w:spacing w:after="0"/>
              <w:rPr>
                <w:sz w:val="12"/>
                <w:szCs w:val="12"/>
                <w:color w:val="auto"/>
              </w:rPr>
            </w:pPr>
          </w:p>
        </w:tc>
        <w:tc>
          <w:tcPr>
            <w:tcW w:w="880" w:type="dxa"/>
            <w:vAlign w:val="bottom"/>
            <w:shd w:val="clear" w:color="auto" w:fill="005CB9"/>
          </w:tcPr>
          <w:p>
            <w:pPr>
              <w:spacing w:after="0"/>
              <w:rPr>
                <w:sz w:val="12"/>
                <w:szCs w:val="12"/>
                <w:color w:val="auto"/>
              </w:rPr>
            </w:pPr>
          </w:p>
        </w:tc>
        <w:tc>
          <w:tcPr>
            <w:tcW w:w="800" w:type="dxa"/>
            <w:vAlign w:val="bottom"/>
            <w:shd w:val="clear" w:color="auto" w:fill="005CB9"/>
          </w:tcPr>
          <w:p>
            <w:pPr>
              <w:spacing w:after="0"/>
              <w:rPr>
                <w:sz w:val="12"/>
                <w:szCs w:val="12"/>
                <w:color w:val="auto"/>
              </w:rPr>
            </w:pPr>
          </w:p>
        </w:tc>
        <w:tc>
          <w:tcPr>
            <w:tcW w:w="118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Incentive</w:t>
            </w:r>
          </w:p>
        </w:tc>
        <w:tc>
          <w:tcPr>
            <w:tcW w:w="1100" w:type="dxa"/>
            <w:vAlign w:val="bottom"/>
            <w:shd w:val="clear" w:color="auto" w:fill="005CB9"/>
          </w:tcPr>
          <w:p>
            <w:pPr>
              <w:spacing w:after="0"/>
              <w:rPr>
                <w:sz w:val="12"/>
                <w:szCs w:val="12"/>
                <w:color w:val="auto"/>
              </w:rPr>
            </w:pPr>
          </w:p>
        </w:tc>
        <w:tc>
          <w:tcPr>
            <w:tcW w:w="1060" w:type="dxa"/>
            <w:vAlign w:val="bottom"/>
            <w:shd w:val="clear" w:color="auto" w:fill="005CB9"/>
          </w:tcPr>
          <w:p>
            <w:pPr>
              <w:spacing w:after="0"/>
              <w:rPr>
                <w:sz w:val="12"/>
                <w:szCs w:val="12"/>
                <w:color w:val="auto"/>
              </w:rPr>
            </w:pPr>
          </w:p>
        </w:tc>
      </w:tr>
      <w:tr>
        <w:trPr>
          <w:trHeight w:val="148"/>
        </w:trPr>
        <w:tc>
          <w:tcPr>
            <w:tcW w:w="4660" w:type="dxa"/>
            <w:vAlign w:val="bottom"/>
            <w:shd w:val="clear" w:color="auto" w:fill="005CB9"/>
          </w:tcPr>
          <w:p>
            <w:pPr>
              <w:spacing w:after="0"/>
              <w:rPr>
                <w:sz w:val="12"/>
                <w:szCs w:val="12"/>
                <w:color w:val="auto"/>
              </w:rPr>
            </w:pPr>
          </w:p>
        </w:tc>
        <w:tc>
          <w:tcPr>
            <w:tcW w:w="520" w:type="dxa"/>
            <w:vAlign w:val="bottom"/>
            <w:shd w:val="clear" w:color="auto" w:fill="005CB9"/>
          </w:tcPr>
          <w:p>
            <w:pPr>
              <w:spacing w:after="0"/>
              <w:rPr>
                <w:sz w:val="12"/>
                <w:szCs w:val="12"/>
                <w:color w:val="auto"/>
              </w:rPr>
            </w:pPr>
          </w:p>
        </w:tc>
        <w:tc>
          <w:tcPr>
            <w:tcW w:w="820" w:type="dxa"/>
            <w:vAlign w:val="bottom"/>
            <w:shd w:val="clear" w:color="auto" w:fill="005CB9"/>
          </w:tcPr>
          <w:p>
            <w:pPr>
              <w:spacing w:after="0"/>
              <w:rPr>
                <w:sz w:val="12"/>
                <w:szCs w:val="12"/>
                <w:color w:val="auto"/>
              </w:rPr>
            </w:pPr>
          </w:p>
        </w:tc>
        <w:tc>
          <w:tcPr>
            <w:tcW w:w="880" w:type="dxa"/>
            <w:vAlign w:val="bottom"/>
            <w:shd w:val="clear" w:color="auto" w:fill="005CB9"/>
          </w:tcPr>
          <w:p>
            <w:pPr>
              <w:jc w:val="right"/>
              <w:ind w:right="9"/>
              <w:spacing w:after="0" w:line="148" w:lineRule="exact"/>
              <w:rPr>
                <w:sz w:val="20"/>
                <w:szCs w:val="20"/>
                <w:color w:val="auto"/>
              </w:rPr>
            </w:pPr>
            <w:r>
              <w:rPr>
                <w:rFonts w:ascii="Arial" w:cs="Arial" w:eastAsia="Arial" w:hAnsi="Arial"/>
                <w:sz w:val="13"/>
                <w:szCs w:val="13"/>
                <w:color w:val="FFFFFF"/>
              </w:rPr>
              <w:t>Stock</w:t>
            </w:r>
          </w:p>
        </w:tc>
        <w:tc>
          <w:tcPr>
            <w:tcW w:w="800" w:type="dxa"/>
            <w:vAlign w:val="bottom"/>
            <w:shd w:val="clear" w:color="auto" w:fill="005CB9"/>
          </w:tcPr>
          <w:p>
            <w:pPr>
              <w:jc w:val="right"/>
              <w:spacing w:after="0" w:line="148" w:lineRule="exact"/>
              <w:rPr>
                <w:sz w:val="20"/>
                <w:szCs w:val="20"/>
                <w:color w:val="auto"/>
              </w:rPr>
            </w:pPr>
            <w:r>
              <w:rPr>
                <w:rFonts w:ascii="Arial" w:cs="Arial" w:eastAsia="Arial" w:hAnsi="Arial"/>
                <w:sz w:val="13"/>
                <w:szCs w:val="13"/>
                <w:color w:val="FFFFFF"/>
              </w:rPr>
              <w:t>Option</w:t>
            </w:r>
          </w:p>
        </w:tc>
        <w:tc>
          <w:tcPr>
            <w:tcW w:w="1180" w:type="dxa"/>
            <w:vAlign w:val="bottom"/>
            <w:shd w:val="clear" w:color="auto" w:fill="005CB9"/>
          </w:tcPr>
          <w:p>
            <w:pPr>
              <w:jc w:val="right"/>
              <w:spacing w:after="0" w:line="148" w:lineRule="exact"/>
              <w:rPr>
                <w:sz w:val="20"/>
                <w:szCs w:val="20"/>
                <w:color w:val="auto"/>
              </w:rPr>
            </w:pPr>
            <w:r>
              <w:rPr>
                <w:rFonts w:ascii="Arial" w:cs="Arial" w:eastAsia="Arial" w:hAnsi="Arial"/>
                <w:sz w:val="13"/>
                <w:szCs w:val="13"/>
                <w:color w:val="FFFFFF"/>
              </w:rPr>
              <w:t>Plan</w:t>
            </w:r>
          </w:p>
        </w:tc>
        <w:tc>
          <w:tcPr>
            <w:tcW w:w="1100" w:type="dxa"/>
            <w:vAlign w:val="bottom"/>
            <w:shd w:val="clear" w:color="auto" w:fill="005CB9"/>
          </w:tcPr>
          <w:p>
            <w:pPr>
              <w:jc w:val="right"/>
              <w:spacing w:after="0" w:line="148" w:lineRule="exact"/>
              <w:rPr>
                <w:sz w:val="20"/>
                <w:szCs w:val="20"/>
                <w:color w:val="auto"/>
              </w:rPr>
            </w:pPr>
            <w:r>
              <w:rPr>
                <w:rFonts w:ascii="Arial" w:cs="Arial" w:eastAsia="Arial" w:hAnsi="Arial"/>
                <w:sz w:val="13"/>
                <w:szCs w:val="13"/>
                <w:color w:val="FFFFFF"/>
              </w:rPr>
              <w:t>All Other</w:t>
            </w:r>
          </w:p>
        </w:tc>
        <w:tc>
          <w:tcPr>
            <w:tcW w:w="1060" w:type="dxa"/>
            <w:vAlign w:val="bottom"/>
            <w:shd w:val="clear" w:color="auto" w:fill="005CB9"/>
          </w:tcPr>
          <w:p>
            <w:pPr>
              <w:jc w:val="right"/>
              <w:ind w:right="49"/>
              <w:spacing w:after="0" w:line="148" w:lineRule="exact"/>
              <w:rPr>
                <w:sz w:val="20"/>
                <w:szCs w:val="20"/>
                <w:color w:val="auto"/>
              </w:rPr>
            </w:pPr>
            <w:r>
              <w:rPr>
                <w:rFonts w:ascii="Arial" w:cs="Arial" w:eastAsia="Arial" w:hAnsi="Arial"/>
                <w:sz w:val="13"/>
                <w:szCs w:val="13"/>
                <w:color w:val="FFFFFF"/>
              </w:rPr>
              <w:t>Total</w:t>
            </w:r>
          </w:p>
        </w:tc>
      </w:tr>
      <w:tr>
        <w:trPr>
          <w:trHeight w:val="149"/>
        </w:trPr>
        <w:tc>
          <w:tcPr>
            <w:tcW w:w="4660" w:type="dxa"/>
            <w:vAlign w:val="bottom"/>
            <w:shd w:val="clear" w:color="auto" w:fill="005CB9"/>
          </w:tcPr>
          <w:p>
            <w:pPr>
              <w:ind w:left="80"/>
              <w:spacing w:after="0"/>
              <w:rPr>
                <w:sz w:val="20"/>
                <w:szCs w:val="20"/>
                <w:color w:val="auto"/>
              </w:rPr>
            </w:pPr>
            <w:r>
              <w:rPr>
                <w:rFonts w:ascii="Arial" w:cs="Arial" w:eastAsia="Arial" w:hAnsi="Arial"/>
                <w:sz w:val="13"/>
                <w:szCs w:val="13"/>
                <w:color w:val="FFFFFF"/>
              </w:rPr>
              <w:t>Name and</w:t>
            </w:r>
          </w:p>
        </w:tc>
        <w:tc>
          <w:tcPr>
            <w:tcW w:w="520" w:type="dxa"/>
            <w:vAlign w:val="bottom"/>
            <w:shd w:val="clear" w:color="auto" w:fill="005CB9"/>
          </w:tcPr>
          <w:p>
            <w:pPr>
              <w:spacing w:after="0"/>
              <w:rPr>
                <w:sz w:val="12"/>
                <w:szCs w:val="12"/>
                <w:color w:val="auto"/>
              </w:rPr>
            </w:pPr>
          </w:p>
        </w:tc>
        <w:tc>
          <w:tcPr>
            <w:tcW w:w="820" w:type="dxa"/>
            <w:vAlign w:val="bottom"/>
            <w:shd w:val="clear" w:color="auto" w:fill="005CB9"/>
          </w:tcPr>
          <w:p>
            <w:pPr>
              <w:jc w:val="right"/>
              <w:ind w:right="29"/>
              <w:spacing w:after="0" w:line="149" w:lineRule="exact"/>
              <w:rPr>
                <w:sz w:val="20"/>
                <w:szCs w:val="20"/>
                <w:color w:val="auto"/>
              </w:rPr>
            </w:pPr>
            <w:r>
              <w:rPr>
                <w:rFonts w:ascii="Arial" w:cs="Arial" w:eastAsia="Arial" w:hAnsi="Arial"/>
                <w:sz w:val="13"/>
                <w:szCs w:val="13"/>
                <w:color w:val="FFFFFF"/>
              </w:rPr>
              <w:t>Salary</w:t>
            </w:r>
            <w:r>
              <w:rPr>
                <w:rFonts w:ascii="Arial" w:cs="Arial" w:eastAsia="Arial" w:hAnsi="Arial"/>
                <w:sz w:val="15"/>
                <w:szCs w:val="15"/>
                <w:color w:val="FFFFFF"/>
                <w:vertAlign w:val="superscript"/>
              </w:rPr>
              <w:t>(1)</w:t>
            </w:r>
          </w:p>
        </w:tc>
        <w:tc>
          <w:tcPr>
            <w:tcW w:w="880" w:type="dxa"/>
            <w:vAlign w:val="bottom"/>
            <w:shd w:val="clear" w:color="auto" w:fill="005CB9"/>
          </w:tcPr>
          <w:p>
            <w:pPr>
              <w:jc w:val="right"/>
              <w:ind w:right="9"/>
              <w:spacing w:after="0" w:line="149" w:lineRule="exact"/>
              <w:rPr>
                <w:sz w:val="20"/>
                <w:szCs w:val="20"/>
                <w:color w:val="auto"/>
              </w:rPr>
            </w:pPr>
            <w:r>
              <w:rPr>
                <w:rFonts w:ascii="Arial" w:cs="Arial" w:eastAsia="Arial" w:hAnsi="Arial"/>
                <w:sz w:val="13"/>
                <w:szCs w:val="13"/>
                <w:color w:val="FFFFFF"/>
              </w:rPr>
              <w:t>Awards</w:t>
            </w:r>
            <w:r>
              <w:rPr>
                <w:rFonts w:ascii="Arial" w:cs="Arial" w:eastAsia="Arial" w:hAnsi="Arial"/>
                <w:sz w:val="15"/>
                <w:szCs w:val="15"/>
                <w:color w:val="FFFFFF"/>
                <w:vertAlign w:val="superscript"/>
              </w:rPr>
              <w:t>(2)</w:t>
            </w:r>
          </w:p>
        </w:tc>
        <w:tc>
          <w:tcPr>
            <w:tcW w:w="800" w:type="dxa"/>
            <w:vAlign w:val="bottom"/>
            <w:shd w:val="clear" w:color="auto" w:fill="005CB9"/>
          </w:tcPr>
          <w:p>
            <w:pPr>
              <w:jc w:val="right"/>
              <w:spacing w:after="0" w:line="149" w:lineRule="exact"/>
              <w:rPr>
                <w:sz w:val="20"/>
                <w:szCs w:val="20"/>
                <w:color w:val="auto"/>
              </w:rPr>
            </w:pPr>
            <w:r>
              <w:rPr>
                <w:rFonts w:ascii="Arial" w:cs="Arial" w:eastAsia="Arial" w:hAnsi="Arial"/>
                <w:sz w:val="13"/>
                <w:szCs w:val="13"/>
                <w:color w:val="FFFFFF"/>
              </w:rPr>
              <w:t>Awards</w:t>
            </w:r>
            <w:r>
              <w:rPr>
                <w:rFonts w:ascii="Arial" w:cs="Arial" w:eastAsia="Arial" w:hAnsi="Arial"/>
                <w:sz w:val="15"/>
                <w:szCs w:val="15"/>
                <w:color w:val="FFFFFF"/>
                <w:vertAlign w:val="superscript"/>
              </w:rPr>
              <w:t>(2)</w:t>
            </w:r>
          </w:p>
        </w:tc>
        <w:tc>
          <w:tcPr>
            <w:tcW w:w="1180" w:type="dxa"/>
            <w:vAlign w:val="bottom"/>
            <w:shd w:val="clear" w:color="auto" w:fill="005CB9"/>
          </w:tcPr>
          <w:p>
            <w:pPr>
              <w:jc w:val="right"/>
              <w:spacing w:after="0" w:line="149" w:lineRule="exact"/>
              <w:rPr>
                <w:sz w:val="20"/>
                <w:szCs w:val="20"/>
                <w:color w:val="auto"/>
              </w:rPr>
            </w:pPr>
            <w:r>
              <w:rPr>
                <w:rFonts w:ascii="Arial" w:cs="Arial" w:eastAsia="Arial" w:hAnsi="Arial"/>
                <w:sz w:val="13"/>
                <w:szCs w:val="13"/>
                <w:color w:val="FFFFFF"/>
              </w:rPr>
              <w:t>Compensation</w:t>
            </w:r>
            <w:r>
              <w:rPr>
                <w:rFonts w:ascii="Arial" w:cs="Arial" w:eastAsia="Arial" w:hAnsi="Arial"/>
                <w:sz w:val="15"/>
                <w:szCs w:val="15"/>
                <w:color w:val="FFFFFF"/>
                <w:vertAlign w:val="superscript"/>
              </w:rPr>
              <w:t>(1)(3)</w:t>
            </w:r>
          </w:p>
        </w:tc>
        <w:tc>
          <w:tcPr>
            <w:tcW w:w="1100" w:type="dxa"/>
            <w:vAlign w:val="bottom"/>
            <w:shd w:val="clear" w:color="auto" w:fill="005CB9"/>
          </w:tcPr>
          <w:p>
            <w:pPr>
              <w:jc w:val="right"/>
              <w:spacing w:after="0" w:line="149" w:lineRule="exact"/>
              <w:rPr>
                <w:sz w:val="20"/>
                <w:szCs w:val="20"/>
                <w:color w:val="auto"/>
              </w:rPr>
            </w:pPr>
            <w:r>
              <w:rPr>
                <w:rFonts w:ascii="Arial" w:cs="Arial" w:eastAsia="Arial" w:hAnsi="Arial"/>
                <w:sz w:val="13"/>
                <w:szCs w:val="13"/>
                <w:color w:val="FFFFFF"/>
              </w:rPr>
              <w:t>Compensation</w:t>
            </w:r>
            <w:r>
              <w:rPr>
                <w:rFonts w:ascii="Arial" w:cs="Arial" w:eastAsia="Arial" w:hAnsi="Arial"/>
                <w:sz w:val="15"/>
                <w:szCs w:val="15"/>
                <w:color w:val="FFFFFF"/>
                <w:vertAlign w:val="superscript"/>
              </w:rPr>
              <w:t>(4)</w:t>
            </w:r>
          </w:p>
        </w:tc>
        <w:tc>
          <w:tcPr>
            <w:tcW w:w="1060" w:type="dxa"/>
            <w:vAlign w:val="bottom"/>
            <w:shd w:val="clear" w:color="auto" w:fill="005CB9"/>
          </w:tcPr>
          <w:p>
            <w:pPr>
              <w:jc w:val="right"/>
              <w:ind w:right="49"/>
              <w:spacing w:after="0"/>
              <w:rPr>
                <w:sz w:val="20"/>
                <w:szCs w:val="20"/>
                <w:color w:val="auto"/>
              </w:rPr>
            </w:pPr>
            <w:r>
              <w:rPr>
                <w:rFonts w:ascii="Arial" w:cs="Arial" w:eastAsia="Arial" w:hAnsi="Arial"/>
                <w:sz w:val="13"/>
                <w:szCs w:val="13"/>
                <w:color w:val="FFFFFF"/>
              </w:rPr>
              <w:t>Compensation</w:t>
            </w:r>
          </w:p>
        </w:tc>
      </w:tr>
      <w:tr>
        <w:trPr>
          <w:trHeight w:val="163"/>
        </w:trPr>
        <w:tc>
          <w:tcPr>
            <w:tcW w:w="4660" w:type="dxa"/>
            <w:vAlign w:val="bottom"/>
            <w:shd w:val="clear" w:color="auto" w:fill="005CB9"/>
          </w:tcPr>
          <w:p>
            <w:pPr>
              <w:ind w:left="80"/>
              <w:spacing w:after="0"/>
              <w:rPr>
                <w:sz w:val="20"/>
                <w:szCs w:val="20"/>
                <w:color w:val="auto"/>
              </w:rPr>
            </w:pPr>
            <w:r>
              <w:rPr>
                <w:rFonts w:ascii="Arial" w:cs="Arial" w:eastAsia="Arial" w:hAnsi="Arial"/>
                <w:sz w:val="13"/>
                <w:szCs w:val="13"/>
                <w:color w:val="FFFFFF"/>
              </w:rPr>
              <w:t>Principal Position</w:t>
            </w:r>
          </w:p>
        </w:tc>
        <w:tc>
          <w:tcPr>
            <w:tcW w:w="520" w:type="dxa"/>
            <w:vAlign w:val="bottom"/>
            <w:shd w:val="clear" w:color="auto" w:fill="005CB9"/>
          </w:tcPr>
          <w:p>
            <w:pPr>
              <w:jc w:val="right"/>
              <w:ind w:right="8"/>
              <w:spacing w:after="0"/>
              <w:rPr>
                <w:sz w:val="20"/>
                <w:szCs w:val="20"/>
                <w:color w:val="auto"/>
              </w:rPr>
            </w:pPr>
            <w:r>
              <w:rPr>
                <w:rFonts w:ascii="Arial" w:cs="Arial" w:eastAsia="Arial" w:hAnsi="Arial"/>
                <w:sz w:val="13"/>
                <w:szCs w:val="13"/>
                <w:color w:val="FFFFFF"/>
              </w:rPr>
              <w:t>Year</w:t>
            </w:r>
          </w:p>
        </w:tc>
        <w:tc>
          <w:tcPr>
            <w:tcW w:w="820" w:type="dxa"/>
            <w:vAlign w:val="bottom"/>
            <w:shd w:val="clear" w:color="auto" w:fill="005CB9"/>
          </w:tcPr>
          <w:p>
            <w:pPr>
              <w:jc w:val="right"/>
              <w:ind w:right="29"/>
              <w:spacing w:after="0"/>
              <w:rPr>
                <w:sz w:val="20"/>
                <w:szCs w:val="20"/>
                <w:color w:val="auto"/>
              </w:rPr>
            </w:pPr>
            <w:r>
              <w:rPr>
                <w:rFonts w:ascii="Arial" w:cs="Arial" w:eastAsia="Arial" w:hAnsi="Arial"/>
                <w:sz w:val="13"/>
                <w:szCs w:val="13"/>
                <w:color w:val="FFFFFF"/>
              </w:rPr>
              <w:t>($)</w:t>
            </w:r>
          </w:p>
        </w:tc>
        <w:tc>
          <w:tcPr>
            <w:tcW w:w="880" w:type="dxa"/>
            <w:vAlign w:val="bottom"/>
            <w:shd w:val="clear" w:color="auto" w:fill="005CB9"/>
          </w:tcPr>
          <w:p>
            <w:pPr>
              <w:jc w:val="right"/>
              <w:ind w:right="9"/>
              <w:spacing w:after="0"/>
              <w:rPr>
                <w:sz w:val="20"/>
                <w:szCs w:val="20"/>
                <w:color w:val="auto"/>
              </w:rPr>
            </w:pPr>
            <w:r>
              <w:rPr>
                <w:rFonts w:ascii="Arial" w:cs="Arial" w:eastAsia="Arial" w:hAnsi="Arial"/>
                <w:sz w:val="13"/>
                <w:szCs w:val="13"/>
                <w:color w:val="FFFFFF"/>
              </w:rPr>
              <w:t>($)</w:t>
            </w:r>
          </w:p>
        </w:tc>
        <w:tc>
          <w:tcPr>
            <w:tcW w:w="80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w:t>
            </w:r>
          </w:p>
        </w:tc>
        <w:tc>
          <w:tcPr>
            <w:tcW w:w="118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w:t>
            </w:r>
          </w:p>
        </w:tc>
        <w:tc>
          <w:tcPr>
            <w:tcW w:w="110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w:t>
            </w:r>
          </w:p>
        </w:tc>
        <w:tc>
          <w:tcPr>
            <w:tcW w:w="1060" w:type="dxa"/>
            <w:vAlign w:val="bottom"/>
            <w:shd w:val="clear" w:color="auto" w:fill="005CB9"/>
          </w:tcPr>
          <w:p>
            <w:pPr>
              <w:jc w:val="right"/>
              <w:ind w:right="49"/>
              <w:spacing w:after="0"/>
              <w:rPr>
                <w:sz w:val="20"/>
                <w:szCs w:val="20"/>
                <w:color w:val="auto"/>
              </w:rPr>
            </w:pPr>
            <w:r>
              <w:rPr>
                <w:rFonts w:ascii="Arial" w:cs="Arial" w:eastAsia="Arial" w:hAnsi="Arial"/>
                <w:sz w:val="13"/>
                <w:szCs w:val="13"/>
                <w:color w:val="FFFFFF"/>
              </w:rPr>
              <w:t>($)</w:t>
            </w:r>
          </w:p>
        </w:tc>
      </w:tr>
      <w:tr>
        <w:trPr>
          <w:trHeight w:val="231"/>
        </w:trPr>
        <w:tc>
          <w:tcPr>
            <w:tcW w:w="4660" w:type="dxa"/>
            <w:vAlign w:val="bottom"/>
            <w:shd w:val="clear" w:color="auto" w:fill="E5EEF8"/>
          </w:tcPr>
          <w:p>
            <w:pPr>
              <w:ind w:left="80"/>
              <w:spacing w:after="0"/>
              <w:rPr>
                <w:sz w:val="20"/>
                <w:szCs w:val="20"/>
                <w:color w:val="auto"/>
              </w:rPr>
            </w:pPr>
            <w:r>
              <w:rPr>
                <w:rFonts w:ascii="Arial" w:cs="Arial" w:eastAsia="Arial" w:hAnsi="Arial"/>
                <w:sz w:val="14"/>
                <w:szCs w:val="14"/>
                <w:b w:val="1"/>
                <w:bCs w:val="1"/>
                <w:color w:val="005CB9"/>
              </w:rPr>
              <w:t>L. Neil Hunn</w:t>
            </w:r>
          </w:p>
        </w:tc>
        <w:tc>
          <w:tcPr>
            <w:tcW w:w="52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2021</w:t>
            </w:r>
          </w:p>
        </w:tc>
        <w:tc>
          <w:tcPr>
            <w:tcW w:w="820" w:type="dxa"/>
            <w:vAlign w:val="bottom"/>
            <w:shd w:val="clear" w:color="auto" w:fill="E5EEF8"/>
          </w:tcPr>
          <w:p>
            <w:pPr>
              <w:jc w:val="right"/>
              <w:ind w:right="29"/>
              <w:spacing w:after="0"/>
              <w:rPr>
                <w:sz w:val="20"/>
                <w:szCs w:val="20"/>
                <w:color w:val="auto"/>
              </w:rPr>
            </w:pPr>
            <w:r>
              <w:rPr>
                <w:rFonts w:ascii="Arial" w:cs="Arial" w:eastAsia="Arial" w:hAnsi="Arial"/>
                <w:sz w:val="14"/>
                <w:szCs w:val="14"/>
                <w:color w:val="auto"/>
              </w:rPr>
              <w:t>1,000,000</w:t>
            </w:r>
          </w:p>
        </w:tc>
        <w:tc>
          <w:tcPr>
            <w:tcW w:w="880" w:type="dxa"/>
            <w:vAlign w:val="bottom"/>
            <w:shd w:val="clear" w:color="auto" w:fill="E5EEF8"/>
          </w:tcPr>
          <w:p>
            <w:pPr>
              <w:jc w:val="right"/>
              <w:ind w:right="9"/>
              <w:spacing w:after="0"/>
              <w:rPr>
                <w:sz w:val="20"/>
                <w:szCs w:val="20"/>
                <w:color w:val="auto"/>
              </w:rPr>
            </w:pPr>
            <w:r>
              <w:rPr>
                <w:rFonts w:ascii="Arial" w:cs="Arial" w:eastAsia="Arial" w:hAnsi="Arial"/>
                <w:sz w:val="14"/>
                <w:szCs w:val="14"/>
                <w:color w:val="auto"/>
              </w:rPr>
              <w:t>12,946,468</w:t>
            </w:r>
          </w:p>
        </w:tc>
        <w:tc>
          <w:tcPr>
            <w:tcW w:w="800" w:type="dxa"/>
            <w:vAlign w:val="bottom"/>
            <w:shd w:val="clear" w:color="auto" w:fill="E5EEF8"/>
          </w:tcPr>
          <w:p>
            <w:pPr>
              <w:jc w:val="right"/>
              <w:spacing w:after="0"/>
              <w:rPr>
                <w:sz w:val="20"/>
                <w:szCs w:val="20"/>
                <w:color w:val="auto"/>
              </w:rPr>
            </w:pPr>
            <w:r>
              <w:rPr>
                <w:rFonts w:ascii="Arial" w:cs="Arial" w:eastAsia="Arial" w:hAnsi="Arial"/>
                <w:sz w:val="14"/>
                <w:szCs w:val="14"/>
                <w:color w:val="auto"/>
              </w:rPr>
              <w:t>4,425,029</w:t>
            </w:r>
          </w:p>
        </w:tc>
        <w:tc>
          <w:tcPr>
            <w:tcW w:w="11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3,000,000</w:t>
            </w:r>
          </w:p>
        </w:tc>
        <w:tc>
          <w:tcPr>
            <w:tcW w:w="110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160,558</w:t>
            </w:r>
          </w:p>
        </w:tc>
        <w:tc>
          <w:tcPr>
            <w:tcW w:w="1060" w:type="dxa"/>
            <w:vAlign w:val="bottom"/>
            <w:shd w:val="clear" w:color="auto" w:fill="E5EEF8"/>
          </w:tcPr>
          <w:p>
            <w:pPr>
              <w:jc w:val="right"/>
              <w:ind w:right="49"/>
              <w:spacing w:after="0"/>
              <w:rPr>
                <w:sz w:val="20"/>
                <w:szCs w:val="20"/>
                <w:color w:val="auto"/>
              </w:rPr>
            </w:pPr>
            <w:r>
              <w:rPr>
                <w:rFonts w:ascii="Arial" w:cs="Arial" w:eastAsia="Arial" w:hAnsi="Arial"/>
                <w:sz w:val="14"/>
                <w:szCs w:val="14"/>
                <w:color w:val="auto"/>
              </w:rPr>
              <w:t>21,532,055</w:t>
            </w:r>
          </w:p>
        </w:tc>
      </w:tr>
      <w:tr>
        <w:trPr>
          <w:trHeight w:val="216"/>
        </w:trPr>
        <w:tc>
          <w:tcPr>
            <w:tcW w:w="4660" w:type="dxa"/>
            <w:vAlign w:val="bottom"/>
            <w:shd w:val="clear" w:color="auto" w:fill="E5EEF8"/>
          </w:tcPr>
          <w:p>
            <w:pPr>
              <w:ind w:left="80"/>
              <w:spacing w:after="0"/>
              <w:rPr>
                <w:sz w:val="20"/>
                <w:szCs w:val="20"/>
                <w:color w:val="auto"/>
              </w:rPr>
            </w:pPr>
            <w:r>
              <w:rPr>
                <w:rFonts w:ascii="Arial" w:cs="Arial" w:eastAsia="Arial" w:hAnsi="Arial"/>
                <w:sz w:val="14"/>
                <w:szCs w:val="14"/>
                <w:color w:val="auto"/>
              </w:rPr>
              <w:t>President and Chief</w:t>
            </w:r>
          </w:p>
        </w:tc>
        <w:tc>
          <w:tcPr>
            <w:tcW w:w="52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2020</w:t>
            </w:r>
          </w:p>
        </w:tc>
        <w:tc>
          <w:tcPr>
            <w:tcW w:w="820" w:type="dxa"/>
            <w:vAlign w:val="bottom"/>
            <w:shd w:val="clear" w:color="auto" w:fill="E5EEF8"/>
          </w:tcPr>
          <w:p>
            <w:pPr>
              <w:jc w:val="right"/>
              <w:ind w:right="29"/>
              <w:spacing w:after="0"/>
              <w:rPr>
                <w:sz w:val="20"/>
                <w:szCs w:val="20"/>
                <w:color w:val="auto"/>
              </w:rPr>
            </w:pPr>
            <w:r>
              <w:rPr>
                <w:rFonts w:ascii="Arial" w:cs="Arial" w:eastAsia="Arial" w:hAnsi="Arial"/>
                <w:sz w:val="14"/>
                <w:szCs w:val="14"/>
                <w:color w:val="auto"/>
              </w:rPr>
              <w:t>895,833</w:t>
            </w:r>
          </w:p>
        </w:tc>
        <w:tc>
          <w:tcPr>
            <w:tcW w:w="880" w:type="dxa"/>
            <w:vAlign w:val="bottom"/>
            <w:shd w:val="clear" w:color="auto" w:fill="E5EEF8"/>
          </w:tcPr>
          <w:p>
            <w:pPr>
              <w:jc w:val="right"/>
              <w:ind w:right="9"/>
              <w:spacing w:after="0"/>
              <w:rPr>
                <w:sz w:val="20"/>
                <w:szCs w:val="20"/>
                <w:color w:val="auto"/>
              </w:rPr>
            </w:pPr>
            <w:r>
              <w:rPr>
                <w:rFonts w:ascii="Arial" w:cs="Arial" w:eastAsia="Arial" w:hAnsi="Arial"/>
                <w:sz w:val="14"/>
                <w:szCs w:val="14"/>
                <w:color w:val="auto"/>
              </w:rPr>
              <w:t>13,091,674</w:t>
            </w:r>
          </w:p>
        </w:tc>
        <w:tc>
          <w:tcPr>
            <w:tcW w:w="800" w:type="dxa"/>
            <w:vAlign w:val="bottom"/>
            <w:shd w:val="clear" w:color="auto" w:fill="E5EEF8"/>
          </w:tcPr>
          <w:p>
            <w:pPr>
              <w:jc w:val="right"/>
              <w:spacing w:after="0"/>
              <w:rPr>
                <w:sz w:val="20"/>
                <w:szCs w:val="20"/>
                <w:color w:val="auto"/>
              </w:rPr>
            </w:pPr>
            <w:r>
              <w:rPr>
                <w:rFonts w:ascii="Arial" w:cs="Arial" w:eastAsia="Arial" w:hAnsi="Arial"/>
                <w:sz w:val="14"/>
                <w:szCs w:val="14"/>
                <w:color w:val="auto"/>
              </w:rPr>
              <w:t>4,249,979</w:t>
            </w:r>
          </w:p>
        </w:tc>
        <w:tc>
          <w:tcPr>
            <w:tcW w:w="11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584,000</w:t>
            </w:r>
          </w:p>
        </w:tc>
        <w:tc>
          <w:tcPr>
            <w:tcW w:w="1100" w:type="dxa"/>
            <w:vAlign w:val="bottom"/>
            <w:shd w:val="clear" w:color="auto" w:fill="E5EEF8"/>
          </w:tcPr>
          <w:p>
            <w:pPr>
              <w:jc w:val="right"/>
              <w:spacing w:after="0"/>
              <w:rPr>
                <w:sz w:val="20"/>
                <w:szCs w:val="20"/>
                <w:color w:val="auto"/>
              </w:rPr>
            </w:pPr>
            <w:r>
              <w:rPr>
                <w:rFonts w:ascii="Arial" w:cs="Arial" w:eastAsia="Arial" w:hAnsi="Arial"/>
                <w:sz w:val="14"/>
                <w:szCs w:val="14"/>
                <w:color w:val="auto"/>
              </w:rPr>
              <w:t>257,466</w:t>
            </w:r>
          </w:p>
        </w:tc>
        <w:tc>
          <w:tcPr>
            <w:tcW w:w="1060" w:type="dxa"/>
            <w:vAlign w:val="bottom"/>
            <w:shd w:val="clear" w:color="auto" w:fill="E5EEF8"/>
          </w:tcPr>
          <w:p>
            <w:pPr>
              <w:jc w:val="right"/>
              <w:ind w:right="49"/>
              <w:spacing w:after="0"/>
              <w:rPr>
                <w:sz w:val="20"/>
                <w:szCs w:val="20"/>
                <w:color w:val="auto"/>
              </w:rPr>
            </w:pPr>
            <w:r>
              <w:rPr>
                <w:rFonts w:ascii="Arial" w:cs="Arial" w:eastAsia="Arial" w:hAnsi="Arial"/>
                <w:sz w:val="14"/>
                <w:szCs w:val="14"/>
                <w:color w:val="auto"/>
              </w:rPr>
              <w:t>19,078,951</w:t>
            </w:r>
          </w:p>
        </w:tc>
      </w:tr>
      <w:tr>
        <w:trPr>
          <w:trHeight w:val="216"/>
        </w:trPr>
        <w:tc>
          <w:tcPr>
            <w:tcW w:w="4660" w:type="dxa"/>
            <w:vAlign w:val="bottom"/>
            <w:shd w:val="clear" w:color="auto" w:fill="E5EEF8"/>
          </w:tcPr>
          <w:p>
            <w:pPr>
              <w:ind w:left="80"/>
              <w:spacing w:after="0"/>
              <w:rPr>
                <w:sz w:val="20"/>
                <w:szCs w:val="20"/>
                <w:color w:val="auto"/>
              </w:rPr>
            </w:pPr>
            <w:r>
              <w:rPr>
                <w:rFonts w:ascii="Arial" w:cs="Arial" w:eastAsia="Arial" w:hAnsi="Arial"/>
                <w:sz w:val="14"/>
                <w:szCs w:val="14"/>
                <w:color w:val="auto"/>
              </w:rPr>
              <w:t>Executive Officer</w:t>
            </w:r>
          </w:p>
        </w:tc>
        <w:tc>
          <w:tcPr>
            <w:tcW w:w="52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2019</w:t>
            </w:r>
          </w:p>
        </w:tc>
        <w:tc>
          <w:tcPr>
            <w:tcW w:w="820" w:type="dxa"/>
            <w:vAlign w:val="bottom"/>
            <w:shd w:val="clear" w:color="auto" w:fill="E5EEF8"/>
          </w:tcPr>
          <w:p>
            <w:pPr>
              <w:jc w:val="right"/>
              <w:ind w:right="29"/>
              <w:spacing w:after="0"/>
              <w:rPr>
                <w:sz w:val="20"/>
                <w:szCs w:val="20"/>
                <w:color w:val="auto"/>
              </w:rPr>
            </w:pPr>
            <w:r>
              <w:rPr>
                <w:rFonts w:ascii="Arial" w:cs="Arial" w:eastAsia="Arial" w:hAnsi="Arial"/>
                <w:sz w:val="14"/>
                <w:szCs w:val="14"/>
                <w:color w:val="auto"/>
              </w:rPr>
              <w:t>1,000,000</w:t>
            </w:r>
          </w:p>
        </w:tc>
        <w:tc>
          <w:tcPr>
            <w:tcW w:w="880" w:type="dxa"/>
            <w:vAlign w:val="bottom"/>
            <w:shd w:val="clear" w:color="auto" w:fill="E5EEF8"/>
          </w:tcPr>
          <w:p>
            <w:pPr>
              <w:jc w:val="right"/>
              <w:ind w:right="9"/>
              <w:spacing w:after="0"/>
              <w:rPr>
                <w:sz w:val="20"/>
                <w:szCs w:val="20"/>
                <w:color w:val="auto"/>
              </w:rPr>
            </w:pPr>
            <w:r>
              <w:rPr>
                <w:rFonts w:ascii="Arial" w:cs="Arial" w:eastAsia="Arial" w:hAnsi="Arial"/>
                <w:sz w:val="14"/>
                <w:szCs w:val="14"/>
                <w:color w:val="auto"/>
              </w:rPr>
              <w:t>12,163,500</w:t>
            </w:r>
          </w:p>
        </w:tc>
        <w:tc>
          <w:tcPr>
            <w:tcW w:w="800" w:type="dxa"/>
            <w:vAlign w:val="bottom"/>
            <w:shd w:val="clear" w:color="auto" w:fill="E5EEF8"/>
          </w:tcPr>
          <w:p>
            <w:pPr>
              <w:jc w:val="right"/>
              <w:spacing w:after="0"/>
              <w:rPr>
                <w:sz w:val="20"/>
                <w:szCs w:val="20"/>
                <w:color w:val="auto"/>
              </w:rPr>
            </w:pPr>
            <w:r>
              <w:rPr>
                <w:rFonts w:ascii="Arial" w:cs="Arial" w:eastAsia="Arial" w:hAnsi="Arial"/>
                <w:sz w:val="14"/>
                <w:szCs w:val="14"/>
                <w:color w:val="auto"/>
              </w:rPr>
              <w:t>3,396,474</w:t>
            </w:r>
          </w:p>
        </w:tc>
        <w:tc>
          <w:tcPr>
            <w:tcW w:w="11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2,000,000</w:t>
            </w:r>
          </w:p>
        </w:tc>
        <w:tc>
          <w:tcPr>
            <w:tcW w:w="1100" w:type="dxa"/>
            <w:vAlign w:val="bottom"/>
            <w:shd w:val="clear" w:color="auto" w:fill="E5EEF8"/>
          </w:tcPr>
          <w:p>
            <w:pPr>
              <w:jc w:val="right"/>
              <w:spacing w:after="0"/>
              <w:rPr>
                <w:sz w:val="20"/>
                <w:szCs w:val="20"/>
                <w:color w:val="auto"/>
              </w:rPr>
            </w:pPr>
            <w:r>
              <w:rPr>
                <w:rFonts w:ascii="Arial" w:cs="Arial" w:eastAsia="Arial" w:hAnsi="Arial"/>
                <w:sz w:val="14"/>
                <w:szCs w:val="14"/>
                <w:color w:val="auto"/>
              </w:rPr>
              <w:t>252,440</w:t>
            </w:r>
          </w:p>
        </w:tc>
        <w:tc>
          <w:tcPr>
            <w:tcW w:w="1060" w:type="dxa"/>
            <w:vAlign w:val="bottom"/>
            <w:shd w:val="clear" w:color="auto" w:fill="E5EEF8"/>
          </w:tcPr>
          <w:p>
            <w:pPr>
              <w:jc w:val="right"/>
              <w:ind w:right="49"/>
              <w:spacing w:after="0"/>
              <w:rPr>
                <w:sz w:val="20"/>
                <w:szCs w:val="20"/>
                <w:color w:val="auto"/>
              </w:rPr>
            </w:pPr>
            <w:r>
              <w:rPr>
                <w:rFonts w:ascii="Arial" w:cs="Arial" w:eastAsia="Arial" w:hAnsi="Arial"/>
                <w:sz w:val="14"/>
                <w:szCs w:val="14"/>
                <w:color w:val="auto"/>
              </w:rPr>
              <w:t>18,812,414</w:t>
            </w:r>
          </w:p>
        </w:tc>
      </w:tr>
      <w:tr>
        <w:trPr>
          <w:trHeight w:val="79"/>
        </w:trPr>
        <w:tc>
          <w:tcPr>
            <w:tcW w:w="4660" w:type="dxa"/>
            <w:vAlign w:val="bottom"/>
            <w:shd w:val="clear" w:color="auto" w:fill="E5EEF8"/>
          </w:tcPr>
          <w:p>
            <w:pPr>
              <w:spacing w:after="0"/>
              <w:rPr>
                <w:sz w:val="6"/>
                <w:szCs w:val="6"/>
                <w:color w:val="auto"/>
              </w:rPr>
            </w:pPr>
          </w:p>
        </w:tc>
        <w:tc>
          <w:tcPr>
            <w:tcW w:w="520" w:type="dxa"/>
            <w:vAlign w:val="bottom"/>
            <w:shd w:val="clear" w:color="auto" w:fill="E5EEF8"/>
          </w:tcPr>
          <w:p>
            <w:pPr>
              <w:spacing w:after="0"/>
              <w:rPr>
                <w:sz w:val="6"/>
                <w:szCs w:val="6"/>
                <w:color w:val="auto"/>
              </w:rPr>
            </w:pPr>
          </w:p>
        </w:tc>
        <w:tc>
          <w:tcPr>
            <w:tcW w:w="820" w:type="dxa"/>
            <w:vAlign w:val="bottom"/>
            <w:shd w:val="clear" w:color="auto" w:fill="E5EEF8"/>
          </w:tcPr>
          <w:p>
            <w:pPr>
              <w:spacing w:after="0"/>
              <w:rPr>
                <w:sz w:val="6"/>
                <w:szCs w:val="6"/>
                <w:color w:val="auto"/>
              </w:rPr>
            </w:pPr>
          </w:p>
        </w:tc>
        <w:tc>
          <w:tcPr>
            <w:tcW w:w="880" w:type="dxa"/>
            <w:vAlign w:val="bottom"/>
            <w:shd w:val="clear" w:color="auto" w:fill="E5EEF8"/>
          </w:tcPr>
          <w:p>
            <w:pPr>
              <w:spacing w:after="0"/>
              <w:rPr>
                <w:sz w:val="6"/>
                <w:szCs w:val="6"/>
                <w:color w:val="auto"/>
              </w:rPr>
            </w:pPr>
          </w:p>
        </w:tc>
        <w:tc>
          <w:tcPr>
            <w:tcW w:w="800" w:type="dxa"/>
            <w:vAlign w:val="bottom"/>
            <w:shd w:val="clear" w:color="auto" w:fill="E5EEF8"/>
          </w:tcPr>
          <w:p>
            <w:pPr>
              <w:spacing w:after="0"/>
              <w:rPr>
                <w:sz w:val="6"/>
                <w:szCs w:val="6"/>
                <w:color w:val="auto"/>
              </w:rPr>
            </w:pPr>
          </w:p>
        </w:tc>
        <w:tc>
          <w:tcPr>
            <w:tcW w:w="1180" w:type="dxa"/>
            <w:vAlign w:val="bottom"/>
            <w:shd w:val="clear" w:color="auto" w:fill="E5EEF8"/>
          </w:tcPr>
          <w:p>
            <w:pPr>
              <w:spacing w:after="0"/>
              <w:rPr>
                <w:sz w:val="6"/>
                <w:szCs w:val="6"/>
                <w:color w:val="auto"/>
              </w:rPr>
            </w:pPr>
          </w:p>
        </w:tc>
        <w:tc>
          <w:tcPr>
            <w:tcW w:w="1100" w:type="dxa"/>
            <w:vAlign w:val="bottom"/>
            <w:shd w:val="clear" w:color="auto" w:fill="E5EEF8"/>
          </w:tcPr>
          <w:p>
            <w:pPr>
              <w:spacing w:after="0"/>
              <w:rPr>
                <w:sz w:val="6"/>
                <w:szCs w:val="6"/>
                <w:color w:val="auto"/>
              </w:rPr>
            </w:pPr>
          </w:p>
        </w:tc>
        <w:tc>
          <w:tcPr>
            <w:tcW w:w="1060" w:type="dxa"/>
            <w:vAlign w:val="bottom"/>
            <w:shd w:val="clear" w:color="auto" w:fill="E5EEF8"/>
          </w:tcPr>
          <w:p>
            <w:pPr>
              <w:spacing w:after="0"/>
              <w:rPr>
                <w:sz w:val="6"/>
                <w:szCs w:val="6"/>
                <w:color w:val="auto"/>
              </w:rPr>
            </w:pPr>
          </w:p>
        </w:tc>
      </w:tr>
      <w:tr>
        <w:trPr>
          <w:trHeight w:val="272"/>
        </w:trPr>
        <w:tc>
          <w:tcPr>
            <w:tcW w:w="4660" w:type="dxa"/>
            <w:vAlign w:val="bottom"/>
          </w:tcPr>
          <w:p>
            <w:pPr>
              <w:ind w:left="80"/>
              <w:spacing w:after="0"/>
              <w:rPr>
                <w:sz w:val="20"/>
                <w:szCs w:val="20"/>
                <w:color w:val="auto"/>
              </w:rPr>
            </w:pPr>
            <w:r>
              <w:rPr>
                <w:rFonts w:ascii="Arial" w:cs="Arial" w:eastAsia="Arial" w:hAnsi="Arial"/>
                <w:sz w:val="14"/>
                <w:szCs w:val="14"/>
                <w:b w:val="1"/>
                <w:bCs w:val="1"/>
                <w:color w:val="005CB9"/>
              </w:rPr>
              <w:t>Robert C. Crisci</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2021</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690,000</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4,095,969</w:t>
            </w:r>
          </w:p>
        </w:tc>
        <w:tc>
          <w:tcPr>
            <w:tcW w:w="800" w:type="dxa"/>
            <w:vAlign w:val="bottom"/>
          </w:tcPr>
          <w:p>
            <w:pPr>
              <w:jc w:val="right"/>
              <w:spacing w:after="0"/>
              <w:rPr>
                <w:sz w:val="20"/>
                <w:szCs w:val="20"/>
                <w:color w:val="auto"/>
              </w:rPr>
            </w:pPr>
            <w:r>
              <w:rPr>
                <w:rFonts w:ascii="Arial" w:cs="Arial" w:eastAsia="Arial" w:hAnsi="Arial"/>
                <w:sz w:val="14"/>
                <w:szCs w:val="14"/>
                <w:color w:val="auto"/>
              </w:rPr>
              <w:t>1,450,038</w:t>
            </w:r>
          </w:p>
        </w:tc>
        <w:tc>
          <w:tcPr>
            <w:tcW w:w="1180" w:type="dxa"/>
            <w:vAlign w:val="bottom"/>
          </w:tcPr>
          <w:p>
            <w:pPr>
              <w:jc w:val="right"/>
              <w:spacing w:after="0"/>
              <w:rPr>
                <w:sz w:val="20"/>
                <w:szCs w:val="20"/>
                <w:color w:val="auto"/>
              </w:rPr>
            </w:pPr>
            <w:r>
              <w:rPr>
                <w:rFonts w:ascii="Arial" w:cs="Arial" w:eastAsia="Arial" w:hAnsi="Arial"/>
                <w:sz w:val="14"/>
                <w:szCs w:val="14"/>
                <w:color w:val="auto"/>
              </w:rPr>
              <w:t>1,293,750</w:t>
            </w:r>
          </w:p>
        </w:tc>
        <w:tc>
          <w:tcPr>
            <w:tcW w:w="1100" w:type="dxa"/>
            <w:vAlign w:val="bottom"/>
          </w:tcPr>
          <w:p>
            <w:pPr>
              <w:jc w:val="right"/>
              <w:spacing w:after="0"/>
              <w:rPr>
                <w:sz w:val="20"/>
                <w:szCs w:val="20"/>
                <w:color w:val="auto"/>
              </w:rPr>
            </w:pPr>
            <w:r>
              <w:rPr>
                <w:rFonts w:ascii="Arial" w:cs="Arial" w:eastAsia="Arial" w:hAnsi="Arial"/>
                <w:sz w:val="14"/>
                <w:szCs w:val="14"/>
                <w:color w:val="auto"/>
              </w:rPr>
              <w:t>103,322</w:t>
            </w: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7,633,079</w:t>
            </w:r>
          </w:p>
        </w:tc>
      </w:tr>
      <w:tr>
        <w:trPr>
          <w:trHeight w:val="216"/>
        </w:trPr>
        <w:tc>
          <w:tcPr>
            <w:tcW w:w="4660" w:type="dxa"/>
            <w:vAlign w:val="bottom"/>
          </w:tcPr>
          <w:p>
            <w:pPr>
              <w:ind w:left="80"/>
              <w:spacing w:after="0"/>
              <w:rPr>
                <w:sz w:val="20"/>
                <w:szCs w:val="20"/>
                <w:color w:val="auto"/>
              </w:rPr>
            </w:pPr>
            <w:r>
              <w:rPr>
                <w:rFonts w:ascii="Arial" w:cs="Arial" w:eastAsia="Arial" w:hAnsi="Arial"/>
                <w:sz w:val="14"/>
                <w:szCs w:val="14"/>
                <w:color w:val="auto"/>
              </w:rPr>
              <w:t>Executive Vice President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2020</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605,000</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4,107,170</w:t>
            </w:r>
          </w:p>
        </w:tc>
        <w:tc>
          <w:tcPr>
            <w:tcW w:w="800" w:type="dxa"/>
            <w:vAlign w:val="bottom"/>
          </w:tcPr>
          <w:p>
            <w:pPr>
              <w:jc w:val="right"/>
              <w:spacing w:after="0"/>
              <w:rPr>
                <w:sz w:val="20"/>
                <w:szCs w:val="20"/>
                <w:color w:val="auto"/>
              </w:rPr>
            </w:pPr>
            <w:r>
              <w:rPr>
                <w:rFonts w:ascii="Arial" w:cs="Arial" w:eastAsia="Arial" w:hAnsi="Arial"/>
                <w:sz w:val="14"/>
                <w:szCs w:val="14"/>
                <w:color w:val="auto"/>
              </w:rPr>
              <w:t>1,400,003</w:t>
            </w:r>
          </w:p>
        </w:tc>
        <w:tc>
          <w:tcPr>
            <w:tcW w:w="1180" w:type="dxa"/>
            <w:vAlign w:val="bottom"/>
          </w:tcPr>
          <w:p>
            <w:pPr>
              <w:jc w:val="right"/>
              <w:spacing w:after="0"/>
              <w:rPr>
                <w:sz w:val="20"/>
                <w:szCs w:val="20"/>
                <w:color w:val="auto"/>
              </w:rPr>
            </w:pPr>
            <w:r>
              <w:rPr>
                <w:rFonts w:ascii="Arial" w:cs="Arial" w:eastAsia="Arial" w:hAnsi="Arial"/>
                <w:sz w:val="14"/>
                <w:szCs w:val="14"/>
                <w:color w:val="auto"/>
              </w:rPr>
              <w:t>240,900</w:t>
            </w:r>
          </w:p>
        </w:tc>
        <w:tc>
          <w:tcPr>
            <w:tcW w:w="1100" w:type="dxa"/>
            <w:vAlign w:val="bottom"/>
          </w:tcPr>
          <w:p>
            <w:pPr>
              <w:jc w:val="right"/>
              <w:spacing w:after="0"/>
              <w:rPr>
                <w:sz w:val="20"/>
                <w:szCs w:val="20"/>
                <w:color w:val="auto"/>
              </w:rPr>
            </w:pPr>
            <w:r>
              <w:rPr>
                <w:rFonts w:ascii="Arial" w:cs="Arial" w:eastAsia="Arial" w:hAnsi="Arial"/>
                <w:sz w:val="14"/>
                <w:szCs w:val="14"/>
                <w:color w:val="auto"/>
              </w:rPr>
              <w:t>138,252</w:t>
            </w: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6,491,325</w:t>
            </w:r>
          </w:p>
        </w:tc>
      </w:tr>
      <w:tr>
        <w:trPr>
          <w:trHeight w:val="216"/>
        </w:trPr>
        <w:tc>
          <w:tcPr>
            <w:tcW w:w="4660" w:type="dxa"/>
            <w:vAlign w:val="bottom"/>
          </w:tcPr>
          <w:p>
            <w:pPr>
              <w:ind w:left="80"/>
              <w:spacing w:after="0"/>
              <w:rPr>
                <w:sz w:val="20"/>
                <w:szCs w:val="20"/>
                <w:color w:val="auto"/>
              </w:rPr>
            </w:pPr>
            <w:r>
              <w:rPr>
                <w:rFonts w:ascii="Arial" w:cs="Arial" w:eastAsia="Arial" w:hAnsi="Arial"/>
                <w:sz w:val="14"/>
                <w:szCs w:val="14"/>
                <w:color w:val="auto"/>
              </w:rPr>
              <w:t>and Chief Financial Officer</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2019</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635,000</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3,784,200</w:t>
            </w:r>
          </w:p>
        </w:tc>
        <w:tc>
          <w:tcPr>
            <w:tcW w:w="800" w:type="dxa"/>
            <w:vAlign w:val="bottom"/>
          </w:tcPr>
          <w:p>
            <w:pPr>
              <w:jc w:val="right"/>
              <w:spacing w:after="0"/>
              <w:rPr>
                <w:sz w:val="20"/>
                <w:szCs w:val="20"/>
                <w:color w:val="auto"/>
              </w:rPr>
            </w:pPr>
            <w:r>
              <w:rPr>
                <w:rFonts w:ascii="Arial" w:cs="Arial" w:eastAsia="Arial" w:hAnsi="Arial"/>
                <w:sz w:val="14"/>
                <w:szCs w:val="14"/>
                <w:color w:val="auto"/>
              </w:rPr>
              <w:t>1,415,198</w:t>
            </w:r>
          </w:p>
        </w:tc>
        <w:tc>
          <w:tcPr>
            <w:tcW w:w="1180" w:type="dxa"/>
            <w:vAlign w:val="bottom"/>
          </w:tcPr>
          <w:p>
            <w:pPr>
              <w:jc w:val="right"/>
              <w:spacing w:after="0"/>
              <w:rPr>
                <w:sz w:val="20"/>
                <w:szCs w:val="20"/>
                <w:color w:val="auto"/>
              </w:rPr>
            </w:pPr>
            <w:r>
              <w:rPr>
                <w:rFonts w:ascii="Arial" w:cs="Arial" w:eastAsia="Arial" w:hAnsi="Arial"/>
                <w:sz w:val="14"/>
                <w:szCs w:val="14"/>
                <w:color w:val="auto"/>
              </w:rPr>
              <w:t>793,750</w:t>
            </w:r>
          </w:p>
        </w:tc>
        <w:tc>
          <w:tcPr>
            <w:tcW w:w="1100" w:type="dxa"/>
            <w:vAlign w:val="bottom"/>
          </w:tcPr>
          <w:p>
            <w:pPr>
              <w:jc w:val="right"/>
              <w:spacing w:after="0"/>
              <w:rPr>
                <w:sz w:val="20"/>
                <w:szCs w:val="20"/>
                <w:color w:val="auto"/>
              </w:rPr>
            </w:pPr>
            <w:r>
              <w:rPr>
                <w:rFonts w:ascii="Arial" w:cs="Arial" w:eastAsia="Arial" w:hAnsi="Arial"/>
                <w:sz w:val="14"/>
                <w:szCs w:val="14"/>
                <w:color w:val="auto"/>
              </w:rPr>
              <w:t>139,901</w:t>
            </w: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6,768,049</w:t>
            </w:r>
          </w:p>
        </w:tc>
      </w:tr>
      <w:tr>
        <w:trPr>
          <w:trHeight w:val="80"/>
        </w:trPr>
        <w:tc>
          <w:tcPr>
            <w:tcW w:w="4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60" w:type="dxa"/>
            <w:vAlign w:val="bottom"/>
          </w:tcPr>
          <w:p>
            <w:pPr>
              <w:spacing w:after="0"/>
              <w:rPr>
                <w:sz w:val="6"/>
                <w:szCs w:val="6"/>
                <w:color w:val="auto"/>
              </w:rPr>
            </w:pPr>
          </w:p>
        </w:tc>
      </w:tr>
      <w:tr>
        <w:trPr>
          <w:trHeight w:val="271"/>
        </w:trPr>
        <w:tc>
          <w:tcPr>
            <w:tcW w:w="4660" w:type="dxa"/>
            <w:vAlign w:val="bottom"/>
            <w:shd w:val="clear" w:color="auto" w:fill="E5EEF8"/>
          </w:tcPr>
          <w:p>
            <w:pPr>
              <w:ind w:left="80"/>
              <w:spacing w:after="0"/>
              <w:rPr>
                <w:sz w:val="20"/>
                <w:szCs w:val="20"/>
                <w:color w:val="auto"/>
              </w:rPr>
            </w:pPr>
            <w:r>
              <w:rPr>
                <w:rFonts w:ascii="Arial" w:cs="Arial" w:eastAsia="Arial" w:hAnsi="Arial"/>
                <w:sz w:val="14"/>
                <w:szCs w:val="14"/>
                <w:b w:val="1"/>
                <w:bCs w:val="1"/>
                <w:color w:val="005CB9"/>
              </w:rPr>
              <w:t>John K. Stipancich</w:t>
            </w:r>
          </w:p>
        </w:tc>
        <w:tc>
          <w:tcPr>
            <w:tcW w:w="52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2021</w:t>
            </w:r>
          </w:p>
        </w:tc>
        <w:tc>
          <w:tcPr>
            <w:tcW w:w="820" w:type="dxa"/>
            <w:vAlign w:val="bottom"/>
            <w:shd w:val="clear" w:color="auto" w:fill="E5EEF8"/>
          </w:tcPr>
          <w:p>
            <w:pPr>
              <w:jc w:val="right"/>
              <w:ind w:right="29"/>
              <w:spacing w:after="0"/>
              <w:rPr>
                <w:sz w:val="20"/>
                <w:szCs w:val="20"/>
                <w:color w:val="auto"/>
              </w:rPr>
            </w:pPr>
            <w:r>
              <w:rPr>
                <w:rFonts w:ascii="Arial" w:cs="Arial" w:eastAsia="Arial" w:hAnsi="Arial"/>
                <w:sz w:val="14"/>
                <w:szCs w:val="14"/>
                <w:color w:val="auto"/>
              </w:rPr>
              <w:t>750,000</w:t>
            </w:r>
          </w:p>
        </w:tc>
        <w:tc>
          <w:tcPr>
            <w:tcW w:w="880" w:type="dxa"/>
            <w:vAlign w:val="bottom"/>
            <w:shd w:val="clear" w:color="auto" w:fill="E5EEF8"/>
          </w:tcPr>
          <w:p>
            <w:pPr>
              <w:jc w:val="right"/>
              <w:ind w:right="9"/>
              <w:spacing w:after="0"/>
              <w:rPr>
                <w:sz w:val="20"/>
                <w:szCs w:val="20"/>
                <w:color w:val="auto"/>
              </w:rPr>
            </w:pPr>
            <w:r>
              <w:rPr>
                <w:rFonts w:ascii="Arial" w:cs="Arial" w:eastAsia="Arial" w:hAnsi="Arial"/>
                <w:sz w:val="14"/>
                <w:szCs w:val="14"/>
                <w:color w:val="auto"/>
              </w:rPr>
              <w:t>2,437,998</w:t>
            </w:r>
          </w:p>
        </w:tc>
        <w:tc>
          <w:tcPr>
            <w:tcW w:w="800" w:type="dxa"/>
            <w:vAlign w:val="bottom"/>
            <w:shd w:val="clear" w:color="auto" w:fill="E5EEF8"/>
          </w:tcPr>
          <w:p>
            <w:pPr>
              <w:jc w:val="right"/>
              <w:spacing w:after="0"/>
              <w:rPr>
                <w:sz w:val="20"/>
                <w:szCs w:val="20"/>
                <w:color w:val="auto"/>
              </w:rPr>
            </w:pPr>
            <w:r>
              <w:rPr>
                <w:rFonts w:ascii="Arial" w:cs="Arial" w:eastAsia="Arial" w:hAnsi="Arial"/>
                <w:sz w:val="14"/>
                <w:szCs w:val="14"/>
                <w:color w:val="auto"/>
              </w:rPr>
              <w:t>899,989</w:t>
            </w:r>
          </w:p>
        </w:tc>
        <w:tc>
          <w:tcPr>
            <w:tcW w:w="11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1,406,250</w:t>
            </w:r>
          </w:p>
        </w:tc>
        <w:tc>
          <w:tcPr>
            <w:tcW w:w="110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105,432</w:t>
            </w:r>
          </w:p>
        </w:tc>
        <w:tc>
          <w:tcPr>
            <w:tcW w:w="1060" w:type="dxa"/>
            <w:vAlign w:val="bottom"/>
            <w:shd w:val="clear" w:color="auto" w:fill="E5EEF8"/>
          </w:tcPr>
          <w:p>
            <w:pPr>
              <w:jc w:val="right"/>
              <w:ind w:right="49"/>
              <w:spacing w:after="0"/>
              <w:rPr>
                <w:sz w:val="20"/>
                <w:szCs w:val="20"/>
                <w:color w:val="auto"/>
              </w:rPr>
            </w:pPr>
            <w:r>
              <w:rPr>
                <w:rFonts w:ascii="Arial" w:cs="Arial" w:eastAsia="Arial" w:hAnsi="Arial"/>
                <w:sz w:val="14"/>
                <w:szCs w:val="14"/>
                <w:color w:val="auto"/>
              </w:rPr>
              <w:t>5,599,669</w:t>
            </w:r>
          </w:p>
        </w:tc>
      </w:tr>
      <w:tr>
        <w:trPr>
          <w:trHeight w:val="216"/>
        </w:trPr>
        <w:tc>
          <w:tcPr>
            <w:tcW w:w="4660" w:type="dxa"/>
            <w:vAlign w:val="bottom"/>
            <w:shd w:val="clear" w:color="auto" w:fill="E5EEF8"/>
          </w:tcPr>
          <w:p>
            <w:pPr>
              <w:ind w:left="80"/>
              <w:spacing w:after="0"/>
              <w:rPr>
                <w:sz w:val="20"/>
                <w:szCs w:val="20"/>
                <w:color w:val="auto"/>
              </w:rPr>
            </w:pPr>
            <w:r>
              <w:rPr>
                <w:rFonts w:ascii="Arial" w:cs="Arial" w:eastAsia="Arial" w:hAnsi="Arial"/>
                <w:sz w:val="14"/>
                <w:szCs w:val="14"/>
                <w:color w:val="auto"/>
              </w:rPr>
              <w:t>Executive Vice President,</w:t>
            </w:r>
          </w:p>
        </w:tc>
        <w:tc>
          <w:tcPr>
            <w:tcW w:w="52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2020</w:t>
            </w:r>
          </w:p>
        </w:tc>
        <w:tc>
          <w:tcPr>
            <w:tcW w:w="820" w:type="dxa"/>
            <w:vAlign w:val="bottom"/>
            <w:shd w:val="clear" w:color="auto" w:fill="E5EEF8"/>
          </w:tcPr>
          <w:p>
            <w:pPr>
              <w:jc w:val="right"/>
              <w:ind w:right="29"/>
              <w:spacing w:after="0"/>
              <w:rPr>
                <w:sz w:val="20"/>
                <w:szCs w:val="20"/>
                <w:color w:val="auto"/>
              </w:rPr>
            </w:pPr>
            <w:r>
              <w:rPr>
                <w:rFonts w:ascii="Arial" w:cs="Arial" w:eastAsia="Arial" w:hAnsi="Arial"/>
                <w:sz w:val="14"/>
                <w:szCs w:val="14"/>
                <w:color w:val="auto"/>
              </w:rPr>
              <w:t>660,000</w:t>
            </w:r>
          </w:p>
        </w:tc>
        <w:tc>
          <w:tcPr>
            <w:tcW w:w="880" w:type="dxa"/>
            <w:vAlign w:val="bottom"/>
            <w:shd w:val="clear" w:color="auto" w:fill="E5EEF8"/>
          </w:tcPr>
          <w:p>
            <w:pPr>
              <w:jc w:val="right"/>
              <w:ind w:right="9"/>
              <w:spacing w:after="0"/>
              <w:rPr>
                <w:sz w:val="20"/>
                <w:szCs w:val="20"/>
                <w:color w:val="auto"/>
              </w:rPr>
            </w:pPr>
            <w:r>
              <w:rPr>
                <w:rFonts w:ascii="Arial" w:cs="Arial" w:eastAsia="Arial" w:hAnsi="Arial"/>
                <w:sz w:val="14"/>
                <w:szCs w:val="14"/>
                <w:color w:val="auto"/>
              </w:rPr>
              <w:t>2,464,376</w:t>
            </w:r>
          </w:p>
        </w:tc>
        <w:tc>
          <w:tcPr>
            <w:tcW w:w="800" w:type="dxa"/>
            <w:vAlign w:val="bottom"/>
            <w:shd w:val="clear" w:color="auto" w:fill="E5EEF8"/>
          </w:tcPr>
          <w:p>
            <w:pPr>
              <w:jc w:val="right"/>
              <w:spacing w:after="0"/>
              <w:rPr>
                <w:sz w:val="20"/>
                <w:szCs w:val="20"/>
                <w:color w:val="auto"/>
              </w:rPr>
            </w:pPr>
            <w:r>
              <w:rPr>
                <w:rFonts w:ascii="Arial" w:cs="Arial" w:eastAsia="Arial" w:hAnsi="Arial"/>
                <w:sz w:val="14"/>
                <w:szCs w:val="14"/>
                <w:color w:val="auto"/>
              </w:rPr>
              <w:t>850,026</w:t>
            </w:r>
          </w:p>
        </w:tc>
        <w:tc>
          <w:tcPr>
            <w:tcW w:w="11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262,800</w:t>
            </w:r>
          </w:p>
        </w:tc>
        <w:tc>
          <w:tcPr>
            <w:tcW w:w="110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143,156</w:t>
            </w:r>
          </w:p>
        </w:tc>
        <w:tc>
          <w:tcPr>
            <w:tcW w:w="1060" w:type="dxa"/>
            <w:vAlign w:val="bottom"/>
            <w:shd w:val="clear" w:color="auto" w:fill="E5EEF8"/>
          </w:tcPr>
          <w:p>
            <w:pPr>
              <w:jc w:val="right"/>
              <w:ind w:right="49"/>
              <w:spacing w:after="0"/>
              <w:rPr>
                <w:sz w:val="20"/>
                <w:szCs w:val="20"/>
                <w:color w:val="auto"/>
              </w:rPr>
            </w:pPr>
            <w:r>
              <w:rPr>
                <w:rFonts w:ascii="Arial" w:cs="Arial" w:eastAsia="Arial" w:hAnsi="Arial"/>
                <w:sz w:val="14"/>
                <w:szCs w:val="14"/>
                <w:color w:val="auto"/>
              </w:rPr>
              <w:t>4,380,358</w:t>
            </w:r>
          </w:p>
        </w:tc>
      </w:tr>
      <w:tr>
        <w:trPr>
          <w:trHeight w:val="216"/>
        </w:trPr>
        <w:tc>
          <w:tcPr>
            <w:tcW w:w="4660" w:type="dxa"/>
            <w:vAlign w:val="bottom"/>
            <w:shd w:val="clear" w:color="auto" w:fill="E5EEF8"/>
          </w:tcPr>
          <w:p>
            <w:pPr>
              <w:ind w:left="80"/>
              <w:spacing w:after="0"/>
              <w:rPr>
                <w:sz w:val="20"/>
                <w:szCs w:val="20"/>
                <w:color w:val="auto"/>
              </w:rPr>
            </w:pPr>
            <w:r>
              <w:rPr>
                <w:rFonts w:ascii="Arial" w:cs="Arial" w:eastAsia="Arial" w:hAnsi="Arial"/>
                <w:sz w:val="14"/>
                <w:szCs w:val="14"/>
                <w:color w:val="auto"/>
              </w:rPr>
              <w:t>General Counsel and Corporate</w:t>
            </w:r>
          </w:p>
        </w:tc>
        <w:tc>
          <w:tcPr>
            <w:tcW w:w="52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2019</w:t>
            </w:r>
          </w:p>
        </w:tc>
        <w:tc>
          <w:tcPr>
            <w:tcW w:w="820" w:type="dxa"/>
            <w:vAlign w:val="bottom"/>
            <w:shd w:val="clear" w:color="auto" w:fill="E5EEF8"/>
          </w:tcPr>
          <w:p>
            <w:pPr>
              <w:jc w:val="right"/>
              <w:ind w:right="29"/>
              <w:spacing w:after="0"/>
              <w:rPr>
                <w:sz w:val="20"/>
                <w:szCs w:val="20"/>
                <w:color w:val="auto"/>
              </w:rPr>
            </w:pPr>
            <w:r>
              <w:rPr>
                <w:rFonts w:ascii="Arial" w:cs="Arial" w:eastAsia="Arial" w:hAnsi="Arial"/>
                <w:sz w:val="14"/>
                <w:szCs w:val="14"/>
                <w:color w:val="auto"/>
              </w:rPr>
              <w:t>695,000</w:t>
            </w:r>
          </w:p>
        </w:tc>
        <w:tc>
          <w:tcPr>
            <w:tcW w:w="880" w:type="dxa"/>
            <w:vAlign w:val="bottom"/>
            <w:shd w:val="clear" w:color="auto" w:fill="E5EEF8"/>
          </w:tcPr>
          <w:p>
            <w:pPr>
              <w:jc w:val="right"/>
              <w:ind w:right="9"/>
              <w:spacing w:after="0"/>
              <w:rPr>
                <w:sz w:val="20"/>
                <w:szCs w:val="20"/>
                <w:color w:val="auto"/>
              </w:rPr>
            </w:pPr>
            <w:r>
              <w:rPr>
                <w:rFonts w:ascii="Arial" w:cs="Arial" w:eastAsia="Arial" w:hAnsi="Arial"/>
                <w:sz w:val="14"/>
                <w:szCs w:val="14"/>
                <w:color w:val="auto"/>
              </w:rPr>
              <w:t>2,229,975</w:t>
            </w:r>
          </w:p>
        </w:tc>
        <w:tc>
          <w:tcPr>
            <w:tcW w:w="800" w:type="dxa"/>
            <w:vAlign w:val="bottom"/>
            <w:shd w:val="clear" w:color="auto" w:fill="E5EEF8"/>
          </w:tcPr>
          <w:p>
            <w:pPr>
              <w:jc w:val="right"/>
              <w:spacing w:after="0"/>
              <w:rPr>
                <w:sz w:val="20"/>
                <w:szCs w:val="20"/>
                <w:color w:val="auto"/>
              </w:rPr>
            </w:pPr>
            <w:r>
              <w:rPr>
                <w:rFonts w:ascii="Arial" w:cs="Arial" w:eastAsia="Arial" w:hAnsi="Arial"/>
                <w:sz w:val="14"/>
                <w:szCs w:val="14"/>
                <w:color w:val="auto"/>
              </w:rPr>
              <w:t>849,119</w:t>
            </w:r>
          </w:p>
        </w:tc>
        <w:tc>
          <w:tcPr>
            <w:tcW w:w="11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868,750</w:t>
            </w:r>
          </w:p>
        </w:tc>
        <w:tc>
          <w:tcPr>
            <w:tcW w:w="110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132,000</w:t>
            </w:r>
          </w:p>
        </w:tc>
        <w:tc>
          <w:tcPr>
            <w:tcW w:w="1060" w:type="dxa"/>
            <w:vAlign w:val="bottom"/>
            <w:shd w:val="clear" w:color="auto" w:fill="E5EEF8"/>
          </w:tcPr>
          <w:p>
            <w:pPr>
              <w:jc w:val="right"/>
              <w:ind w:right="49"/>
              <w:spacing w:after="0"/>
              <w:rPr>
                <w:sz w:val="20"/>
                <w:szCs w:val="20"/>
                <w:color w:val="auto"/>
              </w:rPr>
            </w:pPr>
            <w:r>
              <w:rPr>
                <w:rFonts w:ascii="Arial" w:cs="Arial" w:eastAsia="Arial" w:hAnsi="Arial"/>
                <w:sz w:val="14"/>
                <w:szCs w:val="14"/>
                <w:color w:val="auto"/>
              </w:rPr>
              <w:t>4,774,843</w:t>
            </w:r>
          </w:p>
        </w:tc>
      </w:tr>
      <w:tr>
        <w:trPr>
          <w:trHeight w:val="216"/>
        </w:trPr>
        <w:tc>
          <w:tcPr>
            <w:tcW w:w="4660" w:type="dxa"/>
            <w:vAlign w:val="bottom"/>
            <w:shd w:val="clear" w:color="auto" w:fill="E5EEF8"/>
          </w:tcPr>
          <w:p>
            <w:pPr>
              <w:ind w:left="80"/>
              <w:spacing w:after="0"/>
              <w:rPr>
                <w:sz w:val="20"/>
                <w:szCs w:val="20"/>
                <w:color w:val="auto"/>
              </w:rPr>
            </w:pPr>
            <w:r>
              <w:rPr>
                <w:rFonts w:ascii="Arial" w:cs="Arial" w:eastAsia="Arial" w:hAnsi="Arial"/>
                <w:sz w:val="14"/>
                <w:szCs w:val="14"/>
                <w:color w:val="auto"/>
              </w:rPr>
              <w:t>Secretary</w:t>
            </w:r>
          </w:p>
        </w:tc>
        <w:tc>
          <w:tcPr>
            <w:tcW w:w="52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880" w:type="dxa"/>
            <w:vAlign w:val="bottom"/>
            <w:shd w:val="clear" w:color="auto" w:fill="E5EEF8"/>
          </w:tcPr>
          <w:p>
            <w:pPr>
              <w:spacing w:after="0"/>
              <w:rPr>
                <w:sz w:val="18"/>
                <w:szCs w:val="18"/>
                <w:color w:val="auto"/>
              </w:rPr>
            </w:pPr>
          </w:p>
        </w:tc>
        <w:tc>
          <w:tcPr>
            <w:tcW w:w="800" w:type="dxa"/>
            <w:vAlign w:val="bottom"/>
            <w:shd w:val="clear" w:color="auto" w:fill="E5EEF8"/>
          </w:tcPr>
          <w:p>
            <w:pPr>
              <w:spacing w:after="0"/>
              <w:rPr>
                <w:sz w:val="18"/>
                <w:szCs w:val="18"/>
                <w:color w:val="auto"/>
              </w:rPr>
            </w:pPr>
          </w:p>
        </w:tc>
        <w:tc>
          <w:tcPr>
            <w:tcW w:w="1180" w:type="dxa"/>
            <w:vAlign w:val="bottom"/>
            <w:shd w:val="clear" w:color="auto" w:fill="E5EEF8"/>
          </w:tcPr>
          <w:p>
            <w:pPr>
              <w:spacing w:after="0"/>
              <w:rPr>
                <w:sz w:val="18"/>
                <w:szCs w:val="18"/>
                <w:color w:val="auto"/>
              </w:rPr>
            </w:pPr>
          </w:p>
        </w:tc>
        <w:tc>
          <w:tcPr>
            <w:tcW w:w="1100" w:type="dxa"/>
            <w:vAlign w:val="bottom"/>
            <w:shd w:val="clear" w:color="auto" w:fill="E5EEF8"/>
          </w:tcPr>
          <w:p>
            <w:pPr>
              <w:spacing w:after="0"/>
              <w:rPr>
                <w:sz w:val="18"/>
                <w:szCs w:val="18"/>
                <w:color w:val="auto"/>
              </w:rPr>
            </w:pPr>
          </w:p>
        </w:tc>
        <w:tc>
          <w:tcPr>
            <w:tcW w:w="1060" w:type="dxa"/>
            <w:vAlign w:val="bottom"/>
            <w:shd w:val="clear" w:color="auto" w:fill="E5EEF8"/>
          </w:tcPr>
          <w:p>
            <w:pPr>
              <w:spacing w:after="0"/>
              <w:rPr>
                <w:sz w:val="18"/>
                <w:szCs w:val="18"/>
                <w:color w:val="auto"/>
              </w:rPr>
            </w:pPr>
          </w:p>
        </w:tc>
      </w:tr>
      <w:tr>
        <w:trPr>
          <w:trHeight w:val="80"/>
        </w:trPr>
        <w:tc>
          <w:tcPr>
            <w:tcW w:w="4660" w:type="dxa"/>
            <w:vAlign w:val="bottom"/>
            <w:shd w:val="clear" w:color="auto" w:fill="E5EEF8"/>
          </w:tcPr>
          <w:p>
            <w:pPr>
              <w:spacing w:after="0"/>
              <w:rPr>
                <w:sz w:val="6"/>
                <w:szCs w:val="6"/>
                <w:color w:val="auto"/>
              </w:rPr>
            </w:pPr>
          </w:p>
        </w:tc>
        <w:tc>
          <w:tcPr>
            <w:tcW w:w="520" w:type="dxa"/>
            <w:vAlign w:val="bottom"/>
            <w:shd w:val="clear" w:color="auto" w:fill="E5EEF8"/>
          </w:tcPr>
          <w:p>
            <w:pPr>
              <w:spacing w:after="0"/>
              <w:rPr>
                <w:sz w:val="6"/>
                <w:szCs w:val="6"/>
                <w:color w:val="auto"/>
              </w:rPr>
            </w:pPr>
          </w:p>
        </w:tc>
        <w:tc>
          <w:tcPr>
            <w:tcW w:w="820" w:type="dxa"/>
            <w:vAlign w:val="bottom"/>
            <w:shd w:val="clear" w:color="auto" w:fill="E5EEF8"/>
          </w:tcPr>
          <w:p>
            <w:pPr>
              <w:spacing w:after="0"/>
              <w:rPr>
                <w:sz w:val="6"/>
                <w:szCs w:val="6"/>
                <w:color w:val="auto"/>
              </w:rPr>
            </w:pPr>
          </w:p>
        </w:tc>
        <w:tc>
          <w:tcPr>
            <w:tcW w:w="880" w:type="dxa"/>
            <w:vAlign w:val="bottom"/>
            <w:shd w:val="clear" w:color="auto" w:fill="E5EEF8"/>
          </w:tcPr>
          <w:p>
            <w:pPr>
              <w:spacing w:after="0"/>
              <w:rPr>
                <w:sz w:val="6"/>
                <w:szCs w:val="6"/>
                <w:color w:val="auto"/>
              </w:rPr>
            </w:pPr>
          </w:p>
        </w:tc>
        <w:tc>
          <w:tcPr>
            <w:tcW w:w="800" w:type="dxa"/>
            <w:vAlign w:val="bottom"/>
            <w:shd w:val="clear" w:color="auto" w:fill="E5EEF8"/>
          </w:tcPr>
          <w:p>
            <w:pPr>
              <w:spacing w:after="0"/>
              <w:rPr>
                <w:sz w:val="6"/>
                <w:szCs w:val="6"/>
                <w:color w:val="auto"/>
              </w:rPr>
            </w:pPr>
          </w:p>
        </w:tc>
        <w:tc>
          <w:tcPr>
            <w:tcW w:w="1180" w:type="dxa"/>
            <w:vAlign w:val="bottom"/>
            <w:shd w:val="clear" w:color="auto" w:fill="E5EEF8"/>
          </w:tcPr>
          <w:p>
            <w:pPr>
              <w:spacing w:after="0"/>
              <w:rPr>
                <w:sz w:val="6"/>
                <w:szCs w:val="6"/>
                <w:color w:val="auto"/>
              </w:rPr>
            </w:pPr>
          </w:p>
        </w:tc>
        <w:tc>
          <w:tcPr>
            <w:tcW w:w="1100" w:type="dxa"/>
            <w:vAlign w:val="bottom"/>
            <w:shd w:val="clear" w:color="auto" w:fill="E5EEF8"/>
          </w:tcPr>
          <w:p>
            <w:pPr>
              <w:spacing w:after="0"/>
              <w:rPr>
                <w:sz w:val="6"/>
                <w:szCs w:val="6"/>
                <w:color w:val="auto"/>
              </w:rPr>
            </w:pPr>
          </w:p>
        </w:tc>
        <w:tc>
          <w:tcPr>
            <w:tcW w:w="1060" w:type="dxa"/>
            <w:vAlign w:val="bottom"/>
            <w:shd w:val="clear" w:color="auto" w:fill="E5EEF8"/>
          </w:tcPr>
          <w:p>
            <w:pPr>
              <w:spacing w:after="0"/>
              <w:rPr>
                <w:sz w:val="6"/>
                <w:szCs w:val="6"/>
                <w:color w:val="auto"/>
              </w:rPr>
            </w:pPr>
          </w:p>
        </w:tc>
      </w:tr>
      <w:tr>
        <w:trPr>
          <w:trHeight w:val="271"/>
        </w:trPr>
        <w:tc>
          <w:tcPr>
            <w:tcW w:w="4660" w:type="dxa"/>
            <w:vAlign w:val="bottom"/>
          </w:tcPr>
          <w:p>
            <w:pPr>
              <w:ind w:left="80"/>
              <w:spacing w:after="0"/>
              <w:rPr>
                <w:sz w:val="20"/>
                <w:szCs w:val="20"/>
                <w:color w:val="auto"/>
              </w:rPr>
            </w:pPr>
            <w:r>
              <w:rPr>
                <w:rFonts w:ascii="Arial" w:cs="Arial" w:eastAsia="Arial" w:hAnsi="Arial"/>
                <w:sz w:val="14"/>
                <w:szCs w:val="14"/>
                <w:b w:val="1"/>
                <w:bCs w:val="1"/>
                <w:color w:val="005CB9"/>
              </w:rPr>
              <w:t>Jason Conley</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2021</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590,000</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2,462,374</w:t>
            </w:r>
          </w:p>
        </w:tc>
        <w:tc>
          <w:tcPr>
            <w:tcW w:w="800" w:type="dxa"/>
            <w:vAlign w:val="bottom"/>
          </w:tcPr>
          <w:p>
            <w:pPr>
              <w:jc w:val="right"/>
              <w:spacing w:after="0"/>
              <w:rPr>
                <w:sz w:val="20"/>
                <w:szCs w:val="20"/>
                <w:color w:val="auto"/>
              </w:rPr>
            </w:pPr>
            <w:r>
              <w:rPr>
                <w:rFonts w:ascii="Arial" w:cs="Arial" w:eastAsia="Arial" w:hAnsi="Arial"/>
                <w:sz w:val="14"/>
                <w:szCs w:val="14"/>
                <w:color w:val="auto"/>
              </w:rPr>
              <w:t>849,984</w:t>
            </w:r>
          </w:p>
        </w:tc>
        <w:tc>
          <w:tcPr>
            <w:tcW w:w="1180" w:type="dxa"/>
            <w:vAlign w:val="bottom"/>
          </w:tcPr>
          <w:p>
            <w:pPr>
              <w:jc w:val="right"/>
              <w:spacing w:after="0"/>
              <w:rPr>
                <w:sz w:val="20"/>
                <w:szCs w:val="20"/>
                <w:color w:val="auto"/>
              </w:rPr>
            </w:pPr>
            <w:r>
              <w:rPr>
                <w:rFonts w:ascii="Arial" w:cs="Arial" w:eastAsia="Arial" w:hAnsi="Arial"/>
                <w:sz w:val="14"/>
                <w:szCs w:val="14"/>
                <w:color w:val="auto"/>
              </w:rPr>
              <w:t>885,000</w:t>
            </w:r>
          </w:p>
        </w:tc>
        <w:tc>
          <w:tcPr>
            <w:tcW w:w="1100" w:type="dxa"/>
            <w:vAlign w:val="bottom"/>
          </w:tcPr>
          <w:p>
            <w:pPr>
              <w:jc w:val="right"/>
              <w:spacing w:after="0"/>
              <w:rPr>
                <w:sz w:val="20"/>
                <w:szCs w:val="20"/>
                <w:color w:val="auto"/>
              </w:rPr>
            </w:pPr>
            <w:r>
              <w:rPr>
                <w:rFonts w:ascii="Arial" w:cs="Arial" w:eastAsia="Arial" w:hAnsi="Arial"/>
                <w:sz w:val="14"/>
                <w:szCs w:val="14"/>
                <w:color w:val="auto"/>
              </w:rPr>
              <w:t>89,730</w:t>
            </w: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4,877,088</w:t>
            </w:r>
          </w:p>
        </w:tc>
      </w:tr>
      <w:tr>
        <w:trPr>
          <w:trHeight w:val="216"/>
        </w:trPr>
        <w:tc>
          <w:tcPr>
            <w:tcW w:w="4660" w:type="dxa"/>
            <w:vAlign w:val="bottom"/>
          </w:tcPr>
          <w:p>
            <w:pPr>
              <w:ind w:left="80"/>
              <w:spacing w:after="0"/>
              <w:rPr>
                <w:sz w:val="20"/>
                <w:szCs w:val="20"/>
                <w:color w:val="auto"/>
              </w:rPr>
            </w:pPr>
            <w:r>
              <w:rPr>
                <w:rFonts w:ascii="Arial" w:cs="Arial" w:eastAsia="Arial" w:hAnsi="Arial"/>
                <w:sz w:val="14"/>
                <w:szCs w:val="14"/>
                <w:color w:val="auto"/>
              </w:rPr>
              <w:t>Vice President and</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2020</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517,917</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2,464,376</w:t>
            </w:r>
          </w:p>
        </w:tc>
        <w:tc>
          <w:tcPr>
            <w:tcW w:w="800" w:type="dxa"/>
            <w:vAlign w:val="bottom"/>
          </w:tcPr>
          <w:p>
            <w:pPr>
              <w:jc w:val="right"/>
              <w:spacing w:after="0"/>
              <w:rPr>
                <w:sz w:val="20"/>
                <w:szCs w:val="20"/>
                <w:color w:val="auto"/>
              </w:rPr>
            </w:pPr>
            <w:r>
              <w:rPr>
                <w:rFonts w:ascii="Arial" w:cs="Arial" w:eastAsia="Arial" w:hAnsi="Arial"/>
                <w:sz w:val="14"/>
                <w:szCs w:val="14"/>
                <w:color w:val="auto"/>
              </w:rPr>
              <w:t>825,003</w:t>
            </w:r>
          </w:p>
        </w:tc>
        <w:tc>
          <w:tcPr>
            <w:tcW w:w="1180" w:type="dxa"/>
            <w:vAlign w:val="bottom"/>
          </w:tcPr>
          <w:p>
            <w:pPr>
              <w:jc w:val="right"/>
              <w:spacing w:after="0"/>
              <w:rPr>
                <w:sz w:val="20"/>
                <w:szCs w:val="20"/>
                <w:color w:val="auto"/>
              </w:rPr>
            </w:pPr>
            <w:r>
              <w:rPr>
                <w:rFonts w:ascii="Arial" w:cs="Arial" w:eastAsia="Arial" w:hAnsi="Arial"/>
                <w:sz w:val="14"/>
                <w:szCs w:val="14"/>
                <w:color w:val="auto"/>
              </w:rPr>
              <w:t>164,980</w:t>
            </w:r>
          </w:p>
        </w:tc>
        <w:tc>
          <w:tcPr>
            <w:tcW w:w="1100" w:type="dxa"/>
            <w:vAlign w:val="bottom"/>
          </w:tcPr>
          <w:p>
            <w:pPr>
              <w:jc w:val="right"/>
              <w:spacing w:after="0"/>
              <w:rPr>
                <w:sz w:val="20"/>
                <w:szCs w:val="20"/>
                <w:color w:val="auto"/>
              </w:rPr>
            </w:pPr>
            <w:r>
              <w:rPr>
                <w:rFonts w:ascii="Arial" w:cs="Arial" w:eastAsia="Arial" w:hAnsi="Arial"/>
                <w:sz w:val="14"/>
                <w:szCs w:val="14"/>
                <w:color w:val="auto"/>
              </w:rPr>
              <w:t>109,805</w:t>
            </w: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4,082,081</w:t>
            </w:r>
          </w:p>
        </w:tc>
      </w:tr>
      <w:tr>
        <w:trPr>
          <w:trHeight w:val="216"/>
        </w:trPr>
        <w:tc>
          <w:tcPr>
            <w:tcW w:w="4660" w:type="dxa"/>
            <w:vAlign w:val="bottom"/>
          </w:tcPr>
          <w:p>
            <w:pPr>
              <w:ind w:left="80"/>
              <w:spacing w:after="0"/>
              <w:rPr>
                <w:sz w:val="20"/>
                <w:szCs w:val="20"/>
                <w:color w:val="auto"/>
              </w:rPr>
            </w:pPr>
            <w:r>
              <w:rPr>
                <w:rFonts w:ascii="Arial" w:cs="Arial" w:eastAsia="Arial" w:hAnsi="Arial"/>
                <w:sz w:val="14"/>
                <w:szCs w:val="14"/>
                <w:color w:val="auto"/>
              </w:rPr>
              <w:t>Chief Accounting Officer</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2019</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540,000</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2,216,460</w:t>
            </w:r>
          </w:p>
        </w:tc>
        <w:tc>
          <w:tcPr>
            <w:tcW w:w="800" w:type="dxa"/>
            <w:vAlign w:val="bottom"/>
          </w:tcPr>
          <w:p>
            <w:pPr>
              <w:jc w:val="right"/>
              <w:spacing w:after="0"/>
              <w:rPr>
                <w:sz w:val="20"/>
                <w:szCs w:val="20"/>
                <w:color w:val="auto"/>
              </w:rPr>
            </w:pPr>
            <w:r>
              <w:rPr>
                <w:rFonts w:ascii="Arial" w:cs="Arial" w:eastAsia="Arial" w:hAnsi="Arial"/>
                <w:sz w:val="14"/>
                <w:szCs w:val="14"/>
                <w:color w:val="auto"/>
              </w:rPr>
              <w:t>809,493</w:t>
            </w:r>
          </w:p>
        </w:tc>
        <w:tc>
          <w:tcPr>
            <w:tcW w:w="1180" w:type="dxa"/>
            <w:vAlign w:val="bottom"/>
          </w:tcPr>
          <w:p>
            <w:pPr>
              <w:jc w:val="right"/>
              <w:spacing w:after="0"/>
              <w:rPr>
                <w:sz w:val="20"/>
                <w:szCs w:val="20"/>
                <w:color w:val="auto"/>
              </w:rPr>
            </w:pPr>
            <w:r>
              <w:rPr>
                <w:rFonts w:ascii="Arial" w:cs="Arial" w:eastAsia="Arial" w:hAnsi="Arial"/>
                <w:sz w:val="14"/>
                <w:szCs w:val="14"/>
                <w:color w:val="auto"/>
              </w:rPr>
              <w:t>540,000</w:t>
            </w:r>
          </w:p>
        </w:tc>
        <w:tc>
          <w:tcPr>
            <w:tcW w:w="1100" w:type="dxa"/>
            <w:vAlign w:val="bottom"/>
          </w:tcPr>
          <w:p>
            <w:pPr>
              <w:jc w:val="right"/>
              <w:spacing w:after="0"/>
              <w:rPr>
                <w:sz w:val="20"/>
                <w:szCs w:val="20"/>
                <w:color w:val="auto"/>
              </w:rPr>
            </w:pPr>
            <w:r>
              <w:rPr>
                <w:rFonts w:ascii="Arial" w:cs="Arial" w:eastAsia="Arial" w:hAnsi="Arial"/>
                <w:sz w:val="14"/>
                <w:szCs w:val="14"/>
                <w:color w:val="auto"/>
              </w:rPr>
              <w:t>109,597</w:t>
            </w: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4,215,550</w:t>
            </w:r>
          </w:p>
        </w:tc>
      </w:tr>
    </w:tbl>
    <w:p>
      <w:pPr>
        <w:spacing w:after="0" w:line="98" w:lineRule="exact"/>
        <w:rPr>
          <w:sz w:val="20"/>
          <w:szCs w:val="20"/>
          <w:color w:val="auto"/>
        </w:rPr>
      </w:pPr>
    </w:p>
    <w:p>
      <w:pPr>
        <w:ind w:left="540" w:right="200" w:hanging="424"/>
        <w:spacing w:after="0" w:line="199" w:lineRule="auto"/>
        <w:tabs>
          <w:tab w:leader="none" w:pos="540" w:val="left"/>
        </w:tabs>
        <w:numPr>
          <w:ilvl w:val="0"/>
          <w:numId w:val="76"/>
        </w:numPr>
        <w:rPr>
          <w:rFonts w:ascii="Arial" w:cs="Arial" w:eastAsia="Arial" w:hAnsi="Arial"/>
          <w:sz w:val="24"/>
          <w:szCs w:val="24"/>
          <w:color w:val="auto"/>
          <w:vertAlign w:val="superscript"/>
        </w:rPr>
      </w:pPr>
      <w:r>
        <w:rPr>
          <w:rFonts w:ascii="Arial" w:cs="Arial" w:eastAsia="Arial" w:hAnsi="Arial"/>
          <w:sz w:val="14"/>
          <w:szCs w:val="14"/>
          <w:color w:val="auto"/>
        </w:rPr>
        <w:t>Amounts shown include, as applicable, deferrals to the 401(k) plan and the Non-Qualified Retirement Plan. During fiscal year 2020, the Compensation Committee reduced Mr. Hunn’s salary 25% and Messrs. Crisci, Stipancich and Conley’s respective salaries by 20% for the period of May through September due to challenges and uncertainties related to the COVID-19 pandemic.</w:t>
      </w:r>
    </w:p>
    <w:p>
      <w:pPr>
        <w:spacing w:after="0" w:line="71" w:lineRule="exact"/>
        <w:rPr>
          <w:rFonts w:ascii="Arial" w:cs="Arial" w:eastAsia="Arial" w:hAnsi="Arial"/>
          <w:sz w:val="24"/>
          <w:szCs w:val="24"/>
          <w:color w:val="auto"/>
          <w:vertAlign w:val="superscript"/>
        </w:rPr>
      </w:pPr>
    </w:p>
    <w:p>
      <w:pPr>
        <w:ind w:left="540" w:right="20" w:hanging="424"/>
        <w:spacing w:after="0" w:line="218" w:lineRule="auto"/>
        <w:tabs>
          <w:tab w:leader="none" w:pos="540" w:val="left"/>
        </w:tabs>
        <w:numPr>
          <w:ilvl w:val="0"/>
          <w:numId w:val="76"/>
        </w:numPr>
        <w:rPr>
          <w:rFonts w:ascii="Arial" w:cs="Arial" w:eastAsia="Arial" w:hAnsi="Arial"/>
          <w:sz w:val="24"/>
          <w:szCs w:val="24"/>
          <w:color w:val="auto"/>
          <w:vertAlign w:val="superscript"/>
        </w:rPr>
      </w:pPr>
      <w:r>
        <w:rPr>
          <w:rFonts w:ascii="Arial" w:cs="Arial" w:eastAsia="Arial" w:hAnsi="Arial"/>
          <w:sz w:val="14"/>
          <w:szCs w:val="14"/>
          <w:color w:val="auto"/>
        </w:rPr>
        <w:t>The dollar values shown represent the grant date fair values for restricted stock and option awards calculated in accordance with ASC Topic 718. The assumptions used in determining the grant date fair values of these option awards are set forth in Note 12 to our consolidated financial statements for 2021, which are included in our Annual Report on Form 10-K for the fiscal year ended 2021 filed with the SEC. There is no assurance that these amounts will be realized. The restricted stock awards are all subject to performance-based vesting criteria. The performance-based criteria for awards granted in 2021 are described in the CD&amp;A under “Analysis of 2021 Compensation—Long-Term Stock Incentives,” and the vesting schedule for awards granted in 2021 is set forth in the notes to the 2021 Outstanding Equity Awards at Fiscal Year End table below.</w:t>
      </w:r>
    </w:p>
    <w:p>
      <w:pPr>
        <w:spacing w:after="0" w:line="71" w:lineRule="exact"/>
        <w:rPr>
          <w:rFonts w:ascii="Arial" w:cs="Arial" w:eastAsia="Arial" w:hAnsi="Arial"/>
          <w:sz w:val="24"/>
          <w:szCs w:val="24"/>
          <w:color w:val="auto"/>
          <w:vertAlign w:val="superscript"/>
        </w:rPr>
      </w:pPr>
    </w:p>
    <w:p>
      <w:pPr>
        <w:ind w:left="540" w:right="740" w:hanging="424"/>
        <w:spacing w:after="0" w:line="183" w:lineRule="auto"/>
        <w:tabs>
          <w:tab w:leader="none" w:pos="540" w:val="left"/>
        </w:tabs>
        <w:numPr>
          <w:ilvl w:val="0"/>
          <w:numId w:val="76"/>
        </w:numPr>
        <w:rPr>
          <w:rFonts w:ascii="Arial" w:cs="Arial" w:eastAsia="Arial" w:hAnsi="Arial"/>
          <w:sz w:val="24"/>
          <w:szCs w:val="24"/>
          <w:color w:val="auto"/>
          <w:vertAlign w:val="superscript"/>
        </w:rPr>
      </w:pPr>
      <w:r>
        <w:rPr>
          <w:rFonts w:ascii="Arial" w:cs="Arial" w:eastAsia="Arial" w:hAnsi="Arial"/>
          <w:sz w:val="14"/>
          <w:szCs w:val="14"/>
          <w:color w:val="auto"/>
        </w:rPr>
        <w:t>The amounts in this column reflect payments made pursuant to our cash incentive program, which is described above in the CD&amp;A under “Analysis of 2021 Compensation—Annual Cash Incentive,” and were based upon base salaries as of the beginning of the year.</w:t>
      </w:r>
    </w:p>
    <w:p>
      <w:pPr>
        <w:spacing w:after="0" w:line="71" w:lineRule="exact"/>
        <w:rPr>
          <w:rFonts w:ascii="Arial" w:cs="Arial" w:eastAsia="Arial" w:hAnsi="Arial"/>
          <w:sz w:val="24"/>
          <w:szCs w:val="24"/>
          <w:color w:val="auto"/>
          <w:vertAlign w:val="superscript"/>
        </w:rPr>
      </w:pPr>
    </w:p>
    <w:p>
      <w:pPr>
        <w:ind w:left="540" w:right="180" w:hanging="424"/>
        <w:spacing w:after="0" w:line="183" w:lineRule="auto"/>
        <w:tabs>
          <w:tab w:leader="none" w:pos="540" w:val="left"/>
        </w:tabs>
        <w:numPr>
          <w:ilvl w:val="0"/>
          <w:numId w:val="76"/>
        </w:numPr>
        <w:rPr>
          <w:rFonts w:ascii="Arial" w:cs="Arial" w:eastAsia="Arial" w:hAnsi="Arial"/>
          <w:sz w:val="24"/>
          <w:szCs w:val="24"/>
          <w:color w:val="auto"/>
          <w:vertAlign w:val="superscript"/>
        </w:rPr>
      </w:pPr>
      <w:r>
        <w:rPr>
          <w:rFonts w:ascii="Arial" w:cs="Arial" w:eastAsia="Arial" w:hAnsi="Arial"/>
          <w:sz w:val="14"/>
          <w:szCs w:val="14"/>
          <w:color w:val="auto"/>
        </w:rPr>
        <w:t>Amounts reported in the “All Other Compensation” column for 2021 include the following items. In respect of any of these items that constitute perquisites, the value shown is the Company’s incremental cost.</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540" w:type="dxa"/>
            <w:vAlign w:val="bottom"/>
            <w:shd w:val="clear" w:color="auto" w:fill="005CB9"/>
          </w:tcPr>
          <w:p>
            <w:pPr>
              <w:spacing w:after="0"/>
              <w:rPr>
                <w:sz w:val="14"/>
                <w:szCs w:val="14"/>
                <w:color w:val="auto"/>
              </w:rPr>
            </w:pPr>
          </w:p>
        </w:tc>
        <w:tc>
          <w:tcPr>
            <w:tcW w:w="1580" w:type="dxa"/>
            <w:vAlign w:val="bottom"/>
            <w:shd w:val="clear" w:color="auto" w:fill="005CB9"/>
          </w:tcPr>
          <w:p>
            <w:pPr>
              <w:spacing w:after="0"/>
              <w:rPr>
                <w:sz w:val="14"/>
                <w:szCs w:val="14"/>
                <w:color w:val="auto"/>
              </w:rPr>
            </w:pPr>
          </w:p>
        </w:tc>
        <w:tc>
          <w:tcPr>
            <w:tcW w:w="1120" w:type="dxa"/>
            <w:vAlign w:val="bottom"/>
            <w:shd w:val="clear" w:color="auto" w:fill="005CB9"/>
          </w:tcPr>
          <w:p>
            <w:pPr>
              <w:spacing w:after="0"/>
              <w:rPr>
                <w:sz w:val="14"/>
                <w:szCs w:val="14"/>
                <w:color w:val="auto"/>
              </w:rPr>
            </w:pPr>
          </w:p>
        </w:tc>
        <w:tc>
          <w:tcPr>
            <w:tcW w:w="1140" w:type="dxa"/>
            <w:vAlign w:val="bottom"/>
            <w:shd w:val="clear" w:color="auto" w:fill="005CB9"/>
          </w:tcPr>
          <w:p>
            <w:pPr>
              <w:spacing w:after="0"/>
              <w:rPr>
                <w:sz w:val="14"/>
                <w:szCs w:val="14"/>
                <w:color w:val="auto"/>
              </w:rPr>
            </w:pPr>
          </w:p>
        </w:tc>
        <w:tc>
          <w:tcPr>
            <w:tcW w:w="1080" w:type="dxa"/>
            <w:vAlign w:val="bottom"/>
            <w:shd w:val="clear" w:color="auto" w:fill="005CB9"/>
          </w:tcPr>
          <w:p>
            <w:pPr>
              <w:spacing w:after="0"/>
              <w:rPr>
                <w:sz w:val="14"/>
                <w:szCs w:val="14"/>
                <w:color w:val="auto"/>
              </w:rPr>
            </w:pPr>
          </w:p>
        </w:tc>
        <w:tc>
          <w:tcPr>
            <w:tcW w:w="1220" w:type="dxa"/>
            <w:vAlign w:val="bottom"/>
            <w:shd w:val="clear" w:color="auto" w:fill="005CB9"/>
          </w:tcPr>
          <w:p>
            <w:pPr>
              <w:jc w:val="right"/>
              <w:ind w:right="48"/>
              <w:spacing w:after="0"/>
              <w:rPr>
                <w:sz w:val="20"/>
                <w:szCs w:val="20"/>
                <w:color w:val="auto"/>
              </w:rPr>
            </w:pPr>
            <w:r>
              <w:rPr>
                <w:rFonts w:ascii="Arial" w:cs="Arial" w:eastAsia="Arial" w:hAnsi="Arial"/>
                <w:sz w:val="14"/>
                <w:szCs w:val="14"/>
                <w:color w:val="FFFFFF"/>
              </w:rPr>
              <w:t>Contributions</w:t>
            </w:r>
          </w:p>
        </w:tc>
      </w:tr>
      <w:tr>
        <w:trPr>
          <w:trHeight w:val="162"/>
        </w:trPr>
        <w:tc>
          <w:tcPr>
            <w:tcW w:w="4540" w:type="dxa"/>
            <w:vAlign w:val="bottom"/>
            <w:shd w:val="clear" w:color="auto" w:fill="005CB9"/>
          </w:tcPr>
          <w:p>
            <w:pPr>
              <w:spacing w:after="0"/>
              <w:rPr>
                <w:sz w:val="14"/>
                <w:szCs w:val="14"/>
                <w:color w:val="auto"/>
              </w:rPr>
            </w:pPr>
          </w:p>
        </w:tc>
        <w:tc>
          <w:tcPr>
            <w:tcW w:w="1580" w:type="dxa"/>
            <w:vAlign w:val="bottom"/>
            <w:shd w:val="clear" w:color="auto" w:fill="005CB9"/>
          </w:tcPr>
          <w:p>
            <w:pPr>
              <w:spacing w:after="0"/>
              <w:rPr>
                <w:sz w:val="14"/>
                <w:szCs w:val="14"/>
                <w:color w:val="auto"/>
              </w:rPr>
            </w:pPr>
          </w:p>
        </w:tc>
        <w:tc>
          <w:tcPr>
            <w:tcW w:w="1120" w:type="dxa"/>
            <w:vAlign w:val="bottom"/>
            <w:shd w:val="clear" w:color="auto" w:fill="005CB9"/>
          </w:tcPr>
          <w:p>
            <w:pPr>
              <w:spacing w:after="0"/>
              <w:rPr>
                <w:sz w:val="14"/>
                <w:szCs w:val="14"/>
                <w:color w:val="auto"/>
              </w:rPr>
            </w:pPr>
          </w:p>
        </w:tc>
        <w:tc>
          <w:tcPr>
            <w:tcW w:w="1140" w:type="dxa"/>
            <w:vAlign w:val="bottom"/>
            <w:shd w:val="clear" w:color="auto" w:fill="005CB9"/>
          </w:tcPr>
          <w:p>
            <w:pPr>
              <w:jc w:val="right"/>
              <w:ind w:right="188"/>
              <w:spacing w:after="0"/>
              <w:rPr>
                <w:sz w:val="20"/>
                <w:szCs w:val="20"/>
                <w:color w:val="auto"/>
              </w:rPr>
            </w:pPr>
            <w:r>
              <w:rPr>
                <w:rFonts w:ascii="Arial" w:cs="Arial" w:eastAsia="Arial" w:hAnsi="Arial"/>
                <w:sz w:val="14"/>
                <w:szCs w:val="14"/>
                <w:color w:val="FFFFFF"/>
              </w:rPr>
              <w:t>Additional</w:t>
            </w:r>
          </w:p>
        </w:tc>
        <w:tc>
          <w:tcPr>
            <w:tcW w:w="1080" w:type="dxa"/>
            <w:vAlign w:val="bottom"/>
            <w:shd w:val="clear" w:color="auto" w:fill="005CB9"/>
          </w:tcPr>
          <w:p>
            <w:pPr>
              <w:spacing w:after="0"/>
              <w:rPr>
                <w:sz w:val="14"/>
                <w:szCs w:val="14"/>
                <w:color w:val="auto"/>
              </w:rPr>
            </w:pPr>
          </w:p>
        </w:tc>
        <w:tc>
          <w:tcPr>
            <w:tcW w:w="1220" w:type="dxa"/>
            <w:vAlign w:val="bottom"/>
            <w:shd w:val="clear" w:color="auto" w:fill="005CB9"/>
          </w:tcPr>
          <w:p>
            <w:pPr>
              <w:jc w:val="right"/>
              <w:ind w:right="48"/>
              <w:spacing w:after="0"/>
              <w:rPr>
                <w:sz w:val="20"/>
                <w:szCs w:val="20"/>
                <w:color w:val="auto"/>
              </w:rPr>
            </w:pPr>
            <w:r>
              <w:rPr>
                <w:rFonts w:ascii="Arial" w:cs="Arial" w:eastAsia="Arial" w:hAnsi="Arial"/>
                <w:sz w:val="14"/>
                <w:szCs w:val="14"/>
                <w:color w:val="FFFFFF"/>
              </w:rPr>
              <w:t>to Defined</w:t>
            </w:r>
          </w:p>
        </w:tc>
      </w:tr>
      <w:tr>
        <w:trPr>
          <w:trHeight w:val="156"/>
        </w:trPr>
        <w:tc>
          <w:tcPr>
            <w:tcW w:w="4540" w:type="dxa"/>
            <w:vAlign w:val="bottom"/>
            <w:shd w:val="clear" w:color="auto" w:fill="005CB9"/>
          </w:tcPr>
          <w:p>
            <w:pPr>
              <w:spacing w:after="0"/>
              <w:rPr>
                <w:sz w:val="13"/>
                <w:szCs w:val="13"/>
                <w:color w:val="auto"/>
              </w:rPr>
            </w:pPr>
          </w:p>
        </w:tc>
        <w:tc>
          <w:tcPr>
            <w:tcW w:w="1580" w:type="dxa"/>
            <w:vAlign w:val="bottom"/>
            <w:shd w:val="clear" w:color="auto" w:fill="005CB9"/>
          </w:tcPr>
          <w:p>
            <w:pPr>
              <w:jc w:val="right"/>
              <w:ind w:right="188"/>
              <w:spacing w:after="0" w:line="155" w:lineRule="exact"/>
              <w:rPr>
                <w:sz w:val="20"/>
                <w:szCs w:val="20"/>
                <w:color w:val="auto"/>
              </w:rPr>
            </w:pPr>
            <w:r>
              <w:rPr>
                <w:rFonts w:ascii="Arial" w:cs="Arial" w:eastAsia="Arial" w:hAnsi="Arial"/>
                <w:sz w:val="14"/>
                <w:szCs w:val="14"/>
                <w:color w:val="FFFFFF"/>
              </w:rPr>
              <w:t>Club</w:t>
            </w:r>
          </w:p>
        </w:tc>
        <w:tc>
          <w:tcPr>
            <w:tcW w:w="1120" w:type="dxa"/>
            <w:vAlign w:val="bottom"/>
            <w:shd w:val="clear" w:color="auto" w:fill="005CB9"/>
          </w:tcPr>
          <w:p>
            <w:pPr>
              <w:jc w:val="right"/>
              <w:ind w:right="188"/>
              <w:spacing w:after="0" w:line="155" w:lineRule="exact"/>
              <w:rPr>
                <w:sz w:val="20"/>
                <w:szCs w:val="20"/>
                <w:color w:val="auto"/>
              </w:rPr>
            </w:pPr>
            <w:r>
              <w:rPr>
                <w:rFonts w:ascii="Arial" w:cs="Arial" w:eastAsia="Arial" w:hAnsi="Arial"/>
                <w:sz w:val="14"/>
                <w:szCs w:val="14"/>
                <w:color w:val="FFFFFF"/>
              </w:rPr>
              <w:t>Company</w:t>
            </w:r>
          </w:p>
        </w:tc>
        <w:tc>
          <w:tcPr>
            <w:tcW w:w="1140" w:type="dxa"/>
            <w:vAlign w:val="bottom"/>
            <w:shd w:val="clear" w:color="auto" w:fill="005CB9"/>
          </w:tcPr>
          <w:p>
            <w:pPr>
              <w:jc w:val="right"/>
              <w:ind w:right="188"/>
              <w:spacing w:after="0" w:line="155" w:lineRule="exact"/>
              <w:rPr>
                <w:sz w:val="20"/>
                <w:szCs w:val="20"/>
                <w:color w:val="auto"/>
              </w:rPr>
            </w:pPr>
            <w:r>
              <w:rPr>
                <w:rFonts w:ascii="Arial" w:cs="Arial" w:eastAsia="Arial" w:hAnsi="Arial"/>
                <w:sz w:val="14"/>
                <w:szCs w:val="14"/>
                <w:color w:val="FFFFFF"/>
              </w:rPr>
              <w:t>Medical</w:t>
            </w:r>
          </w:p>
        </w:tc>
        <w:tc>
          <w:tcPr>
            <w:tcW w:w="1080" w:type="dxa"/>
            <w:vAlign w:val="bottom"/>
            <w:shd w:val="clear" w:color="auto" w:fill="005CB9"/>
          </w:tcPr>
          <w:p>
            <w:pPr>
              <w:jc w:val="right"/>
              <w:ind w:right="188"/>
              <w:spacing w:after="0" w:line="155" w:lineRule="exact"/>
              <w:rPr>
                <w:sz w:val="20"/>
                <w:szCs w:val="20"/>
                <w:color w:val="auto"/>
              </w:rPr>
            </w:pPr>
            <w:r>
              <w:rPr>
                <w:rFonts w:ascii="Arial" w:cs="Arial" w:eastAsia="Arial" w:hAnsi="Arial"/>
                <w:sz w:val="14"/>
                <w:szCs w:val="14"/>
                <w:color w:val="FFFFFF"/>
              </w:rPr>
              <w:t>Financial</w:t>
            </w:r>
          </w:p>
        </w:tc>
        <w:tc>
          <w:tcPr>
            <w:tcW w:w="1220" w:type="dxa"/>
            <w:vAlign w:val="bottom"/>
            <w:shd w:val="clear" w:color="auto" w:fill="005CB9"/>
          </w:tcPr>
          <w:p>
            <w:pPr>
              <w:jc w:val="right"/>
              <w:ind w:right="48"/>
              <w:spacing w:after="0" w:line="155" w:lineRule="exact"/>
              <w:rPr>
                <w:sz w:val="20"/>
                <w:szCs w:val="20"/>
                <w:color w:val="auto"/>
              </w:rPr>
            </w:pPr>
            <w:r>
              <w:rPr>
                <w:rFonts w:ascii="Arial" w:cs="Arial" w:eastAsia="Arial" w:hAnsi="Arial"/>
                <w:sz w:val="14"/>
                <w:szCs w:val="14"/>
                <w:color w:val="FFFFFF"/>
              </w:rPr>
              <w:t>Contribution</w:t>
            </w:r>
          </w:p>
        </w:tc>
      </w:tr>
      <w:tr>
        <w:trPr>
          <w:trHeight w:val="168"/>
        </w:trPr>
        <w:tc>
          <w:tcPr>
            <w:tcW w:w="4540" w:type="dxa"/>
            <w:vAlign w:val="bottom"/>
            <w:shd w:val="clear" w:color="auto" w:fill="005CB9"/>
          </w:tcPr>
          <w:p>
            <w:pPr>
              <w:spacing w:after="0"/>
              <w:rPr>
                <w:sz w:val="14"/>
                <w:szCs w:val="14"/>
                <w:color w:val="auto"/>
              </w:rPr>
            </w:pPr>
          </w:p>
        </w:tc>
        <w:tc>
          <w:tcPr>
            <w:tcW w:w="1580" w:type="dxa"/>
            <w:vAlign w:val="bottom"/>
            <w:shd w:val="clear" w:color="auto" w:fill="005CB9"/>
          </w:tcPr>
          <w:p>
            <w:pPr>
              <w:jc w:val="right"/>
              <w:ind w:right="188"/>
              <w:spacing w:after="0"/>
              <w:rPr>
                <w:sz w:val="20"/>
                <w:szCs w:val="20"/>
                <w:color w:val="auto"/>
              </w:rPr>
            </w:pPr>
            <w:r>
              <w:rPr>
                <w:rFonts w:ascii="Arial" w:cs="Arial" w:eastAsia="Arial" w:hAnsi="Arial"/>
                <w:sz w:val="14"/>
                <w:szCs w:val="14"/>
                <w:color w:val="FFFFFF"/>
              </w:rPr>
              <w:t>Memberships</w:t>
            </w:r>
          </w:p>
        </w:tc>
        <w:tc>
          <w:tcPr>
            <w:tcW w:w="1120" w:type="dxa"/>
            <w:vAlign w:val="bottom"/>
            <w:shd w:val="clear" w:color="auto" w:fill="005CB9"/>
          </w:tcPr>
          <w:p>
            <w:pPr>
              <w:jc w:val="right"/>
              <w:ind w:right="188"/>
              <w:spacing w:after="0"/>
              <w:rPr>
                <w:sz w:val="20"/>
                <w:szCs w:val="20"/>
                <w:color w:val="auto"/>
              </w:rPr>
            </w:pPr>
            <w:r>
              <w:rPr>
                <w:rFonts w:ascii="Arial" w:cs="Arial" w:eastAsia="Arial" w:hAnsi="Arial"/>
                <w:sz w:val="14"/>
                <w:szCs w:val="14"/>
                <w:color w:val="FFFFFF"/>
              </w:rPr>
              <w:t>Car</w:t>
            </w:r>
          </w:p>
        </w:tc>
        <w:tc>
          <w:tcPr>
            <w:tcW w:w="1140" w:type="dxa"/>
            <w:vAlign w:val="bottom"/>
            <w:shd w:val="clear" w:color="auto" w:fill="005CB9"/>
          </w:tcPr>
          <w:p>
            <w:pPr>
              <w:jc w:val="right"/>
              <w:ind w:right="188"/>
              <w:spacing w:after="0"/>
              <w:rPr>
                <w:sz w:val="20"/>
                <w:szCs w:val="20"/>
                <w:color w:val="auto"/>
              </w:rPr>
            </w:pPr>
            <w:r>
              <w:rPr>
                <w:rFonts w:ascii="Arial" w:cs="Arial" w:eastAsia="Arial" w:hAnsi="Arial"/>
                <w:sz w:val="14"/>
                <w:szCs w:val="14"/>
                <w:color w:val="FFFFFF"/>
              </w:rPr>
              <w:t>Services</w:t>
            </w:r>
          </w:p>
        </w:tc>
        <w:tc>
          <w:tcPr>
            <w:tcW w:w="1080" w:type="dxa"/>
            <w:vAlign w:val="bottom"/>
            <w:shd w:val="clear" w:color="auto" w:fill="005CB9"/>
          </w:tcPr>
          <w:p>
            <w:pPr>
              <w:jc w:val="right"/>
              <w:ind w:right="188"/>
              <w:spacing w:after="0"/>
              <w:rPr>
                <w:sz w:val="20"/>
                <w:szCs w:val="20"/>
                <w:color w:val="auto"/>
              </w:rPr>
            </w:pPr>
            <w:r>
              <w:rPr>
                <w:rFonts w:ascii="Arial" w:cs="Arial" w:eastAsia="Arial" w:hAnsi="Arial"/>
                <w:sz w:val="14"/>
                <w:szCs w:val="14"/>
                <w:color w:val="FFFFFF"/>
              </w:rPr>
              <w:t>Planning</w:t>
            </w:r>
          </w:p>
        </w:tc>
        <w:tc>
          <w:tcPr>
            <w:tcW w:w="1220" w:type="dxa"/>
            <w:vAlign w:val="bottom"/>
            <w:shd w:val="clear" w:color="auto" w:fill="005CB9"/>
          </w:tcPr>
          <w:p>
            <w:pPr>
              <w:jc w:val="right"/>
              <w:ind w:right="48"/>
              <w:spacing w:after="0"/>
              <w:rPr>
                <w:sz w:val="20"/>
                <w:szCs w:val="20"/>
                <w:color w:val="auto"/>
              </w:rPr>
            </w:pPr>
            <w:r>
              <w:rPr>
                <w:rFonts w:ascii="Arial" w:cs="Arial" w:eastAsia="Arial" w:hAnsi="Arial"/>
                <w:sz w:val="14"/>
                <w:szCs w:val="14"/>
                <w:color w:val="FFFFFF"/>
              </w:rPr>
              <w:t>Plans</w:t>
            </w:r>
            <w:r>
              <w:rPr>
                <w:rFonts w:ascii="Arial" w:cs="Arial" w:eastAsia="Arial" w:hAnsi="Arial"/>
                <w:sz w:val="14"/>
                <w:szCs w:val="14"/>
                <w:color w:val="FFFFFF"/>
                <w:vertAlign w:val="superscript"/>
              </w:rPr>
              <w:t>(a)</w:t>
            </w:r>
          </w:p>
        </w:tc>
      </w:tr>
      <w:tr>
        <w:trPr>
          <w:trHeight w:val="171"/>
        </w:trPr>
        <w:tc>
          <w:tcPr>
            <w:tcW w:w="4540" w:type="dxa"/>
            <w:vAlign w:val="bottom"/>
            <w:shd w:val="clear" w:color="auto" w:fill="005CB9"/>
          </w:tcPr>
          <w:p>
            <w:pPr>
              <w:ind w:left="80"/>
              <w:spacing w:after="0"/>
              <w:rPr>
                <w:sz w:val="20"/>
                <w:szCs w:val="20"/>
                <w:color w:val="auto"/>
              </w:rPr>
            </w:pPr>
            <w:r>
              <w:rPr>
                <w:rFonts w:ascii="Arial" w:cs="Arial" w:eastAsia="Arial" w:hAnsi="Arial"/>
                <w:sz w:val="14"/>
                <w:szCs w:val="14"/>
                <w:color w:val="FFFFFF"/>
              </w:rPr>
              <w:t>Name</w:t>
            </w:r>
          </w:p>
        </w:tc>
        <w:tc>
          <w:tcPr>
            <w:tcW w:w="1580" w:type="dxa"/>
            <w:vAlign w:val="bottom"/>
            <w:shd w:val="clear" w:color="auto" w:fill="005CB9"/>
          </w:tcPr>
          <w:p>
            <w:pPr>
              <w:jc w:val="right"/>
              <w:ind w:right="188"/>
              <w:spacing w:after="0"/>
              <w:rPr>
                <w:sz w:val="20"/>
                <w:szCs w:val="20"/>
                <w:color w:val="auto"/>
              </w:rPr>
            </w:pPr>
            <w:r>
              <w:rPr>
                <w:rFonts w:ascii="Arial" w:cs="Arial" w:eastAsia="Arial" w:hAnsi="Arial"/>
                <w:sz w:val="14"/>
                <w:szCs w:val="14"/>
                <w:color w:val="FFFFFF"/>
              </w:rPr>
              <w:t>($)</w:t>
            </w:r>
          </w:p>
        </w:tc>
        <w:tc>
          <w:tcPr>
            <w:tcW w:w="1120" w:type="dxa"/>
            <w:vAlign w:val="bottom"/>
            <w:shd w:val="clear" w:color="auto" w:fill="005CB9"/>
          </w:tcPr>
          <w:p>
            <w:pPr>
              <w:jc w:val="right"/>
              <w:ind w:right="188"/>
              <w:spacing w:after="0"/>
              <w:rPr>
                <w:sz w:val="20"/>
                <w:szCs w:val="20"/>
                <w:color w:val="auto"/>
              </w:rPr>
            </w:pPr>
            <w:r>
              <w:rPr>
                <w:rFonts w:ascii="Arial" w:cs="Arial" w:eastAsia="Arial" w:hAnsi="Arial"/>
                <w:sz w:val="14"/>
                <w:szCs w:val="14"/>
                <w:color w:val="FFFFFF"/>
              </w:rPr>
              <w:t>($)</w:t>
            </w:r>
          </w:p>
        </w:tc>
        <w:tc>
          <w:tcPr>
            <w:tcW w:w="1140" w:type="dxa"/>
            <w:vAlign w:val="bottom"/>
            <w:shd w:val="clear" w:color="auto" w:fill="005CB9"/>
          </w:tcPr>
          <w:p>
            <w:pPr>
              <w:jc w:val="right"/>
              <w:ind w:right="188"/>
              <w:spacing w:after="0"/>
              <w:rPr>
                <w:sz w:val="20"/>
                <w:szCs w:val="20"/>
                <w:color w:val="auto"/>
              </w:rPr>
            </w:pPr>
            <w:r>
              <w:rPr>
                <w:rFonts w:ascii="Arial" w:cs="Arial" w:eastAsia="Arial" w:hAnsi="Arial"/>
                <w:sz w:val="14"/>
                <w:szCs w:val="14"/>
                <w:color w:val="FFFFFF"/>
              </w:rPr>
              <w:t>($)</w:t>
            </w:r>
          </w:p>
        </w:tc>
        <w:tc>
          <w:tcPr>
            <w:tcW w:w="1080" w:type="dxa"/>
            <w:vAlign w:val="bottom"/>
            <w:shd w:val="clear" w:color="auto" w:fill="005CB9"/>
          </w:tcPr>
          <w:p>
            <w:pPr>
              <w:jc w:val="right"/>
              <w:ind w:right="188"/>
              <w:spacing w:after="0"/>
              <w:rPr>
                <w:sz w:val="20"/>
                <w:szCs w:val="20"/>
                <w:color w:val="auto"/>
              </w:rPr>
            </w:pPr>
            <w:r>
              <w:rPr>
                <w:rFonts w:ascii="Arial" w:cs="Arial" w:eastAsia="Arial" w:hAnsi="Arial"/>
                <w:sz w:val="14"/>
                <w:szCs w:val="14"/>
                <w:color w:val="FFFFFF"/>
              </w:rPr>
              <w:t>($)</w:t>
            </w:r>
          </w:p>
        </w:tc>
        <w:tc>
          <w:tcPr>
            <w:tcW w:w="1220" w:type="dxa"/>
            <w:vAlign w:val="bottom"/>
            <w:shd w:val="clear" w:color="auto" w:fill="005CB9"/>
          </w:tcPr>
          <w:p>
            <w:pPr>
              <w:jc w:val="right"/>
              <w:ind w:right="48"/>
              <w:spacing w:after="0"/>
              <w:rPr>
                <w:sz w:val="20"/>
                <w:szCs w:val="20"/>
                <w:color w:val="auto"/>
              </w:rPr>
            </w:pPr>
            <w:r>
              <w:rPr>
                <w:rFonts w:ascii="Arial" w:cs="Arial" w:eastAsia="Arial" w:hAnsi="Arial"/>
                <w:sz w:val="14"/>
                <w:szCs w:val="14"/>
                <w:color w:val="FFFFFF"/>
              </w:rPr>
              <w:t>($)</w:t>
            </w:r>
          </w:p>
        </w:tc>
      </w:tr>
      <w:tr>
        <w:trPr>
          <w:trHeight w:val="223"/>
        </w:trPr>
        <w:tc>
          <w:tcPr>
            <w:tcW w:w="4540" w:type="dxa"/>
            <w:vAlign w:val="bottom"/>
            <w:tcBorders>
              <w:bottom w:val="single" w:sz="8" w:color="E5EEF8"/>
            </w:tcBorders>
            <w:shd w:val="clear" w:color="auto" w:fill="E5EEF8"/>
          </w:tcPr>
          <w:p>
            <w:pPr>
              <w:ind w:left="80"/>
              <w:spacing w:after="0"/>
              <w:rPr>
                <w:sz w:val="20"/>
                <w:szCs w:val="20"/>
                <w:color w:val="auto"/>
              </w:rPr>
            </w:pPr>
            <w:r>
              <w:rPr>
                <w:rFonts w:ascii="Arial" w:cs="Arial" w:eastAsia="Arial" w:hAnsi="Arial"/>
                <w:sz w:val="14"/>
                <w:szCs w:val="14"/>
                <w:color w:val="auto"/>
              </w:rPr>
              <w:t>L. Neil Hunn</w:t>
            </w:r>
          </w:p>
        </w:tc>
        <w:tc>
          <w:tcPr>
            <w:tcW w:w="1580" w:type="dxa"/>
            <w:vAlign w:val="bottom"/>
            <w:tcBorders>
              <w:bottom w:val="single" w:sz="8" w:color="E5EEF8"/>
            </w:tcBorders>
            <w:shd w:val="clear" w:color="auto" w:fill="E5EEF8"/>
          </w:tcPr>
          <w:p>
            <w:pPr>
              <w:jc w:val="right"/>
              <w:ind w:right="188"/>
              <w:spacing w:after="0"/>
              <w:rPr>
                <w:sz w:val="20"/>
                <w:szCs w:val="20"/>
                <w:color w:val="auto"/>
              </w:rPr>
            </w:pPr>
            <w:r>
              <w:rPr>
                <w:rFonts w:ascii="Arial" w:cs="Arial" w:eastAsia="Arial" w:hAnsi="Arial"/>
                <w:sz w:val="14"/>
                <w:szCs w:val="14"/>
                <w:color w:val="auto"/>
              </w:rPr>
              <w:t>10,606</w:t>
            </w:r>
          </w:p>
        </w:tc>
        <w:tc>
          <w:tcPr>
            <w:tcW w:w="1120" w:type="dxa"/>
            <w:vAlign w:val="bottom"/>
            <w:tcBorders>
              <w:bottom w:val="single" w:sz="8" w:color="E5EEF8"/>
            </w:tcBorders>
            <w:shd w:val="clear" w:color="auto" w:fill="E5EEF8"/>
          </w:tcPr>
          <w:p>
            <w:pPr>
              <w:jc w:val="right"/>
              <w:ind w:right="188"/>
              <w:spacing w:after="0"/>
              <w:rPr>
                <w:sz w:val="20"/>
                <w:szCs w:val="20"/>
                <w:color w:val="auto"/>
              </w:rPr>
            </w:pPr>
            <w:r>
              <w:rPr>
                <w:rFonts w:ascii="Arial" w:cs="Arial" w:eastAsia="Arial" w:hAnsi="Arial"/>
                <w:sz w:val="14"/>
                <w:szCs w:val="14"/>
                <w:color w:val="auto"/>
              </w:rPr>
              <w:t>24,000</w:t>
            </w:r>
          </w:p>
        </w:tc>
        <w:tc>
          <w:tcPr>
            <w:tcW w:w="1140" w:type="dxa"/>
            <w:vAlign w:val="bottom"/>
            <w:tcBorders>
              <w:bottom w:val="single" w:sz="8" w:color="E5EEF8"/>
            </w:tcBorders>
            <w:shd w:val="clear" w:color="auto" w:fill="E5EEF8"/>
          </w:tcPr>
          <w:p>
            <w:pPr>
              <w:jc w:val="right"/>
              <w:ind w:right="188"/>
              <w:spacing w:after="0"/>
              <w:rPr>
                <w:sz w:val="20"/>
                <w:szCs w:val="20"/>
                <w:color w:val="auto"/>
              </w:rPr>
            </w:pPr>
            <w:r>
              <w:rPr>
                <w:rFonts w:ascii="Arial" w:cs="Arial" w:eastAsia="Arial" w:hAnsi="Arial"/>
                <w:sz w:val="14"/>
                <w:szCs w:val="14"/>
                <w:color w:val="auto"/>
              </w:rPr>
              <w:t>3,500</w:t>
            </w:r>
          </w:p>
        </w:tc>
        <w:tc>
          <w:tcPr>
            <w:tcW w:w="1080" w:type="dxa"/>
            <w:vAlign w:val="bottom"/>
            <w:tcBorders>
              <w:bottom w:val="single" w:sz="8" w:color="E5EEF8"/>
            </w:tcBorders>
            <w:shd w:val="clear" w:color="auto" w:fill="E5EEF8"/>
          </w:tcPr>
          <w:p>
            <w:pPr>
              <w:jc w:val="right"/>
              <w:ind w:right="188"/>
              <w:spacing w:after="0"/>
              <w:rPr>
                <w:sz w:val="20"/>
                <w:szCs w:val="20"/>
                <w:color w:val="auto"/>
              </w:rPr>
            </w:pPr>
            <w:r>
              <w:rPr>
                <w:rFonts w:ascii="Arial" w:cs="Arial" w:eastAsia="Arial" w:hAnsi="Arial"/>
                <w:sz w:val="14"/>
                <w:szCs w:val="14"/>
                <w:color w:val="auto"/>
              </w:rPr>
              <w:t>3,652</w:t>
            </w:r>
          </w:p>
        </w:tc>
        <w:tc>
          <w:tcPr>
            <w:tcW w:w="1220" w:type="dxa"/>
            <w:vAlign w:val="bottom"/>
            <w:tcBorders>
              <w:bottom w:val="single" w:sz="8" w:color="E5EEF8"/>
            </w:tcBorders>
            <w:shd w:val="clear" w:color="auto" w:fill="E5EEF8"/>
          </w:tcPr>
          <w:p>
            <w:pPr>
              <w:jc w:val="right"/>
              <w:ind w:right="48"/>
              <w:spacing w:after="0"/>
              <w:rPr>
                <w:sz w:val="20"/>
                <w:szCs w:val="20"/>
                <w:color w:val="auto"/>
              </w:rPr>
            </w:pPr>
            <w:r>
              <w:rPr>
                <w:rFonts w:ascii="Arial" w:cs="Arial" w:eastAsia="Arial" w:hAnsi="Arial"/>
                <w:sz w:val="14"/>
                <w:szCs w:val="14"/>
                <w:color w:val="auto"/>
              </w:rPr>
              <w:t>118,800</w:t>
            </w:r>
          </w:p>
        </w:tc>
      </w:tr>
      <w:tr>
        <w:trPr>
          <w:trHeight w:val="218"/>
        </w:trPr>
        <w:tc>
          <w:tcPr>
            <w:tcW w:w="4540" w:type="dxa"/>
            <w:vAlign w:val="bottom"/>
          </w:tcPr>
          <w:p>
            <w:pPr>
              <w:ind w:left="80"/>
              <w:spacing w:after="0"/>
              <w:rPr>
                <w:sz w:val="20"/>
                <w:szCs w:val="20"/>
                <w:color w:val="auto"/>
              </w:rPr>
            </w:pPr>
            <w:r>
              <w:rPr>
                <w:rFonts w:ascii="Arial" w:cs="Arial" w:eastAsia="Arial" w:hAnsi="Arial"/>
                <w:sz w:val="14"/>
                <w:szCs w:val="14"/>
                <w:color w:val="auto"/>
              </w:rPr>
              <w:t>Robert C. Crisci</w:t>
            </w:r>
          </w:p>
        </w:tc>
        <w:tc>
          <w:tcPr>
            <w:tcW w:w="1580" w:type="dxa"/>
            <w:vAlign w:val="bottom"/>
          </w:tcPr>
          <w:p>
            <w:pPr>
              <w:jc w:val="right"/>
              <w:ind w:right="188"/>
              <w:spacing w:after="0"/>
              <w:rPr>
                <w:sz w:val="20"/>
                <w:szCs w:val="20"/>
                <w:color w:val="auto"/>
              </w:rPr>
            </w:pPr>
            <w:r>
              <w:rPr>
                <w:rFonts w:ascii="Arial" w:cs="Arial" w:eastAsia="Arial" w:hAnsi="Arial"/>
                <w:sz w:val="14"/>
                <w:szCs w:val="14"/>
                <w:color w:val="auto"/>
              </w:rPr>
              <w:t>6,004</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24,000</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3,500</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69,818</w:t>
            </w:r>
          </w:p>
        </w:tc>
      </w:tr>
      <w:tr>
        <w:trPr>
          <w:trHeight w:val="25"/>
        </w:trPr>
        <w:tc>
          <w:tcPr>
            <w:tcW w:w="4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4540" w:type="dxa"/>
            <w:vAlign w:val="bottom"/>
            <w:tcBorders>
              <w:bottom w:val="single" w:sz="8" w:color="E5EEF8"/>
            </w:tcBorders>
            <w:shd w:val="clear" w:color="auto" w:fill="E5EEF8"/>
          </w:tcPr>
          <w:p>
            <w:pPr>
              <w:ind w:left="80"/>
              <w:spacing w:after="0"/>
              <w:rPr>
                <w:sz w:val="20"/>
                <w:szCs w:val="20"/>
                <w:color w:val="auto"/>
              </w:rPr>
            </w:pPr>
            <w:r>
              <w:rPr>
                <w:rFonts w:ascii="Arial" w:cs="Arial" w:eastAsia="Arial" w:hAnsi="Arial"/>
                <w:sz w:val="14"/>
                <w:szCs w:val="14"/>
                <w:color w:val="auto"/>
              </w:rPr>
              <w:t>John K. Stipancich</w:t>
            </w:r>
          </w:p>
        </w:tc>
        <w:tc>
          <w:tcPr>
            <w:tcW w:w="1580" w:type="dxa"/>
            <w:vAlign w:val="bottom"/>
            <w:tcBorders>
              <w:bottom w:val="single" w:sz="8" w:color="E5EEF8"/>
            </w:tcBorders>
            <w:shd w:val="clear" w:color="auto" w:fill="E5EEF8"/>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E5EEF8"/>
            </w:tcBorders>
            <w:shd w:val="clear" w:color="auto" w:fill="E5EEF8"/>
          </w:tcPr>
          <w:p>
            <w:pPr>
              <w:jc w:val="right"/>
              <w:ind w:right="188"/>
              <w:spacing w:after="0"/>
              <w:rPr>
                <w:sz w:val="20"/>
                <w:szCs w:val="20"/>
                <w:color w:val="auto"/>
              </w:rPr>
            </w:pPr>
            <w:r>
              <w:rPr>
                <w:rFonts w:ascii="Arial" w:cs="Arial" w:eastAsia="Arial" w:hAnsi="Arial"/>
                <w:sz w:val="14"/>
                <w:szCs w:val="14"/>
                <w:color w:val="auto"/>
              </w:rPr>
              <w:t>24,000</w:t>
            </w:r>
          </w:p>
        </w:tc>
        <w:tc>
          <w:tcPr>
            <w:tcW w:w="1140" w:type="dxa"/>
            <w:vAlign w:val="bottom"/>
            <w:tcBorders>
              <w:bottom w:val="single" w:sz="8" w:color="E5EEF8"/>
            </w:tcBorders>
            <w:shd w:val="clear" w:color="auto" w:fill="E5EEF8"/>
          </w:tcPr>
          <w:p>
            <w:pPr>
              <w:jc w:val="right"/>
              <w:ind w:right="188"/>
              <w:spacing w:after="0"/>
              <w:rPr>
                <w:sz w:val="20"/>
                <w:szCs w:val="20"/>
                <w:color w:val="auto"/>
              </w:rPr>
            </w:pPr>
            <w:r>
              <w:rPr>
                <w:rFonts w:ascii="Arial" w:cs="Arial" w:eastAsia="Arial" w:hAnsi="Arial"/>
                <w:sz w:val="14"/>
                <w:szCs w:val="14"/>
                <w:color w:val="auto"/>
              </w:rPr>
              <w:t>5,472</w:t>
            </w:r>
          </w:p>
        </w:tc>
        <w:tc>
          <w:tcPr>
            <w:tcW w:w="1080" w:type="dxa"/>
            <w:vAlign w:val="bottom"/>
            <w:tcBorders>
              <w:bottom w:val="single" w:sz="8" w:color="E5EEF8"/>
            </w:tcBorders>
            <w:shd w:val="clear" w:color="auto" w:fill="E5EEF8"/>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E5EEF8"/>
            </w:tcBorders>
            <w:shd w:val="clear" w:color="auto" w:fill="E5EEF8"/>
          </w:tcPr>
          <w:p>
            <w:pPr>
              <w:jc w:val="right"/>
              <w:ind w:right="48"/>
              <w:spacing w:after="0"/>
              <w:rPr>
                <w:sz w:val="20"/>
                <w:szCs w:val="20"/>
                <w:color w:val="auto"/>
              </w:rPr>
            </w:pPr>
            <w:r>
              <w:rPr>
                <w:rFonts w:ascii="Arial" w:cs="Arial" w:eastAsia="Arial" w:hAnsi="Arial"/>
                <w:sz w:val="14"/>
                <w:szCs w:val="14"/>
                <w:color w:val="auto"/>
              </w:rPr>
              <w:t>75,960</w:t>
            </w:r>
          </w:p>
        </w:tc>
      </w:tr>
      <w:tr>
        <w:trPr>
          <w:trHeight w:val="218"/>
        </w:trPr>
        <w:tc>
          <w:tcPr>
            <w:tcW w:w="4540" w:type="dxa"/>
            <w:vAlign w:val="bottom"/>
          </w:tcPr>
          <w:p>
            <w:pPr>
              <w:ind w:left="80"/>
              <w:spacing w:after="0"/>
              <w:rPr>
                <w:sz w:val="20"/>
                <w:szCs w:val="20"/>
                <w:color w:val="auto"/>
              </w:rPr>
            </w:pPr>
            <w:r>
              <w:rPr>
                <w:rFonts w:ascii="Arial" w:cs="Arial" w:eastAsia="Arial" w:hAnsi="Arial"/>
                <w:sz w:val="14"/>
                <w:szCs w:val="14"/>
                <w:color w:val="auto"/>
              </w:rPr>
              <w:t>Jason Conley</w:t>
            </w:r>
          </w:p>
        </w:tc>
        <w:tc>
          <w:tcPr>
            <w:tcW w:w="1580" w:type="dxa"/>
            <w:vAlign w:val="bottom"/>
          </w:tcPr>
          <w:p>
            <w:pPr>
              <w:jc w:val="right"/>
              <w:ind w:right="188"/>
              <w:spacing w:after="0"/>
              <w:rPr>
                <w:sz w:val="20"/>
                <w:szCs w:val="20"/>
                <w:color w:val="auto"/>
              </w:rPr>
            </w:pPr>
            <w:r>
              <w:rPr>
                <w:rFonts w:ascii="Arial" w:cs="Arial" w:eastAsia="Arial" w:hAnsi="Arial"/>
                <w:sz w:val="14"/>
                <w:szCs w:val="14"/>
                <w:color w:val="auto"/>
              </w:rPr>
              <w:t>10,606</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19,000</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3,500</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56,624</w:t>
            </w:r>
          </w:p>
        </w:tc>
      </w:tr>
    </w:tbl>
    <w:p>
      <w:pPr>
        <w:spacing w:after="0" w:line="8"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24"/>
          <w:szCs w:val="24"/>
          <w:color w:val="auto"/>
          <w:vertAlign w:val="superscript"/>
        </w:rPr>
      </w:pPr>
      <w:r>
        <w:rPr>
          <w:rFonts w:ascii="Arial" w:cs="Arial" w:eastAsia="Arial" w:hAnsi="Arial"/>
          <w:sz w:val="14"/>
          <w:szCs w:val="14"/>
          <w:color w:val="auto"/>
        </w:rPr>
        <w:t>Reflects contributions to the Non-Qualified Retirement Plan and the 401(k) plan.</w:t>
      </w:r>
    </w:p>
    <w:p>
      <w:pPr>
        <w:spacing w:after="0" w:line="153" w:lineRule="exact"/>
        <w:rPr>
          <w:sz w:val="20"/>
          <w:szCs w:val="20"/>
          <w:color w:val="auto"/>
        </w:rPr>
      </w:pPr>
    </w:p>
    <w:tbl>
      <w:tblPr>
        <w:tblLayout w:type="fixed"/>
        <w:tblInd w:w="6920" w:type="dxa"/>
        <w:tblCellMar>
          <w:top w:w="0" w:type="dxa"/>
          <w:left w:w="0" w:type="dxa"/>
          <w:bottom w:w="0" w:type="dxa"/>
          <w:right w:w="0" w:type="dxa"/>
        </w:tblCellMar>
      </w:tblPr>
      <w:tr>
        <w:trPr>
          <w:trHeight w:val="27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005CB9"/>
              </w:rPr>
              <w:t>41</w:t>
            </w:r>
          </w:p>
        </w:tc>
      </w:tr>
      <w:tr>
        <w:trPr>
          <w:trHeight w:val="100"/>
        </w:trPr>
        <w:tc>
          <w:tcPr>
            <w:tcW w:w="3900" w:type="dxa"/>
            <w:vAlign w:val="bottom"/>
            <w:tcBorders>
              <w:right w:val="single" w:sz="8" w:color="005CB9"/>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-205105</wp:posOffset>
            </wp:positionV>
            <wp:extent cx="428625"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Grants of Plan-Based Awards</w:t>
      </w:r>
    </w:p>
    <w:p>
      <w:pPr>
        <w:spacing w:after="0" w:line="120" w:lineRule="exact"/>
        <w:rPr>
          <w:sz w:val="20"/>
          <w:szCs w:val="20"/>
          <w:color w:val="auto"/>
        </w:rPr>
      </w:pPr>
    </w:p>
    <w:p>
      <w:pPr>
        <w:ind w:left="120" w:right="280"/>
        <w:spacing w:after="0" w:line="243" w:lineRule="auto"/>
        <w:rPr>
          <w:sz w:val="20"/>
          <w:szCs w:val="20"/>
          <w:color w:val="auto"/>
        </w:rPr>
      </w:pPr>
      <w:r>
        <w:rPr>
          <w:rFonts w:ascii="Arial" w:cs="Arial" w:eastAsia="Arial" w:hAnsi="Arial"/>
          <w:sz w:val="17"/>
          <w:szCs w:val="17"/>
          <w:color w:val="auto"/>
        </w:rPr>
        <w:t>The following table sets forth certain information with respect to grants of plan-based awards to the named executive officers for the fiscal year ended December 31, 2021.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2500" w:type="dxa"/>
            <w:vAlign w:val="bottom"/>
            <w:shd w:val="clear" w:color="auto" w:fill="005CB9"/>
          </w:tcPr>
          <w:p>
            <w:pPr>
              <w:spacing w:after="0"/>
              <w:rPr>
                <w:sz w:val="14"/>
                <w:szCs w:val="14"/>
                <w:color w:val="auto"/>
              </w:rPr>
            </w:pPr>
          </w:p>
        </w:tc>
        <w:tc>
          <w:tcPr>
            <w:tcW w:w="200" w:type="dxa"/>
            <w:vAlign w:val="bottom"/>
            <w:shd w:val="clear" w:color="auto" w:fill="005CB9"/>
          </w:tcPr>
          <w:p>
            <w:pPr>
              <w:spacing w:after="0"/>
              <w:rPr>
                <w:sz w:val="14"/>
                <w:szCs w:val="14"/>
                <w:color w:val="auto"/>
              </w:rPr>
            </w:pPr>
          </w:p>
        </w:tc>
        <w:tc>
          <w:tcPr>
            <w:tcW w:w="860" w:type="dxa"/>
            <w:vAlign w:val="bottom"/>
            <w:shd w:val="clear" w:color="auto" w:fill="005CB9"/>
          </w:tcPr>
          <w:p>
            <w:pPr>
              <w:spacing w:after="0"/>
              <w:rPr>
                <w:sz w:val="14"/>
                <w:szCs w:val="14"/>
                <w:color w:val="auto"/>
              </w:rPr>
            </w:pPr>
          </w:p>
        </w:tc>
        <w:tc>
          <w:tcPr>
            <w:tcW w:w="800" w:type="dxa"/>
            <w:vAlign w:val="bottom"/>
            <w:shd w:val="clear" w:color="auto" w:fill="005CB9"/>
          </w:tcPr>
          <w:p>
            <w:pPr>
              <w:spacing w:after="0"/>
              <w:rPr>
                <w:sz w:val="14"/>
                <w:szCs w:val="14"/>
                <w:color w:val="auto"/>
              </w:rPr>
            </w:pPr>
          </w:p>
        </w:tc>
        <w:tc>
          <w:tcPr>
            <w:tcW w:w="980" w:type="dxa"/>
            <w:vAlign w:val="bottom"/>
            <w:shd w:val="clear" w:color="auto" w:fill="005CB9"/>
          </w:tcPr>
          <w:p>
            <w:pPr>
              <w:spacing w:after="0"/>
              <w:rPr>
                <w:sz w:val="14"/>
                <w:szCs w:val="14"/>
                <w:color w:val="auto"/>
              </w:rPr>
            </w:pPr>
          </w:p>
        </w:tc>
        <w:tc>
          <w:tcPr>
            <w:tcW w:w="880" w:type="dxa"/>
            <w:vAlign w:val="bottom"/>
            <w:shd w:val="clear" w:color="auto" w:fill="005CB9"/>
          </w:tcPr>
          <w:p>
            <w:pPr>
              <w:spacing w:after="0"/>
              <w:rPr>
                <w:sz w:val="14"/>
                <w:szCs w:val="14"/>
                <w:color w:val="auto"/>
              </w:rPr>
            </w:pPr>
          </w:p>
        </w:tc>
        <w:tc>
          <w:tcPr>
            <w:tcW w:w="1500" w:type="dxa"/>
            <w:vAlign w:val="bottom"/>
            <w:gridSpan w:val="2"/>
            <w:shd w:val="clear" w:color="auto" w:fill="005CB9"/>
          </w:tcPr>
          <w:p>
            <w:pPr>
              <w:jc w:val="right"/>
              <w:spacing w:after="0"/>
              <w:rPr>
                <w:sz w:val="20"/>
                <w:szCs w:val="20"/>
                <w:color w:val="auto"/>
              </w:rPr>
            </w:pPr>
            <w:r>
              <w:rPr>
                <w:rFonts w:ascii="Arial" w:cs="Arial" w:eastAsia="Arial" w:hAnsi="Arial"/>
                <w:sz w:val="14"/>
                <w:szCs w:val="14"/>
                <w:color w:val="FFFFFF"/>
              </w:rPr>
              <w:t>Estimated Future</w:t>
            </w:r>
          </w:p>
        </w:tc>
        <w:tc>
          <w:tcPr>
            <w:tcW w:w="1240" w:type="dxa"/>
            <w:vAlign w:val="bottom"/>
            <w:vMerge w:val="restart"/>
            <w:shd w:val="clear" w:color="auto" w:fill="005CB9"/>
          </w:tcPr>
          <w:p>
            <w:pPr>
              <w:jc w:val="right"/>
              <w:ind w:right="189"/>
              <w:spacing w:after="0"/>
              <w:rPr>
                <w:sz w:val="20"/>
                <w:szCs w:val="20"/>
                <w:color w:val="auto"/>
              </w:rPr>
            </w:pPr>
            <w:r>
              <w:rPr>
                <w:rFonts w:ascii="Arial" w:cs="Arial" w:eastAsia="Arial" w:hAnsi="Arial"/>
                <w:sz w:val="14"/>
                <w:szCs w:val="14"/>
                <w:color w:val="FFFFFF"/>
              </w:rPr>
              <w:t>All Other</w:t>
            </w:r>
          </w:p>
        </w:tc>
        <w:tc>
          <w:tcPr>
            <w:tcW w:w="1140" w:type="dxa"/>
            <w:vAlign w:val="bottom"/>
            <w:shd w:val="clear" w:color="auto" w:fill="005CB9"/>
          </w:tcPr>
          <w:p>
            <w:pPr>
              <w:spacing w:after="0"/>
              <w:rPr>
                <w:sz w:val="14"/>
                <w:szCs w:val="14"/>
                <w:color w:val="auto"/>
              </w:rPr>
            </w:pPr>
          </w:p>
        </w:tc>
        <w:tc>
          <w:tcPr>
            <w:tcW w:w="920" w:type="dxa"/>
            <w:vAlign w:val="bottom"/>
            <w:shd w:val="clear" w:color="auto" w:fill="005CB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500" w:type="dxa"/>
            <w:vAlign w:val="bottom"/>
            <w:shd w:val="clear" w:color="auto" w:fill="005CB9"/>
          </w:tcPr>
          <w:p>
            <w:pPr>
              <w:spacing w:after="0"/>
              <w:rPr>
                <w:sz w:val="7"/>
                <w:szCs w:val="7"/>
                <w:color w:val="auto"/>
              </w:rPr>
            </w:pPr>
          </w:p>
        </w:tc>
        <w:tc>
          <w:tcPr>
            <w:tcW w:w="200" w:type="dxa"/>
            <w:vAlign w:val="bottom"/>
            <w:shd w:val="clear" w:color="auto" w:fill="005CB9"/>
          </w:tcPr>
          <w:p>
            <w:pPr>
              <w:spacing w:after="0"/>
              <w:rPr>
                <w:sz w:val="7"/>
                <w:szCs w:val="7"/>
                <w:color w:val="auto"/>
              </w:rPr>
            </w:pPr>
          </w:p>
        </w:tc>
        <w:tc>
          <w:tcPr>
            <w:tcW w:w="860" w:type="dxa"/>
            <w:vAlign w:val="bottom"/>
            <w:shd w:val="clear" w:color="auto" w:fill="005CB9"/>
          </w:tcPr>
          <w:p>
            <w:pPr>
              <w:spacing w:after="0"/>
              <w:rPr>
                <w:sz w:val="7"/>
                <w:szCs w:val="7"/>
                <w:color w:val="auto"/>
              </w:rPr>
            </w:pPr>
          </w:p>
        </w:tc>
        <w:tc>
          <w:tcPr>
            <w:tcW w:w="800" w:type="dxa"/>
            <w:vAlign w:val="bottom"/>
            <w:shd w:val="clear" w:color="auto" w:fill="005CB9"/>
          </w:tcPr>
          <w:p>
            <w:pPr>
              <w:spacing w:after="0"/>
              <w:rPr>
                <w:sz w:val="7"/>
                <w:szCs w:val="7"/>
                <w:color w:val="auto"/>
              </w:rPr>
            </w:pPr>
          </w:p>
        </w:tc>
        <w:tc>
          <w:tcPr>
            <w:tcW w:w="1860" w:type="dxa"/>
            <w:vAlign w:val="bottom"/>
            <w:gridSpan w:val="2"/>
            <w:vMerge w:val="restart"/>
            <w:shd w:val="clear" w:color="auto" w:fill="005CB9"/>
          </w:tcPr>
          <w:p>
            <w:pPr>
              <w:jc w:val="right"/>
              <w:ind w:right="28"/>
              <w:spacing w:after="0"/>
              <w:rPr>
                <w:sz w:val="20"/>
                <w:szCs w:val="20"/>
                <w:color w:val="auto"/>
              </w:rPr>
            </w:pPr>
            <w:r>
              <w:rPr>
                <w:rFonts w:ascii="Arial" w:cs="Arial" w:eastAsia="Arial" w:hAnsi="Arial"/>
                <w:sz w:val="14"/>
                <w:szCs w:val="14"/>
                <w:color w:val="FFFFFF"/>
              </w:rPr>
              <w:t>Estimated Future</w:t>
            </w:r>
          </w:p>
        </w:tc>
        <w:tc>
          <w:tcPr>
            <w:tcW w:w="1500" w:type="dxa"/>
            <w:vAlign w:val="bottom"/>
            <w:gridSpan w:val="2"/>
            <w:vMerge w:val="restart"/>
            <w:shd w:val="clear" w:color="auto" w:fill="005CB9"/>
          </w:tcPr>
          <w:p>
            <w:pPr>
              <w:jc w:val="right"/>
              <w:spacing w:after="0"/>
              <w:rPr>
                <w:sz w:val="20"/>
                <w:szCs w:val="20"/>
                <w:color w:val="auto"/>
              </w:rPr>
            </w:pPr>
            <w:r>
              <w:rPr>
                <w:rFonts w:ascii="Arial" w:cs="Arial" w:eastAsia="Arial" w:hAnsi="Arial"/>
                <w:sz w:val="14"/>
                <w:szCs w:val="14"/>
                <w:color w:val="FFFFFF"/>
              </w:rPr>
              <w:t>Payouts Under</w:t>
            </w:r>
          </w:p>
        </w:tc>
        <w:tc>
          <w:tcPr>
            <w:tcW w:w="1240" w:type="dxa"/>
            <w:vAlign w:val="bottom"/>
            <w:vMerge w:val="continue"/>
            <w:shd w:val="clear" w:color="auto" w:fill="005CB9"/>
          </w:tcPr>
          <w:p>
            <w:pPr>
              <w:spacing w:after="0"/>
              <w:rPr>
                <w:sz w:val="7"/>
                <w:szCs w:val="7"/>
                <w:color w:val="auto"/>
              </w:rPr>
            </w:pPr>
          </w:p>
        </w:tc>
        <w:tc>
          <w:tcPr>
            <w:tcW w:w="1140" w:type="dxa"/>
            <w:vAlign w:val="bottom"/>
            <w:shd w:val="clear" w:color="auto" w:fill="005CB9"/>
          </w:tcPr>
          <w:p>
            <w:pPr>
              <w:spacing w:after="0"/>
              <w:rPr>
                <w:sz w:val="7"/>
                <w:szCs w:val="7"/>
                <w:color w:val="auto"/>
              </w:rPr>
            </w:pPr>
          </w:p>
        </w:tc>
        <w:tc>
          <w:tcPr>
            <w:tcW w:w="920" w:type="dxa"/>
            <w:vAlign w:val="bottom"/>
            <w:shd w:val="clear" w:color="auto" w:fill="005CB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00" w:type="dxa"/>
            <w:vAlign w:val="bottom"/>
            <w:shd w:val="clear" w:color="auto" w:fill="005CB9"/>
          </w:tcPr>
          <w:p>
            <w:pPr>
              <w:spacing w:after="0"/>
              <w:rPr>
                <w:sz w:val="7"/>
                <w:szCs w:val="7"/>
                <w:color w:val="auto"/>
              </w:rPr>
            </w:pPr>
          </w:p>
        </w:tc>
        <w:tc>
          <w:tcPr>
            <w:tcW w:w="200" w:type="dxa"/>
            <w:vAlign w:val="bottom"/>
            <w:shd w:val="clear" w:color="auto" w:fill="005CB9"/>
          </w:tcPr>
          <w:p>
            <w:pPr>
              <w:spacing w:after="0"/>
              <w:rPr>
                <w:sz w:val="7"/>
                <w:szCs w:val="7"/>
                <w:color w:val="auto"/>
              </w:rPr>
            </w:pPr>
          </w:p>
        </w:tc>
        <w:tc>
          <w:tcPr>
            <w:tcW w:w="860" w:type="dxa"/>
            <w:vAlign w:val="bottom"/>
            <w:shd w:val="clear" w:color="auto" w:fill="005CB9"/>
          </w:tcPr>
          <w:p>
            <w:pPr>
              <w:spacing w:after="0"/>
              <w:rPr>
                <w:sz w:val="7"/>
                <w:szCs w:val="7"/>
                <w:color w:val="auto"/>
              </w:rPr>
            </w:pPr>
          </w:p>
        </w:tc>
        <w:tc>
          <w:tcPr>
            <w:tcW w:w="800" w:type="dxa"/>
            <w:vAlign w:val="bottom"/>
            <w:shd w:val="clear" w:color="auto" w:fill="005CB9"/>
          </w:tcPr>
          <w:p>
            <w:pPr>
              <w:spacing w:after="0"/>
              <w:rPr>
                <w:sz w:val="7"/>
                <w:szCs w:val="7"/>
                <w:color w:val="auto"/>
              </w:rPr>
            </w:pPr>
          </w:p>
        </w:tc>
        <w:tc>
          <w:tcPr>
            <w:tcW w:w="1860" w:type="dxa"/>
            <w:vAlign w:val="bottom"/>
            <w:gridSpan w:val="2"/>
            <w:vMerge w:val="continue"/>
            <w:shd w:val="clear" w:color="auto" w:fill="005CB9"/>
          </w:tcPr>
          <w:p>
            <w:pPr>
              <w:spacing w:after="0"/>
              <w:rPr>
                <w:sz w:val="7"/>
                <w:szCs w:val="7"/>
                <w:color w:val="auto"/>
              </w:rPr>
            </w:pPr>
          </w:p>
        </w:tc>
        <w:tc>
          <w:tcPr>
            <w:tcW w:w="1500" w:type="dxa"/>
            <w:vAlign w:val="bottom"/>
            <w:gridSpan w:val="2"/>
            <w:vMerge w:val="continue"/>
            <w:shd w:val="clear" w:color="auto" w:fill="005CB9"/>
          </w:tcPr>
          <w:p>
            <w:pPr>
              <w:spacing w:after="0"/>
              <w:rPr>
                <w:sz w:val="7"/>
                <w:szCs w:val="7"/>
                <w:color w:val="auto"/>
              </w:rPr>
            </w:pPr>
          </w:p>
        </w:tc>
        <w:tc>
          <w:tcPr>
            <w:tcW w:w="1240" w:type="dxa"/>
            <w:vAlign w:val="bottom"/>
            <w:vMerge w:val="restart"/>
            <w:shd w:val="clear" w:color="auto" w:fill="005CB9"/>
          </w:tcPr>
          <w:p>
            <w:pPr>
              <w:jc w:val="right"/>
              <w:ind w:right="189"/>
              <w:spacing w:after="0"/>
              <w:rPr>
                <w:sz w:val="20"/>
                <w:szCs w:val="20"/>
                <w:color w:val="auto"/>
              </w:rPr>
            </w:pPr>
            <w:r>
              <w:rPr>
                <w:rFonts w:ascii="Arial" w:cs="Arial" w:eastAsia="Arial" w:hAnsi="Arial"/>
                <w:sz w:val="14"/>
                <w:szCs w:val="14"/>
                <w:color w:val="FFFFFF"/>
              </w:rPr>
              <w:t>Option</w:t>
            </w:r>
          </w:p>
        </w:tc>
        <w:tc>
          <w:tcPr>
            <w:tcW w:w="1140" w:type="dxa"/>
            <w:vAlign w:val="bottom"/>
            <w:shd w:val="clear" w:color="auto" w:fill="005CB9"/>
          </w:tcPr>
          <w:p>
            <w:pPr>
              <w:spacing w:after="0"/>
              <w:rPr>
                <w:sz w:val="7"/>
                <w:szCs w:val="7"/>
                <w:color w:val="auto"/>
              </w:rPr>
            </w:pPr>
          </w:p>
        </w:tc>
        <w:tc>
          <w:tcPr>
            <w:tcW w:w="920" w:type="dxa"/>
            <w:vAlign w:val="bottom"/>
            <w:shd w:val="clear" w:color="auto" w:fill="005CB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00" w:type="dxa"/>
            <w:vAlign w:val="bottom"/>
            <w:shd w:val="clear" w:color="auto" w:fill="005CB9"/>
          </w:tcPr>
          <w:p>
            <w:pPr>
              <w:spacing w:after="0"/>
              <w:rPr>
                <w:sz w:val="7"/>
                <w:szCs w:val="7"/>
                <w:color w:val="auto"/>
              </w:rPr>
            </w:pPr>
          </w:p>
        </w:tc>
        <w:tc>
          <w:tcPr>
            <w:tcW w:w="200" w:type="dxa"/>
            <w:vAlign w:val="bottom"/>
            <w:shd w:val="clear" w:color="auto" w:fill="005CB9"/>
          </w:tcPr>
          <w:p>
            <w:pPr>
              <w:spacing w:after="0"/>
              <w:rPr>
                <w:sz w:val="7"/>
                <w:szCs w:val="7"/>
                <w:color w:val="auto"/>
              </w:rPr>
            </w:pPr>
          </w:p>
        </w:tc>
        <w:tc>
          <w:tcPr>
            <w:tcW w:w="860" w:type="dxa"/>
            <w:vAlign w:val="bottom"/>
            <w:shd w:val="clear" w:color="auto" w:fill="005CB9"/>
          </w:tcPr>
          <w:p>
            <w:pPr>
              <w:spacing w:after="0"/>
              <w:rPr>
                <w:sz w:val="7"/>
                <w:szCs w:val="7"/>
                <w:color w:val="auto"/>
              </w:rPr>
            </w:pPr>
          </w:p>
        </w:tc>
        <w:tc>
          <w:tcPr>
            <w:tcW w:w="800" w:type="dxa"/>
            <w:vAlign w:val="bottom"/>
            <w:shd w:val="clear" w:color="auto" w:fill="005CB9"/>
          </w:tcPr>
          <w:p>
            <w:pPr>
              <w:spacing w:after="0"/>
              <w:rPr>
                <w:sz w:val="7"/>
                <w:szCs w:val="7"/>
                <w:color w:val="auto"/>
              </w:rPr>
            </w:pPr>
          </w:p>
        </w:tc>
        <w:tc>
          <w:tcPr>
            <w:tcW w:w="1860" w:type="dxa"/>
            <w:vAlign w:val="bottom"/>
            <w:gridSpan w:val="2"/>
            <w:vMerge w:val="restart"/>
            <w:shd w:val="clear" w:color="auto" w:fill="005CB9"/>
          </w:tcPr>
          <w:p>
            <w:pPr>
              <w:jc w:val="right"/>
              <w:ind w:right="28"/>
              <w:spacing w:after="0" w:line="155" w:lineRule="exact"/>
              <w:rPr>
                <w:sz w:val="20"/>
                <w:szCs w:val="20"/>
                <w:color w:val="auto"/>
              </w:rPr>
            </w:pPr>
            <w:r>
              <w:rPr>
                <w:rFonts w:ascii="Arial" w:cs="Arial" w:eastAsia="Arial" w:hAnsi="Arial"/>
                <w:sz w:val="14"/>
                <w:szCs w:val="14"/>
                <w:color w:val="FFFFFF"/>
              </w:rPr>
              <w:t>Payouts Under Non-Equity</w:t>
            </w:r>
          </w:p>
        </w:tc>
        <w:tc>
          <w:tcPr>
            <w:tcW w:w="1500" w:type="dxa"/>
            <w:vAlign w:val="bottom"/>
            <w:gridSpan w:val="2"/>
            <w:vMerge w:val="restart"/>
            <w:shd w:val="clear" w:color="auto" w:fill="005CB9"/>
          </w:tcPr>
          <w:p>
            <w:pPr>
              <w:jc w:val="right"/>
              <w:spacing w:after="0" w:line="155" w:lineRule="exact"/>
              <w:rPr>
                <w:sz w:val="20"/>
                <w:szCs w:val="20"/>
                <w:color w:val="auto"/>
              </w:rPr>
            </w:pPr>
            <w:r>
              <w:rPr>
                <w:rFonts w:ascii="Arial" w:cs="Arial" w:eastAsia="Arial" w:hAnsi="Arial"/>
                <w:sz w:val="14"/>
                <w:szCs w:val="14"/>
                <w:color w:val="FFFFFF"/>
              </w:rPr>
              <w:t>Equity Incentive</w:t>
            </w:r>
          </w:p>
        </w:tc>
        <w:tc>
          <w:tcPr>
            <w:tcW w:w="1240" w:type="dxa"/>
            <w:vAlign w:val="bottom"/>
            <w:vMerge w:val="continue"/>
            <w:shd w:val="clear" w:color="auto" w:fill="005CB9"/>
          </w:tcPr>
          <w:p>
            <w:pPr>
              <w:spacing w:after="0"/>
              <w:rPr>
                <w:sz w:val="7"/>
                <w:szCs w:val="7"/>
                <w:color w:val="auto"/>
              </w:rPr>
            </w:pPr>
          </w:p>
        </w:tc>
        <w:tc>
          <w:tcPr>
            <w:tcW w:w="1140" w:type="dxa"/>
            <w:vAlign w:val="bottom"/>
            <w:shd w:val="clear" w:color="auto" w:fill="005CB9"/>
          </w:tcPr>
          <w:p>
            <w:pPr>
              <w:spacing w:after="0"/>
              <w:rPr>
                <w:sz w:val="7"/>
                <w:szCs w:val="7"/>
                <w:color w:val="auto"/>
              </w:rPr>
            </w:pPr>
          </w:p>
        </w:tc>
        <w:tc>
          <w:tcPr>
            <w:tcW w:w="920" w:type="dxa"/>
            <w:vAlign w:val="bottom"/>
            <w:shd w:val="clear" w:color="auto" w:fill="005CB9"/>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500" w:type="dxa"/>
            <w:vAlign w:val="bottom"/>
            <w:shd w:val="clear" w:color="auto" w:fill="005CB9"/>
          </w:tcPr>
          <w:p>
            <w:pPr>
              <w:spacing w:after="0"/>
              <w:rPr>
                <w:sz w:val="6"/>
                <w:szCs w:val="6"/>
                <w:color w:val="auto"/>
              </w:rPr>
            </w:pPr>
          </w:p>
        </w:tc>
        <w:tc>
          <w:tcPr>
            <w:tcW w:w="200" w:type="dxa"/>
            <w:vAlign w:val="bottom"/>
            <w:shd w:val="clear" w:color="auto" w:fill="005CB9"/>
          </w:tcPr>
          <w:p>
            <w:pPr>
              <w:spacing w:after="0"/>
              <w:rPr>
                <w:sz w:val="6"/>
                <w:szCs w:val="6"/>
                <w:color w:val="auto"/>
              </w:rPr>
            </w:pPr>
          </w:p>
        </w:tc>
        <w:tc>
          <w:tcPr>
            <w:tcW w:w="860" w:type="dxa"/>
            <w:vAlign w:val="bottom"/>
            <w:shd w:val="clear" w:color="auto" w:fill="005CB9"/>
          </w:tcPr>
          <w:p>
            <w:pPr>
              <w:spacing w:after="0"/>
              <w:rPr>
                <w:sz w:val="6"/>
                <w:szCs w:val="6"/>
                <w:color w:val="auto"/>
              </w:rPr>
            </w:pPr>
          </w:p>
        </w:tc>
        <w:tc>
          <w:tcPr>
            <w:tcW w:w="800" w:type="dxa"/>
            <w:vAlign w:val="bottom"/>
            <w:shd w:val="clear" w:color="auto" w:fill="005CB9"/>
          </w:tcPr>
          <w:p>
            <w:pPr>
              <w:spacing w:after="0"/>
              <w:rPr>
                <w:sz w:val="6"/>
                <w:szCs w:val="6"/>
                <w:color w:val="auto"/>
              </w:rPr>
            </w:pPr>
          </w:p>
        </w:tc>
        <w:tc>
          <w:tcPr>
            <w:tcW w:w="1860" w:type="dxa"/>
            <w:vAlign w:val="bottom"/>
            <w:gridSpan w:val="2"/>
            <w:vMerge w:val="continue"/>
            <w:shd w:val="clear" w:color="auto" w:fill="005CB9"/>
          </w:tcPr>
          <w:p>
            <w:pPr>
              <w:spacing w:after="0"/>
              <w:rPr>
                <w:sz w:val="6"/>
                <w:szCs w:val="6"/>
                <w:color w:val="auto"/>
              </w:rPr>
            </w:pPr>
          </w:p>
        </w:tc>
        <w:tc>
          <w:tcPr>
            <w:tcW w:w="1500" w:type="dxa"/>
            <w:vAlign w:val="bottom"/>
            <w:gridSpan w:val="2"/>
            <w:vMerge w:val="continue"/>
            <w:shd w:val="clear" w:color="auto" w:fill="005CB9"/>
          </w:tcPr>
          <w:p>
            <w:pPr>
              <w:spacing w:after="0"/>
              <w:rPr>
                <w:sz w:val="6"/>
                <w:szCs w:val="6"/>
                <w:color w:val="auto"/>
              </w:rPr>
            </w:pPr>
          </w:p>
        </w:tc>
        <w:tc>
          <w:tcPr>
            <w:tcW w:w="1240" w:type="dxa"/>
            <w:vAlign w:val="bottom"/>
            <w:vMerge w:val="restart"/>
            <w:shd w:val="clear" w:color="auto" w:fill="005CB9"/>
          </w:tcPr>
          <w:p>
            <w:pPr>
              <w:jc w:val="right"/>
              <w:ind w:right="189"/>
              <w:spacing w:after="0"/>
              <w:rPr>
                <w:sz w:val="20"/>
                <w:szCs w:val="20"/>
                <w:color w:val="auto"/>
              </w:rPr>
            </w:pPr>
            <w:r>
              <w:rPr>
                <w:rFonts w:ascii="Arial" w:cs="Arial" w:eastAsia="Arial" w:hAnsi="Arial"/>
                <w:sz w:val="14"/>
                <w:szCs w:val="14"/>
                <w:color w:val="FFFFFF"/>
              </w:rPr>
              <w:t>Awards:#</w:t>
            </w:r>
          </w:p>
        </w:tc>
        <w:tc>
          <w:tcPr>
            <w:tcW w:w="1140" w:type="dxa"/>
            <w:vAlign w:val="bottom"/>
            <w:vMerge w:val="restart"/>
            <w:shd w:val="clear" w:color="auto" w:fill="005CB9"/>
          </w:tcPr>
          <w:p>
            <w:pPr>
              <w:jc w:val="right"/>
              <w:ind w:right="9"/>
              <w:spacing w:after="0"/>
              <w:rPr>
                <w:sz w:val="20"/>
                <w:szCs w:val="20"/>
                <w:color w:val="auto"/>
              </w:rPr>
            </w:pPr>
            <w:r>
              <w:rPr>
                <w:rFonts w:ascii="Arial" w:cs="Arial" w:eastAsia="Arial" w:hAnsi="Arial"/>
                <w:sz w:val="14"/>
                <w:szCs w:val="14"/>
                <w:color w:val="FFFFFF"/>
              </w:rPr>
              <w:t>Exercise /</w:t>
            </w:r>
          </w:p>
        </w:tc>
        <w:tc>
          <w:tcPr>
            <w:tcW w:w="920" w:type="dxa"/>
            <w:vAlign w:val="bottom"/>
            <w:shd w:val="clear" w:color="auto" w:fill="005CB9"/>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500" w:type="dxa"/>
            <w:vAlign w:val="bottom"/>
            <w:shd w:val="clear" w:color="auto" w:fill="005CB9"/>
          </w:tcPr>
          <w:p>
            <w:pPr>
              <w:spacing w:after="0"/>
              <w:rPr>
                <w:sz w:val="11"/>
                <w:szCs w:val="11"/>
                <w:color w:val="auto"/>
              </w:rPr>
            </w:pPr>
          </w:p>
        </w:tc>
        <w:tc>
          <w:tcPr>
            <w:tcW w:w="200" w:type="dxa"/>
            <w:vAlign w:val="bottom"/>
            <w:shd w:val="clear" w:color="auto" w:fill="005CB9"/>
          </w:tcPr>
          <w:p>
            <w:pPr>
              <w:spacing w:after="0"/>
              <w:rPr>
                <w:sz w:val="11"/>
                <w:szCs w:val="11"/>
                <w:color w:val="auto"/>
              </w:rPr>
            </w:pPr>
          </w:p>
        </w:tc>
        <w:tc>
          <w:tcPr>
            <w:tcW w:w="860" w:type="dxa"/>
            <w:vAlign w:val="bottom"/>
            <w:shd w:val="clear" w:color="auto" w:fill="005CB9"/>
          </w:tcPr>
          <w:p>
            <w:pPr>
              <w:spacing w:after="0"/>
              <w:rPr>
                <w:sz w:val="11"/>
                <w:szCs w:val="11"/>
                <w:color w:val="auto"/>
              </w:rPr>
            </w:pPr>
          </w:p>
        </w:tc>
        <w:tc>
          <w:tcPr>
            <w:tcW w:w="800" w:type="dxa"/>
            <w:vAlign w:val="bottom"/>
            <w:shd w:val="clear" w:color="auto" w:fill="005CB9"/>
          </w:tcPr>
          <w:p>
            <w:pPr>
              <w:spacing w:after="0"/>
              <w:rPr>
                <w:sz w:val="11"/>
                <w:szCs w:val="11"/>
                <w:color w:val="auto"/>
              </w:rPr>
            </w:pPr>
          </w:p>
        </w:tc>
        <w:tc>
          <w:tcPr>
            <w:tcW w:w="1860" w:type="dxa"/>
            <w:vAlign w:val="bottom"/>
            <w:gridSpan w:val="2"/>
            <w:shd w:val="clear" w:color="auto" w:fill="005CB9"/>
          </w:tcPr>
          <w:p>
            <w:pPr>
              <w:jc w:val="right"/>
              <w:ind w:right="28"/>
              <w:spacing w:after="0" w:line="137" w:lineRule="exact"/>
              <w:rPr>
                <w:sz w:val="20"/>
                <w:szCs w:val="20"/>
                <w:color w:val="auto"/>
              </w:rPr>
            </w:pPr>
            <w:r>
              <w:rPr>
                <w:rFonts w:ascii="Arial" w:cs="Arial" w:eastAsia="Arial" w:hAnsi="Arial"/>
                <w:sz w:val="14"/>
                <w:szCs w:val="14"/>
                <w:color w:val="FFFFFF"/>
              </w:rPr>
              <w:t>Incentive Plan Awards</w:t>
            </w:r>
            <w:r>
              <w:rPr>
                <w:rFonts w:ascii="Arial" w:cs="Arial" w:eastAsia="Arial" w:hAnsi="Arial"/>
                <w:sz w:val="14"/>
                <w:szCs w:val="14"/>
                <w:color w:val="FFFFFF"/>
                <w:vertAlign w:val="superscript"/>
              </w:rPr>
              <w:t>(1)</w:t>
            </w:r>
          </w:p>
        </w:tc>
        <w:tc>
          <w:tcPr>
            <w:tcW w:w="1500" w:type="dxa"/>
            <w:vAlign w:val="bottom"/>
            <w:gridSpan w:val="2"/>
            <w:shd w:val="clear" w:color="auto" w:fill="005CB9"/>
          </w:tcPr>
          <w:p>
            <w:pPr>
              <w:jc w:val="right"/>
              <w:spacing w:after="0" w:line="137" w:lineRule="exact"/>
              <w:rPr>
                <w:sz w:val="20"/>
                <w:szCs w:val="20"/>
                <w:color w:val="auto"/>
              </w:rPr>
            </w:pPr>
            <w:r>
              <w:rPr>
                <w:rFonts w:ascii="Arial" w:cs="Arial" w:eastAsia="Arial" w:hAnsi="Arial"/>
                <w:sz w:val="14"/>
                <w:szCs w:val="14"/>
                <w:color w:val="FFFFFF"/>
              </w:rPr>
              <w:t>Plan Awards</w:t>
            </w:r>
            <w:r>
              <w:rPr>
                <w:rFonts w:ascii="Arial" w:cs="Arial" w:eastAsia="Arial" w:hAnsi="Arial"/>
                <w:sz w:val="14"/>
                <w:szCs w:val="14"/>
                <w:color w:val="FFFFFF"/>
                <w:vertAlign w:val="superscript"/>
              </w:rPr>
              <w:t>(2)</w:t>
            </w:r>
          </w:p>
        </w:tc>
        <w:tc>
          <w:tcPr>
            <w:tcW w:w="1240" w:type="dxa"/>
            <w:vAlign w:val="bottom"/>
            <w:vMerge w:val="continue"/>
            <w:shd w:val="clear" w:color="auto" w:fill="005CB9"/>
          </w:tcPr>
          <w:p>
            <w:pPr>
              <w:spacing w:after="0"/>
              <w:rPr>
                <w:sz w:val="11"/>
                <w:szCs w:val="11"/>
                <w:color w:val="auto"/>
              </w:rPr>
            </w:pPr>
          </w:p>
        </w:tc>
        <w:tc>
          <w:tcPr>
            <w:tcW w:w="1140" w:type="dxa"/>
            <w:vAlign w:val="bottom"/>
            <w:vMerge w:val="continue"/>
            <w:shd w:val="clear" w:color="auto" w:fill="005CB9"/>
          </w:tcPr>
          <w:p>
            <w:pPr>
              <w:spacing w:after="0"/>
              <w:rPr>
                <w:sz w:val="11"/>
                <w:szCs w:val="11"/>
                <w:color w:val="auto"/>
              </w:rPr>
            </w:pPr>
          </w:p>
        </w:tc>
        <w:tc>
          <w:tcPr>
            <w:tcW w:w="920" w:type="dxa"/>
            <w:vAlign w:val="bottom"/>
            <w:shd w:val="clear" w:color="auto" w:fill="005CB9"/>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500" w:type="dxa"/>
            <w:vAlign w:val="bottom"/>
            <w:shd w:val="clear" w:color="auto" w:fill="005CB9"/>
          </w:tcPr>
          <w:p>
            <w:pPr>
              <w:spacing w:after="0"/>
              <w:rPr>
                <w:sz w:val="5"/>
                <w:szCs w:val="5"/>
                <w:color w:val="auto"/>
              </w:rPr>
            </w:pPr>
          </w:p>
        </w:tc>
        <w:tc>
          <w:tcPr>
            <w:tcW w:w="200" w:type="dxa"/>
            <w:vAlign w:val="bottom"/>
            <w:shd w:val="clear" w:color="auto" w:fill="005CB9"/>
          </w:tcPr>
          <w:p>
            <w:pPr>
              <w:spacing w:after="0"/>
              <w:rPr>
                <w:sz w:val="5"/>
                <w:szCs w:val="5"/>
                <w:color w:val="auto"/>
              </w:rPr>
            </w:pPr>
          </w:p>
        </w:tc>
        <w:tc>
          <w:tcPr>
            <w:tcW w:w="860" w:type="dxa"/>
            <w:vAlign w:val="bottom"/>
            <w:vMerge w:val="restart"/>
            <w:shd w:val="clear" w:color="auto" w:fill="005CB9"/>
          </w:tcPr>
          <w:p>
            <w:pPr>
              <w:jc w:val="right"/>
              <w:ind w:right="48"/>
              <w:spacing w:after="0"/>
              <w:rPr>
                <w:sz w:val="20"/>
                <w:szCs w:val="20"/>
                <w:color w:val="auto"/>
              </w:rPr>
            </w:pPr>
            <w:r>
              <w:rPr>
                <w:rFonts w:ascii="Arial" w:cs="Arial" w:eastAsia="Arial" w:hAnsi="Arial"/>
                <w:sz w:val="14"/>
                <w:szCs w:val="14"/>
                <w:color w:val="FFFFFF"/>
              </w:rPr>
              <w:t>Grant</w:t>
            </w:r>
          </w:p>
        </w:tc>
        <w:tc>
          <w:tcPr>
            <w:tcW w:w="800" w:type="dxa"/>
            <w:vAlign w:val="bottom"/>
            <w:vMerge w:val="restart"/>
            <w:shd w:val="clear" w:color="auto" w:fill="005CB9"/>
          </w:tcPr>
          <w:p>
            <w:pPr>
              <w:jc w:val="right"/>
              <w:spacing w:after="0"/>
              <w:rPr>
                <w:sz w:val="20"/>
                <w:szCs w:val="20"/>
                <w:color w:val="auto"/>
              </w:rPr>
            </w:pPr>
            <w:r>
              <w:rPr>
                <w:rFonts w:ascii="Arial" w:cs="Arial" w:eastAsia="Arial" w:hAnsi="Arial"/>
                <w:sz w:val="14"/>
                <w:szCs w:val="14"/>
                <w:color w:val="FFFFFF"/>
              </w:rPr>
              <w:t>Threshold</w:t>
            </w:r>
          </w:p>
        </w:tc>
        <w:tc>
          <w:tcPr>
            <w:tcW w:w="980" w:type="dxa"/>
            <w:vAlign w:val="bottom"/>
            <w:vMerge w:val="restart"/>
            <w:shd w:val="clear" w:color="auto" w:fill="005CB9"/>
          </w:tcPr>
          <w:p>
            <w:pPr>
              <w:jc w:val="right"/>
              <w:ind w:right="68"/>
              <w:spacing w:after="0"/>
              <w:rPr>
                <w:sz w:val="20"/>
                <w:szCs w:val="20"/>
                <w:color w:val="auto"/>
              </w:rPr>
            </w:pPr>
            <w:r>
              <w:rPr>
                <w:rFonts w:ascii="Arial" w:cs="Arial" w:eastAsia="Arial" w:hAnsi="Arial"/>
                <w:sz w:val="14"/>
                <w:szCs w:val="14"/>
                <w:color w:val="FFFFFF"/>
              </w:rPr>
              <w:t>Target</w:t>
            </w:r>
          </w:p>
        </w:tc>
        <w:tc>
          <w:tcPr>
            <w:tcW w:w="880" w:type="dxa"/>
            <w:vAlign w:val="bottom"/>
            <w:vMerge w:val="restart"/>
            <w:shd w:val="clear" w:color="auto" w:fill="005CB9"/>
          </w:tcPr>
          <w:p>
            <w:pPr>
              <w:jc w:val="right"/>
              <w:ind w:right="28"/>
              <w:spacing w:after="0"/>
              <w:rPr>
                <w:sz w:val="20"/>
                <w:szCs w:val="20"/>
                <w:color w:val="auto"/>
              </w:rPr>
            </w:pPr>
            <w:r>
              <w:rPr>
                <w:rFonts w:ascii="Arial" w:cs="Arial" w:eastAsia="Arial" w:hAnsi="Arial"/>
                <w:sz w:val="14"/>
                <w:szCs w:val="14"/>
                <w:color w:val="FFFFFF"/>
              </w:rPr>
              <w:t>Maximum</w:t>
            </w:r>
          </w:p>
        </w:tc>
        <w:tc>
          <w:tcPr>
            <w:tcW w:w="880" w:type="dxa"/>
            <w:vAlign w:val="bottom"/>
            <w:vMerge w:val="restart"/>
            <w:shd w:val="clear" w:color="auto" w:fill="005CB9"/>
          </w:tcPr>
          <w:p>
            <w:pPr>
              <w:jc w:val="right"/>
              <w:ind w:right="48"/>
              <w:spacing w:after="0"/>
              <w:rPr>
                <w:sz w:val="20"/>
                <w:szCs w:val="20"/>
                <w:color w:val="auto"/>
              </w:rPr>
            </w:pPr>
            <w:r>
              <w:rPr>
                <w:rFonts w:ascii="Arial" w:cs="Arial" w:eastAsia="Arial" w:hAnsi="Arial"/>
                <w:sz w:val="14"/>
                <w:szCs w:val="14"/>
                <w:color w:val="FFFFFF"/>
              </w:rPr>
              <w:t>Threshold</w:t>
            </w:r>
          </w:p>
        </w:tc>
        <w:tc>
          <w:tcPr>
            <w:tcW w:w="620" w:type="dxa"/>
            <w:vAlign w:val="bottom"/>
            <w:vMerge w:val="restart"/>
            <w:shd w:val="clear" w:color="auto" w:fill="005CB9"/>
          </w:tcPr>
          <w:p>
            <w:pPr>
              <w:jc w:val="right"/>
              <w:spacing w:after="0"/>
              <w:rPr>
                <w:sz w:val="20"/>
                <w:szCs w:val="20"/>
                <w:color w:val="auto"/>
              </w:rPr>
            </w:pPr>
            <w:r>
              <w:rPr>
                <w:rFonts w:ascii="Arial" w:cs="Arial" w:eastAsia="Arial" w:hAnsi="Arial"/>
                <w:sz w:val="14"/>
                <w:szCs w:val="14"/>
                <w:color w:val="FFFFFF"/>
              </w:rPr>
              <w:t>Target</w:t>
            </w:r>
          </w:p>
        </w:tc>
        <w:tc>
          <w:tcPr>
            <w:tcW w:w="1240" w:type="dxa"/>
            <w:vAlign w:val="bottom"/>
            <w:vMerge w:val="restart"/>
            <w:shd w:val="clear" w:color="auto" w:fill="005CB9"/>
          </w:tcPr>
          <w:p>
            <w:pPr>
              <w:jc w:val="right"/>
              <w:ind w:right="189"/>
              <w:spacing w:after="0" w:line="106" w:lineRule="exact"/>
              <w:rPr>
                <w:sz w:val="20"/>
                <w:szCs w:val="20"/>
                <w:color w:val="auto"/>
              </w:rPr>
            </w:pPr>
            <w:r>
              <w:rPr>
                <w:rFonts w:ascii="Arial" w:cs="Arial" w:eastAsia="Arial" w:hAnsi="Arial"/>
                <w:sz w:val="12"/>
                <w:szCs w:val="12"/>
                <w:color w:val="FFFFFF"/>
              </w:rPr>
              <w:t>of Securities</w:t>
            </w:r>
          </w:p>
        </w:tc>
        <w:tc>
          <w:tcPr>
            <w:tcW w:w="1140" w:type="dxa"/>
            <w:vAlign w:val="bottom"/>
            <w:vMerge w:val="restart"/>
            <w:shd w:val="clear" w:color="auto" w:fill="005CB9"/>
          </w:tcPr>
          <w:p>
            <w:pPr>
              <w:jc w:val="right"/>
              <w:ind w:right="9"/>
              <w:spacing w:after="0" w:line="106" w:lineRule="exact"/>
              <w:rPr>
                <w:sz w:val="20"/>
                <w:szCs w:val="20"/>
                <w:color w:val="auto"/>
              </w:rPr>
            </w:pPr>
            <w:r>
              <w:rPr>
                <w:rFonts w:ascii="Arial" w:cs="Arial" w:eastAsia="Arial" w:hAnsi="Arial"/>
                <w:sz w:val="12"/>
                <w:szCs w:val="12"/>
                <w:color w:val="FFFFFF"/>
              </w:rPr>
              <w:t>Base Price of</w:t>
            </w:r>
          </w:p>
        </w:tc>
        <w:tc>
          <w:tcPr>
            <w:tcW w:w="920" w:type="dxa"/>
            <w:vAlign w:val="bottom"/>
            <w:vMerge w:val="restart"/>
            <w:shd w:val="clear" w:color="auto" w:fill="005CB9"/>
          </w:tcPr>
          <w:p>
            <w:pPr>
              <w:jc w:val="right"/>
              <w:ind w:right="29"/>
              <w:spacing w:after="0" w:line="106" w:lineRule="exact"/>
              <w:rPr>
                <w:sz w:val="20"/>
                <w:szCs w:val="20"/>
                <w:color w:val="auto"/>
              </w:rPr>
            </w:pPr>
            <w:r>
              <w:rPr>
                <w:rFonts w:ascii="Arial" w:cs="Arial" w:eastAsia="Arial" w:hAnsi="Arial"/>
                <w:sz w:val="12"/>
                <w:szCs w:val="12"/>
                <w:color w:val="FFFFFF"/>
              </w:rPr>
              <w:t>Grant Date</w:t>
            </w:r>
          </w:p>
        </w:tc>
        <w:tc>
          <w:tcPr>
            <w:tcW w:w="0" w:type="dxa"/>
            <w:vAlign w:val="bottom"/>
          </w:tcPr>
          <w:p>
            <w:pPr>
              <w:spacing w:after="0"/>
              <w:rPr>
                <w:sz w:val="1"/>
                <w:szCs w:val="1"/>
                <w:color w:val="auto"/>
              </w:rPr>
            </w:pPr>
          </w:p>
        </w:tc>
      </w:tr>
      <w:tr>
        <w:trPr>
          <w:trHeight w:val="39"/>
        </w:trPr>
        <w:tc>
          <w:tcPr>
            <w:tcW w:w="2500" w:type="dxa"/>
            <w:vAlign w:val="bottom"/>
            <w:shd w:val="clear" w:color="auto" w:fill="005CB9"/>
          </w:tcPr>
          <w:p>
            <w:pPr>
              <w:spacing w:after="0"/>
              <w:rPr>
                <w:sz w:val="3"/>
                <w:szCs w:val="3"/>
                <w:color w:val="auto"/>
              </w:rPr>
            </w:pPr>
          </w:p>
        </w:tc>
        <w:tc>
          <w:tcPr>
            <w:tcW w:w="200" w:type="dxa"/>
            <w:vAlign w:val="bottom"/>
            <w:shd w:val="clear" w:color="auto" w:fill="005CB9"/>
          </w:tcPr>
          <w:p>
            <w:pPr>
              <w:spacing w:after="0"/>
              <w:rPr>
                <w:sz w:val="3"/>
                <w:szCs w:val="3"/>
                <w:color w:val="auto"/>
              </w:rPr>
            </w:pPr>
          </w:p>
        </w:tc>
        <w:tc>
          <w:tcPr>
            <w:tcW w:w="860" w:type="dxa"/>
            <w:vAlign w:val="bottom"/>
            <w:vMerge w:val="continue"/>
            <w:shd w:val="clear" w:color="auto" w:fill="005CB9"/>
          </w:tcPr>
          <w:p>
            <w:pPr>
              <w:spacing w:after="0"/>
              <w:rPr>
                <w:sz w:val="3"/>
                <w:szCs w:val="3"/>
                <w:color w:val="auto"/>
              </w:rPr>
            </w:pPr>
          </w:p>
        </w:tc>
        <w:tc>
          <w:tcPr>
            <w:tcW w:w="800" w:type="dxa"/>
            <w:vAlign w:val="bottom"/>
            <w:vMerge w:val="continue"/>
            <w:shd w:val="clear" w:color="auto" w:fill="005CB9"/>
          </w:tcPr>
          <w:p>
            <w:pPr>
              <w:spacing w:after="0"/>
              <w:rPr>
                <w:sz w:val="3"/>
                <w:szCs w:val="3"/>
                <w:color w:val="auto"/>
              </w:rPr>
            </w:pPr>
          </w:p>
        </w:tc>
        <w:tc>
          <w:tcPr>
            <w:tcW w:w="980" w:type="dxa"/>
            <w:vAlign w:val="bottom"/>
            <w:vMerge w:val="continue"/>
            <w:shd w:val="clear" w:color="auto" w:fill="005CB9"/>
          </w:tcPr>
          <w:p>
            <w:pPr>
              <w:spacing w:after="0"/>
              <w:rPr>
                <w:sz w:val="3"/>
                <w:szCs w:val="3"/>
                <w:color w:val="auto"/>
              </w:rPr>
            </w:pPr>
          </w:p>
        </w:tc>
        <w:tc>
          <w:tcPr>
            <w:tcW w:w="880" w:type="dxa"/>
            <w:vAlign w:val="bottom"/>
            <w:vMerge w:val="continue"/>
            <w:shd w:val="clear" w:color="auto" w:fill="005CB9"/>
          </w:tcPr>
          <w:p>
            <w:pPr>
              <w:spacing w:after="0"/>
              <w:rPr>
                <w:sz w:val="3"/>
                <w:szCs w:val="3"/>
                <w:color w:val="auto"/>
              </w:rPr>
            </w:pPr>
          </w:p>
        </w:tc>
        <w:tc>
          <w:tcPr>
            <w:tcW w:w="880" w:type="dxa"/>
            <w:vAlign w:val="bottom"/>
            <w:vMerge w:val="continue"/>
            <w:shd w:val="clear" w:color="auto" w:fill="005CB9"/>
          </w:tcPr>
          <w:p>
            <w:pPr>
              <w:spacing w:after="0"/>
              <w:rPr>
                <w:sz w:val="3"/>
                <w:szCs w:val="3"/>
                <w:color w:val="auto"/>
              </w:rPr>
            </w:pPr>
          </w:p>
        </w:tc>
        <w:tc>
          <w:tcPr>
            <w:tcW w:w="620" w:type="dxa"/>
            <w:vAlign w:val="bottom"/>
            <w:vMerge w:val="continue"/>
            <w:shd w:val="clear" w:color="auto" w:fill="005CB9"/>
          </w:tcPr>
          <w:p>
            <w:pPr>
              <w:spacing w:after="0"/>
              <w:rPr>
                <w:sz w:val="3"/>
                <w:szCs w:val="3"/>
                <w:color w:val="auto"/>
              </w:rPr>
            </w:pPr>
          </w:p>
        </w:tc>
        <w:tc>
          <w:tcPr>
            <w:tcW w:w="1240" w:type="dxa"/>
            <w:vAlign w:val="bottom"/>
            <w:vMerge w:val="continue"/>
            <w:shd w:val="clear" w:color="auto" w:fill="005CB9"/>
          </w:tcPr>
          <w:p>
            <w:pPr>
              <w:spacing w:after="0"/>
              <w:rPr>
                <w:sz w:val="3"/>
                <w:szCs w:val="3"/>
                <w:color w:val="auto"/>
              </w:rPr>
            </w:pPr>
          </w:p>
        </w:tc>
        <w:tc>
          <w:tcPr>
            <w:tcW w:w="1140" w:type="dxa"/>
            <w:vAlign w:val="bottom"/>
            <w:vMerge w:val="continue"/>
            <w:shd w:val="clear" w:color="auto" w:fill="005CB9"/>
          </w:tcPr>
          <w:p>
            <w:pPr>
              <w:spacing w:after="0"/>
              <w:rPr>
                <w:sz w:val="3"/>
                <w:szCs w:val="3"/>
                <w:color w:val="auto"/>
              </w:rPr>
            </w:pPr>
          </w:p>
        </w:tc>
        <w:tc>
          <w:tcPr>
            <w:tcW w:w="920" w:type="dxa"/>
            <w:vAlign w:val="bottom"/>
            <w:vMerge w:val="continue"/>
            <w:shd w:val="clear" w:color="auto" w:fill="005CB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500" w:type="dxa"/>
            <w:vAlign w:val="bottom"/>
            <w:shd w:val="clear" w:color="auto" w:fill="005CB9"/>
          </w:tcPr>
          <w:p>
            <w:pPr>
              <w:spacing w:after="0"/>
              <w:rPr>
                <w:sz w:val="11"/>
                <w:szCs w:val="11"/>
                <w:color w:val="auto"/>
              </w:rPr>
            </w:pPr>
          </w:p>
        </w:tc>
        <w:tc>
          <w:tcPr>
            <w:tcW w:w="200" w:type="dxa"/>
            <w:vAlign w:val="bottom"/>
            <w:shd w:val="clear" w:color="auto" w:fill="005CB9"/>
          </w:tcPr>
          <w:p>
            <w:pPr>
              <w:spacing w:after="0"/>
              <w:rPr>
                <w:sz w:val="11"/>
                <w:szCs w:val="11"/>
                <w:color w:val="auto"/>
              </w:rPr>
            </w:pPr>
          </w:p>
        </w:tc>
        <w:tc>
          <w:tcPr>
            <w:tcW w:w="860" w:type="dxa"/>
            <w:vAlign w:val="bottom"/>
            <w:vMerge w:val="continue"/>
            <w:shd w:val="clear" w:color="auto" w:fill="005CB9"/>
          </w:tcPr>
          <w:p>
            <w:pPr>
              <w:spacing w:after="0"/>
              <w:rPr>
                <w:sz w:val="11"/>
                <w:szCs w:val="11"/>
                <w:color w:val="auto"/>
              </w:rPr>
            </w:pPr>
          </w:p>
        </w:tc>
        <w:tc>
          <w:tcPr>
            <w:tcW w:w="800" w:type="dxa"/>
            <w:vAlign w:val="bottom"/>
            <w:vMerge w:val="continue"/>
            <w:shd w:val="clear" w:color="auto" w:fill="005CB9"/>
          </w:tcPr>
          <w:p>
            <w:pPr>
              <w:spacing w:after="0"/>
              <w:rPr>
                <w:sz w:val="11"/>
                <w:szCs w:val="11"/>
                <w:color w:val="auto"/>
              </w:rPr>
            </w:pPr>
          </w:p>
        </w:tc>
        <w:tc>
          <w:tcPr>
            <w:tcW w:w="980" w:type="dxa"/>
            <w:vAlign w:val="bottom"/>
            <w:vMerge w:val="continue"/>
            <w:shd w:val="clear" w:color="auto" w:fill="005CB9"/>
          </w:tcPr>
          <w:p>
            <w:pPr>
              <w:spacing w:after="0"/>
              <w:rPr>
                <w:sz w:val="11"/>
                <w:szCs w:val="11"/>
                <w:color w:val="auto"/>
              </w:rPr>
            </w:pPr>
          </w:p>
        </w:tc>
        <w:tc>
          <w:tcPr>
            <w:tcW w:w="880" w:type="dxa"/>
            <w:vAlign w:val="bottom"/>
            <w:vMerge w:val="continue"/>
            <w:shd w:val="clear" w:color="auto" w:fill="005CB9"/>
          </w:tcPr>
          <w:p>
            <w:pPr>
              <w:spacing w:after="0"/>
              <w:rPr>
                <w:sz w:val="11"/>
                <w:szCs w:val="11"/>
                <w:color w:val="auto"/>
              </w:rPr>
            </w:pPr>
          </w:p>
        </w:tc>
        <w:tc>
          <w:tcPr>
            <w:tcW w:w="880" w:type="dxa"/>
            <w:vAlign w:val="bottom"/>
            <w:vMerge w:val="continue"/>
            <w:shd w:val="clear" w:color="auto" w:fill="005CB9"/>
          </w:tcPr>
          <w:p>
            <w:pPr>
              <w:spacing w:after="0"/>
              <w:rPr>
                <w:sz w:val="11"/>
                <w:szCs w:val="11"/>
                <w:color w:val="auto"/>
              </w:rPr>
            </w:pPr>
          </w:p>
        </w:tc>
        <w:tc>
          <w:tcPr>
            <w:tcW w:w="620" w:type="dxa"/>
            <w:vAlign w:val="bottom"/>
            <w:vMerge w:val="continue"/>
            <w:shd w:val="clear" w:color="auto" w:fill="005CB9"/>
          </w:tcPr>
          <w:p>
            <w:pPr>
              <w:spacing w:after="0"/>
              <w:rPr>
                <w:sz w:val="11"/>
                <w:szCs w:val="11"/>
                <w:color w:val="auto"/>
              </w:rPr>
            </w:pPr>
          </w:p>
        </w:tc>
        <w:tc>
          <w:tcPr>
            <w:tcW w:w="1240" w:type="dxa"/>
            <w:vAlign w:val="bottom"/>
            <w:shd w:val="clear" w:color="auto" w:fill="005CB9"/>
          </w:tcPr>
          <w:p>
            <w:pPr>
              <w:jc w:val="right"/>
              <w:ind w:right="189"/>
              <w:spacing w:after="0" w:line="137" w:lineRule="exact"/>
              <w:rPr>
                <w:sz w:val="20"/>
                <w:szCs w:val="20"/>
                <w:color w:val="auto"/>
              </w:rPr>
            </w:pPr>
            <w:r>
              <w:rPr>
                <w:rFonts w:ascii="Arial" w:cs="Arial" w:eastAsia="Arial" w:hAnsi="Arial"/>
                <w:sz w:val="14"/>
                <w:szCs w:val="14"/>
                <w:color w:val="FFFFFF"/>
              </w:rPr>
              <w:t>Underlying</w:t>
            </w:r>
          </w:p>
        </w:tc>
        <w:tc>
          <w:tcPr>
            <w:tcW w:w="1140" w:type="dxa"/>
            <w:vAlign w:val="bottom"/>
            <w:shd w:val="clear" w:color="auto" w:fill="005CB9"/>
          </w:tcPr>
          <w:p>
            <w:pPr>
              <w:jc w:val="right"/>
              <w:ind w:right="9"/>
              <w:spacing w:after="0" w:line="137" w:lineRule="exact"/>
              <w:rPr>
                <w:sz w:val="20"/>
                <w:szCs w:val="20"/>
                <w:color w:val="auto"/>
              </w:rPr>
            </w:pPr>
            <w:r>
              <w:rPr>
                <w:rFonts w:ascii="Arial" w:cs="Arial" w:eastAsia="Arial" w:hAnsi="Arial"/>
                <w:sz w:val="14"/>
                <w:szCs w:val="14"/>
                <w:color w:val="FFFFFF"/>
              </w:rPr>
              <w:t>Option Awards</w:t>
            </w:r>
          </w:p>
        </w:tc>
        <w:tc>
          <w:tcPr>
            <w:tcW w:w="920" w:type="dxa"/>
            <w:vAlign w:val="bottom"/>
            <w:shd w:val="clear" w:color="auto" w:fill="005CB9"/>
          </w:tcPr>
          <w:p>
            <w:pPr>
              <w:jc w:val="right"/>
              <w:ind w:right="29"/>
              <w:spacing w:after="0" w:line="137" w:lineRule="exact"/>
              <w:rPr>
                <w:sz w:val="20"/>
                <w:szCs w:val="20"/>
                <w:color w:val="auto"/>
              </w:rPr>
            </w:pPr>
            <w:r>
              <w:rPr>
                <w:rFonts w:ascii="Arial" w:cs="Arial" w:eastAsia="Arial" w:hAnsi="Arial"/>
                <w:sz w:val="14"/>
                <w:szCs w:val="14"/>
                <w:color w:val="FFFFFF"/>
              </w:rPr>
              <w:t>Fair Value</w:t>
            </w:r>
            <w:r>
              <w:rPr>
                <w:rFonts w:ascii="Arial" w:cs="Arial" w:eastAsia="Arial" w:hAnsi="Arial"/>
                <w:sz w:val="14"/>
                <w:szCs w:val="14"/>
                <w:color w:val="FFFFFF"/>
                <w:vertAlign w:val="superscript"/>
              </w:rPr>
              <w:t>(4)</w:t>
            </w:r>
          </w:p>
        </w:tc>
        <w:tc>
          <w:tcPr>
            <w:tcW w:w="0" w:type="dxa"/>
            <w:vAlign w:val="bottom"/>
          </w:tcPr>
          <w:p>
            <w:pPr>
              <w:spacing w:after="0"/>
              <w:rPr>
                <w:sz w:val="1"/>
                <w:szCs w:val="1"/>
                <w:color w:val="auto"/>
              </w:rPr>
            </w:pPr>
          </w:p>
        </w:tc>
      </w:tr>
      <w:tr>
        <w:trPr>
          <w:trHeight w:val="209"/>
        </w:trPr>
        <w:tc>
          <w:tcPr>
            <w:tcW w:w="2500" w:type="dxa"/>
            <w:vAlign w:val="bottom"/>
            <w:tcBorders>
              <w:bottom w:val="single" w:sz="8" w:color="005CB9"/>
            </w:tcBorders>
            <w:shd w:val="clear" w:color="auto" w:fill="005CB9"/>
          </w:tcPr>
          <w:p>
            <w:pPr>
              <w:ind w:left="80"/>
              <w:spacing w:after="0"/>
              <w:rPr>
                <w:sz w:val="20"/>
                <w:szCs w:val="20"/>
                <w:color w:val="auto"/>
              </w:rPr>
            </w:pPr>
            <w:r>
              <w:rPr>
                <w:rFonts w:ascii="Arial" w:cs="Arial" w:eastAsia="Arial" w:hAnsi="Arial"/>
                <w:sz w:val="14"/>
                <w:szCs w:val="14"/>
                <w:color w:val="FFFFFF"/>
              </w:rPr>
              <w:t>Name</w:t>
            </w:r>
          </w:p>
        </w:tc>
        <w:tc>
          <w:tcPr>
            <w:tcW w:w="200" w:type="dxa"/>
            <w:vAlign w:val="bottom"/>
            <w:tcBorders>
              <w:bottom w:val="single" w:sz="8" w:color="005CB9"/>
            </w:tcBorders>
            <w:shd w:val="clear" w:color="auto" w:fill="005CB9"/>
          </w:tcPr>
          <w:p>
            <w:pPr>
              <w:spacing w:after="0"/>
              <w:rPr>
                <w:sz w:val="18"/>
                <w:szCs w:val="18"/>
                <w:color w:val="auto"/>
              </w:rPr>
            </w:pPr>
          </w:p>
        </w:tc>
        <w:tc>
          <w:tcPr>
            <w:tcW w:w="860" w:type="dxa"/>
            <w:vAlign w:val="bottom"/>
            <w:tcBorders>
              <w:bottom w:val="single" w:sz="8" w:color="005CB9"/>
            </w:tcBorders>
            <w:shd w:val="clear" w:color="auto" w:fill="005CB9"/>
          </w:tcPr>
          <w:p>
            <w:pPr>
              <w:jc w:val="right"/>
              <w:ind w:right="48"/>
              <w:spacing w:after="0"/>
              <w:rPr>
                <w:sz w:val="20"/>
                <w:szCs w:val="20"/>
                <w:color w:val="auto"/>
              </w:rPr>
            </w:pPr>
            <w:r>
              <w:rPr>
                <w:rFonts w:ascii="Arial" w:cs="Arial" w:eastAsia="Arial" w:hAnsi="Arial"/>
                <w:sz w:val="14"/>
                <w:szCs w:val="14"/>
                <w:color w:val="FFFFFF"/>
              </w:rPr>
              <w:t>Date</w:t>
            </w:r>
          </w:p>
        </w:tc>
        <w:tc>
          <w:tcPr>
            <w:tcW w:w="800" w:type="dxa"/>
            <w:vAlign w:val="bottom"/>
            <w:tcBorders>
              <w:bottom w:val="single" w:sz="8" w:color="005CB9"/>
            </w:tcBorders>
            <w:shd w:val="clear" w:color="auto" w:fill="005CB9"/>
          </w:tcPr>
          <w:p>
            <w:pPr>
              <w:jc w:val="right"/>
              <w:spacing w:after="0"/>
              <w:rPr>
                <w:sz w:val="20"/>
                <w:szCs w:val="20"/>
                <w:color w:val="auto"/>
              </w:rPr>
            </w:pPr>
            <w:r>
              <w:rPr>
                <w:rFonts w:ascii="Arial" w:cs="Arial" w:eastAsia="Arial" w:hAnsi="Arial"/>
                <w:sz w:val="14"/>
                <w:szCs w:val="14"/>
                <w:color w:val="FFFFFF"/>
              </w:rPr>
              <w:t>($)</w:t>
            </w:r>
          </w:p>
        </w:tc>
        <w:tc>
          <w:tcPr>
            <w:tcW w:w="980" w:type="dxa"/>
            <w:vAlign w:val="bottom"/>
            <w:tcBorders>
              <w:bottom w:val="single" w:sz="8" w:color="005CB9"/>
            </w:tcBorders>
            <w:shd w:val="clear" w:color="auto" w:fill="005CB9"/>
          </w:tcPr>
          <w:p>
            <w:pPr>
              <w:jc w:val="right"/>
              <w:ind w:right="68"/>
              <w:spacing w:after="0"/>
              <w:rPr>
                <w:sz w:val="20"/>
                <w:szCs w:val="20"/>
                <w:color w:val="auto"/>
              </w:rPr>
            </w:pPr>
            <w:r>
              <w:rPr>
                <w:rFonts w:ascii="Arial" w:cs="Arial" w:eastAsia="Arial" w:hAnsi="Arial"/>
                <w:sz w:val="14"/>
                <w:szCs w:val="14"/>
                <w:color w:val="FFFFFF"/>
              </w:rPr>
              <w:t>($)</w:t>
            </w:r>
          </w:p>
        </w:tc>
        <w:tc>
          <w:tcPr>
            <w:tcW w:w="880" w:type="dxa"/>
            <w:vAlign w:val="bottom"/>
            <w:tcBorders>
              <w:bottom w:val="single" w:sz="8" w:color="005CB9"/>
            </w:tcBorders>
            <w:shd w:val="clear" w:color="auto" w:fill="005CB9"/>
          </w:tcPr>
          <w:p>
            <w:pPr>
              <w:jc w:val="right"/>
              <w:ind w:right="28"/>
              <w:spacing w:after="0"/>
              <w:rPr>
                <w:sz w:val="20"/>
                <w:szCs w:val="20"/>
                <w:color w:val="auto"/>
              </w:rPr>
            </w:pPr>
            <w:r>
              <w:rPr>
                <w:rFonts w:ascii="Arial" w:cs="Arial" w:eastAsia="Arial" w:hAnsi="Arial"/>
                <w:sz w:val="14"/>
                <w:szCs w:val="14"/>
                <w:color w:val="FFFFFF"/>
              </w:rPr>
              <w:t>($)</w:t>
            </w:r>
          </w:p>
        </w:tc>
        <w:tc>
          <w:tcPr>
            <w:tcW w:w="880" w:type="dxa"/>
            <w:vAlign w:val="bottom"/>
            <w:tcBorders>
              <w:bottom w:val="single" w:sz="8" w:color="005CB9"/>
            </w:tcBorders>
            <w:shd w:val="clear" w:color="auto" w:fill="005CB9"/>
          </w:tcPr>
          <w:p>
            <w:pPr>
              <w:jc w:val="right"/>
              <w:ind w:right="48"/>
              <w:spacing w:after="0"/>
              <w:rPr>
                <w:sz w:val="20"/>
                <w:szCs w:val="20"/>
                <w:color w:val="auto"/>
              </w:rPr>
            </w:pPr>
            <w:r>
              <w:rPr>
                <w:rFonts w:ascii="Arial" w:cs="Arial" w:eastAsia="Arial" w:hAnsi="Arial"/>
                <w:sz w:val="14"/>
                <w:szCs w:val="14"/>
                <w:color w:val="FFFFFF"/>
              </w:rPr>
              <w:t>(#)</w:t>
            </w:r>
          </w:p>
        </w:tc>
        <w:tc>
          <w:tcPr>
            <w:tcW w:w="620" w:type="dxa"/>
            <w:vAlign w:val="bottom"/>
            <w:tcBorders>
              <w:bottom w:val="single" w:sz="8" w:color="005CB9"/>
            </w:tcBorders>
            <w:shd w:val="clear" w:color="auto" w:fill="005CB9"/>
          </w:tcPr>
          <w:p>
            <w:pPr>
              <w:jc w:val="right"/>
              <w:spacing w:after="0"/>
              <w:rPr>
                <w:sz w:val="20"/>
                <w:szCs w:val="20"/>
                <w:color w:val="auto"/>
              </w:rPr>
            </w:pPr>
            <w:r>
              <w:rPr>
                <w:rFonts w:ascii="Arial" w:cs="Arial" w:eastAsia="Arial" w:hAnsi="Arial"/>
                <w:sz w:val="14"/>
                <w:szCs w:val="14"/>
                <w:color w:val="FFFFFF"/>
              </w:rPr>
              <w:t>(#)</w:t>
            </w:r>
          </w:p>
        </w:tc>
        <w:tc>
          <w:tcPr>
            <w:tcW w:w="1240" w:type="dxa"/>
            <w:vAlign w:val="bottom"/>
            <w:tcBorders>
              <w:bottom w:val="single" w:sz="8" w:color="005CB9"/>
            </w:tcBorders>
            <w:shd w:val="clear" w:color="auto" w:fill="005CB9"/>
          </w:tcPr>
          <w:p>
            <w:pPr>
              <w:jc w:val="right"/>
              <w:ind w:right="189"/>
              <w:spacing w:after="0"/>
              <w:rPr>
                <w:sz w:val="20"/>
                <w:szCs w:val="20"/>
                <w:color w:val="auto"/>
              </w:rPr>
            </w:pPr>
            <w:r>
              <w:rPr>
                <w:rFonts w:ascii="Arial" w:cs="Arial" w:eastAsia="Arial" w:hAnsi="Arial"/>
                <w:sz w:val="14"/>
                <w:szCs w:val="14"/>
                <w:color w:val="FFFFFF"/>
              </w:rPr>
              <w:t>Options</w:t>
            </w:r>
          </w:p>
        </w:tc>
        <w:tc>
          <w:tcPr>
            <w:tcW w:w="1140" w:type="dxa"/>
            <w:vAlign w:val="bottom"/>
            <w:tcBorders>
              <w:bottom w:val="single" w:sz="8" w:color="005CB9"/>
            </w:tcBorders>
            <w:shd w:val="clear" w:color="auto" w:fill="005CB9"/>
          </w:tcPr>
          <w:p>
            <w:pPr>
              <w:jc w:val="right"/>
              <w:ind w:right="9"/>
              <w:spacing w:after="0"/>
              <w:rPr>
                <w:sz w:val="20"/>
                <w:szCs w:val="20"/>
                <w:color w:val="auto"/>
              </w:rPr>
            </w:pPr>
            <w:r>
              <w:rPr>
                <w:rFonts w:ascii="Arial" w:cs="Arial" w:eastAsia="Arial" w:hAnsi="Arial"/>
                <w:sz w:val="14"/>
                <w:szCs w:val="14"/>
                <w:color w:val="FFFFFF"/>
              </w:rPr>
              <w:t>($/Sh)</w:t>
            </w:r>
          </w:p>
        </w:tc>
        <w:tc>
          <w:tcPr>
            <w:tcW w:w="920" w:type="dxa"/>
            <w:vAlign w:val="bottom"/>
            <w:tcBorders>
              <w:bottom w:val="single" w:sz="8" w:color="005CB9"/>
            </w:tcBorders>
            <w:shd w:val="clear" w:color="auto" w:fill="005CB9"/>
          </w:tcPr>
          <w:p>
            <w:pPr>
              <w:jc w:val="right"/>
              <w:ind w:right="29"/>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31"/>
        </w:trPr>
        <w:tc>
          <w:tcPr>
            <w:tcW w:w="2500" w:type="dxa"/>
            <w:vAlign w:val="bottom"/>
            <w:shd w:val="clear" w:color="auto" w:fill="E5EEF8"/>
          </w:tcPr>
          <w:p>
            <w:pPr>
              <w:ind w:left="80"/>
              <w:spacing w:after="0"/>
              <w:rPr>
                <w:sz w:val="20"/>
                <w:szCs w:val="20"/>
                <w:color w:val="auto"/>
              </w:rPr>
            </w:pPr>
            <w:r>
              <w:rPr>
                <w:rFonts w:ascii="Arial" w:cs="Arial" w:eastAsia="Arial" w:hAnsi="Arial"/>
                <w:sz w:val="14"/>
                <w:szCs w:val="14"/>
                <w:color w:val="auto"/>
              </w:rPr>
              <w:t>L. Neil Hunn</w:t>
            </w:r>
          </w:p>
        </w:tc>
        <w:tc>
          <w:tcPr>
            <w:tcW w:w="1060" w:type="dxa"/>
            <w:vAlign w:val="bottom"/>
            <w:gridSpan w:val="2"/>
            <w:shd w:val="clear" w:color="auto" w:fill="E5EEF8"/>
          </w:tcPr>
          <w:p>
            <w:pPr>
              <w:jc w:val="right"/>
              <w:ind w:right="48"/>
              <w:spacing w:after="0"/>
              <w:rPr>
                <w:sz w:val="20"/>
                <w:szCs w:val="20"/>
                <w:color w:val="auto"/>
              </w:rPr>
            </w:pPr>
            <w:r>
              <w:rPr>
                <w:rFonts w:ascii="Arial" w:cs="Arial" w:eastAsia="Arial" w:hAnsi="Arial"/>
                <w:sz w:val="14"/>
                <w:szCs w:val="14"/>
                <w:color w:val="auto"/>
              </w:rPr>
              <w:t>01/13/2021</w:t>
            </w:r>
          </w:p>
        </w:tc>
        <w:tc>
          <w:tcPr>
            <w:tcW w:w="800" w:type="dxa"/>
            <w:vAlign w:val="bottom"/>
            <w:shd w:val="clear" w:color="auto" w:fill="E5EEF8"/>
          </w:tcPr>
          <w:p>
            <w:pPr>
              <w:spacing w:after="0"/>
              <w:rPr>
                <w:sz w:val="20"/>
                <w:szCs w:val="20"/>
                <w:color w:val="auto"/>
              </w:rPr>
            </w:pPr>
          </w:p>
        </w:tc>
        <w:tc>
          <w:tcPr>
            <w:tcW w:w="980" w:type="dxa"/>
            <w:vAlign w:val="bottom"/>
            <w:shd w:val="clear" w:color="auto" w:fill="E5EEF8"/>
          </w:tcPr>
          <w:p>
            <w:pPr>
              <w:spacing w:after="0"/>
              <w:rPr>
                <w:sz w:val="20"/>
                <w:szCs w:val="20"/>
                <w:color w:val="auto"/>
              </w:rPr>
            </w:pPr>
          </w:p>
        </w:tc>
        <w:tc>
          <w:tcPr>
            <w:tcW w:w="880" w:type="dxa"/>
            <w:vAlign w:val="bottom"/>
            <w:shd w:val="clear" w:color="auto" w:fill="E5EEF8"/>
          </w:tcPr>
          <w:p>
            <w:pPr>
              <w:spacing w:after="0"/>
              <w:rPr>
                <w:sz w:val="20"/>
                <w:szCs w:val="20"/>
                <w:color w:val="auto"/>
              </w:rPr>
            </w:pPr>
          </w:p>
        </w:tc>
        <w:tc>
          <w:tcPr>
            <w:tcW w:w="88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5,484</w:t>
            </w:r>
          </w:p>
        </w:tc>
        <w:tc>
          <w:tcPr>
            <w:tcW w:w="6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31,336</w:t>
            </w:r>
          </w:p>
        </w:tc>
        <w:tc>
          <w:tcPr>
            <w:tcW w:w="1240" w:type="dxa"/>
            <w:vAlign w:val="bottom"/>
            <w:shd w:val="clear" w:color="auto" w:fill="E5EEF8"/>
          </w:tcPr>
          <w:p>
            <w:pPr>
              <w:spacing w:after="0"/>
              <w:rPr>
                <w:sz w:val="20"/>
                <w:szCs w:val="20"/>
                <w:color w:val="auto"/>
              </w:rPr>
            </w:pPr>
          </w:p>
        </w:tc>
        <w:tc>
          <w:tcPr>
            <w:tcW w:w="1140" w:type="dxa"/>
            <w:vAlign w:val="bottom"/>
            <w:shd w:val="clear" w:color="auto" w:fill="E5EEF8"/>
          </w:tcPr>
          <w:p>
            <w:pPr>
              <w:spacing w:after="0"/>
              <w:rPr>
                <w:sz w:val="20"/>
                <w:szCs w:val="20"/>
                <w:color w:val="auto"/>
              </w:rPr>
            </w:pPr>
          </w:p>
        </w:tc>
        <w:tc>
          <w:tcPr>
            <w:tcW w:w="920" w:type="dxa"/>
            <w:vAlign w:val="bottom"/>
            <w:shd w:val="clear" w:color="auto" w:fill="E5EEF8"/>
          </w:tcPr>
          <w:p>
            <w:pPr>
              <w:jc w:val="right"/>
              <w:ind w:right="29"/>
              <w:spacing w:after="0"/>
              <w:rPr>
                <w:sz w:val="20"/>
                <w:szCs w:val="20"/>
                <w:color w:val="auto"/>
              </w:rPr>
            </w:pPr>
            <w:r>
              <w:rPr>
                <w:rFonts w:ascii="Arial" w:cs="Arial" w:eastAsia="Arial" w:hAnsi="Arial"/>
                <w:sz w:val="14"/>
                <w:szCs w:val="14"/>
                <w:color w:val="auto"/>
              </w:rPr>
              <w:t>12,946,468</w:t>
            </w:r>
          </w:p>
        </w:tc>
        <w:tc>
          <w:tcPr>
            <w:tcW w:w="0" w:type="dxa"/>
            <w:vAlign w:val="bottom"/>
          </w:tcPr>
          <w:p>
            <w:pPr>
              <w:spacing w:after="0"/>
              <w:rPr>
                <w:sz w:val="1"/>
                <w:szCs w:val="1"/>
                <w:color w:val="auto"/>
              </w:rPr>
            </w:pPr>
          </w:p>
        </w:tc>
      </w:tr>
      <w:tr>
        <w:trPr>
          <w:trHeight w:val="228"/>
        </w:trPr>
        <w:tc>
          <w:tcPr>
            <w:tcW w:w="2500" w:type="dxa"/>
            <w:vAlign w:val="bottom"/>
            <w:shd w:val="clear" w:color="auto" w:fill="E5EEF8"/>
          </w:tcPr>
          <w:p>
            <w:pPr>
              <w:spacing w:after="0"/>
              <w:rPr>
                <w:sz w:val="19"/>
                <w:szCs w:val="19"/>
                <w:color w:val="auto"/>
              </w:rPr>
            </w:pPr>
          </w:p>
        </w:tc>
        <w:tc>
          <w:tcPr>
            <w:tcW w:w="200" w:type="dxa"/>
            <w:vAlign w:val="bottom"/>
            <w:shd w:val="clear" w:color="auto" w:fill="E5EEF8"/>
          </w:tcPr>
          <w:p>
            <w:pPr>
              <w:spacing w:after="0"/>
              <w:rPr>
                <w:sz w:val="19"/>
                <w:szCs w:val="19"/>
                <w:color w:val="auto"/>
              </w:rPr>
            </w:pPr>
          </w:p>
        </w:tc>
        <w:tc>
          <w:tcPr>
            <w:tcW w:w="86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01/13/2021</w:t>
            </w:r>
          </w:p>
        </w:tc>
        <w:tc>
          <w:tcPr>
            <w:tcW w:w="800" w:type="dxa"/>
            <w:vAlign w:val="bottom"/>
            <w:shd w:val="clear" w:color="auto" w:fill="E5EEF8"/>
          </w:tcPr>
          <w:p>
            <w:pPr>
              <w:spacing w:after="0"/>
              <w:rPr>
                <w:sz w:val="19"/>
                <w:szCs w:val="19"/>
                <w:color w:val="auto"/>
              </w:rPr>
            </w:pPr>
          </w:p>
        </w:tc>
        <w:tc>
          <w:tcPr>
            <w:tcW w:w="980" w:type="dxa"/>
            <w:vAlign w:val="bottom"/>
            <w:shd w:val="clear" w:color="auto" w:fill="E5EEF8"/>
          </w:tcPr>
          <w:p>
            <w:pPr>
              <w:spacing w:after="0"/>
              <w:rPr>
                <w:sz w:val="19"/>
                <w:szCs w:val="19"/>
                <w:color w:val="auto"/>
              </w:rPr>
            </w:pPr>
          </w:p>
        </w:tc>
        <w:tc>
          <w:tcPr>
            <w:tcW w:w="880" w:type="dxa"/>
            <w:vAlign w:val="bottom"/>
            <w:shd w:val="clear" w:color="auto" w:fill="E5EEF8"/>
          </w:tcPr>
          <w:p>
            <w:pPr>
              <w:spacing w:after="0"/>
              <w:rPr>
                <w:sz w:val="19"/>
                <w:szCs w:val="19"/>
                <w:color w:val="auto"/>
              </w:rPr>
            </w:pPr>
          </w:p>
        </w:tc>
        <w:tc>
          <w:tcPr>
            <w:tcW w:w="880" w:type="dxa"/>
            <w:vAlign w:val="bottom"/>
            <w:shd w:val="clear" w:color="auto" w:fill="E5EEF8"/>
          </w:tcPr>
          <w:p>
            <w:pPr>
              <w:spacing w:after="0"/>
              <w:rPr>
                <w:sz w:val="19"/>
                <w:szCs w:val="19"/>
                <w:color w:val="auto"/>
              </w:rPr>
            </w:pPr>
          </w:p>
        </w:tc>
        <w:tc>
          <w:tcPr>
            <w:tcW w:w="620" w:type="dxa"/>
            <w:vAlign w:val="bottom"/>
            <w:shd w:val="clear" w:color="auto" w:fill="E5EEF8"/>
          </w:tcPr>
          <w:p>
            <w:pPr>
              <w:spacing w:after="0"/>
              <w:rPr>
                <w:sz w:val="19"/>
                <w:szCs w:val="19"/>
                <w:color w:val="auto"/>
              </w:rPr>
            </w:pPr>
          </w:p>
        </w:tc>
        <w:tc>
          <w:tcPr>
            <w:tcW w:w="1240" w:type="dxa"/>
            <w:vAlign w:val="bottom"/>
            <w:shd w:val="clear" w:color="auto" w:fill="E5EEF8"/>
          </w:tcPr>
          <w:p>
            <w:pPr>
              <w:jc w:val="right"/>
              <w:ind w:right="49"/>
              <w:spacing w:after="0" w:line="228" w:lineRule="exact"/>
              <w:rPr>
                <w:sz w:val="20"/>
                <w:szCs w:val="20"/>
                <w:color w:val="auto"/>
              </w:rPr>
            </w:pPr>
            <w:r>
              <w:rPr>
                <w:rFonts w:ascii="Arial" w:cs="Arial" w:eastAsia="Arial" w:hAnsi="Arial"/>
                <w:sz w:val="14"/>
                <w:szCs w:val="14"/>
                <w:color w:val="auto"/>
              </w:rPr>
              <w:t>47,432</w:t>
            </w:r>
            <w:r>
              <w:rPr>
                <w:rFonts w:ascii="Arial" w:cs="Arial" w:eastAsia="Arial" w:hAnsi="Arial"/>
                <w:sz w:val="24"/>
                <w:szCs w:val="24"/>
                <w:color w:val="auto"/>
                <w:vertAlign w:val="superscript"/>
              </w:rPr>
              <w:t>(3)</w:t>
            </w:r>
          </w:p>
        </w:tc>
        <w:tc>
          <w:tcPr>
            <w:tcW w:w="1140" w:type="dxa"/>
            <w:vAlign w:val="bottom"/>
            <w:shd w:val="clear" w:color="auto" w:fill="E5EEF8"/>
          </w:tcPr>
          <w:p>
            <w:pPr>
              <w:jc w:val="right"/>
              <w:ind w:right="9"/>
              <w:spacing w:after="0"/>
              <w:rPr>
                <w:sz w:val="20"/>
                <w:szCs w:val="20"/>
                <w:color w:val="auto"/>
              </w:rPr>
            </w:pPr>
            <w:r>
              <w:rPr>
                <w:rFonts w:ascii="Arial" w:cs="Arial" w:eastAsia="Arial" w:hAnsi="Arial"/>
                <w:sz w:val="14"/>
                <w:szCs w:val="14"/>
                <w:color w:val="auto"/>
              </w:rPr>
              <w:t>413.15</w:t>
            </w:r>
          </w:p>
        </w:tc>
        <w:tc>
          <w:tcPr>
            <w:tcW w:w="920" w:type="dxa"/>
            <w:vAlign w:val="bottom"/>
            <w:shd w:val="clear" w:color="auto" w:fill="E5EEF8"/>
          </w:tcPr>
          <w:p>
            <w:pPr>
              <w:jc w:val="right"/>
              <w:ind w:right="29"/>
              <w:spacing w:after="0"/>
              <w:rPr>
                <w:sz w:val="20"/>
                <w:szCs w:val="20"/>
                <w:color w:val="auto"/>
              </w:rPr>
            </w:pPr>
            <w:r>
              <w:rPr>
                <w:rFonts w:ascii="Arial" w:cs="Arial" w:eastAsia="Arial" w:hAnsi="Arial"/>
                <w:sz w:val="14"/>
                <w:szCs w:val="14"/>
                <w:color w:val="auto"/>
              </w:rPr>
              <w:t>4,425,029</w:t>
            </w:r>
          </w:p>
        </w:tc>
        <w:tc>
          <w:tcPr>
            <w:tcW w:w="0" w:type="dxa"/>
            <w:vAlign w:val="bottom"/>
          </w:tcPr>
          <w:p>
            <w:pPr>
              <w:spacing w:after="0"/>
              <w:rPr>
                <w:sz w:val="1"/>
                <w:szCs w:val="1"/>
                <w:color w:val="auto"/>
              </w:rPr>
            </w:pPr>
          </w:p>
        </w:tc>
      </w:tr>
      <w:tr>
        <w:trPr>
          <w:trHeight w:val="223"/>
        </w:trPr>
        <w:tc>
          <w:tcPr>
            <w:tcW w:w="2500" w:type="dxa"/>
            <w:vAlign w:val="bottom"/>
            <w:tcBorders>
              <w:bottom w:val="single" w:sz="8" w:color="E5EEF8"/>
            </w:tcBorders>
            <w:shd w:val="clear" w:color="auto" w:fill="E5EEF8"/>
          </w:tcPr>
          <w:p>
            <w:pPr>
              <w:spacing w:after="0"/>
              <w:rPr>
                <w:sz w:val="19"/>
                <w:szCs w:val="19"/>
                <w:color w:val="auto"/>
              </w:rPr>
            </w:pPr>
          </w:p>
        </w:tc>
        <w:tc>
          <w:tcPr>
            <w:tcW w:w="200" w:type="dxa"/>
            <w:vAlign w:val="bottom"/>
            <w:tcBorders>
              <w:bottom w:val="single" w:sz="8" w:color="E5EEF8"/>
            </w:tcBorders>
            <w:shd w:val="clear" w:color="auto" w:fill="E5EEF8"/>
          </w:tcPr>
          <w:p>
            <w:pPr>
              <w:spacing w:after="0"/>
              <w:rPr>
                <w:sz w:val="19"/>
                <w:szCs w:val="19"/>
                <w:color w:val="auto"/>
              </w:rPr>
            </w:pPr>
          </w:p>
        </w:tc>
        <w:tc>
          <w:tcPr>
            <w:tcW w:w="860" w:type="dxa"/>
            <w:vAlign w:val="bottom"/>
            <w:tcBorders>
              <w:bottom w:val="single" w:sz="8" w:color="E5EEF8"/>
            </w:tcBorders>
            <w:shd w:val="clear" w:color="auto" w:fill="E5EEF8"/>
          </w:tcPr>
          <w:p>
            <w:pPr>
              <w:jc w:val="right"/>
              <w:ind w:right="48"/>
              <w:spacing w:after="0"/>
              <w:rPr>
                <w:sz w:val="20"/>
                <w:szCs w:val="20"/>
                <w:color w:val="auto"/>
              </w:rPr>
            </w:pPr>
            <w:r>
              <w:rPr>
                <w:rFonts w:ascii="Arial" w:cs="Arial" w:eastAsia="Arial" w:hAnsi="Arial"/>
                <w:sz w:val="14"/>
                <w:szCs w:val="14"/>
                <w:color w:val="auto"/>
              </w:rPr>
              <w:t>01/13/2021</w:t>
            </w:r>
          </w:p>
        </w:tc>
        <w:tc>
          <w:tcPr>
            <w:tcW w:w="800" w:type="dxa"/>
            <w:vAlign w:val="bottom"/>
            <w:tcBorders>
              <w:bottom w:val="single" w:sz="8" w:color="E5EEF8"/>
            </w:tcBorders>
            <w:shd w:val="clear" w:color="auto" w:fill="E5EEF8"/>
          </w:tcPr>
          <w:p>
            <w:pPr>
              <w:jc w:val="right"/>
              <w:spacing w:after="0"/>
              <w:rPr>
                <w:sz w:val="20"/>
                <w:szCs w:val="20"/>
                <w:color w:val="auto"/>
              </w:rPr>
            </w:pPr>
            <w:r>
              <w:rPr>
                <w:rFonts w:ascii="Arial" w:cs="Arial" w:eastAsia="Arial" w:hAnsi="Arial"/>
                <w:sz w:val="14"/>
                <w:szCs w:val="14"/>
                <w:color w:val="auto"/>
              </w:rPr>
              <w:t>400,000</w:t>
            </w:r>
          </w:p>
        </w:tc>
        <w:tc>
          <w:tcPr>
            <w:tcW w:w="980" w:type="dxa"/>
            <w:vAlign w:val="bottom"/>
            <w:tcBorders>
              <w:bottom w:val="single" w:sz="8" w:color="E5EEF8"/>
            </w:tcBorders>
            <w:shd w:val="clear" w:color="auto" w:fill="E5EEF8"/>
          </w:tcPr>
          <w:p>
            <w:pPr>
              <w:jc w:val="right"/>
              <w:ind w:right="68"/>
              <w:spacing w:after="0"/>
              <w:rPr>
                <w:sz w:val="20"/>
                <w:szCs w:val="20"/>
                <w:color w:val="auto"/>
              </w:rPr>
            </w:pPr>
            <w:r>
              <w:rPr>
                <w:rFonts w:ascii="Arial" w:cs="Arial" w:eastAsia="Arial" w:hAnsi="Arial"/>
                <w:sz w:val="14"/>
                <w:szCs w:val="14"/>
                <w:color w:val="auto"/>
              </w:rPr>
              <w:t>2,000,000</w:t>
            </w:r>
          </w:p>
        </w:tc>
        <w:tc>
          <w:tcPr>
            <w:tcW w:w="880" w:type="dxa"/>
            <w:vAlign w:val="bottom"/>
            <w:tcBorders>
              <w:bottom w:val="single" w:sz="8" w:color="E5EEF8"/>
            </w:tcBorders>
            <w:shd w:val="clear" w:color="auto" w:fill="E5EEF8"/>
          </w:tcPr>
          <w:p>
            <w:pPr>
              <w:jc w:val="right"/>
              <w:ind w:right="28"/>
              <w:spacing w:after="0"/>
              <w:rPr>
                <w:sz w:val="20"/>
                <w:szCs w:val="20"/>
                <w:color w:val="auto"/>
              </w:rPr>
            </w:pPr>
            <w:r>
              <w:rPr>
                <w:rFonts w:ascii="Arial" w:cs="Arial" w:eastAsia="Arial" w:hAnsi="Arial"/>
                <w:sz w:val="14"/>
                <w:szCs w:val="14"/>
                <w:color w:val="auto"/>
              </w:rPr>
              <w:t>3,000,000</w:t>
            </w:r>
          </w:p>
        </w:tc>
        <w:tc>
          <w:tcPr>
            <w:tcW w:w="880" w:type="dxa"/>
            <w:vAlign w:val="bottom"/>
            <w:tcBorders>
              <w:bottom w:val="single" w:sz="8" w:color="E5EEF8"/>
            </w:tcBorders>
            <w:shd w:val="clear" w:color="auto" w:fill="E5EEF8"/>
          </w:tcPr>
          <w:p>
            <w:pPr>
              <w:spacing w:after="0"/>
              <w:rPr>
                <w:sz w:val="19"/>
                <w:szCs w:val="19"/>
                <w:color w:val="auto"/>
              </w:rPr>
            </w:pPr>
          </w:p>
        </w:tc>
        <w:tc>
          <w:tcPr>
            <w:tcW w:w="620" w:type="dxa"/>
            <w:vAlign w:val="bottom"/>
            <w:tcBorders>
              <w:bottom w:val="single" w:sz="8" w:color="E5EEF8"/>
            </w:tcBorders>
            <w:shd w:val="clear" w:color="auto" w:fill="E5EEF8"/>
          </w:tcPr>
          <w:p>
            <w:pPr>
              <w:spacing w:after="0"/>
              <w:rPr>
                <w:sz w:val="19"/>
                <w:szCs w:val="19"/>
                <w:color w:val="auto"/>
              </w:rPr>
            </w:pPr>
          </w:p>
        </w:tc>
        <w:tc>
          <w:tcPr>
            <w:tcW w:w="1240" w:type="dxa"/>
            <w:vAlign w:val="bottom"/>
            <w:tcBorders>
              <w:bottom w:val="single" w:sz="8" w:color="E5EEF8"/>
            </w:tcBorders>
            <w:shd w:val="clear" w:color="auto" w:fill="E5EEF8"/>
          </w:tcPr>
          <w:p>
            <w:pPr>
              <w:spacing w:after="0"/>
              <w:rPr>
                <w:sz w:val="19"/>
                <w:szCs w:val="19"/>
                <w:color w:val="auto"/>
              </w:rPr>
            </w:pPr>
          </w:p>
        </w:tc>
        <w:tc>
          <w:tcPr>
            <w:tcW w:w="1140" w:type="dxa"/>
            <w:vAlign w:val="bottom"/>
            <w:tcBorders>
              <w:bottom w:val="single" w:sz="8" w:color="E5EEF8"/>
            </w:tcBorders>
            <w:shd w:val="clear" w:color="auto" w:fill="E5EEF8"/>
          </w:tcPr>
          <w:p>
            <w:pPr>
              <w:spacing w:after="0"/>
              <w:rPr>
                <w:sz w:val="19"/>
                <w:szCs w:val="19"/>
                <w:color w:val="auto"/>
              </w:rPr>
            </w:pPr>
          </w:p>
        </w:tc>
        <w:tc>
          <w:tcPr>
            <w:tcW w:w="920" w:type="dxa"/>
            <w:vAlign w:val="bottom"/>
            <w:tcBorders>
              <w:bottom w:val="single" w:sz="8" w:color="E5EEF8"/>
            </w:tcBorders>
            <w:shd w:val="clear" w:color="auto" w:fill="E5EEF8"/>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500" w:type="dxa"/>
            <w:vAlign w:val="bottom"/>
          </w:tcPr>
          <w:p>
            <w:pPr>
              <w:ind w:left="80"/>
              <w:spacing w:after="0"/>
              <w:rPr>
                <w:sz w:val="20"/>
                <w:szCs w:val="20"/>
                <w:color w:val="auto"/>
              </w:rPr>
            </w:pPr>
            <w:r>
              <w:rPr>
                <w:rFonts w:ascii="Arial" w:cs="Arial" w:eastAsia="Arial" w:hAnsi="Arial"/>
                <w:sz w:val="14"/>
                <w:szCs w:val="14"/>
                <w:color w:val="auto"/>
              </w:rPr>
              <w:t>Robert C. Crisci</w:t>
            </w:r>
          </w:p>
        </w:tc>
        <w:tc>
          <w:tcPr>
            <w:tcW w:w="1060" w:type="dxa"/>
            <w:vAlign w:val="bottom"/>
            <w:gridSpan w:val="2"/>
          </w:tcPr>
          <w:p>
            <w:pPr>
              <w:jc w:val="right"/>
              <w:ind w:right="48"/>
              <w:spacing w:after="0"/>
              <w:rPr>
                <w:sz w:val="20"/>
                <w:szCs w:val="20"/>
                <w:color w:val="auto"/>
              </w:rPr>
            </w:pPr>
            <w:r>
              <w:rPr>
                <w:rFonts w:ascii="Arial" w:cs="Arial" w:eastAsia="Arial" w:hAnsi="Arial"/>
                <w:sz w:val="14"/>
                <w:szCs w:val="14"/>
                <w:color w:val="auto"/>
              </w:rPr>
              <w:t>01/13/2021</w:t>
            </w: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1,735</w:t>
            </w:r>
          </w:p>
        </w:tc>
        <w:tc>
          <w:tcPr>
            <w:tcW w:w="620" w:type="dxa"/>
            <w:vAlign w:val="bottom"/>
          </w:tcPr>
          <w:p>
            <w:pPr>
              <w:jc w:val="right"/>
              <w:spacing w:after="0"/>
              <w:rPr>
                <w:sz w:val="20"/>
                <w:szCs w:val="20"/>
                <w:color w:val="auto"/>
              </w:rPr>
            </w:pPr>
            <w:r>
              <w:rPr>
                <w:rFonts w:ascii="Arial" w:cs="Arial" w:eastAsia="Arial" w:hAnsi="Arial"/>
                <w:sz w:val="14"/>
                <w:szCs w:val="14"/>
                <w:color w:val="auto"/>
              </w:rPr>
              <w:t>9,914</w:t>
            </w:r>
          </w:p>
        </w:tc>
        <w:tc>
          <w:tcPr>
            <w:tcW w:w="1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4,095,969</w:t>
            </w:r>
          </w:p>
        </w:tc>
        <w:tc>
          <w:tcPr>
            <w:tcW w:w="0" w:type="dxa"/>
            <w:vAlign w:val="bottom"/>
          </w:tcPr>
          <w:p>
            <w:pPr>
              <w:spacing w:after="0"/>
              <w:rPr>
                <w:sz w:val="1"/>
                <w:szCs w:val="1"/>
                <w:color w:val="auto"/>
              </w:rPr>
            </w:pPr>
          </w:p>
        </w:tc>
      </w:tr>
      <w:tr>
        <w:trPr>
          <w:trHeight w:val="260"/>
        </w:trPr>
        <w:tc>
          <w:tcPr>
            <w:tcW w:w="2500" w:type="dxa"/>
            <w:vAlign w:val="bottom"/>
          </w:tcPr>
          <w:p>
            <w:pPr>
              <w:spacing w:after="0"/>
              <w:rPr>
                <w:sz w:val="22"/>
                <w:szCs w:val="22"/>
                <w:color w:val="auto"/>
              </w:rPr>
            </w:pPr>
          </w:p>
        </w:tc>
        <w:tc>
          <w:tcPr>
            <w:tcW w:w="1060" w:type="dxa"/>
            <w:vAlign w:val="bottom"/>
            <w:gridSpan w:val="2"/>
          </w:tcPr>
          <w:p>
            <w:pPr>
              <w:jc w:val="right"/>
              <w:ind w:right="48"/>
              <w:spacing w:after="0"/>
              <w:rPr>
                <w:sz w:val="20"/>
                <w:szCs w:val="20"/>
                <w:color w:val="auto"/>
              </w:rPr>
            </w:pPr>
            <w:r>
              <w:rPr>
                <w:rFonts w:ascii="Arial" w:cs="Arial" w:eastAsia="Arial" w:hAnsi="Arial"/>
                <w:sz w:val="14"/>
                <w:szCs w:val="14"/>
                <w:color w:val="auto"/>
              </w:rPr>
              <w:t>01/13/2021</w:t>
            </w: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40" w:type="dxa"/>
            <w:vAlign w:val="bottom"/>
          </w:tcPr>
          <w:p>
            <w:pPr>
              <w:jc w:val="right"/>
              <w:ind w:right="49"/>
              <w:spacing w:after="0" w:line="259" w:lineRule="exact"/>
              <w:rPr>
                <w:sz w:val="20"/>
                <w:szCs w:val="20"/>
                <w:color w:val="auto"/>
              </w:rPr>
            </w:pPr>
            <w:r>
              <w:rPr>
                <w:rFonts w:ascii="Arial" w:cs="Arial" w:eastAsia="Arial" w:hAnsi="Arial"/>
                <w:sz w:val="14"/>
                <w:szCs w:val="14"/>
                <w:color w:val="auto"/>
              </w:rPr>
              <w:t>15,543</w:t>
            </w:r>
            <w:r>
              <w:rPr>
                <w:rFonts w:ascii="Arial" w:cs="Arial" w:eastAsia="Arial" w:hAnsi="Arial"/>
                <w:sz w:val="24"/>
                <w:szCs w:val="24"/>
                <w:color w:val="auto"/>
                <w:vertAlign w:val="superscript"/>
              </w:rPr>
              <w:t>(3)</w:t>
            </w: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413.15</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1,450,038</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14"/>
                <w:szCs w:val="14"/>
                <w:color w:val="auto"/>
              </w:rPr>
            </w:pPr>
          </w:p>
        </w:tc>
        <w:tc>
          <w:tcPr>
            <w:tcW w:w="1060" w:type="dxa"/>
            <w:vAlign w:val="bottom"/>
            <w:gridSpan w:val="2"/>
          </w:tcPr>
          <w:p>
            <w:pPr>
              <w:jc w:val="right"/>
              <w:ind w:right="48"/>
              <w:spacing w:after="0"/>
              <w:rPr>
                <w:sz w:val="20"/>
                <w:szCs w:val="20"/>
                <w:color w:val="auto"/>
              </w:rPr>
            </w:pPr>
            <w:r>
              <w:rPr>
                <w:rFonts w:ascii="Arial" w:cs="Arial" w:eastAsia="Arial" w:hAnsi="Arial"/>
                <w:sz w:val="14"/>
                <w:szCs w:val="14"/>
                <w:color w:val="auto"/>
              </w:rPr>
              <w:t>01/13/2021</w:t>
            </w:r>
          </w:p>
        </w:tc>
        <w:tc>
          <w:tcPr>
            <w:tcW w:w="800" w:type="dxa"/>
            <w:vAlign w:val="bottom"/>
          </w:tcPr>
          <w:p>
            <w:pPr>
              <w:jc w:val="right"/>
              <w:spacing w:after="0"/>
              <w:rPr>
                <w:sz w:val="20"/>
                <w:szCs w:val="20"/>
                <w:color w:val="auto"/>
              </w:rPr>
            </w:pPr>
            <w:r>
              <w:rPr>
                <w:rFonts w:ascii="Arial" w:cs="Arial" w:eastAsia="Arial" w:hAnsi="Arial"/>
                <w:sz w:val="14"/>
                <w:szCs w:val="14"/>
                <w:color w:val="auto"/>
              </w:rPr>
              <w:t>172,500</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862,500</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1,293,750</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50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8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500" w:type="dxa"/>
            <w:vAlign w:val="bottom"/>
            <w:shd w:val="clear" w:color="auto" w:fill="E5EEF8"/>
          </w:tcPr>
          <w:p>
            <w:pPr>
              <w:ind w:left="80"/>
              <w:spacing w:after="0"/>
              <w:rPr>
                <w:sz w:val="20"/>
                <w:szCs w:val="20"/>
                <w:color w:val="auto"/>
              </w:rPr>
            </w:pPr>
            <w:r>
              <w:rPr>
                <w:rFonts w:ascii="Arial" w:cs="Arial" w:eastAsia="Arial" w:hAnsi="Arial"/>
                <w:sz w:val="14"/>
                <w:szCs w:val="14"/>
                <w:color w:val="auto"/>
              </w:rPr>
              <w:t>John K. Stipancich</w:t>
            </w:r>
          </w:p>
        </w:tc>
        <w:tc>
          <w:tcPr>
            <w:tcW w:w="1060" w:type="dxa"/>
            <w:vAlign w:val="bottom"/>
            <w:gridSpan w:val="2"/>
            <w:shd w:val="clear" w:color="auto" w:fill="E5EEF8"/>
          </w:tcPr>
          <w:p>
            <w:pPr>
              <w:jc w:val="right"/>
              <w:ind w:right="48"/>
              <w:spacing w:after="0"/>
              <w:rPr>
                <w:sz w:val="20"/>
                <w:szCs w:val="20"/>
                <w:color w:val="auto"/>
              </w:rPr>
            </w:pPr>
            <w:r>
              <w:rPr>
                <w:rFonts w:ascii="Arial" w:cs="Arial" w:eastAsia="Arial" w:hAnsi="Arial"/>
                <w:sz w:val="14"/>
                <w:szCs w:val="14"/>
                <w:color w:val="auto"/>
              </w:rPr>
              <w:t>01/13/2021</w:t>
            </w:r>
          </w:p>
        </w:tc>
        <w:tc>
          <w:tcPr>
            <w:tcW w:w="800" w:type="dxa"/>
            <w:vAlign w:val="bottom"/>
            <w:shd w:val="clear" w:color="auto" w:fill="E5EEF8"/>
          </w:tcPr>
          <w:p>
            <w:pPr>
              <w:spacing w:after="0"/>
              <w:rPr>
                <w:sz w:val="20"/>
                <w:szCs w:val="20"/>
                <w:color w:val="auto"/>
              </w:rPr>
            </w:pPr>
          </w:p>
        </w:tc>
        <w:tc>
          <w:tcPr>
            <w:tcW w:w="980" w:type="dxa"/>
            <w:vAlign w:val="bottom"/>
            <w:shd w:val="clear" w:color="auto" w:fill="E5EEF8"/>
          </w:tcPr>
          <w:p>
            <w:pPr>
              <w:spacing w:after="0"/>
              <w:rPr>
                <w:sz w:val="20"/>
                <w:szCs w:val="20"/>
                <w:color w:val="auto"/>
              </w:rPr>
            </w:pPr>
          </w:p>
        </w:tc>
        <w:tc>
          <w:tcPr>
            <w:tcW w:w="880" w:type="dxa"/>
            <w:vAlign w:val="bottom"/>
            <w:shd w:val="clear" w:color="auto" w:fill="E5EEF8"/>
          </w:tcPr>
          <w:p>
            <w:pPr>
              <w:spacing w:after="0"/>
              <w:rPr>
                <w:sz w:val="20"/>
                <w:szCs w:val="20"/>
                <w:color w:val="auto"/>
              </w:rPr>
            </w:pPr>
          </w:p>
        </w:tc>
        <w:tc>
          <w:tcPr>
            <w:tcW w:w="88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1,180</w:t>
            </w:r>
          </w:p>
        </w:tc>
        <w:tc>
          <w:tcPr>
            <w:tcW w:w="6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5,901</w:t>
            </w:r>
          </w:p>
        </w:tc>
        <w:tc>
          <w:tcPr>
            <w:tcW w:w="1240" w:type="dxa"/>
            <w:vAlign w:val="bottom"/>
            <w:shd w:val="clear" w:color="auto" w:fill="E5EEF8"/>
          </w:tcPr>
          <w:p>
            <w:pPr>
              <w:spacing w:after="0"/>
              <w:rPr>
                <w:sz w:val="20"/>
                <w:szCs w:val="20"/>
                <w:color w:val="auto"/>
              </w:rPr>
            </w:pPr>
          </w:p>
        </w:tc>
        <w:tc>
          <w:tcPr>
            <w:tcW w:w="1140" w:type="dxa"/>
            <w:vAlign w:val="bottom"/>
            <w:shd w:val="clear" w:color="auto" w:fill="E5EEF8"/>
          </w:tcPr>
          <w:p>
            <w:pPr>
              <w:spacing w:after="0"/>
              <w:rPr>
                <w:sz w:val="20"/>
                <w:szCs w:val="20"/>
                <w:color w:val="auto"/>
              </w:rPr>
            </w:pPr>
          </w:p>
        </w:tc>
        <w:tc>
          <w:tcPr>
            <w:tcW w:w="920" w:type="dxa"/>
            <w:vAlign w:val="bottom"/>
            <w:shd w:val="clear" w:color="auto" w:fill="E5EEF8"/>
          </w:tcPr>
          <w:p>
            <w:pPr>
              <w:jc w:val="right"/>
              <w:ind w:right="29"/>
              <w:spacing w:after="0"/>
              <w:rPr>
                <w:sz w:val="20"/>
                <w:szCs w:val="20"/>
                <w:color w:val="auto"/>
              </w:rPr>
            </w:pPr>
            <w:r>
              <w:rPr>
                <w:rFonts w:ascii="Arial" w:cs="Arial" w:eastAsia="Arial" w:hAnsi="Arial"/>
                <w:sz w:val="14"/>
                <w:szCs w:val="14"/>
                <w:color w:val="auto"/>
              </w:rPr>
              <w:t>2,437,998</w:t>
            </w:r>
          </w:p>
        </w:tc>
        <w:tc>
          <w:tcPr>
            <w:tcW w:w="0" w:type="dxa"/>
            <w:vAlign w:val="bottom"/>
          </w:tcPr>
          <w:p>
            <w:pPr>
              <w:spacing w:after="0"/>
              <w:rPr>
                <w:sz w:val="1"/>
                <w:szCs w:val="1"/>
                <w:color w:val="auto"/>
              </w:rPr>
            </w:pPr>
          </w:p>
        </w:tc>
      </w:tr>
      <w:tr>
        <w:trPr>
          <w:trHeight w:val="228"/>
        </w:trPr>
        <w:tc>
          <w:tcPr>
            <w:tcW w:w="2500" w:type="dxa"/>
            <w:vAlign w:val="bottom"/>
            <w:shd w:val="clear" w:color="auto" w:fill="E5EEF8"/>
          </w:tcPr>
          <w:p>
            <w:pPr>
              <w:spacing w:after="0"/>
              <w:rPr>
                <w:sz w:val="19"/>
                <w:szCs w:val="19"/>
                <w:color w:val="auto"/>
              </w:rPr>
            </w:pPr>
          </w:p>
        </w:tc>
        <w:tc>
          <w:tcPr>
            <w:tcW w:w="200" w:type="dxa"/>
            <w:vAlign w:val="bottom"/>
            <w:shd w:val="clear" w:color="auto" w:fill="E5EEF8"/>
          </w:tcPr>
          <w:p>
            <w:pPr>
              <w:spacing w:after="0"/>
              <w:rPr>
                <w:sz w:val="19"/>
                <w:szCs w:val="19"/>
                <w:color w:val="auto"/>
              </w:rPr>
            </w:pPr>
          </w:p>
        </w:tc>
        <w:tc>
          <w:tcPr>
            <w:tcW w:w="86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01/13/2021</w:t>
            </w:r>
          </w:p>
        </w:tc>
        <w:tc>
          <w:tcPr>
            <w:tcW w:w="800" w:type="dxa"/>
            <w:vAlign w:val="bottom"/>
            <w:shd w:val="clear" w:color="auto" w:fill="E5EEF8"/>
          </w:tcPr>
          <w:p>
            <w:pPr>
              <w:spacing w:after="0"/>
              <w:rPr>
                <w:sz w:val="19"/>
                <w:szCs w:val="19"/>
                <w:color w:val="auto"/>
              </w:rPr>
            </w:pPr>
          </w:p>
        </w:tc>
        <w:tc>
          <w:tcPr>
            <w:tcW w:w="980" w:type="dxa"/>
            <w:vAlign w:val="bottom"/>
            <w:shd w:val="clear" w:color="auto" w:fill="E5EEF8"/>
          </w:tcPr>
          <w:p>
            <w:pPr>
              <w:spacing w:after="0"/>
              <w:rPr>
                <w:sz w:val="19"/>
                <w:szCs w:val="19"/>
                <w:color w:val="auto"/>
              </w:rPr>
            </w:pPr>
          </w:p>
        </w:tc>
        <w:tc>
          <w:tcPr>
            <w:tcW w:w="880" w:type="dxa"/>
            <w:vAlign w:val="bottom"/>
            <w:shd w:val="clear" w:color="auto" w:fill="E5EEF8"/>
          </w:tcPr>
          <w:p>
            <w:pPr>
              <w:spacing w:after="0"/>
              <w:rPr>
                <w:sz w:val="19"/>
                <w:szCs w:val="19"/>
                <w:color w:val="auto"/>
              </w:rPr>
            </w:pPr>
          </w:p>
        </w:tc>
        <w:tc>
          <w:tcPr>
            <w:tcW w:w="880" w:type="dxa"/>
            <w:vAlign w:val="bottom"/>
            <w:shd w:val="clear" w:color="auto" w:fill="E5EEF8"/>
          </w:tcPr>
          <w:p>
            <w:pPr>
              <w:spacing w:after="0"/>
              <w:rPr>
                <w:sz w:val="19"/>
                <w:szCs w:val="19"/>
                <w:color w:val="auto"/>
              </w:rPr>
            </w:pPr>
          </w:p>
        </w:tc>
        <w:tc>
          <w:tcPr>
            <w:tcW w:w="620" w:type="dxa"/>
            <w:vAlign w:val="bottom"/>
            <w:shd w:val="clear" w:color="auto" w:fill="E5EEF8"/>
          </w:tcPr>
          <w:p>
            <w:pPr>
              <w:spacing w:after="0"/>
              <w:rPr>
                <w:sz w:val="19"/>
                <w:szCs w:val="19"/>
                <w:color w:val="auto"/>
              </w:rPr>
            </w:pPr>
          </w:p>
        </w:tc>
        <w:tc>
          <w:tcPr>
            <w:tcW w:w="1240" w:type="dxa"/>
            <w:vAlign w:val="bottom"/>
            <w:shd w:val="clear" w:color="auto" w:fill="E5EEF8"/>
          </w:tcPr>
          <w:p>
            <w:pPr>
              <w:jc w:val="right"/>
              <w:ind w:right="49"/>
              <w:spacing w:after="0" w:line="228" w:lineRule="exact"/>
              <w:rPr>
                <w:sz w:val="20"/>
                <w:szCs w:val="20"/>
                <w:color w:val="auto"/>
              </w:rPr>
            </w:pPr>
            <w:r>
              <w:rPr>
                <w:rFonts w:ascii="Arial" w:cs="Arial" w:eastAsia="Arial" w:hAnsi="Arial"/>
                <w:sz w:val="14"/>
                <w:szCs w:val="14"/>
                <w:color w:val="auto"/>
              </w:rPr>
              <w:t>9,647</w:t>
            </w:r>
            <w:r>
              <w:rPr>
                <w:rFonts w:ascii="Arial" w:cs="Arial" w:eastAsia="Arial" w:hAnsi="Arial"/>
                <w:sz w:val="24"/>
                <w:szCs w:val="24"/>
                <w:color w:val="auto"/>
                <w:vertAlign w:val="superscript"/>
              </w:rPr>
              <w:t>(3)</w:t>
            </w:r>
          </w:p>
        </w:tc>
        <w:tc>
          <w:tcPr>
            <w:tcW w:w="1140" w:type="dxa"/>
            <w:vAlign w:val="bottom"/>
            <w:shd w:val="clear" w:color="auto" w:fill="E5EEF8"/>
          </w:tcPr>
          <w:p>
            <w:pPr>
              <w:jc w:val="right"/>
              <w:ind w:right="9"/>
              <w:spacing w:after="0"/>
              <w:rPr>
                <w:sz w:val="20"/>
                <w:szCs w:val="20"/>
                <w:color w:val="auto"/>
              </w:rPr>
            </w:pPr>
            <w:r>
              <w:rPr>
                <w:rFonts w:ascii="Arial" w:cs="Arial" w:eastAsia="Arial" w:hAnsi="Arial"/>
                <w:sz w:val="14"/>
                <w:szCs w:val="14"/>
                <w:color w:val="auto"/>
              </w:rPr>
              <w:t>413.15</w:t>
            </w:r>
          </w:p>
        </w:tc>
        <w:tc>
          <w:tcPr>
            <w:tcW w:w="920" w:type="dxa"/>
            <w:vAlign w:val="bottom"/>
            <w:shd w:val="clear" w:color="auto" w:fill="E5EEF8"/>
          </w:tcPr>
          <w:p>
            <w:pPr>
              <w:jc w:val="right"/>
              <w:ind w:right="29"/>
              <w:spacing w:after="0"/>
              <w:rPr>
                <w:sz w:val="20"/>
                <w:szCs w:val="20"/>
                <w:color w:val="auto"/>
              </w:rPr>
            </w:pPr>
            <w:r>
              <w:rPr>
                <w:rFonts w:ascii="Arial" w:cs="Arial" w:eastAsia="Arial" w:hAnsi="Arial"/>
                <w:sz w:val="14"/>
                <w:szCs w:val="14"/>
                <w:color w:val="auto"/>
              </w:rPr>
              <w:t>899,989</w:t>
            </w:r>
          </w:p>
        </w:tc>
        <w:tc>
          <w:tcPr>
            <w:tcW w:w="0" w:type="dxa"/>
            <w:vAlign w:val="bottom"/>
          </w:tcPr>
          <w:p>
            <w:pPr>
              <w:spacing w:after="0"/>
              <w:rPr>
                <w:sz w:val="1"/>
                <w:szCs w:val="1"/>
                <w:color w:val="auto"/>
              </w:rPr>
            </w:pPr>
          </w:p>
        </w:tc>
      </w:tr>
      <w:tr>
        <w:trPr>
          <w:trHeight w:val="223"/>
        </w:trPr>
        <w:tc>
          <w:tcPr>
            <w:tcW w:w="2500" w:type="dxa"/>
            <w:vAlign w:val="bottom"/>
            <w:tcBorders>
              <w:bottom w:val="single" w:sz="8" w:color="E5EEF8"/>
            </w:tcBorders>
            <w:shd w:val="clear" w:color="auto" w:fill="E5EEF8"/>
          </w:tcPr>
          <w:p>
            <w:pPr>
              <w:spacing w:after="0"/>
              <w:rPr>
                <w:sz w:val="19"/>
                <w:szCs w:val="19"/>
                <w:color w:val="auto"/>
              </w:rPr>
            </w:pPr>
          </w:p>
        </w:tc>
        <w:tc>
          <w:tcPr>
            <w:tcW w:w="200" w:type="dxa"/>
            <w:vAlign w:val="bottom"/>
            <w:tcBorders>
              <w:bottom w:val="single" w:sz="8" w:color="E5EEF8"/>
            </w:tcBorders>
            <w:shd w:val="clear" w:color="auto" w:fill="E5EEF8"/>
          </w:tcPr>
          <w:p>
            <w:pPr>
              <w:spacing w:after="0"/>
              <w:rPr>
                <w:sz w:val="19"/>
                <w:szCs w:val="19"/>
                <w:color w:val="auto"/>
              </w:rPr>
            </w:pPr>
          </w:p>
        </w:tc>
        <w:tc>
          <w:tcPr>
            <w:tcW w:w="860" w:type="dxa"/>
            <w:vAlign w:val="bottom"/>
            <w:tcBorders>
              <w:bottom w:val="single" w:sz="8" w:color="E5EEF8"/>
            </w:tcBorders>
            <w:shd w:val="clear" w:color="auto" w:fill="E5EEF8"/>
          </w:tcPr>
          <w:p>
            <w:pPr>
              <w:jc w:val="right"/>
              <w:ind w:right="48"/>
              <w:spacing w:after="0"/>
              <w:rPr>
                <w:sz w:val="20"/>
                <w:szCs w:val="20"/>
                <w:color w:val="auto"/>
              </w:rPr>
            </w:pPr>
            <w:r>
              <w:rPr>
                <w:rFonts w:ascii="Arial" w:cs="Arial" w:eastAsia="Arial" w:hAnsi="Arial"/>
                <w:sz w:val="14"/>
                <w:szCs w:val="14"/>
                <w:color w:val="auto"/>
              </w:rPr>
              <w:t>01/13/2021</w:t>
            </w:r>
          </w:p>
        </w:tc>
        <w:tc>
          <w:tcPr>
            <w:tcW w:w="800" w:type="dxa"/>
            <w:vAlign w:val="bottom"/>
            <w:tcBorders>
              <w:bottom w:val="single" w:sz="8" w:color="E5EEF8"/>
            </w:tcBorders>
            <w:shd w:val="clear" w:color="auto" w:fill="E5EEF8"/>
          </w:tcPr>
          <w:p>
            <w:pPr>
              <w:jc w:val="right"/>
              <w:spacing w:after="0"/>
              <w:rPr>
                <w:sz w:val="20"/>
                <w:szCs w:val="20"/>
                <w:color w:val="auto"/>
              </w:rPr>
            </w:pPr>
            <w:r>
              <w:rPr>
                <w:rFonts w:ascii="Arial" w:cs="Arial" w:eastAsia="Arial" w:hAnsi="Arial"/>
                <w:sz w:val="14"/>
                <w:szCs w:val="14"/>
                <w:color w:val="auto"/>
              </w:rPr>
              <w:t>187,500</w:t>
            </w:r>
          </w:p>
        </w:tc>
        <w:tc>
          <w:tcPr>
            <w:tcW w:w="980" w:type="dxa"/>
            <w:vAlign w:val="bottom"/>
            <w:tcBorders>
              <w:bottom w:val="single" w:sz="8" w:color="E5EEF8"/>
            </w:tcBorders>
            <w:shd w:val="clear" w:color="auto" w:fill="E5EEF8"/>
          </w:tcPr>
          <w:p>
            <w:pPr>
              <w:jc w:val="right"/>
              <w:ind w:right="68"/>
              <w:spacing w:after="0"/>
              <w:rPr>
                <w:sz w:val="20"/>
                <w:szCs w:val="20"/>
                <w:color w:val="auto"/>
              </w:rPr>
            </w:pPr>
            <w:r>
              <w:rPr>
                <w:rFonts w:ascii="Arial" w:cs="Arial" w:eastAsia="Arial" w:hAnsi="Arial"/>
                <w:sz w:val="14"/>
                <w:szCs w:val="14"/>
                <w:color w:val="auto"/>
              </w:rPr>
              <w:t>937,500</w:t>
            </w:r>
          </w:p>
        </w:tc>
        <w:tc>
          <w:tcPr>
            <w:tcW w:w="880" w:type="dxa"/>
            <w:vAlign w:val="bottom"/>
            <w:tcBorders>
              <w:bottom w:val="single" w:sz="8" w:color="E5EEF8"/>
            </w:tcBorders>
            <w:shd w:val="clear" w:color="auto" w:fill="E5EEF8"/>
          </w:tcPr>
          <w:p>
            <w:pPr>
              <w:jc w:val="right"/>
              <w:ind w:right="28"/>
              <w:spacing w:after="0"/>
              <w:rPr>
                <w:sz w:val="20"/>
                <w:szCs w:val="20"/>
                <w:color w:val="auto"/>
              </w:rPr>
            </w:pPr>
            <w:r>
              <w:rPr>
                <w:rFonts w:ascii="Arial" w:cs="Arial" w:eastAsia="Arial" w:hAnsi="Arial"/>
                <w:sz w:val="14"/>
                <w:szCs w:val="14"/>
                <w:color w:val="auto"/>
              </w:rPr>
              <w:t>1,406,250</w:t>
            </w:r>
          </w:p>
        </w:tc>
        <w:tc>
          <w:tcPr>
            <w:tcW w:w="880" w:type="dxa"/>
            <w:vAlign w:val="bottom"/>
            <w:tcBorders>
              <w:bottom w:val="single" w:sz="8" w:color="E5EEF8"/>
            </w:tcBorders>
            <w:shd w:val="clear" w:color="auto" w:fill="E5EEF8"/>
          </w:tcPr>
          <w:p>
            <w:pPr>
              <w:spacing w:after="0"/>
              <w:rPr>
                <w:sz w:val="19"/>
                <w:szCs w:val="19"/>
                <w:color w:val="auto"/>
              </w:rPr>
            </w:pPr>
          </w:p>
        </w:tc>
        <w:tc>
          <w:tcPr>
            <w:tcW w:w="620" w:type="dxa"/>
            <w:vAlign w:val="bottom"/>
            <w:tcBorders>
              <w:bottom w:val="single" w:sz="8" w:color="E5EEF8"/>
            </w:tcBorders>
            <w:shd w:val="clear" w:color="auto" w:fill="E5EEF8"/>
          </w:tcPr>
          <w:p>
            <w:pPr>
              <w:spacing w:after="0"/>
              <w:rPr>
                <w:sz w:val="19"/>
                <w:szCs w:val="19"/>
                <w:color w:val="auto"/>
              </w:rPr>
            </w:pPr>
          </w:p>
        </w:tc>
        <w:tc>
          <w:tcPr>
            <w:tcW w:w="1240" w:type="dxa"/>
            <w:vAlign w:val="bottom"/>
            <w:tcBorders>
              <w:bottom w:val="single" w:sz="8" w:color="E5EEF8"/>
            </w:tcBorders>
            <w:shd w:val="clear" w:color="auto" w:fill="E5EEF8"/>
          </w:tcPr>
          <w:p>
            <w:pPr>
              <w:spacing w:after="0"/>
              <w:rPr>
                <w:sz w:val="19"/>
                <w:szCs w:val="19"/>
                <w:color w:val="auto"/>
              </w:rPr>
            </w:pPr>
          </w:p>
        </w:tc>
        <w:tc>
          <w:tcPr>
            <w:tcW w:w="1140" w:type="dxa"/>
            <w:vAlign w:val="bottom"/>
            <w:tcBorders>
              <w:bottom w:val="single" w:sz="8" w:color="E5EEF8"/>
            </w:tcBorders>
            <w:shd w:val="clear" w:color="auto" w:fill="E5EEF8"/>
          </w:tcPr>
          <w:p>
            <w:pPr>
              <w:spacing w:after="0"/>
              <w:rPr>
                <w:sz w:val="19"/>
                <w:szCs w:val="19"/>
                <w:color w:val="auto"/>
              </w:rPr>
            </w:pPr>
          </w:p>
        </w:tc>
        <w:tc>
          <w:tcPr>
            <w:tcW w:w="920" w:type="dxa"/>
            <w:vAlign w:val="bottom"/>
            <w:tcBorders>
              <w:bottom w:val="single" w:sz="8" w:color="E5EEF8"/>
            </w:tcBorders>
            <w:shd w:val="clear" w:color="auto" w:fill="E5EEF8"/>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500" w:type="dxa"/>
            <w:vAlign w:val="bottom"/>
          </w:tcPr>
          <w:p>
            <w:pPr>
              <w:ind w:left="80"/>
              <w:spacing w:after="0"/>
              <w:rPr>
                <w:sz w:val="20"/>
                <w:szCs w:val="20"/>
                <w:color w:val="auto"/>
              </w:rPr>
            </w:pPr>
            <w:r>
              <w:rPr>
                <w:rFonts w:ascii="Arial" w:cs="Arial" w:eastAsia="Arial" w:hAnsi="Arial"/>
                <w:sz w:val="14"/>
                <w:szCs w:val="14"/>
                <w:color w:val="auto"/>
              </w:rPr>
              <w:t>Jason Conley</w:t>
            </w:r>
          </w:p>
        </w:tc>
        <w:tc>
          <w:tcPr>
            <w:tcW w:w="1060" w:type="dxa"/>
            <w:vAlign w:val="bottom"/>
            <w:gridSpan w:val="2"/>
          </w:tcPr>
          <w:p>
            <w:pPr>
              <w:jc w:val="right"/>
              <w:ind w:right="48"/>
              <w:spacing w:after="0"/>
              <w:rPr>
                <w:sz w:val="20"/>
                <w:szCs w:val="20"/>
                <w:color w:val="auto"/>
              </w:rPr>
            </w:pPr>
            <w:r>
              <w:rPr>
                <w:rFonts w:ascii="Arial" w:cs="Arial" w:eastAsia="Arial" w:hAnsi="Arial"/>
                <w:sz w:val="14"/>
                <w:szCs w:val="14"/>
                <w:color w:val="auto"/>
              </w:rPr>
              <w:t>01/13/2021</w:t>
            </w: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1,192</w:t>
            </w:r>
          </w:p>
        </w:tc>
        <w:tc>
          <w:tcPr>
            <w:tcW w:w="620" w:type="dxa"/>
            <w:vAlign w:val="bottom"/>
          </w:tcPr>
          <w:p>
            <w:pPr>
              <w:jc w:val="right"/>
              <w:spacing w:after="0"/>
              <w:rPr>
                <w:sz w:val="20"/>
                <w:szCs w:val="20"/>
                <w:color w:val="auto"/>
              </w:rPr>
            </w:pPr>
            <w:r>
              <w:rPr>
                <w:rFonts w:ascii="Arial" w:cs="Arial" w:eastAsia="Arial" w:hAnsi="Arial"/>
                <w:sz w:val="14"/>
                <w:szCs w:val="14"/>
                <w:color w:val="auto"/>
              </w:rPr>
              <w:t>5,960</w:t>
            </w:r>
          </w:p>
        </w:tc>
        <w:tc>
          <w:tcPr>
            <w:tcW w:w="1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2,462,374</w:t>
            </w:r>
          </w:p>
        </w:tc>
        <w:tc>
          <w:tcPr>
            <w:tcW w:w="0" w:type="dxa"/>
            <w:vAlign w:val="bottom"/>
          </w:tcPr>
          <w:p>
            <w:pPr>
              <w:spacing w:after="0"/>
              <w:rPr>
                <w:sz w:val="1"/>
                <w:szCs w:val="1"/>
                <w:color w:val="auto"/>
              </w:rPr>
            </w:pPr>
          </w:p>
        </w:tc>
      </w:tr>
      <w:tr>
        <w:trPr>
          <w:trHeight w:val="260"/>
        </w:trPr>
        <w:tc>
          <w:tcPr>
            <w:tcW w:w="2500" w:type="dxa"/>
            <w:vAlign w:val="bottom"/>
          </w:tcPr>
          <w:p>
            <w:pPr>
              <w:spacing w:after="0"/>
              <w:rPr>
                <w:sz w:val="22"/>
                <w:szCs w:val="22"/>
                <w:color w:val="auto"/>
              </w:rPr>
            </w:pPr>
          </w:p>
        </w:tc>
        <w:tc>
          <w:tcPr>
            <w:tcW w:w="1060" w:type="dxa"/>
            <w:vAlign w:val="bottom"/>
            <w:gridSpan w:val="2"/>
          </w:tcPr>
          <w:p>
            <w:pPr>
              <w:jc w:val="right"/>
              <w:ind w:right="48"/>
              <w:spacing w:after="0"/>
              <w:rPr>
                <w:sz w:val="20"/>
                <w:szCs w:val="20"/>
                <w:color w:val="auto"/>
              </w:rPr>
            </w:pPr>
            <w:r>
              <w:rPr>
                <w:rFonts w:ascii="Arial" w:cs="Arial" w:eastAsia="Arial" w:hAnsi="Arial"/>
                <w:sz w:val="14"/>
                <w:szCs w:val="14"/>
                <w:color w:val="auto"/>
              </w:rPr>
              <w:t>01/13/2021</w:t>
            </w: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40" w:type="dxa"/>
            <w:vAlign w:val="bottom"/>
          </w:tcPr>
          <w:p>
            <w:pPr>
              <w:jc w:val="right"/>
              <w:ind w:right="49"/>
              <w:spacing w:after="0" w:line="259" w:lineRule="exact"/>
              <w:rPr>
                <w:sz w:val="20"/>
                <w:szCs w:val="20"/>
                <w:color w:val="auto"/>
              </w:rPr>
            </w:pPr>
            <w:r>
              <w:rPr>
                <w:rFonts w:ascii="Arial" w:cs="Arial" w:eastAsia="Arial" w:hAnsi="Arial"/>
                <w:sz w:val="14"/>
                <w:szCs w:val="14"/>
                <w:color w:val="auto"/>
              </w:rPr>
              <w:t>9,111</w:t>
            </w:r>
            <w:r>
              <w:rPr>
                <w:rFonts w:ascii="Arial" w:cs="Arial" w:eastAsia="Arial" w:hAnsi="Arial"/>
                <w:sz w:val="24"/>
                <w:szCs w:val="24"/>
                <w:color w:val="auto"/>
                <w:vertAlign w:val="superscript"/>
              </w:rPr>
              <w:t>(3)</w:t>
            </w: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413.15</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849,984</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14"/>
                <w:szCs w:val="14"/>
                <w:color w:val="auto"/>
              </w:rPr>
            </w:pPr>
          </w:p>
        </w:tc>
        <w:tc>
          <w:tcPr>
            <w:tcW w:w="1060" w:type="dxa"/>
            <w:vAlign w:val="bottom"/>
            <w:gridSpan w:val="2"/>
          </w:tcPr>
          <w:p>
            <w:pPr>
              <w:jc w:val="right"/>
              <w:ind w:right="48"/>
              <w:spacing w:after="0"/>
              <w:rPr>
                <w:sz w:val="20"/>
                <w:szCs w:val="20"/>
                <w:color w:val="auto"/>
              </w:rPr>
            </w:pPr>
            <w:r>
              <w:rPr>
                <w:rFonts w:ascii="Arial" w:cs="Arial" w:eastAsia="Arial" w:hAnsi="Arial"/>
                <w:sz w:val="14"/>
                <w:szCs w:val="14"/>
                <w:color w:val="auto"/>
              </w:rPr>
              <w:t>01/13/2021</w:t>
            </w:r>
          </w:p>
        </w:tc>
        <w:tc>
          <w:tcPr>
            <w:tcW w:w="800" w:type="dxa"/>
            <w:vAlign w:val="bottom"/>
          </w:tcPr>
          <w:p>
            <w:pPr>
              <w:jc w:val="right"/>
              <w:spacing w:after="0"/>
              <w:rPr>
                <w:sz w:val="20"/>
                <w:szCs w:val="20"/>
                <w:color w:val="auto"/>
              </w:rPr>
            </w:pPr>
            <w:r>
              <w:rPr>
                <w:rFonts w:ascii="Arial" w:cs="Arial" w:eastAsia="Arial" w:hAnsi="Arial"/>
                <w:sz w:val="14"/>
                <w:szCs w:val="14"/>
                <w:color w:val="auto"/>
              </w:rPr>
              <w:t>118,000</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590,000</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885,000</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-2023110</wp:posOffset>
            </wp:positionV>
            <wp:extent cx="255460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8" w:lineRule="exact"/>
        <w:rPr>
          <w:sz w:val="20"/>
          <w:szCs w:val="20"/>
          <w:color w:val="auto"/>
        </w:rPr>
      </w:pPr>
    </w:p>
    <w:p>
      <w:pPr>
        <w:ind w:left="540" w:right="140" w:hanging="424"/>
        <w:spacing w:after="0" w:line="183" w:lineRule="auto"/>
        <w:tabs>
          <w:tab w:leader="none" w:pos="540" w:val="left"/>
        </w:tabs>
        <w:numPr>
          <w:ilvl w:val="0"/>
          <w:numId w:val="78"/>
        </w:numPr>
        <w:rPr>
          <w:rFonts w:ascii="Arial" w:cs="Arial" w:eastAsia="Arial" w:hAnsi="Arial"/>
          <w:sz w:val="24"/>
          <w:szCs w:val="24"/>
          <w:color w:val="auto"/>
          <w:vertAlign w:val="superscript"/>
        </w:rPr>
      </w:pPr>
      <w:r>
        <w:rPr>
          <w:rFonts w:ascii="Arial" w:cs="Arial" w:eastAsia="Arial" w:hAnsi="Arial"/>
          <w:sz w:val="14"/>
          <w:szCs w:val="14"/>
          <w:color w:val="auto"/>
        </w:rPr>
        <w:t>For an explanation of the material terms, refer to the CD&amp;A section above captioned “Analysis of 2021 Compensation—Annual Cash Incentive.” Amounts paid under this program for 2021 are set forth in the 2021 Summary Compensation Table.</w:t>
      </w:r>
    </w:p>
    <w:p>
      <w:pPr>
        <w:spacing w:after="0" w:line="71" w:lineRule="exact"/>
        <w:rPr>
          <w:rFonts w:ascii="Arial" w:cs="Arial" w:eastAsia="Arial" w:hAnsi="Arial"/>
          <w:sz w:val="24"/>
          <w:szCs w:val="24"/>
          <w:color w:val="auto"/>
          <w:vertAlign w:val="superscript"/>
        </w:rPr>
      </w:pPr>
    </w:p>
    <w:p>
      <w:pPr>
        <w:ind w:left="540" w:right="20" w:hanging="424"/>
        <w:spacing w:after="0" w:line="221" w:lineRule="auto"/>
        <w:tabs>
          <w:tab w:leader="none" w:pos="540" w:val="left"/>
        </w:tabs>
        <w:numPr>
          <w:ilvl w:val="0"/>
          <w:numId w:val="78"/>
        </w:numPr>
        <w:rPr>
          <w:rFonts w:ascii="Arial" w:cs="Arial" w:eastAsia="Arial" w:hAnsi="Arial"/>
          <w:sz w:val="24"/>
          <w:szCs w:val="24"/>
          <w:color w:val="auto"/>
          <w:vertAlign w:val="superscript"/>
        </w:rPr>
      </w:pPr>
      <w:r>
        <w:rPr>
          <w:rFonts w:ascii="Arial" w:cs="Arial" w:eastAsia="Arial" w:hAnsi="Arial"/>
          <w:sz w:val="14"/>
          <w:szCs w:val="14"/>
          <w:color w:val="auto"/>
        </w:rPr>
        <w:t>The performance restricted shares awarded to Mr. Hunn vest in November 2023. The performance restricted shares awarded to Messrs. Crisci, Stipancich and Conley vest in two equal tranches in November 2022 and November 2023. All awards are subject to the performance criteria described in the CD&amp;A under “Analysis of 2021 Compensation—Long-Term Stock Incentives.” The threshold payout applicable to Mr. Hunn represents the number of shares that would vest upon the satisfaction of the threshold level of performance for one of the two performance criteria. The threshold payout applicable to the other named executive officers represents the total number of shares that would vest upon the satisfaction of the threshold level of performance for one of the two performance criteria for each tranche of the award. No maximum payout is provided as there is no incremental payout in the event the target level of performance is exceeded. Dividends on restricted shares will be paid only if the shares are earned by performance.</w:t>
      </w:r>
    </w:p>
    <w:p>
      <w:pPr>
        <w:spacing w:after="0" w:line="71" w:lineRule="exact"/>
        <w:rPr>
          <w:rFonts w:ascii="Arial" w:cs="Arial" w:eastAsia="Arial" w:hAnsi="Arial"/>
          <w:sz w:val="24"/>
          <w:szCs w:val="24"/>
          <w:color w:val="auto"/>
          <w:vertAlign w:val="superscript"/>
        </w:rPr>
      </w:pPr>
    </w:p>
    <w:p>
      <w:pPr>
        <w:ind w:left="540" w:right="180" w:hanging="424"/>
        <w:spacing w:after="0" w:line="199" w:lineRule="auto"/>
        <w:tabs>
          <w:tab w:leader="none" w:pos="540" w:val="left"/>
        </w:tabs>
        <w:numPr>
          <w:ilvl w:val="0"/>
          <w:numId w:val="78"/>
        </w:numPr>
        <w:rPr>
          <w:rFonts w:ascii="Arial" w:cs="Arial" w:eastAsia="Arial" w:hAnsi="Arial"/>
          <w:sz w:val="24"/>
          <w:szCs w:val="24"/>
          <w:color w:val="auto"/>
          <w:vertAlign w:val="superscript"/>
        </w:rPr>
      </w:pPr>
      <w:r>
        <w:rPr>
          <w:rFonts w:ascii="Arial" w:cs="Arial" w:eastAsia="Arial" w:hAnsi="Arial"/>
          <w:sz w:val="14"/>
          <w:szCs w:val="14"/>
          <w:color w:val="auto"/>
        </w:rPr>
        <w:t>The stock options awarded to Mr. Hunn vest in January 2024. The stock options awarded to Messrs. Crisci, Stipancich and Conley vest in two equal installments in January 2023 and 2024. All stock options expire on the tenth anniversary of the grant. The exercise price of the stock options is 100% of the fair market value of our common stock on the date of grant.</w:t>
      </w:r>
    </w:p>
    <w:p>
      <w:pPr>
        <w:ind w:left="540" w:hanging="424"/>
        <w:spacing w:after="0" w:line="211" w:lineRule="auto"/>
        <w:tabs>
          <w:tab w:leader="none" w:pos="540" w:val="left"/>
        </w:tabs>
        <w:numPr>
          <w:ilvl w:val="0"/>
          <w:numId w:val="78"/>
        </w:numPr>
        <w:rPr>
          <w:rFonts w:ascii="Arial" w:cs="Arial" w:eastAsia="Arial" w:hAnsi="Arial"/>
          <w:sz w:val="24"/>
          <w:szCs w:val="24"/>
          <w:color w:val="auto"/>
          <w:vertAlign w:val="superscript"/>
        </w:rPr>
      </w:pPr>
      <w:r>
        <w:rPr>
          <w:rFonts w:ascii="Arial" w:cs="Arial" w:eastAsia="Arial" w:hAnsi="Arial"/>
          <w:sz w:val="14"/>
          <w:szCs w:val="14"/>
          <w:color w:val="auto"/>
        </w:rPr>
        <w:t>The dollar values reflect the grant date fair value of the awards as calculated in accordance with ASC Topic 718.</w:t>
      </w:r>
    </w:p>
    <w:p>
      <w:pPr>
        <w:spacing w:after="0" w:line="153" w:lineRule="exact"/>
        <w:rPr>
          <w:sz w:val="20"/>
          <w:szCs w:val="20"/>
          <w:color w:val="auto"/>
        </w:rPr>
      </w:pPr>
    </w:p>
    <w:tbl>
      <w:tblPr>
        <w:tblLayout w:type="fixed"/>
        <w:tblInd w:w="120" w:type="dxa"/>
        <w:tblCellMar>
          <w:top w:w="0" w:type="dxa"/>
          <w:left w:w="0" w:type="dxa"/>
          <w:bottom w:w="0" w:type="dxa"/>
          <w:right w:w="0" w:type="dxa"/>
        </w:tblCellMar>
      </w:tblPr>
      <w:tr>
        <w:trPr>
          <w:trHeight w:val="271"/>
        </w:trPr>
        <w:tc>
          <w:tcPr>
            <w:tcW w:w="440" w:type="dxa"/>
            <w:vAlign w:val="bottom"/>
            <w:tcBorders>
              <w:right w:val="single" w:sz="8" w:color="005CB9"/>
            </w:tcBorders>
          </w:tcPr>
          <w:p>
            <w:pPr>
              <w:jc w:val="right"/>
              <w:ind w:right="179"/>
              <w:spacing w:after="0"/>
              <w:rPr>
                <w:sz w:val="20"/>
                <w:szCs w:val="20"/>
                <w:color w:val="auto"/>
              </w:rPr>
            </w:pPr>
            <w:r>
              <w:rPr>
                <w:rFonts w:ascii="Arial" w:cs="Arial" w:eastAsia="Arial" w:hAnsi="Arial"/>
                <w:sz w:val="16"/>
                <w:szCs w:val="16"/>
                <w:b w:val="1"/>
                <w:bCs w:val="1"/>
                <w:color w:val="005CB9"/>
                <w:w w:val="89"/>
              </w:rPr>
              <w:t>42</w:t>
            </w:r>
          </w:p>
        </w:tc>
        <w:tc>
          <w:tcPr>
            <w:tcW w:w="4700" w:type="dxa"/>
            <w:vAlign w:val="bottom"/>
          </w:tcPr>
          <w:p>
            <w:pPr>
              <w:ind w:left="106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1"/>
        </w:trPr>
        <w:tc>
          <w:tcPr>
            <w:tcW w:w="440" w:type="dxa"/>
            <w:vAlign w:val="bottom"/>
            <w:tcBorders>
              <w:right w:val="single" w:sz="8" w:color="005CB9"/>
            </w:tcBorders>
          </w:tcPr>
          <w:p>
            <w:pPr>
              <w:spacing w:after="0"/>
              <w:rPr>
                <w:sz w:val="8"/>
                <w:szCs w:val="8"/>
                <w:color w:val="auto"/>
              </w:rPr>
            </w:pPr>
          </w:p>
        </w:tc>
        <w:tc>
          <w:tcPr>
            <w:tcW w:w="47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-205105</wp:posOffset>
            </wp:positionV>
            <wp:extent cx="428625"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Outstanding Equity Awards at Fiscal Year End</w:t>
      </w:r>
    </w:p>
    <w:p>
      <w:pPr>
        <w:spacing w:after="0" w:line="120" w:lineRule="exact"/>
        <w:rPr>
          <w:sz w:val="20"/>
          <w:szCs w:val="20"/>
          <w:color w:val="auto"/>
        </w:rPr>
      </w:pPr>
    </w:p>
    <w:p>
      <w:pPr>
        <w:ind w:left="120" w:right="600"/>
        <w:spacing w:after="0" w:line="243" w:lineRule="auto"/>
        <w:rPr>
          <w:sz w:val="20"/>
          <w:szCs w:val="20"/>
          <w:color w:val="auto"/>
        </w:rPr>
      </w:pPr>
      <w:r>
        <w:rPr>
          <w:rFonts w:ascii="Arial" w:cs="Arial" w:eastAsia="Arial" w:hAnsi="Arial"/>
          <w:sz w:val="17"/>
          <w:szCs w:val="17"/>
          <w:color w:val="auto"/>
        </w:rPr>
        <w:t>The following table sets forth certain information with respect to outstanding equity awards at December 31, 2021 for the named executive officers.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920" w:type="dxa"/>
            <w:vAlign w:val="bottom"/>
            <w:shd w:val="clear" w:color="auto" w:fill="005CB9"/>
          </w:tcPr>
          <w:p>
            <w:pPr>
              <w:spacing w:after="0"/>
              <w:rPr>
                <w:sz w:val="15"/>
                <w:szCs w:val="15"/>
                <w:color w:val="auto"/>
              </w:rPr>
            </w:pPr>
          </w:p>
        </w:tc>
        <w:tc>
          <w:tcPr>
            <w:tcW w:w="1020" w:type="dxa"/>
            <w:vAlign w:val="bottom"/>
            <w:shd w:val="clear" w:color="auto" w:fill="005CB9"/>
          </w:tcPr>
          <w:p>
            <w:pPr>
              <w:spacing w:after="0"/>
              <w:rPr>
                <w:sz w:val="15"/>
                <w:szCs w:val="15"/>
                <w:color w:val="auto"/>
              </w:rPr>
            </w:pPr>
          </w:p>
        </w:tc>
        <w:tc>
          <w:tcPr>
            <w:tcW w:w="1880" w:type="dxa"/>
            <w:vAlign w:val="bottom"/>
            <w:gridSpan w:val="3"/>
            <w:shd w:val="clear" w:color="auto" w:fill="005CB9"/>
          </w:tcPr>
          <w:p>
            <w:pPr>
              <w:jc w:val="right"/>
              <w:ind w:right="468"/>
              <w:spacing w:after="0"/>
              <w:rPr>
                <w:sz w:val="20"/>
                <w:szCs w:val="20"/>
                <w:color w:val="auto"/>
              </w:rPr>
            </w:pPr>
            <w:r>
              <w:rPr>
                <w:rFonts w:ascii="Arial" w:cs="Arial" w:eastAsia="Arial" w:hAnsi="Arial"/>
                <w:sz w:val="14"/>
                <w:szCs w:val="14"/>
                <w:color w:val="FFFFFF"/>
              </w:rPr>
              <w:t>Option Awards</w:t>
            </w:r>
          </w:p>
        </w:tc>
        <w:tc>
          <w:tcPr>
            <w:tcW w:w="860" w:type="dxa"/>
            <w:vAlign w:val="bottom"/>
            <w:shd w:val="clear" w:color="auto" w:fill="005CB9"/>
          </w:tcPr>
          <w:p>
            <w:pPr>
              <w:spacing w:after="0"/>
              <w:rPr>
                <w:sz w:val="15"/>
                <w:szCs w:val="15"/>
                <w:color w:val="auto"/>
              </w:rPr>
            </w:pPr>
          </w:p>
        </w:tc>
        <w:tc>
          <w:tcPr>
            <w:tcW w:w="780" w:type="dxa"/>
            <w:vAlign w:val="bottom"/>
            <w:shd w:val="clear" w:color="auto" w:fill="005CB9"/>
          </w:tcPr>
          <w:p>
            <w:pPr>
              <w:spacing w:after="0"/>
              <w:rPr>
                <w:sz w:val="15"/>
                <w:szCs w:val="15"/>
                <w:color w:val="auto"/>
              </w:rPr>
            </w:pPr>
          </w:p>
        </w:tc>
        <w:tc>
          <w:tcPr>
            <w:tcW w:w="820" w:type="dxa"/>
            <w:vAlign w:val="bottom"/>
            <w:shd w:val="clear" w:color="auto" w:fill="005CB9"/>
          </w:tcPr>
          <w:p>
            <w:pPr>
              <w:spacing w:after="0"/>
              <w:rPr>
                <w:sz w:val="15"/>
                <w:szCs w:val="15"/>
                <w:color w:val="auto"/>
              </w:rPr>
            </w:pPr>
          </w:p>
        </w:tc>
        <w:tc>
          <w:tcPr>
            <w:tcW w:w="1440" w:type="dxa"/>
            <w:vAlign w:val="bottom"/>
            <w:shd w:val="clear" w:color="auto" w:fill="005CB9"/>
          </w:tcPr>
          <w:p>
            <w:pPr>
              <w:jc w:val="right"/>
              <w:ind w:right="372"/>
              <w:spacing w:after="0"/>
              <w:rPr>
                <w:sz w:val="20"/>
                <w:szCs w:val="20"/>
                <w:color w:val="auto"/>
              </w:rPr>
            </w:pPr>
            <w:r>
              <w:rPr>
                <w:rFonts w:ascii="Arial" w:cs="Arial" w:eastAsia="Arial" w:hAnsi="Arial"/>
                <w:sz w:val="14"/>
                <w:szCs w:val="14"/>
                <w:color w:val="FFFFFF"/>
              </w:rPr>
              <w:t>Stock Awards</w:t>
            </w:r>
          </w:p>
        </w:tc>
        <w:tc>
          <w:tcPr>
            <w:tcW w:w="1300" w:type="dxa"/>
            <w:vAlign w:val="bottom"/>
            <w:shd w:val="clear" w:color="auto" w:fill="005CB9"/>
          </w:tcPr>
          <w:p>
            <w:pPr>
              <w:spacing w:after="0"/>
              <w:rPr>
                <w:sz w:val="15"/>
                <w:szCs w:val="15"/>
                <w:color w:val="auto"/>
              </w:rPr>
            </w:pPr>
          </w:p>
        </w:tc>
      </w:tr>
      <w:tr>
        <w:trPr>
          <w:trHeight w:val="167"/>
        </w:trPr>
        <w:tc>
          <w:tcPr>
            <w:tcW w:w="2920" w:type="dxa"/>
            <w:vAlign w:val="bottom"/>
            <w:shd w:val="clear" w:color="auto" w:fill="005CB9"/>
          </w:tcPr>
          <w:p>
            <w:pPr>
              <w:spacing w:after="0"/>
              <w:rPr>
                <w:sz w:val="14"/>
                <w:szCs w:val="14"/>
                <w:color w:val="auto"/>
              </w:rPr>
            </w:pPr>
          </w:p>
        </w:tc>
        <w:tc>
          <w:tcPr>
            <w:tcW w:w="1020" w:type="dxa"/>
            <w:vAlign w:val="bottom"/>
            <w:shd w:val="clear" w:color="auto" w:fill="005CB9"/>
          </w:tcPr>
          <w:p>
            <w:pPr>
              <w:spacing w:after="0"/>
              <w:rPr>
                <w:sz w:val="14"/>
                <w:szCs w:val="14"/>
                <w:color w:val="auto"/>
              </w:rPr>
            </w:pPr>
          </w:p>
        </w:tc>
        <w:tc>
          <w:tcPr>
            <w:tcW w:w="980" w:type="dxa"/>
            <w:vAlign w:val="bottom"/>
            <w:shd w:val="clear" w:color="auto" w:fill="005CB9"/>
          </w:tcPr>
          <w:p>
            <w:pPr>
              <w:spacing w:after="0"/>
              <w:rPr>
                <w:sz w:val="14"/>
                <w:szCs w:val="14"/>
                <w:color w:val="auto"/>
              </w:rPr>
            </w:pPr>
          </w:p>
        </w:tc>
        <w:tc>
          <w:tcPr>
            <w:tcW w:w="200" w:type="dxa"/>
            <w:vAlign w:val="bottom"/>
            <w:shd w:val="clear" w:color="auto" w:fill="005CB9"/>
          </w:tcPr>
          <w:p>
            <w:pPr>
              <w:spacing w:after="0"/>
              <w:rPr>
                <w:sz w:val="14"/>
                <w:szCs w:val="14"/>
                <w:color w:val="auto"/>
              </w:rPr>
            </w:pPr>
          </w:p>
        </w:tc>
        <w:tc>
          <w:tcPr>
            <w:tcW w:w="700" w:type="dxa"/>
            <w:vAlign w:val="bottom"/>
            <w:shd w:val="clear" w:color="auto" w:fill="005CB9"/>
          </w:tcPr>
          <w:p>
            <w:pPr>
              <w:spacing w:after="0"/>
              <w:rPr>
                <w:sz w:val="14"/>
                <w:szCs w:val="14"/>
                <w:color w:val="auto"/>
              </w:rPr>
            </w:pPr>
          </w:p>
        </w:tc>
        <w:tc>
          <w:tcPr>
            <w:tcW w:w="860" w:type="dxa"/>
            <w:vAlign w:val="bottom"/>
            <w:shd w:val="clear" w:color="auto" w:fill="005CB9"/>
          </w:tcPr>
          <w:p>
            <w:pPr>
              <w:spacing w:after="0"/>
              <w:rPr>
                <w:sz w:val="14"/>
                <w:szCs w:val="14"/>
                <w:color w:val="auto"/>
              </w:rPr>
            </w:pPr>
          </w:p>
        </w:tc>
        <w:tc>
          <w:tcPr>
            <w:tcW w:w="780" w:type="dxa"/>
            <w:vAlign w:val="bottom"/>
            <w:shd w:val="clear" w:color="auto" w:fill="005CB9"/>
          </w:tcPr>
          <w:p>
            <w:pPr>
              <w:spacing w:after="0"/>
              <w:rPr>
                <w:sz w:val="14"/>
                <w:szCs w:val="14"/>
                <w:color w:val="auto"/>
              </w:rPr>
            </w:pPr>
          </w:p>
        </w:tc>
        <w:tc>
          <w:tcPr>
            <w:tcW w:w="820" w:type="dxa"/>
            <w:vAlign w:val="bottom"/>
            <w:shd w:val="clear" w:color="auto" w:fill="005CB9"/>
          </w:tcPr>
          <w:p>
            <w:pPr>
              <w:spacing w:after="0"/>
              <w:rPr>
                <w:sz w:val="14"/>
                <w:szCs w:val="14"/>
                <w:color w:val="auto"/>
              </w:rPr>
            </w:pPr>
          </w:p>
        </w:tc>
        <w:tc>
          <w:tcPr>
            <w:tcW w:w="1440" w:type="dxa"/>
            <w:vAlign w:val="bottom"/>
            <w:shd w:val="clear" w:color="auto" w:fill="005CB9"/>
          </w:tcPr>
          <w:p>
            <w:pPr>
              <w:jc w:val="right"/>
              <w:ind w:right="412"/>
              <w:spacing w:after="0"/>
              <w:rPr>
                <w:sz w:val="20"/>
                <w:szCs w:val="20"/>
                <w:color w:val="auto"/>
              </w:rPr>
            </w:pPr>
            <w:r>
              <w:rPr>
                <w:rFonts w:ascii="Arial" w:cs="Arial" w:eastAsia="Arial" w:hAnsi="Arial"/>
                <w:sz w:val="14"/>
                <w:szCs w:val="14"/>
                <w:color w:val="FFFFFF"/>
              </w:rPr>
              <w:t>Equity</w:t>
            </w:r>
          </w:p>
        </w:tc>
        <w:tc>
          <w:tcPr>
            <w:tcW w:w="130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Equity</w:t>
            </w:r>
          </w:p>
        </w:tc>
      </w:tr>
      <w:tr>
        <w:trPr>
          <w:trHeight w:val="162"/>
        </w:trPr>
        <w:tc>
          <w:tcPr>
            <w:tcW w:w="2920" w:type="dxa"/>
            <w:vAlign w:val="bottom"/>
            <w:shd w:val="clear" w:color="auto" w:fill="005CB9"/>
          </w:tcPr>
          <w:p>
            <w:pPr>
              <w:spacing w:after="0"/>
              <w:rPr>
                <w:sz w:val="14"/>
                <w:szCs w:val="14"/>
                <w:color w:val="auto"/>
              </w:rPr>
            </w:pPr>
          </w:p>
        </w:tc>
        <w:tc>
          <w:tcPr>
            <w:tcW w:w="1020" w:type="dxa"/>
            <w:vAlign w:val="bottom"/>
            <w:shd w:val="clear" w:color="auto" w:fill="005CB9"/>
          </w:tcPr>
          <w:p>
            <w:pPr>
              <w:spacing w:after="0"/>
              <w:rPr>
                <w:sz w:val="14"/>
                <w:szCs w:val="14"/>
                <w:color w:val="auto"/>
              </w:rPr>
            </w:pPr>
          </w:p>
        </w:tc>
        <w:tc>
          <w:tcPr>
            <w:tcW w:w="980" w:type="dxa"/>
            <w:vAlign w:val="bottom"/>
            <w:shd w:val="clear" w:color="auto" w:fill="005CB9"/>
          </w:tcPr>
          <w:p>
            <w:pPr>
              <w:spacing w:after="0"/>
              <w:rPr>
                <w:sz w:val="14"/>
                <w:szCs w:val="14"/>
                <w:color w:val="auto"/>
              </w:rPr>
            </w:pPr>
          </w:p>
        </w:tc>
        <w:tc>
          <w:tcPr>
            <w:tcW w:w="200" w:type="dxa"/>
            <w:vAlign w:val="bottom"/>
            <w:shd w:val="clear" w:color="auto" w:fill="005CB9"/>
          </w:tcPr>
          <w:p>
            <w:pPr>
              <w:spacing w:after="0"/>
              <w:rPr>
                <w:sz w:val="14"/>
                <w:szCs w:val="14"/>
                <w:color w:val="auto"/>
              </w:rPr>
            </w:pPr>
          </w:p>
        </w:tc>
        <w:tc>
          <w:tcPr>
            <w:tcW w:w="700" w:type="dxa"/>
            <w:vAlign w:val="bottom"/>
            <w:shd w:val="clear" w:color="auto" w:fill="005CB9"/>
          </w:tcPr>
          <w:p>
            <w:pPr>
              <w:spacing w:after="0"/>
              <w:rPr>
                <w:sz w:val="14"/>
                <w:szCs w:val="14"/>
                <w:color w:val="auto"/>
              </w:rPr>
            </w:pPr>
          </w:p>
        </w:tc>
        <w:tc>
          <w:tcPr>
            <w:tcW w:w="860" w:type="dxa"/>
            <w:vAlign w:val="bottom"/>
            <w:shd w:val="clear" w:color="auto" w:fill="005CB9"/>
          </w:tcPr>
          <w:p>
            <w:pPr>
              <w:spacing w:after="0"/>
              <w:rPr>
                <w:sz w:val="14"/>
                <w:szCs w:val="14"/>
                <w:color w:val="auto"/>
              </w:rPr>
            </w:pPr>
          </w:p>
        </w:tc>
        <w:tc>
          <w:tcPr>
            <w:tcW w:w="780" w:type="dxa"/>
            <w:vAlign w:val="bottom"/>
            <w:shd w:val="clear" w:color="auto" w:fill="005CB9"/>
          </w:tcPr>
          <w:p>
            <w:pPr>
              <w:spacing w:after="0"/>
              <w:rPr>
                <w:sz w:val="14"/>
                <w:szCs w:val="14"/>
                <w:color w:val="auto"/>
              </w:rPr>
            </w:pPr>
          </w:p>
        </w:tc>
        <w:tc>
          <w:tcPr>
            <w:tcW w:w="8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Market</w:t>
            </w:r>
          </w:p>
        </w:tc>
        <w:tc>
          <w:tcPr>
            <w:tcW w:w="1440" w:type="dxa"/>
            <w:vAlign w:val="bottom"/>
            <w:shd w:val="clear" w:color="auto" w:fill="005CB9"/>
          </w:tcPr>
          <w:p>
            <w:pPr>
              <w:jc w:val="right"/>
              <w:ind w:right="412"/>
              <w:spacing w:after="0"/>
              <w:rPr>
                <w:sz w:val="20"/>
                <w:szCs w:val="20"/>
                <w:color w:val="auto"/>
              </w:rPr>
            </w:pPr>
            <w:r>
              <w:rPr>
                <w:rFonts w:ascii="Arial" w:cs="Arial" w:eastAsia="Arial" w:hAnsi="Arial"/>
                <w:sz w:val="14"/>
                <w:szCs w:val="14"/>
                <w:color w:val="FFFFFF"/>
              </w:rPr>
              <w:t>Incentive Plan</w:t>
            </w:r>
          </w:p>
        </w:tc>
        <w:tc>
          <w:tcPr>
            <w:tcW w:w="130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Incentive Plan</w:t>
            </w:r>
          </w:p>
        </w:tc>
      </w:tr>
      <w:tr>
        <w:trPr>
          <w:trHeight w:val="162"/>
        </w:trPr>
        <w:tc>
          <w:tcPr>
            <w:tcW w:w="2920" w:type="dxa"/>
            <w:vAlign w:val="bottom"/>
            <w:shd w:val="clear" w:color="auto" w:fill="005CB9"/>
          </w:tcPr>
          <w:p>
            <w:pPr>
              <w:spacing w:after="0"/>
              <w:rPr>
                <w:sz w:val="14"/>
                <w:szCs w:val="14"/>
                <w:color w:val="auto"/>
              </w:rPr>
            </w:pPr>
          </w:p>
        </w:tc>
        <w:tc>
          <w:tcPr>
            <w:tcW w:w="1020" w:type="dxa"/>
            <w:vAlign w:val="bottom"/>
            <w:shd w:val="clear" w:color="auto" w:fill="005CB9"/>
          </w:tcPr>
          <w:p>
            <w:pPr>
              <w:spacing w:after="0"/>
              <w:rPr>
                <w:sz w:val="14"/>
                <w:szCs w:val="14"/>
                <w:color w:val="auto"/>
              </w:rPr>
            </w:pPr>
          </w:p>
        </w:tc>
        <w:tc>
          <w:tcPr>
            <w:tcW w:w="980" w:type="dxa"/>
            <w:vAlign w:val="bottom"/>
            <w:shd w:val="clear" w:color="auto" w:fill="005CB9"/>
          </w:tcPr>
          <w:p>
            <w:pPr>
              <w:spacing w:after="0"/>
              <w:rPr>
                <w:sz w:val="14"/>
                <w:szCs w:val="14"/>
                <w:color w:val="auto"/>
              </w:rPr>
            </w:pPr>
          </w:p>
        </w:tc>
        <w:tc>
          <w:tcPr>
            <w:tcW w:w="200" w:type="dxa"/>
            <w:vAlign w:val="bottom"/>
            <w:shd w:val="clear" w:color="auto" w:fill="005CB9"/>
          </w:tcPr>
          <w:p>
            <w:pPr>
              <w:spacing w:after="0"/>
              <w:rPr>
                <w:sz w:val="14"/>
                <w:szCs w:val="14"/>
                <w:color w:val="auto"/>
              </w:rPr>
            </w:pPr>
          </w:p>
        </w:tc>
        <w:tc>
          <w:tcPr>
            <w:tcW w:w="700" w:type="dxa"/>
            <w:vAlign w:val="bottom"/>
            <w:shd w:val="clear" w:color="auto" w:fill="005CB9"/>
          </w:tcPr>
          <w:p>
            <w:pPr>
              <w:spacing w:after="0"/>
              <w:rPr>
                <w:sz w:val="14"/>
                <w:szCs w:val="14"/>
                <w:color w:val="auto"/>
              </w:rPr>
            </w:pPr>
          </w:p>
        </w:tc>
        <w:tc>
          <w:tcPr>
            <w:tcW w:w="860" w:type="dxa"/>
            <w:vAlign w:val="bottom"/>
            <w:shd w:val="clear" w:color="auto" w:fill="005CB9"/>
          </w:tcPr>
          <w:p>
            <w:pPr>
              <w:spacing w:after="0"/>
              <w:rPr>
                <w:sz w:val="14"/>
                <w:szCs w:val="14"/>
                <w:color w:val="auto"/>
              </w:rPr>
            </w:pPr>
          </w:p>
        </w:tc>
        <w:tc>
          <w:tcPr>
            <w:tcW w:w="78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 of</w:t>
            </w:r>
          </w:p>
        </w:tc>
        <w:tc>
          <w:tcPr>
            <w:tcW w:w="8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Value of</w:t>
            </w:r>
          </w:p>
        </w:tc>
        <w:tc>
          <w:tcPr>
            <w:tcW w:w="1440" w:type="dxa"/>
            <w:vAlign w:val="bottom"/>
            <w:shd w:val="clear" w:color="auto" w:fill="005CB9"/>
          </w:tcPr>
          <w:p>
            <w:pPr>
              <w:jc w:val="right"/>
              <w:ind w:right="412"/>
              <w:spacing w:after="0"/>
              <w:rPr>
                <w:sz w:val="20"/>
                <w:szCs w:val="20"/>
                <w:color w:val="auto"/>
              </w:rPr>
            </w:pPr>
            <w:r>
              <w:rPr>
                <w:rFonts w:ascii="Arial" w:cs="Arial" w:eastAsia="Arial" w:hAnsi="Arial"/>
                <w:sz w:val="14"/>
                <w:szCs w:val="14"/>
                <w:color w:val="FFFFFF"/>
              </w:rPr>
              <w:t>Awards: # of</w:t>
            </w:r>
          </w:p>
        </w:tc>
        <w:tc>
          <w:tcPr>
            <w:tcW w:w="130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Awards: Market or</w:t>
            </w:r>
          </w:p>
        </w:tc>
      </w:tr>
      <w:tr>
        <w:trPr>
          <w:trHeight w:val="162"/>
        </w:trPr>
        <w:tc>
          <w:tcPr>
            <w:tcW w:w="2920" w:type="dxa"/>
            <w:vAlign w:val="bottom"/>
            <w:shd w:val="clear" w:color="auto" w:fill="005CB9"/>
          </w:tcPr>
          <w:p>
            <w:pPr>
              <w:spacing w:after="0"/>
              <w:rPr>
                <w:sz w:val="14"/>
                <w:szCs w:val="14"/>
                <w:color w:val="auto"/>
              </w:rPr>
            </w:pPr>
          </w:p>
        </w:tc>
        <w:tc>
          <w:tcPr>
            <w:tcW w:w="1020" w:type="dxa"/>
            <w:vAlign w:val="bottom"/>
            <w:shd w:val="clear" w:color="auto" w:fill="005CB9"/>
          </w:tcPr>
          <w:p>
            <w:pPr>
              <w:spacing w:after="0"/>
              <w:rPr>
                <w:sz w:val="14"/>
                <w:szCs w:val="14"/>
                <w:color w:val="auto"/>
              </w:rPr>
            </w:pPr>
          </w:p>
        </w:tc>
        <w:tc>
          <w:tcPr>
            <w:tcW w:w="1180" w:type="dxa"/>
            <w:vAlign w:val="bottom"/>
            <w:gridSpan w:val="2"/>
            <w:shd w:val="clear" w:color="auto" w:fill="005CB9"/>
          </w:tcPr>
          <w:p>
            <w:pPr>
              <w:jc w:val="right"/>
              <w:ind w:right="139"/>
              <w:spacing w:after="0"/>
              <w:rPr>
                <w:sz w:val="20"/>
                <w:szCs w:val="20"/>
                <w:color w:val="auto"/>
              </w:rPr>
            </w:pPr>
            <w:r>
              <w:rPr>
                <w:rFonts w:ascii="Arial" w:cs="Arial" w:eastAsia="Arial" w:hAnsi="Arial"/>
                <w:sz w:val="14"/>
                <w:szCs w:val="14"/>
                <w:color w:val="FFFFFF"/>
              </w:rPr>
              <w:t># of</w:t>
            </w:r>
          </w:p>
        </w:tc>
        <w:tc>
          <w:tcPr>
            <w:tcW w:w="700" w:type="dxa"/>
            <w:vAlign w:val="bottom"/>
            <w:shd w:val="clear" w:color="auto" w:fill="005CB9"/>
          </w:tcPr>
          <w:p>
            <w:pPr>
              <w:spacing w:after="0"/>
              <w:rPr>
                <w:sz w:val="14"/>
                <w:szCs w:val="14"/>
                <w:color w:val="auto"/>
              </w:rPr>
            </w:pPr>
          </w:p>
        </w:tc>
        <w:tc>
          <w:tcPr>
            <w:tcW w:w="860" w:type="dxa"/>
            <w:vAlign w:val="bottom"/>
            <w:shd w:val="clear" w:color="auto" w:fill="005CB9"/>
          </w:tcPr>
          <w:p>
            <w:pPr>
              <w:spacing w:after="0"/>
              <w:rPr>
                <w:sz w:val="14"/>
                <w:szCs w:val="14"/>
                <w:color w:val="auto"/>
              </w:rPr>
            </w:pPr>
          </w:p>
        </w:tc>
        <w:tc>
          <w:tcPr>
            <w:tcW w:w="78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Shares</w:t>
            </w:r>
          </w:p>
        </w:tc>
        <w:tc>
          <w:tcPr>
            <w:tcW w:w="8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Shares or</w:t>
            </w:r>
          </w:p>
        </w:tc>
        <w:tc>
          <w:tcPr>
            <w:tcW w:w="1440" w:type="dxa"/>
            <w:vAlign w:val="bottom"/>
            <w:shd w:val="clear" w:color="auto" w:fill="005CB9"/>
          </w:tcPr>
          <w:p>
            <w:pPr>
              <w:jc w:val="right"/>
              <w:ind w:right="412"/>
              <w:spacing w:after="0"/>
              <w:rPr>
                <w:sz w:val="20"/>
                <w:szCs w:val="20"/>
                <w:color w:val="auto"/>
              </w:rPr>
            </w:pPr>
            <w:r>
              <w:rPr>
                <w:rFonts w:ascii="Arial" w:cs="Arial" w:eastAsia="Arial" w:hAnsi="Arial"/>
                <w:sz w:val="14"/>
                <w:szCs w:val="14"/>
                <w:color w:val="FFFFFF"/>
              </w:rPr>
              <w:t>Unearned</w:t>
            </w:r>
          </w:p>
        </w:tc>
        <w:tc>
          <w:tcPr>
            <w:tcW w:w="130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Payout Value</w:t>
            </w:r>
          </w:p>
        </w:tc>
      </w:tr>
      <w:tr>
        <w:trPr>
          <w:trHeight w:val="162"/>
        </w:trPr>
        <w:tc>
          <w:tcPr>
            <w:tcW w:w="2920" w:type="dxa"/>
            <w:vAlign w:val="bottom"/>
            <w:shd w:val="clear" w:color="auto" w:fill="005CB9"/>
          </w:tcPr>
          <w:p>
            <w:pPr>
              <w:spacing w:after="0"/>
              <w:rPr>
                <w:sz w:val="14"/>
                <w:szCs w:val="14"/>
                <w:color w:val="auto"/>
              </w:rPr>
            </w:pPr>
          </w:p>
        </w:tc>
        <w:tc>
          <w:tcPr>
            <w:tcW w:w="10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 of Securities</w:t>
            </w:r>
          </w:p>
        </w:tc>
        <w:tc>
          <w:tcPr>
            <w:tcW w:w="1180" w:type="dxa"/>
            <w:vAlign w:val="bottom"/>
            <w:gridSpan w:val="2"/>
            <w:shd w:val="clear" w:color="auto" w:fill="005CB9"/>
          </w:tcPr>
          <w:p>
            <w:pPr>
              <w:jc w:val="right"/>
              <w:ind w:right="139"/>
              <w:spacing w:after="0"/>
              <w:rPr>
                <w:sz w:val="20"/>
                <w:szCs w:val="20"/>
                <w:color w:val="auto"/>
              </w:rPr>
            </w:pPr>
            <w:r>
              <w:rPr>
                <w:rFonts w:ascii="Arial" w:cs="Arial" w:eastAsia="Arial" w:hAnsi="Arial"/>
                <w:sz w:val="14"/>
                <w:szCs w:val="14"/>
                <w:color w:val="FFFFFF"/>
              </w:rPr>
              <w:t>Securities</w:t>
            </w:r>
          </w:p>
        </w:tc>
        <w:tc>
          <w:tcPr>
            <w:tcW w:w="700" w:type="dxa"/>
            <w:vAlign w:val="bottom"/>
            <w:shd w:val="clear" w:color="auto" w:fill="005CB9"/>
          </w:tcPr>
          <w:p>
            <w:pPr>
              <w:spacing w:after="0"/>
              <w:rPr>
                <w:sz w:val="14"/>
                <w:szCs w:val="14"/>
                <w:color w:val="auto"/>
              </w:rPr>
            </w:pPr>
          </w:p>
        </w:tc>
        <w:tc>
          <w:tcPr>
            <w:tcW w:w="860" w:type="dxa"/>
            <w:vAlign w:val="bottom"/>
            <w:shd w:val="clear" w:color="auto" w:fill="005CB9"/>
          </w:tcPr>
          <w:p>
            <w:pPr>
              <w:spacing w:after="0"/>
              <w:rPr>
                <w:sz w:val="14"/>
                <w:szCs w:val="14"/>
                <w:color w:val="auto"/>
              </w:rPr>
            </w:pPr>
          </w:p>
        </w:tc>
        <w:tc>
          <w:tcPr>
            <w:tcW w:w="78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or Units of</w:t>
            </w:r>
          </w:p>
        </w:tc>
        <w:tc>
          <w:tcPr>
            <w:tcW w:w="8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Units of</w:t>
            </w:r>
          </w:p>
        </w:tc>
        <w:tc>
          <w:tcPr>
            <w:tcW w:w="1440" w:type="dxa"/>
            <w:vAlign w:val="bottom"/>
            <w:shd w:val="clear" w:color="auto" w:fill="005CB9"/>
          </w:tcPr>
          <w:p>
            <w:pPr>
              <w:jc w:val="right"/>
              <w:ind w:right="412"/>
              <w:spacing w:after="0"/>
              <w:rPr>
                <w:sz w:val="20"/>
                <w:szCs w:val="20"/>
                <w:color w:val="auto"/>
              </w:rPr>
            </w:pPr>
            <w:r>
              <w:rPr>
                <w:rFonts w:ascii="Arial" w:cs="Arial" w:eastAsia="Arial" w:hAnsi="Arial"/>
                <w:sz w:val="14"/>
                <w:szCs w:val="14"/>
                <w:color w:val="FFFFFF"/>
              </w:rPr>
              <w:t>Shares, Units</w:t>
            </w:r>
          </w:p>
        </w:tc>
        <w:tc>
          <w:tcPr>
            <w:tcW w:w="130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of Unearned</w:t>
            </w:r>
          </w:p>
        </w:tc>
      </w:tr>
      <w:tr>
        <w:trPr>
          <w:trHeight w:val="162"/>
        </w:trPr>
        <w:tc>
          <w:tcPr>
            <w:tcW w:w="2920" w:type="dxa"/>
            <w:vAlign w:val="bottom"/>
            <w:shd w:val="clear" w:color="auto" w:fill="005CB9"/>
          </w:tcPr>
          <w:p>
            <w:pPr>
              <w:spacing w:after="0"/>
              <w:rPr>
                <w:sz w:val="14"/>
                <w:szCs w:val="14"/>
                <w:color w:val="auto"/>
              </w:rPr>
            </w:pPr>
          </w:p>
        </w:tc>
        <w:tc>
          <w:tcPr>
            <w:tcW w:w="10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Underlying</w:t>
            </w:r>
          </w:p>
        </w:tc>
        <w:tc>
          <w:tcPr>
            <w:tcW w:w="1180" w:type="dxa"/>
            <w:vAlign w:val="bottom"/>
            <w:gridSpan w:val="2"/>
            <w:shd w:val="clear" w:color="auto" w:fill="005CB9"/>
          </w:tcPr>
          <w:p>
            <w:pPr>
              <w:jc w:val="right"/>
              <w:ind w:right="139"/>
              <w:spacing w:after="0"/>
              <w:rPr>
                <w:sz w:val="20"/>
                <w:szCs w:val="20"/>
                <w:color w:val="auto"/>
              </w:rPr>
            </w:pPr>
            <w:r>
              <w:rPr>
                <w:rFonts w:ascii="Arial" w:cs="Arial" w:eastAsia="Arial" w:hAnsi="Arial"/>
                <w:sz w:val="14"/>
                <w:szCs w:val="14"/>
                <w:color w:val="FFFFFF"/>
              </w:rPr>
              <w:t>Underlying</w:t>
            </w:r>
          </w:p>
        </w:tc>
        <w:tc>
          <w:tcPr>
            <w:tcW w:w="700" w:type="dxa"/>
            <w:vAlign w:val="bottom"/>
            <w:shd w:val="clear" w:color="auto" w:fill="005CB9"/>
          </w:tcPr>
          <w:p>
            <w:pPr>
              <w:spacing w:after="0"/>
              <w:rPr>
                <w:sz w:val="14"/>
                <w:szCs w:val="14"/>
                <w:color w:val="auto"/>
              </w:rPr>
            </w:pPr>
          </w:p>
        </w:tc>
        <w:tc>
          <w:tcPr>
            <w:tcW w:w="860" w:type="dxa"/>
            <w:vAlign w:val="bottom"/>
            <w:shd w:val="clear" w:color="auto" w:fill="005CB9"/>
          </w:tcPr>
          <w:p>
            <w:pPr>
              <w:spacing w:after="0"/>
              <w:rPr>
                <w:sz w:val="14"/>
                <w:szCs w:val="14"/>
                <w:color w:val="auto"/>
              </w:rPr>
            </w:pPr>
          </w:p>
        </w:tc>
        <w:tc>
          <w:tcPr>
            <w:tcW w:w="78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Stock</w:t>
            </w:r>
          </w:p>
        </w:tc>
        <w:tc>
          <w:tcPr>
            <w:tcW w:w="8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Stock</w:t>
            </w:r>
          </w:p>
        </w:tc>
        <w:tc>
          <w:tcPr>
            <w:tcW w:w="1440" w:type="dxa"/>
            <w:vAlign w:val="bottom"/>
            <w:shd w:val="clear" w:color="auto" w:fill="005CB9"/>
          </w:tcPr>
          <w:p>
            <w:pPr>
              <w:jc w:val="right"/>
              <w:ind w:right="412"/>
              <w:spacing w:after="0"/>
              <w:rPr>
                <w:sz w:val="20"/>
                <w:szCs w:val="20"/>
                <w:color w:val="auto"/>
              </w:rPr>
            </w:pPr>
            <w:r>
              <w:rPr>
                <w:rFonts w:ascii="Arial" w:cs="Arial" w:eastAsia="Arial" w:hAnsi="Arial"/>
                <w:sz w:val="14"/>
                <w:szCs w:val="14"/>
                <w:color w:val="FFFFFF"/>
              </w:rPr>
              <w:t>or Other</w:t>
            </w:r>
          </w:p>
        </w:tc>
        <w:tc>
          <w:tcPr>
            <w:tcW w:w="130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Shares, Units or</w:t>
            </w:r>
          </w:p>
        </w:tc>
      </w:tr>
      <w:tr>
        <w:trPr>
          <w:trHeight w:val="162"/>
        </w:trPr>
        <w:tc>
          <w:tcPr>
            <w:tcW w:w="2920" w:type="dxa"/>
            <w:vAlign w:val="bottom"/>
            <w:shd w:val="clear" w:color="auto" w:fill="005CB9"/>
          </w:tcPr>
          <w:p>
            <w:pPr>
              <w:spacing w:after="0"/>
              <w:rPr>
                <w:sz w:val="14"/>
                <w:szCs w:val="14"/>
                <w:color w:val="auto"/>
              </w:rPr>
            </w:pPr>
          </w:p>
        </w:tc>
        <w:tc>
          <w:tcPr>
            <w:tcW w:w="10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Unexercised</w:t>
            </w:r>
          </w:p>
        </w:tc>
        <w:tc>
          <w:tcPr>
            <w:tcW w:w="1180" w:type="dxa"/>
            <w:vAlign w:val="bottom"/>
            <w:gridSpan w:val="2"/>
            <w:shd w:val="clear" w:color="auto" w:fill="005CB9"/>
          </w:tcPr>
          <w:p>
            <w:pPr>
              <w:jc w:val="right"/>
              <w:ind w:right="139"/>
              <w:spacing w:after="0"/>
              <w:rPr>
                <w:sz w:val="20"/>
                <w:szCs w:val="20"/>
                <w:color w:val="auto"/>
              </w:rPr>
            </w:pPr>
            <w:r>
              <w:rPr>
                <w:rFonts w:ascii="Arial" w:cs="Arial" w:eastAsia="Arial" w:hAnsi="Arial"/>
                <w:sz w:val="14"/>
                <w:szCs w:val="14"/>
                <w:color w:val="FFFFFF"/>
              </w:rPr>
              <w:t>Unexercised</w:t>
            </w:r>
          </w:p>
        </w:tc>
        <w:tc>
          <w:tcPr>
            <w:tcW w:w="70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Option</w:t>
            </w:r>
          </w:p>
        </w:tc>
        <w:tc>
          <w:tcPr>
            <w:tcW w:w="86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Option</w:t>
            </w:r>
          </w:p>
        </w:tc>
        <w:tc>
          <w:tcPr>
            <w:tcW w:w="78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That Have</w:t>
            </w:r>
          </w:p>
        </w:tc>
        <w:tc>
          <w:tcPr>
            <w:tcW w:w="8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That Have</w:t>
            </w:r>
          </w:p>
        </w:tc>
        <w:tc>
          <w:tcPr>
            <w:tcW w:w="1440" w:type="dxa"/>
            <w:vAlign w:val="bottom"/>
            <w:shd w:val="clear" w:color="auto" w:fill="005CB9"/>
          </w:tcPr>
          <w:p>
            <w:pPr>
              <w:jc w:val="right"/>
              <w:ind w:right="412"/>
              <w:spacing w:after="0"/>
              <w:rPr>
                <w:sz w:val="20"/>
                <w:szCs w:val="20"/>
                <w:color w:val="auto"/>
              </w:rPr>
            </w:pPr>
            <w:r>
              <w:rPr>
                <w:rFonts w:ascii="Arial" w:cs="Arial" w:eastAsia="Arial" w:hAnsi="Arial"/>
                <w:sz w:val="14"/>
                <w:szCs w:val="14"/>
                <w:color w:val="FFFFFF"/>
              </w:rPr>
              <w:t>Rights That</w:t>
            </w:r>
          </w:p>
        </w:tc>
        <w:tc>
          <w:tcPr>
            <w:tcW w:w="130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Other Rights that</w:t>
            </w:r>
          </w:p>
        </w:tc>
      </w:tr>
      <w:tr>
        <w:trPr>
          <w:trHeight w:val="156"/>
        </w:trPr>
        <w:tc>
          <w:tcPr>
            <w:tcW w:w="2920" w:type="dxa"/>
            <w:vAlign w:val="bottom"/>
            <w:shd w:val="clear" w:color="auto" w:fill="005CB9"/>
          </w:tcPr>
          <w:p>
            <w:pPr>
              <w:spacing w:after="0"/>
              <w:rPr>
                <w:sz w:val="13"/>
                <w:szCs w:val="13"/>
                <w:color w:val="auto"/>
              </w:rPr>
            </w:pPr>
          </w:p>
        </w:tc>
        <w:tc>
          <w:tcPr>
            <w:tcW w:w="1020" w:type="dxa"/>
            <w:vAlign w:val="bottom"/>
            <w:shd w:val="clear" w:color="auto" w:fill="005CB9"/>
          </w:tcPr>
          <w:p>
            <w:pPr>
              <w:jc w:val="right"/>
              <w:spacing w:after="0" w:line="155" w:lineRule="exact"/>
              <w:rPr>
                <w:sz w:val="20"/>
                <w:szCs w:val="20"/>
                <w:color w:val="auto"/>
              </w:rPr>
            </w:pPr>
            <w:r>
              <w:rPr>
                <w:rFonts w:ascii="Arial" w:cs="Arial" w:eastAsia="Arial" w:hAnsi="Arial"/>
                <w:sz w:val="14"/>
                <w:szCs w:val="14"/>
                <w:color w:val="FFFFFF"/>
              </w:rPr>
              <w:t>Options</w:t>
            </w:r>
          </w:p>
        </w:tc>
        <w:tc>
          <w:tcPr>
            <w:tcW w:w="1180" w:type="dxa"/>
            <w:vAlign w:val="bottom"/>
            <w:gridSpan w:val="2"/>
            <w:shd w:val="clear" w:color="auto" w:fill="005CB9"/>
          </w:tcPr>
          <w:p>
            <w:pPr>
              <w:jc w:val="right"/>
              <w:ind w:right="139"/>
              <w:spacing w:after="0" w:line="155" w:lineRule="exact"/>
              <w:rPr>
                <w:sz w:val="20"/>
                <w:szCs w:val="20"/>
                <w:color w:val="auto"/>
              </w:rPr>
            </w:pPr>
            <w:r>
              <w:rPr>
                <w:rFonts w:ascii="Arial" w:cs="Arial" w:eastAsia="Arial" w:hAnsi="Arial"/>
                <w:sz w:val="14"/>
                <w:szCs w:val="14"/>
                <w:color w:val="FFFFFF"/>
              </w:rPr>
              <w:t>Options</w:t>
            </w:r>
          </w:p>
        </w:tc>
        <w:tc>
          <w:tcPr>
            <w:tcW w:w="700" w:type="dxa"/>
            <w:vAlign w:val="bottom"/>
            <w:shd w:val="clear" w:color="auto" w:fill="005CB9"/>
          </w:tcPr>
          <w:p>
            <w:pPr>
              <w:jc w:val="right"/>
              <w:ind w:right="8"/>
              <w:spacing w:after="0" w:line="155" w:lineRule="exact"/>
              <w:rPr>
                <w:sz w:val="20"/>
                <w:szCs w:val="20"/>
                <w:color w:val="auto"/>
              </w:rPr>
            </w:pPr>
            <w:r>
              <w:rPr>
                <w:rFonts w:ascii="Arial" w:cs="Arial" w:eastAsia="Arial" w:hAnsi="Arial"/>
                <w:sz w:val="14"/>
                <w:szCs w:val="14"/>
                <w:color w:val="FFFFFF"/>
              </w:rPr>
              <w:t>Exercise</w:t>
            </w:r>
          </w:p>
        </w:tc>
        <w:tc>
          <w:tcPr>
            <w:tcW w:w="860" w:type="dxa"/>
            <w:vAlign w:val="bottom"/>
            <w:shd w:val="clear" w:color="auto" w:fill="005CB9"/>
          </w:tcPr>
          <w:p>
            <w:pPr>
              <w:jc w:val="right"/>
              <w:spacing w:after="0" w:line="155" w:lineRule="exact"/>
              <w:rPr>
                <w:sz w:val="20"/>
                <w:szCs w:val="20"/>
                <w:color w:val="auto"/>
              </w:rPr>
            </w:pPr>
            <w:r>
              <w:rPr>
                <w:rFonts w:ascii="Arial" w:cs="Arial" w:eastAsia="Arial" w:hAnsi="Arial"/>
                <w:sz w:val="14"/>
                <w:szCs w:val="14"/>
                <w:color w:val="FFFFFF"/>
              </w:rPr>
              <w:t>Expiration</w:t>
            </w:r>
          </w:p>
        </w:tc>
        <w:tc>
          <w:tcPr>
            <w:tcW w:w="780" w:type="dxa"/>
            <w:vAlign w:val="bottom"/>
            <w:shd w:val="clear" w:color="auto" w:fill="005CB9"/>
          </w:tcPr>
          <w:p>
            <w:pPr>
              <w:jc w:val="right"/>
              <w:spacing w:after="0" w:line="155" w:lineRule="exact"/>
              <w:rPr>
                <w:sz w:val="20"/>
                <w:szCs w:val="20"/>
                <w:color w:val="auto"/>
              </w:rPr>
            </w:pPr>
            <w:r>
              <w:rPr>
                <w:rFonts w:ascii="Arial" w:cs="Arial" w:eastAsia="Arial" w:hAnsi="Arial"/>
                <w:sz w:val="14"/>
                <w:szCs w:val="14"/>
                <w:color w:val="FFFFFF"/>
              </w:rPr>
              <w:t>Not</w:t>
            </w:r>
          </w:p>
        </w:tc>
        <w:tc>
          <w:tcPr>
            <w:tcW w:w="820" w:type="dxa"/>
            <w:vAlign w:val="bottom"/>
            <w:shd w:val="clear" w:color="auto" w:fill="005CB9"/>
          </w:tcPr>
          <w:p>
            <w:pPr>
              <w:jc w:val="right"/>
              <w:spacing w:after="0" w:line="155" w:lineRule="exact"/>
              <w:rPr>
                <w:sz w:val="20"/>
                <w:szCs w:val="20"/>
                <w:color w:val="auto"/>
              </w:rPr>
            </w:pPr>
            <w:r>
              <w:rPr>
                <w:rFonts w:ascii="Arial" w:cs="Arial" w:eastAsia="Arial" w:hAnsi="Arial"/>
                <w:sz w:val="14"/>
                <w:szCs w:val="14"/>
                <w:color w:val="FFFFFF"/>
              </w:rPr>
              <w:t>Not Vested</w:t>
            </w:r>
          </w:p>
        </w:tc>
        <w:tc>
          <w:tcPr>
            <w:tcW w:w="1440" w:type="dxa"/>
            <w:vAlign w:val="bottom"/>
            <w:shd w:val="clear" w:color="auto" w:fill="005CB9"/>
          </w:tcPr>
          <w:p>
            <w:pPr>
              <w:jc w:val="right"/>
              <w:ind w:right="412"/>
              <w:spacing w:after="0" w:line="155" w:lineRule="exact"/>
              <w:rPr>
                <w:sz w:val="20"/>
                <w:szCs w:val="20"/>
                <w:color w:val="auto"/>
              </w:rPr>
            </w:pPr>
            <w:r>
              <w:rPr>
                <w:rFonts w:ascii="Arial" w:cs="Arial" w:eastAsia="Arial" w:hAnsi="Arial"/>
                <w:sz w:val="14"/>
                <w:szCs w:val="14"/>
                <w:color w:val="FFFFFF"/>
              </w:rPr>
              <w:t>Have Not</w:t>
            </w:r>
          </w:p>
        </w:tc>
        <w:tc>
          <w:tcPr>
            <w:tcW w:w="1300" w:type="dxa"/>
            <w:vAlign w:val="bottom"/>
            <w:shd w:val="clear" w:color="auto" w:fill="005CB9"/>
          </w:tcPr>
          <w:p>
            <w:pPr>
              <w:jc w:val="right"/>
              <w:ind w:right="8"/>
              <w:spacing w:after="0" w:line="155" w:lineRule="exact"/>
              <w:rPr>
                <w:sz w:val="20"/>
                <w:szCs w:val="20"/>
                <w:color w:val="auto"/>
              </w:rPr>
            </w:pPr>
            <w:r>
              <w:rPr>
                <w:rFonts w:ascii="Arial" w:cs="Arial" w:eastAsia="Arial" w:hAnsi="Arial"/>
                <w:sz w:val="14"/>
                <w:szCs w:val="14"/>
                <w:color w:val="FFFFFF"/>
              </w:rPr>
              <w:t>Have Not Vested</w:t>
            </w:r>
          </w:p>
        </w:tc>
      </w:tr>
      <w:tr>
        <w:trPr>
          <w:trHeight w:val="177"/>
        </w:trPr>
        <w:tc>
          <w:tcPr>
            <w:tcW w:w="2920" w:type="dxa"/>
            <w:vAlign w:val="bottom"/>
            <w:shd w:val="clear" w:color="auto" w:fill="005CB9"/>
          </w:tcPr>
          <w:p>
            <w:pPr>
              <w:ind w:left="80"/>
              <w:spacing w:after="0"/>
              <w:rPr>
                <w:sz w:val="20"/>
                <w:szCs w:val="20"/>
                <w:color w:val="auto"/>
              </w:rPr>
            </w:pPr>
            <w:r>
              <w:rPr>
                <w:rFonts w:ascii="Arial" w:cs="Arial" w:eastAsia="Arial" w:hAnsi="Arial"/>
                <w:sz w:val="14"/>
                <w:szCs w:val="14"/>
                <w:color w:val="FFFFFF"/>
              </w:rPr>
              <w:t>Name</w:t>
            </w:r>
          </w:p>
        </w:tc>
        <w:tc>
          <w:tcPr>
            <w:tcW w:w="10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Exercisable</w:t>
            </w:r>
          </w:p>
        </w:tc>
        <w:tc>
          <w:tcPr>
            <w:tcW w:w="1180" w:type="dxa"/>
            <w:vAlign w:val="bottom"/>
            <w:gridSpan w:val="2"/>
            <w:shd w:val="clear" w:color="auto" w:fill="005CB9"/>
          </w:tcPr>
          <w:p>
            <w:pPr>
              <w:jc w:val="right"/>
              <w:ind w:right="139"/>
              <w:spacing w:after="0"/>
              <w:rPr>
                <w:sz w:val="20"/>
                <w:szCs w:val="20"/>
                <w:color w:val="auto"/>
              </w:rPr>
            </w:pPr>
            <w:r>
              <w:rPr>
                <w:rFonts w:ascii="Arial" w:cs="Arial" w:eastAsia="Arial" w:hAnsi="Arial"/>
                <w:sz w:val="14"/>
                <w:szCs w:val="14"/>
                <w:color w:val="FFFFFF"/>
              </w:rPr>
              <w:t>Unexercisable</w:t>
            </w:r>
          </w:p>
        </w:tc>
        <w:tc>
          <w:tcPr>
            <w:tcW w:w="70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Price ($)</w:t>
            </w:r>
          </w:p>
        </w:tc>
        <w:tc>
          <w:tcPr>
            <w:tcW w:w="86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Date</w:t>
            </w:r>
          </w:p>
        </w:tc>
        <w:tc>
          <w:tcPr>
            <w:tcW w:w="78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Vested</w:t>
            </w:r>
          </w:p>
        </w:tc>
        <w:tc>
          <w:tcPr>
            <w:tcW w:w="8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w:t>
            </w:r>
          </w:p>
        </w:tc>
        <w:tc>
          <w:tcPr>
            <w:tcW w:w="1440" w:type="dxa"/>
            <w:vAlign w:val="bottom"/>
            <w:shd w:val="clear" w:color="auto" w:fill="005CB9"/>
          </w:tcPr>
          <w:p>
            <w:pPr>
              <w:jc w:val="right"/>
              <w:ind w:right="412"/>
              <w:spacing w:after="0"/>
              <w:rPr>
                <w:sz w:val="20"/>
                <w:szCs w:val="20"/>
                <w:color w:val="auto"/>
              </w:rPr>
            </w:pPr>
            <w:r>
              <w:rPr>
                <w:rFonts w:ascii="Arial" w:cs="Arial" w:eastAsia="Arial" w:hAnsi="Arial"/>
                <w:sz w:val="14"/>
                <w:szCs w:val="14"/>
                <w:color w:val="FFFFFF"/>
              </w:rPr>
              <w:t>Vested</w:t>
            </w:r>
          </w:p>
        </w:tc>
        <w:tc>
          <w:tcPr>
            <w:tcW w:w="130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w:t>
            </w:r>
            <w:r>
              <w:rPr>
                <w:rFonts w:ascii="Arial" w:cs="Arial" w:eastAsia="Arial" w:hAnsi="Arial"/>
                <w:sz w:val="14"/>
                <w:szCs w:val="14"/>
                <w:color w:val="FFFFFF"/>
                <w:vertAlign w:val="superscript"/>
              </w:rPr>
              <w:t>(1)</w:t>
            </w:r>
          </w:p>
        </w:tc>
      </w:tr>
      <w:tr>
        <w:trPr>
          <w:trHeight w:val="204"/>
        </w:trPr>
        <w:tc>
          <w:tcPr>
            <w:tcW w:w="2920" w:type="dxa"/>
            <w:vAlign w:val="bottom"/>
            <w:shd w:val="clear" w:color="auto" w:fill="E5EEF8"/>
          </w:tcPr>
          <w:p>
            <w:pPr>
              <w:ind w:left="80"/>
              <w:spacing w:after="0"/>
              <w:rPr>
                <w:sz w:val="20"/>
                <w:szCs w:val="20"/>
                <w:color w:val="auto"/>
              </w:rPr>
            </w:pPr>
            <w:r>
              <w:rPr>
                <w:rFonts w:ascii="Arial" w:cs="Arial" w:eastAsia="Arial" w:hAnsi="Arial"/>
                <w:sz w:val="14"/>
                <w:szCs w:val="14"/>
                <w:color w:val="auto"/>
              </w:rPr>
              <w:t>L. Neil Hunn</w:t>
            </w:r>
          </w:p>
        </w:tc>
        <w:tc>
          <w:tcPr>
            <w:tcW w:w="10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5,000</w:t>
            </w:r>
          </w:p>
        </w:tc>
        <w:tc>
          <w:tcPr>
            <w:tcW w:w="980" w:type="dxa"/>
            <w:vAlign w:val="bottom"/>
            <w:shd w:val="clear" w:color="auto" w:fill="E5EEF8"/>
          </w:tcPr>
          <w:p>
            <w:pPr>
              <w:spacing w:after="0"/>
              <w:rPr>
                <w:sz w:val="17"/>
                <w:szCs w:val="17"/>
                <w:color w:val="auto"/>
              </w:rPr>
            </w:pPr>
          </w:p>
        </w:tc>
        <w:tc>
          <w:tcPr>
            <w:tcW w:w="200" w:type="dxa"/>
            <w:vAlign w:val="bottom"/>
            <w:shd w:val="clear" w:color="auto" w:fill="E5EEF8"/>
          </w:tcPr>
          <w:p>
            <w:pPr>
              <w:spacing w:after="0"/>
              <w:rPr>
                <w:sz w:val="17"/>
                <w:szCs w:val="17"/>
                <w:color w:val="auto"/>
              </w:rPr>
            </w:pPr>
          </w:p>
        </w:tc>
        <w:tc>
          <w:tcPr>
            <w:tcW w:w="70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115.22</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01/17/2023</w:t>
            </w:r>
          </w:p>
        </w:tc>
        <w:tc>
          <w:tcPr>
            <w:tcW w:w="780" w:type="dxa"/>
            <w:vAlign w:val="bottom"/>
            <w:shd w:val="clear" w:color="auto" w:fill="E5EEF8"/>
          </w:tcPr>
          <w:p>
            <w:pPr>
              <w:spacing w:after="0"/>
              <w:rPr>
                <w:sz w:val="17"/>
                <w:szCs w:val="17"/>
                <w:color w:val="auto"/>
              </w:rPr>
            </w:pPr>
          </w:p>
        </w:tc>
        <w:tc>
          <w:tcPr>
            <w:tcW w:w="820" w:type="dxa"/>
            <w:vAlign w:val="bottom"/>
            <w:shd w:val="clear" w:color="auto" w:fill="E5EEF8"/>
          </w:tcPr>
          <w:p>
            <w:pPr>
              <w:spacing w:after="0"/>
              <w:rPr>
                <w:sz w:val="17"/>
                <w:szCs w:val="17"/>
                <w:color w:val="auto"/>
              </w:rPr>
            </w:pPr>
          </w:p>
        </w:tc>
        <w:tc>
          <w:tcPr>
            <w:tcW w:w="1440" w:type="dxa"/>
            <w:vAlign w:val="bottom"/>
            <w:shd w:val="clear" w:color="auto" w:fill="E5EEF8"/>
          </w:tcPr>
          <w:p>
            <w:pPr>
              <w:spacing w:after="0"/>
              <w:rPr>
                <w:sz w:val="17"/>
                <w:szCs w:val="17"/>
                <w:color w:val="auto"/>
              </w:rPr>
            </w:pPr>
          </w:p>
        </w:tc>
        <w:tc>
          <w:tcPr>
            <w:tcW w:w="1300" w:type="dxa"/>
            <w:vAlign w:val="bottom"/>
            <w:shd w:val="clear" w:color="auto" w:fill="E5EEF8"/>
          </w:tcPr>
          <w:p>
            <w:pPr>
              <w:spacing w:after="0"/>
              <w:rPr>
                <w:sz w:val="17"/>
                <w:szCs w:val="17"/>
                <w:color w:val="auto"/>
              </w:rPr>
            </w:pPr>
          </w:p>
        </w:tc>
      </w:tr>
      <w:tr>
        <w:trPr>
          <w:trHeight w:val="216"/>
        </w:trPr>
        <w:tc>
          <w:tcPr>
            <w:tcW w:w="2920" w:type="dxa"/>
            <w:vAlign w:val="bottom"/>
            <w:shd w:val="clear" w:color="auto" w:fill="E5EEF8"/>
          </w:tcPr>
          <w:p>
            <w:pPr>
              <w:spacing w:after="0"/>
              <w:rPr>
                <w:sz w:val="18"/>
                <w:szCs w:val="18"/>
                <w:color w:val="auto"/>
              </w:rPr>
            </w:pPr>
          </w:p>
        </w:tc>
        <w:tc>
          <w:tcPr>
            <w:tcW w:w="10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30,000</w:t>
            </w:r>
          </w:p>
        </w:tc>
        <w:tc>
          <w:tcPr>
            <w:tcW w:w="980" w:type="dxa"/>
            <w:vAlign w:val="bottom"/>
            <w:shd w:val="clear" w:color="auto" w:fill="E5EEF8"/>
          </w:tcPr>
          <w:p>
            <w:pPr>
              <w:spacing w:after="0"/>
              <w:rPr>
                <w:sz w:val="18"/>
                <w:szCs w:val="18"/>
                <w:color w:val="auto"/>
              </w:rPr>
            </w:pPr>
          </w:p>
        </w:tc>
        <w:tc>
          <w:tcPr>
            <w:tcW w:w="2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125.68</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11/19/2023</w:t>
            </w:r>
          </w:p>
        </w:tc>
        <w:tc>
          <w:tcPr>
            <w:tcW w:w="78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1300" w:type="dxa"/>
            <w:vAlign w:val="bottom"/>
            <w:shd w:val="clear" w:color="auto" w:fill="E5EEF8"/>
          </w:tcPr>
          <w:p>
            <w:pPr>
              <w:spacing w:after="0"/>
              <w:rPr>
                <w:sz w:val="18"/>
                <w:szCs w:val="18"/>
                <w:color w:val="auto"/>
              </w:rPr>
            </w:pPr>
          </w:p>
        </w:tc>
      </w:tr>
      <w:tr>
        <w:trPr>
          <w:trHeight w:val="216"/>
        </w:trPr>
        <w:tc>
          <w:tcPr>
            <w:tcW w:w="2920" w:type="dxa"/>
            <w:vAlign w:val="bottom"/>
            <w:shd w:val="clear" w:color="auto" w:fill="E5EEF8"/>
          </w:tcPr>
          <w:p>
            <w:pPr>
              <w:spacing w:after="0"/>
              <w:rPr>
                <w:sz w:val="18"/>
                <w:szCs w:val="18"/>
                <w:color w:val="auto"/>
              </w:rPr>
            </w:pPr>
          </w:p>
        </w:tc>
        <w:tc>
          <w:tcPr>
            <w:tcW w:w="10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30,000</w:t>
            </w:r>
          </w:p>
        </w:tc>
        <w:tc>
          <w:tcPr>
            <w:tcW w:w="980" w:type="dxa"/>
            <w:vAlign w:val="bottom"/>
            <w:shd w:val="clear" w:color="auto" w:fill="E5EEF8"/>
          </w:tcPr>
          <w:p>
            <w:pPr>
              <w:spacing w:after="0"/>
              <w:rPr>
                <w:sz w:val="18"/>
                <w:szCs w:val="18"/>
                <w:color w:val="auto"/>
              </w:rPr>
            </w:pPr>
          </w:p>
        </w:tc>
        <w:tc>
          <w:tcPr>
            <w:tcW w:w="2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156.40</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11/17/2024</w:t>
            </w:r>
          </w:p>
        </w:tc>
        <w:tc>
          <w:tcPr>
            <w:tcW w:w="78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1300" w:type="dxa"/>
            <w:vAlign w:val="bottom"/>
            <w:shd w:val="clear" w:color="auto" w:fill="E5EEF8"/>
          </w:tcPr>
          <w:p>
            <w:pPr>
              <w:spacing w:after="0"/>
              <w:rPr>
                <w:sz w:val="18"/>
                <w:szCs w:val="18"/>
                <w:color w:val="auto"/>
              </w:rPr>
            </w:pPr>
          </w:p>
        </w:tc>
      </w:tr>
      <w:tr>
        <w:trPr>
          <w:trHeight w:val="216"/>
        </w:trPr>
        <w:tc>
          <w:tcPr>
            <w:tcW w:w="2920" w:type="dxa"/>
            <w:vAlign w:val="bottom"/>
            <w:shd w:val="clear" w:color="auto" w:fill="E5EEF8"/>
          </w:tcPr>
          <w:p>
            <w:pPr>
              <w:spacing w:after="0"/>
              <w:rPr>
                <w:sz w:val="18"/>
                <w:szCs w:val="18"/>
                <w:color w:val="auto"/>
              </w:rPr>
            </w:pPr>
          </w:p>
        </w:tc>
        <w:tc>
          <w:tcPr>
            <w:tcW w:w="10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30,000</w:t>
            </w:r>
          </w:p>
        </w:tc>
        <w:tc>
          <w:tcPr>
            <w:tcW w:w="980" w:type="dxa"/>
            <w:vAlign w:val="bottom"/>
            <w:shd w:val="clear" w:color="auto" w:fill="E5EEF8"/>
          </w:tcPr>
          <w:p>
            <w:pPr>
              <w:spacing w:after="0"/>
              <w:rPr>
                <w:sz w:val="18"/>
                <w:szCs w:val="18"/>
                <w:color w:val="auto"/>
              </w:rPr>
            </w:pPr>
          </w:p>
        </w:tc>
        <w:tc>
          <w:tcPr>
            <w:tcW w:w="2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185.75</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11/17/2025</w:t>
            </w:r>
          </w:p>
        </w:tc>
        <w:tc>
          <w:tcPr>
            <w:tcW w:w="78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1300" w:type="dxa"/>
            <w:vAlign w:val="bottom"/>
            <w:shd w:val="clear" w:color="auto" w:fill="E5EEF8"/>
          </w:tcPr>
          <w:p>
            <w:pPr>
              <w:spacing w:after="0"/>
              <w:rPr>
                <w:sz w:val="18"/>
                <w:szCs w:val="18"/>
                <w:color w:val="auto"/>
              </w:rPr>
            </w:pPr>
          </w:p>
        </w:tc>
      </w:tr>
      <w:tr>
        <w:trPr>
          <w:trHeight w:val="216"/>
        </w:trPr>
        <w:tc>
          <w:tcPr>
            <w:tcW w:w="2920" w:type="dxa"/>
            <w:vAlign w:val="bottom"/>
            <w:shd w:val="clear" w:color="auto" w:fill="E5EEF8"/>
          </w:tcPr>
          <w:p>
            <w:pPr>
              <w:spacing w:after="0"/>
              <w:rPr>
                <w:sz w:val="18"/>
                <w:szCs w:val="18"/>
                <w:color w:val="auto"/>
              </w:rPr>
            </w:pPr>
          </w:p>
        </w:tc>
        <w:tc>
          <w:tcPr>
            <w:tcW w:w="10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40,000</w:t>
            </w:r>
          </w:p>
        </w:tc>
        <w:tc>
          <w:tcPr>
            <w:tcW w:w="980" w:type="dxa"/>
            <w:vAlign w:val="bottom"/>
            <w:shd w:val="clear" w:color="auto" w:fill="E5EEF8"/>
          </w:tcPr>
          <w:p>
            <w:pPr>
              <w:spacing w:after="0"/>
              <w:rPr>
                <w:sz w:val="18"/>
                <w:szCs w:val="18"/>
                <w:color w:val="auto"/>
              </w:rPr>
            </w:pPr>
          </w:p>
        </w:tc>
        <w:tc>
          <w:tcPr>
            <w:tcW w:w="2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185.42</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01/19/2027</w:t>
            </w:r>
          </w:p>
        </w:tc>
        <w:tc>
          <w:tcPr>
            <w:tcW w:w="78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1300" w:type="dxa"/>
            <w:vAlign w:val="bottom"/>
            <w:shd w:val="clear" w:color="auto" w:fill="E5EEF8"/>
          </w:tcPr>
          <w:p>
            <w:pPr>
              <w:spacing w:after="0"/>
              <w:rPr>
                <w:sz w:val="18"/>
                <w:szCs w:val="18"/>
                <w:color w:val="auto"/>
              </w:rPr>
            </w:pPr>
          </w:p>
        </w:tc>
      </w:tr>
      <w:tr>
        <w:trPr>
          <w:trHeight w:val="216"/>
        </w:trPr>
        <w:tc>
          <w:tcPr>
            <w:tcW w:w="2920" w:type="dxa"/>
            <w:vAlign w:val="bottom"/>
            <w:shd w:val="clear" w:color="auto" w:fill="E5EEF8"/>
          </w:tcPr>
          <w:p>
            <w:pPr>
              <w:spacing w:after="0"/>
              <w:rPr>
                <w:sz w:val="18"/>
                <w:szCs w:val="18"/>
                <w:color w:val="auto"/>
              </w:rPr>
            </w:pPr>
          </w:p>
        </w:tc>
        <w:tc>
          <w:tcPr>
            <w:tcW w:w="10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60,000</w:t>
            </w:r>
          </w:p>
        </w:tc>
        <w:tc>
          <w:tcPr>
            <w:tcW w:w="980" w:type="dxa"/>
            <w:vAlign w:val="bottom"/>
            <w:shd w:val="clear" w:color="auto" w:fill="E5EEF8"/>
          </w:tcPr>
          <w:p>
            <w:pPr>
              <w:spacing w:after="0"/>
              <w:rPr>
                <w:sz w:val="18"/>
                <w:szCs w:val="18"/>
                <w:color w:val="auto"/>
              </w:rPr>
            </w:pPr>
          </w:p>
        </w:tc>
        <w:tc>
          <w:tcPr>
            <w:tcW w:w="2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275.69</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01/19/2028</w:t>
            </w:r>
          </w:p>
        </w:tc>
        <w:tc>
          <w:tcPr>
            <w:tcW w:w="78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1300" w:type="dxa"/>
            <w:vAlign w:val="bottom"/>
            <w:shd w:val="clear" w:color="auto" w:fill="E5EEF8"/>
          </w:tcPr>
          <w:p>
            <w:pPr>
              <w:spacing w:after="0"/>
              <w:rPr>
                <w:sz w:val="18"/>
                <w:szCs w:val="18"/>
                <w:color w:val="auto"/>
              </w:rPr>
            </w:pPr>
          </w:p>
        </w:tc>
      </w:tr>
      <w:tr>
        <w:trPr>
          <w:trHeight w:val="228"/>
        </w:trPr>
        <w:tc>
          <w:tcPr>
            <w:tcW w:w="2920" w:type="dxa"/>
            <w:vAlign w:val="bottom"/>
            <w:shd w:val="clear" w:color="auto" w:fill="E5EEF8"/>
          </w:tcPr>
          <w:p>
            <w:pPr>
              <w:spacing w:after="0"/>
              <w:rPr>
                <w:sz w:val="19"/>
                <w:szCs w:val="19"/>
                <w:color w:val="auto"/>
              </w:rPr>
            </w:pPr>
          </w:p>
        </w:tc>
        <w:tc>
          <w:tcPr>
            <w:tcW w:w="1020" w:type="dxa"/>
            <w:vAlign w:val="bottom"/>
            <w:shd w:val="clear" w:color="auto" w:fill="E5EEF8"/>
          </w:tcPr>
          <w:p>
            <w:pPr>
              <w:spacing w:after="0"/>
              <w:rPr>
                <w:sz w:val="19"/>
                <w:szCs w:val="19"/>
                <w:color w:val="auto"/>
              </w:rPr>
            </w:pPr>
          </w:p>
        </w:tc>
        <w:tc>
          <w:tcPr>
            <w:tcW w:w="1180" w:type="dxa"/>
            <w:vAlign w:val="bottom"/>
            <w:gridSpan w:val="2"/>
            <w:shd w:val="clear" w:color="auto" w:fill="E5EEF8"/>
          </w:tcPr>
          <w:p>
            <w:pPr>
              <w:jc w:val="right"/>
              <w:spacing w:after="0" w:line="228" w:lineRule="exact"/>
              <w:rPr>
                <w:sz w:val="20"/>
                <w:szCs w:val="20"/>
                <w:color w:val="auto"/>
              </w:rPr>
            </w:pPr>
            <w:r>
              <w:rPr>
                <w:rFonts w:ascii="Arial" w:cs="Arial" w:eastAsia="Arial" w:hAnsi="Arial"/>
                <w:sz w:val="14"/>
                <w:szCs w:val="14"/>
                <w:color w:val="auto"/>
              </w:rPr>
              <w:t>60,000</w:t>
            </w:r>
            <w:r>
              <w:rPr>
                <w:rFonts w:ascii="Arial" w:cs="Arial" w:eastAsia="Arial" w:hAnsi="Arial"/>
                <w:sz w:val="24"/>
                <w:szCs w:val="24"/>
                <w:color w:val="auto"/>
                <w:vertAlign w:val="superscript"/>
              </w:rPr>
              <w:t>(2)</w:t>
            </w:r>
          </w:p>
        </w:tc>
        <w:tc>
          <w:tcPr>
            <w:tcW w:w="70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270.30</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01/15/2029</w:t>
            </w:r>
          </w:p>
        </w:tc>
        <w:tc>
          <w:tcPr>
            <w:tcW w:w="780" w:type="dxa"/>
            <w:vAlign w:val="bottom"/>
            <w:shd w:val="clear" w:color="auto" w:fill="E5EEF8"/>
          </w:tcPr>
          <w:p>
            <w:pPr>
              <w:spacing w:after="0"/>
              <w:rPr>
                <w:sz w:val="19"/>
                <w:szCs w:val="19"/>
                <w:color w:val="auto"/>
              </w:rPr>
            </w:pPr>
          </w:p>
        </w:tc>
        <w:tc>
          <w:tcPr>
            <w:tcW w:w="820" w:type="dxa"/>
            <w:vAlign w:val="bottom"/>
            <w:shd w:val="clear" w:color="auto" w:fill="E5EEF8"/>
          </w:tcPr>
          <w:p>
            <w:pPr>
              <w:spacing w:after="0"/>
              <w:rPr>
                <w:sz w:val="19"/>
                <w:szCs w:val="19"/>
                <w:color w:val="auto"/>
              </w:rPr>
            </w:pPr>
          </w:p>
        </w:tc>
        <w:tc>
          <w:tcPr>
            <w:tcW w:w="1440" w:type="dxa"/>
            <w:vAlign w:val="bottom"/>
            <w:shd w:val="clear" w:color="auto" w:fill="E5EEF8"/>
          </w:tcPr>
          <w:p>
            <w:pPr>
              <w:spacing w:after="0"/>
              <w:rPr>
                <w:sz w:val="19"/>
                <w:szCs w:val="19"/>
                <w:color w:val="auto"/>
              </w:rPr>
            </w:pPr>
          </w:p>
        </w:tc>
        <w:tc>
          <w:tcPr>
            <w:tcW w:w="1300" w:type="dxa"/>
            <w:vAlign w:val="bottom"/>
            <w:shd w:val="clear" w:color="auto" w:fill="E5EEF8"/>
          </w:tcPr>
          <w:p>
            <w:pPr>
              <w:spacing w:after="0"/>
              <w:rPr>
                <w:sz w:val="19"/>
                <w:szCs w:val="19"/>
                <w:color w:val="auto"/>
              </w:rPr>
            </w:pPr>
          </w:p>
        </w:tc>
      </w:tr>
      <w:tr>
        <w:trPr>
          <w:trHeight w:val="204"/>
        </w:trPr>
        <w:tc>
          <w:tcPr>
            <w:tcW w:w="2920" w:type="dxa"/>
            <w:vAlign w:val="bottom"/>
            <w:shd w:val="clear" w:color="auto" w:fill="E5EEF8"/>
          </w:tcPr>
          <w:p>
            <w:pPr>
              <w:spacing w:after="0"/>
              <w:rPr>
                <w:sz w:val="17"/>
                <w:szCs w:val="17"/>
                <w:color w:val="auto"/>
              </w:rPr>
            </w:pPr>
          </w:p>
        </w:tc>
        <w:tc>
          <w:tcPr>
            <w:tcW w:w="1020" w:type="dxa"/>
            <w:vAlign w:val="bottom"/>
            <w:shd w:val="clear" w:color="auto" w:fill="E5EEF8"/>
          </w:tcPr>
          <w:p>
            <w:pPr>
              <w:spacing w:after="0"/>
              <w:rPr>
                <w:sz w:val="17"/>
                <w:szCs w:val="17"/>
                <w:color w:val="auto"/>
              </w:rPr>
            </w:pPr>
          </w:p>
        </w:tc>
        <w:tc>
          <w:tcPr>
            <w:tcW w:w="9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57,068</w:t>
            </w:r>
          </w:p>
        </w:tc>
        <w:tc>
          <w:tcPr>
            <w:tcW w:w="200" w:type="dxa"/>
            <w:vAlign w:val="bottom"/>
            <w:shd w:val="clear" w:color="auto" w:fill="E5EEF8"/>
          </w:tcPr>
          <w:p>
            <w:pPr>
              <w:jc w:val="right"/>
              <w:spacing w:after="0"/>
              <w:rPr>
                <w:sz w:val="20"/>
                <w:szCs w:val="20"/>
                <w:color w:val="auto"/>
              </w:rPr>
            </w:pPr>
            <w:r>
              <w:rPr>
                <w:rFonts w:ascii="Arial" w:cs="Arial" w:eastAsia="Arial" w:hAnsi="Arial"/>
                <w:sz w:val="12"/>
                <w:szCs w:val="12"/>
                <w:color w:val="auto"/>
                <w:w w:val="95"/>
              </w:rPr>
              <w:t>(3)</w:t>
            </w:r>
          </w:p>
        </w:tc>
        <w:tc>
          <w:tcPr>
            <w:tcW w:w="70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372.60</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01/14/2030</w:t>
            </w:r>
          </w:p>
        </w:tc>
        <w:tc>
          <w:tcPr>
            <w:tcW w:w="780" w:type="dxa"/>
            <w:vAlign w:val="bottom"/>
            <w:shd w:val="clear" w:color="auto" w:fill="E5EEF8"/>
          </w:tcPr>
          <w:p>
            <w:pPr>
              <w:spacing w:after="0"/>
              <w:rPr>
                <w:sz w:val="17"/>
                <w:szCs w:val="17"/>
                <w:color w:val="auto"/>
              </w:rPr>
            </w:pPr>
          </w:p>
        </w:tc>
        <w:tc>
          <w:tcPr>
            <w:tcW w:w="820" w:type="dxa"/>
            <w:vAlign w:val="bottom"/>
            <w:shd w:val="clear" w:color="auto" w:fill="E5EEF8"/>
          </w:tcPr>
          <w:p>
            <w:pPr>
              <w:spacing w:after="0"/>
              <w:rPr>
                <w:sz w:val="17"/>
                <w:szCs w:val="17"/>
                <w:color w:val="auto"/>
              </w:rPr>
            </w:pPr>
          </w:p>
        </w:tc>
        <w:tc>
          <w:tcPr>
            <w:tcW w:w="1440" w:type="dxa"/>
            <w:vAlign w:val="bottom"/>
            <w:shd w:val="clear" w:color="auto" w:fill="E5EEF8"/>
          </w:tcPr>
          <w:p>
            <w:pPr>
              <w:spacing w:after="0"/>
              <w:rPr>
                <w:sz w:val="17"/>
                <w:szCs w:val="17"/>
                <w:color w:val="auto"/>
              </w:rPr>
            </w:pPr>
          </w:p>
        </w:tc>
        <w:tc>
          <w:tcPr>
            <w:tcW w:w="1300" w:type="dxa"/>
            <w:vAlign w:val="bottom"/>
            <w:shd w:val="clear" w:color="auto" w:fill="E5EEF8"/>
          </w:tcPr>
          <w:p>
            <w:pPr>
              <w:spacing w:after="0"/>
              <w:rPr>
                <w:sz w:val="17"/>
                <w:szCs w:val="17"/>
                <w:color w:val="auto"/>
              </w:rPr>
            </w:pPr>
          </w:p>
        </w:tc>
      </w:tr>
      <w:tr>
        <w:trPr>
          <w:trHeight w:val="216"/>
        </w:trPr>
        <w:tc>
          <w:tcPr>
            <w:tcW w:w="2920" w:type="dxa"/>
            <w:vAlign w:val="bottom"/>
            <w:shd w:val="clear" w:color="auto" w:fill="E5EEF8"/>
          </w:tcPr>
          <w:p>
            <w:pPr>
              <w:spacing w:after="0"/>
              <w:rPr>
                <w:sz w:val="18"/>
                <w:szCs w:val="18"/>
                <w:color w:val="auto"/>
              </w:rPr>
            </w:pPr>
          </w:p>
        </w:tc>
        <w:tc>
          <w:tcPr>
            <w:tcW w:w="1020" w:type="dxa"/>
            <w:vAlign w:val="bottom"/>
            <w:shd w:val="clear" w:color="auto" w:fill="E5EEF8"/>
          </w:tcPr>
          <w:p>
            <w:pPr>
              <w:spacing w:after="0"/>
              <w:rPr>
                <w:sz w:val="18"/>
                <w:szCs w:val="18"/>
                <w:color w:val="auto"/>
              </w:rPr>
            </w:pPr>
          </w:p>
        </w:tc>
        <w:tc>
          <w:tcPr>
            <w:tcW w:w="9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47,432</w:t>
            </w:r>
          </w:p>
        </w:tc>
        <w:tc>
          <w:tcPr>
            <w:tcW w:w="200" w:type="dxa"/>
            <w:vAlign w:val="bottom"/>
            <w:shd w:val="clear" w:color="auto" w:fill="E5EEF8"/>
          </w:tcPr>
          <w:p>
            <w:pPr>
              <w:jc w:val="right"/>
              <w:spacing w:after="0"/>
              <w:rPr>
                <w:sz w:val="20"/>
                <w:szCs w:val="20"/>
                <w:color w:val="auto"/>
              </w:rPr>
            </w:pPr>
            <w:r>
              <w:rPr>
                <w:rFonts w:ascii="Arial" w:cs="Arial" w:eastAsia="Arial" w:hAnsi="Arial"/>
                <w:sz w:val="12"/>
                <w:szCs w:val="12"/>
                <w:color w:val="auto"/>
                <w:w w:val="95"/>
              </w:rPr>
              <w:t>(4)</w:t>
            </w:r>
          </w:p>
        </w:tc>
        <w:tc>
          <w:tcPr>
            <w:tcW w:w="70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413.15</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01/13/2031</w:t>
            </w:r>
          </w:p>
        </w:tc>
        <w:tc>
          <w:tcPr>
            <w:tcW w:w="78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1300" w:type="dxa"/>
            <w:vAlign w:val="bottom"/>
            <w:shd w:val="clear" w:color="auto" w:fill="E5EEF8"/>
          </w:tcPr>
          <w:p>
            <w:pPr>
              <w:spacing w:after="0"/>
              <w:rPr>
                <w:sz w:val="18"/>
                <w:szCs w:val="18"/>
                <w:color w:val="auto"/>
              </w:rPr>
            </w:pPr>
          </w:p>
        </w:tc>
      </w:tr>
      <w:tr>
        <w:trPr>
          <w:trHeight w:val="228"/>
        </w:trPr>
        <w:tc>
          <w:tcPr>
            <w:tcW w:w="2920" w:type="dxa"/>
            <w:vAlign w:val="bottom"/>
            <w:shd w:val="clear" w:color="auto" w:fill="E5EEF8"/>
          </w:tcPr>
          <w:p>
            <w:pPr>
              <w:spacing w:after="0"/>
              <w:rPr>
                <w:sz w:val="19"/>
                <w:szCs w:val="19"/>
                <w:color w:val="auto"/>
              </w:rPr>
            </w:pPr>
          </w:p>
        </w:tc>
        <w:tc>
          <w:tcPr>
            <w:tcW w:w="1020" w:type="dxa"/>
            <w:vAlign w:val="bottom"/>
            <w:shd w:val="clear" w:color="auto" w:fill="E5EEF8"/>
          </w:tcPr>
          <w:p>
            <w:pPr>
              <w:spacing w:after="0"/>
              <w:rPr>
                <w:sz w:val="19"/>
                <w:szCs w:val="19"/>
                <w:color w:val="auto"/>
              </w:rPr>
            </w:pPr>
          </w:p>
        </w:tc>
        <w:tc>
          <w:tcPr>
            <w:tcW w:w="980" w:type="dxa"/>
            <w:vAlign w:val="bottom"/>
            <w:shd w:val="clear" w:color="auto" w:fill="E5EEF8"/>
          </w:tcPr>
          <w:p>
            <w:pPr>
              <w:spacing w:after="0"/>
              <w:rPr>
                <w:sz w:val="19"/>
                <w:szCs w:val="19"/>
                <w:color w:val="auto"/>
              </w:rPr>
            </w:pPr>
          </w:p>
        </w:tc>
        <w:tc>
          <w:tcPr>
            <w:tcW w:w="200" w:type="dxa"/>
            <w:vAlign w:val="bottom"/>
            <w:shd w:val="clear" w:color="auto" w:fill="E5EEF8"/>
          </w:tcPr>
          <w:p>
            <w:pPr>
              <w:spacing w:after="0"/>
              <w:rPr>
                <w:sz w:val="19"/>
                <w:szCs w:val="19"/>
                <w:color w:val="auto"/>
              </w:rPr>
            </w:pPr>
          </w:p>
        </w:tc>
        <w:tc>
          <w:tcPr>
            <w:tcW w:w="700" w:type="dxa"/>
            <w:vAlign w:val="bottom"/>
            <w:shd w:val="clear" w:color="auto" w:fill="E5EEF8"/>
          </w:tcPr>
          <w:p>
            <w:pPr>
              <w:spacing w:after="0"/>
              <w:rPr>
                <w:sz w:val="19"/>
                <w:szCs w:val="19"/>
                <w:color w:val="auto"/>
              </w:rPr>
            </w:pPr>
          </w:p>
        </w:tc>
        <w:tc>
          <w:tcPr>
            <w:tcW w:w="860" w:type="dxa"/>
            <w:vAlign w:val="bottom"/>
            <w:shd w:val="clear" w:color="auto" w:fill="E5EEF8"/>
          </w:tcPr>
          <w:p>
            <w:pPr>
              <w:spacing w:after="0"/>
              <w:rPr>
                <w:sz w:val="19"/>
                <w:szCs w:val="19"/>
                <w:color w:val="auto"/>
              </w:rPr>
            </w:pPr>
          </w:p>
        </w:tc>
        <w:tc>
          <w:tcPr>
            <w:tcW w:w="780" w:type="dxa"/>
            <w:vAlign w:val="bottom"/>
            <w:shd w:val="clear" w:color="auto" w:fill="E5EEF8"/>
          </w:tcPr>
          <w:p>
            <w:pPr>
              <w:spacing w:after="0"/>
              <w:rPr>
                <w:sz w:val="19"/>
                <w:szCs w:val="19"/>
                <w:color w:val="auto"/>
              </w:rPr>
            </w:pPr>
          </w:p>
        </w:tc>
        <w:tc>
          <w:tcPr>
            <w:tcW w:w="820" w:type="dxa"/>
            <w:vAlign w:val="bottom"/>
            <w:shd w:val="clear" w:color="auto" w:fill="E5EEF8"/>
          </w:tcPr>
          <w:p>
            <w:pPr>
              <w:spacing w:after="0"/>
              <w:rPr>
                <w:sz w:val="19"/>
                <w:szCs w:val="19"/>
                <w:color w:val="auto"/>
              </w:rPr>
            </w:pPr>
          </w:p>
        </w:tc>
        <w:tc>
          <w:tcPr>
            <w:tcW w:w="1440" w:type="dxa"/>
            <w:vAlign w:val="bottom"/>
            <w:shd w:val="clear" w:color="auto" w:fill="E5EEF8"/>
          </w:tcPr>
          <w:p>
            <w:pPr>
              <w:jc w:val="right"/>
              <w:ind w:right="32"/>
              <w:spacing w:after="0" w:line="228" w:lineRule="exact"/>
              <w:rPr>
                <w:sz w:val="20"/>
                <w:szCs w:val="20"/>
                <w:color w:val="auto"/>
              </w:rPr>
            </w:pPr>
            <w:r>
              <w:rPr>
                <w:rFonts w:ascii="Arial" w:cs="Arial" w:eastAsia="Arial" w:hAnsi="Arial"/>
                <w:sz w:val="26"/>
                <w:szCs w:val="26"/>
                <w:color w:val="auto"/>
                <w:vertAlign w:val="subscript"/>
              </w:rPr>
              <w:t>66,472</w:t>
            </w:r>
            <w:r>
              <w:rPr>
                <w:rFonts w:ascii="Arial" w:cs="Arial" w:eastAsia="Arial" w:hAnsi="Arial"/>
                <w:sz w:val="12"/>
                <w:szCs w:val="12"/>
                <w:color w:val="auto"/>
              </w:rPr>
              <w:t>(7)(11)</w:t>
            </w:r>
          </w:p>
        </w:tc>
        <w:tc>
          <w:tcPr>
            <w:tcW w:w="130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32,694,918</w:t>
            </w:r>
          </w:p>
        </w:tc>
      </w:tr>
      <w:tr>
        <w:trPr>
          <w:trHeight w:val="204"/>
        </w:trPr>
        <w:tc>
          <w:tcPr>
            <w:tcW w:w="2920" w:type="dxa"/>
            <w:vAlign w:val="bottom"/>
          </w:tcPr>
          <w:p>
            <w:pPr>
              <w:ind w:left="80"/>
              <w:spacing w:after="0"/>
              <w:rPr>
                <w:sz w:val="20"/>
                <w:szCs w:val="20"/>
                <w:color w:val="auto"/>
              </w:rPr>
            </w:pPr>
            <w:r>
              <w:rPr>
                <w:rFonts w:ascii="Arial" w:cs="Arial" w:eastAsia="Arial" w:hAnsi="Arial"/>
                <w:sz w:val="14"/>
                <w:szCs w:val="14"/>
                <w:color w:val="auto"/>
              </w:rPr>
              <w:t>Robert C. Crisci</w:t>
            </w:r>
          </w:p>
        </w:tc>
        <w:tc>
          <w:tcPr>
            <w:tcW w:w="1020" w:type="dxa"/>
            <w:vAlign w:val="bottom"/>
          </w:tcPr>
          <w:p>
            <w:pPr>
              <w:jc w:val="right"/>
              <w:spacing w:after="0"/>
              <w:rPr>
                <w:sz w:val="20"/>
                <w:szCs w:val="20"/>
                <w:color w:val="auto"/>
              </w:rPr>
            </w:pPr>
            <w:r>
              <w:rPr>
                <w:rFonts w:ascii="Arial" w:cs="Arial" w:eastAsia="Arial" w:hAnsi="Arial"/>
                <w:sz w:val="14"/>
                <w:szCs w:val="14"/>
                <w:color w:val="auto"/>
              </w:rPr>
              <w:t>2,000</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145.75</w:t>
            </w:r>
          </w:p>
        </w:tc>
        <w:tc>
          <w:tcPr>
            <w:tcW w:w="860" w:type="dxa"/>
            <w:vAlign w:val="bottom"/>
          </w:tcPr>
          <w:p>
            <w:pPr>
              <w:jc w:val="right"/>
              <w:spacing w:after="0"/>
              <w:rPr>
                <w:sz w:val="20"/>
                <w:szCs w:val="20"/>
                <w:color w:val="auto"/>
              </w:rPr>
            </w:pPr>
            <w:r>
              <w:rPr>
                <w:rFonts w:ascii="Arial" w:cs="Arial" w:eastAsia="Arial" w:hAnsi="Arial"/>
                <w:sz w:val="14"/>
                <w:szCs w:val="14"/>
                <w:color w:val="auto"/>
              </w:rPr>
              <w:t>01/16/2025</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2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8,000</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170.61</w:t>
            </w:r>
          </w:p>
        </w:tc>
        <w:tc>
          <w:tcPr>
            <w:tcW w:w="860" w:type="dxa"/>
            <w:vAlign w:val="bottom"/>
          </w:tcPr>
          <w:p>
            <w:pPr>
              <w:jc w:val="right"/>
              <w:spacing w:after="0"/>
              <w:rPr>
                <w:sz w:val="20"/>
                <w:szCs w:val="20"/>
                <w:color w:val="auto"/>
              </w:rPr>
            </w:pPr>
            <w:r>
              <w:rPr>
                <w:rFonts w:ascii="Arial" w:cs="Arial" w:eastAsia="Arial" w:hAnsi="Arial"/>
                <w:sz w:val="14"/>
                <w:szCs w:val="14"/>
                <w:color w:val="auto"/>
              </w:rPr>
              <w:t>03/09/2026</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12,000</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185.42</w:t>
            </w:r>
          </w:p>
        </w:tc>
        <w:tc>
          <w:tcPr>
            <w:tcW w:w="860" w:type="dxa"/>
            <w:vAlign w:val="bottom"/>
          </w:tcPr>
          <w:p>
            <w:pPr>
              <w:jc w:val="right"/>
              <w:spacing w:after="0"/>
              <w:rPr>
                <w:sz w:val="20"/>
                <w:szCs w:val="20"/>
                <w:color w:val="auto"/>
              </w:rPr>
            </w:pPr>
            <w:r>
              <w:rPr>
                <w:rFonts w:ascii="Arial" w:cs="Arial" w:eastAsia="Arial" w:hAnsi="Arial"/>
                <w:sz w:val="14"/>
                <w:szCs w:val="14"/>
                <w:color w:val="auto"/>
              </w:rPr>
              <w:t>01/19/2027</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10,000</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228.84</w:t>
            </w:r>
          </w:p>
        </w:tc>
        <w:tc>
          <w:tcPr>
            <w:tcW w:w="860" w:type="dxa"/>
            <w:vAlign w:val="bottom"/>
          </w:tcPr>
          <w:p>
            <w:pPr>
              <w:jc w:val="right"/>
              <w:spacing w:after="0"/>
              <w:rPr>
                <w:sz w:val="20"/>
                <w:szCs w:val="20"/>
                <w:color w:val="auto"/>
              </w:rPr>
            </w:pPr>
            <w:r>
              <w:rPr>
                <w:rFonts w:ascii="Arial" w:cs="Arial" w:eastAsia="Arial" w:hAnsi="Arial"/>
                <w:sz w:val="14"/>
                <w:szCs w:val="14"/>
                <w:color w:val="auto"/>
              </w:rPr>
              <w:t>06/09/2027</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25,000</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275.69</w:t>
            </w:r>
          </w:p>
        </w:tc>
        <w:tc>
          <w:tcPr>
            <w:tcW w:w="860" w:type="dxa"/>
            <w:vAlign w:val="bottom"/>
          </w:tcPr>
          <w:p>
            <w:pPr>
              <w:jc w:val="right"/>
              <w:spacing w:after="0"/>
              <w:rPr>
                <w:sz w:val="20"/>
                <w:szCs w:val="20"/>
                <w:color w:val="auto"/>
              </w:rPr>
            </w:pPr>
            <w:r>
              <w:rPr>
                <w:rFonts w:ascii="Arial" w:cs="Arial" w:eastAsia="Arial" w:hAnsi="Arial"/>
                <w:sz w:val="14"/>
                <w:szCs w:val="14"/>
                <w:color w:val="auto"/>
              </w:rPr>
              <w:t>01/19/2028</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9"/>
        </w:trPr>
        <w:tc>
          <w:tcPr>
            <w:tcW w:w="29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12,500</w:t>
            </w:r>
          </w:p>
        </w:tc>
        <w:tc>
          <w:tcPr>
            <w:tcW w:w="1180" w:type="dxa"/>
            <w:vAlign w:val="bottom"/>
            <w:gridSpan w:val="2"/>
          </w:tcPr>
          <w:p>
            <w:pPr>
              <w:jc w:val="right"/>
              <w:spacing w:after="0" w:line="239" w:lineRule="exact"/>
              <w:rPr>
                <w:sz w:val="20"/>
                <w:szCs w:val="20"/>
                <w:color w:val="auto"/>
              </w:rPr>
            </w:pPr>
            <w:r>
              <w:rPr>
                <w:rFonts w:ascii="Arial" w:cs="Arial" w:eastAsia="Arial" w:hAnsi="Arial"/>
                <w:sz w:val="14"/>
                <w:szCs w:val="14"/>
                <w:color w:val="auto"/>
              </w:rPr>
              <w:t>12,500</w:t>
            </w:r>
            <w:r>
              <w:rPr>
                <w:rFonts w:ascii="Arial" w:cs="Arial" w:eastAsia="Arial" w:hAnsi="Arial"/>
                <w:sz w:val="24"/>
                <w:szCs w:val="24"/>
                <w:color w:val="auto"/>
                <w:vertAlign w:val="superscript"/>
              </w:rPr>
              <w:t>(2)</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270.30</w:t>
            </w:r>
          </w:p>
        </w:tc>
        <w:tc>
          <w:tcPr>
            <w:tcW w:w="860" w:type="dxa"/>
            <w:vAlign w:val="bottom"/>
          </w:tcPr>
          <w:p>
            <w:pPr>
              <w:jc w:val="right"/>
              <w:spacing w:after="0"/>
              <w:rPr>
                <w:sz w:val="20"/>
                <w:szCs w:val="20"/>
                <w:color w:val="auto"/>
              </w:rPr>
            </w:pPr>
            <w:r>
              <w:rPr>
                <w:rFonts w:ascii="Arial" w:cs="Arial" w:eastAsia="Arial" w:hAnsi="Arial"/>
                <w:sz w:val="14"/>
                <w:szCs w:val="14"/>
                <w:color w:val="auto"/>
              </w:rPr>
              <w:t>01/15/2029</w:t>
            </w: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6"/>
        </w:trPr>
        <w:tc>
          <w:tcPr>
            <w:tcW w:w="2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gridSpan w:val="2"/>
          </w:tcPr>
          <w:p>
            <w:pPr>
              <w:jc w:val="right"/>
              <w:spacing w:after="0" w:line="216" w:lineRule="exact"/>
              <w:rPr>
                <w:sz w:val="20"/>
                <w:szCs w:val="20"/>
                <w:color w:val="auto"/>
              </w:rPr>
            </w:pPr>
            <w:r>
              <w:rPr>
                <w:rFonts w:ascii="Arial" w:cs="Arial" w:eastAsia="Arial" w:hAnsi="Arial"/>
                <w:sz w:val="14"/>
                <w:szCs w:val="14"/>
                <w:color w:val="auto"/>
              </w:rPr>
              <w:t>18,799</w:t>
            </w:r>
            <w:r>
              <w:rPr>
                <w:rFonts w:ascii="Arial" w:cs="Arial" w:eastAsia="Arial" w:hAnsi="Arial"/>
                <w:sz w:val="24"/>
                <w:szCs w:val="24"/>
                <w:color w:val="auto"/>
                <w:vertAlign w:val="superscript"/>
              </w:rPr>
              <w:t>(5)</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372.60</w:t>
            </w:r>
          </w:p>
        </w:tc>
        <w:tc>
          <w:tcPr>
            <w:tcW w:w="860" w:type="dxa"/>
            <w:vAlign w:val="bottom"/>
          </w:tcPr>
          <w:p>
            <w:pPr>
              <w:jc w:val="right"/>
              <w:spacing w:after="0"/>
              <w:rPr>
                <w:sz w:val="20"/>
                <w:szCs w:val="20"/>
                <w:color w:val="auto"/>
              </w:rPr>
            </w:pPr>
            <w:r>
              <w:rPr>
                <w:rFonts w:ascii="Arial" w:cs="Arial" w:eastAsia="Arial" w:hAnsi="Arial"/>
                <w:sz w:val="14"/>
                <w:szCs w:val="14"/>
                <w:color w:val="auto"/>
              </w:rPr>
              <w:t>01/14/2030</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gridSpan w:val="2"/>
          </w:tcPr>
          <w:p>
            <w:pPr>
              <w:jc w:val="right"/>
              <w:spacing w:after="0" w:line="216" w:lineRule="exact"/>
              <w:rPr>
                <w:sz w:val="20"/>
                <w:szCs w:val="20"/>
                <w:color w:val="auto"/>
              </w:rPr>
            </w:pPr>
            <w:r>
              <w:rPr>
                <w:rFonts w:ascii="Arial" w:cs="Arial" w:eastAsia="Arial" w:hAnsi="Arial"/>
                <w:sz w:val="14"/>
                <w:szCs w:val="14"/>
                <w:color w:val="auto"/>
              </w:rPr>
              <w:t>15,543</w:t>
            </w:r>
            <w:r>
              <w:rPr>
                <w:rFonts w:ascii="Arial" w:cs="Arial" w:eastAsia="Arial" w:hAnsi="Arial"/>
                <w:sz w:val="24"/>
                <w:szCs w:val="24"/>
                <w:color w:val="auto"/>
                <w:vertAlign w:val="superscript"/>
              </w:rPr>
              <w:t>(6)</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413.15</w:t>
            </w:r>
          </w:p>
        </w:tc>
        <w:tc>
          <w:tcPr>
            <w:tcW w:w="860" w:type="dxa"/>
            <w:vAlign w:val="bottom"/>
          </w:tcPr>
          <w:p>
            <w:pPr>
              <w:jc w:val="right"/>
              <w:spacing w:after="0"/>
              <w:rPr>
                <w:sz w:val="20"/>
                <w:szCs w:val="20"/>
                <w:color w:val="auto"/>
              </w:rPr>
            </w:pPr>
            <w:r>
              <w:rPr>
                <w:rFonts w:ascii="Arial" w:cs="Arial" w:eastAsia="Arial" w:hAnsi="Arial"/>
                <w:sz w:val="14"/>
                <w:szCs w:val="14"/>
                <w:color w:val="auto"/>
              </w:rPr>
              <w:t>1/13/2031</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5"/>
        </w:trPr>
        <w:tc>
          <w:tcPr>
            <w:tcW w:w="2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jc w:val="right"/>
              <w:ind w:right="32"/>
              <w:spacing w:after="0" w:line="205" w:lineRule="exact"/>
              <w:rPr>
                <w:sz w:val="20"/>
                <w:szCs w:val="20"/>
                <w:color w:val="auto"/>
              </w:rPr>
            </w:pPr>
            <w:r>
              <w:rPr>
                <w:rFonts w:ascii="Arial" w:cs="Arial" w:eastAsia="Arial" w:hAnsi="Arial"/>
                <w:sz w:val="23"/>
                <w:szCs w:val="23"/>
                <w:color w:val="auto"/>
                <w:vertAlign w:val="subscript"/>
              </w:rPr>
              <w:t>15,425</w:t>
            </w:r>
            <w:r>
              <w:rPr>
                <w:rFonts w:ascii="Arial" w:cs="Arial" w:eastAsia="Arial" w:hAnsi="Arial"/>
                <w:sz w:val="11"/>
                <w:szCs w:val="11"/>
                <w:color w:val="auto"/>
              </w:rPr>
              <w:t>(8)(11)</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7,586,941</w:t>
            </w:r>
          </w:p>
        </w:tc>
      </w:tr>
      <w:tr>
        <w:trPr>
          <w:trHeight w:val="204"/>
        </w:trPr>
        <w:tc>
          <w:tcPr>
            <w:tcW w:w="2920" w:type="dxa"/>
            <w:vAlign w:val="bottom"/>
            <w:shd w:val="clear" w:color="auto" w:fill="E5EEF8"/>
          </w:tcPr>
          <w:p>
            <w:pPr>
              <w:ind w:left="80"/>
              <w:spacing w:after="0"/>
              <w:rPr>
                <w:sz w:val="20"/>
                <w:szCs w:val="20"/>
                <w:color w:val="auto"/>
              </w:rPr>
            </w:pPr>
            <w:r>
              <w:rPr>
                <w:rFonts w:ascii="Arial" w:cs="Arial" w:eastAsia="Arial" w:hAnsi="Arial"/>
                <w:sz w:val="14"/>
                <w:szCs w:val="14"/>
                <w:color w:val="auto"/>
              </w:rPr>
              <w:t>John K. Stipancich</w:t>
            </w:r>
          </w:p>
        </w:tc>
        <w:tc>
          <w:tcPr>
            <w:tcW w:w="10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4,500</w:t>
            </w:r>
          </w:p>
        </w:tc>
        <w:tc>
          <w:tcPr>
            <w:tcW w:w="980" w:type="dxa"/>
            <w:vAlign w:val="bottom"/>
            <w:shd w:val="clear" w:color="auto" w:fill="E5EEF8"/>
          </w:tcPr>
          <w:p>
            <w:pPr>
              <w:spacing w:after="0"/>
              <w:rPr>
                <w:sz w:val="17"/>
                <w:szCs w:val="17"/>
                <w:color w:val="auto"/>
              </w:rPr>
            </w:pPr>
          </w:p>
        </w:tc>
        <w:tc>
          <w:tcPr>
            <w:tcW w:w="200" w:type="dxa"/>
            <w:vAlign w:val="bottom"/>
            <w:shd w:val="clear" w:color="auto" w:fill="E5EEF8"/>
          </w:tcPr>
          <w:p>
            <w:pPr>
              <w:spacing w:after="0"/>
              <w:rPr>
                <w:sz w:val="17"/>
                <w:szCs w:val="17"/>
                <w:color w:val="auto"/>
              </w:rPr>
            </w:pPr>
          </w:p>
        </w:tc>
        <w:tc>
          <w:tcPr>
            <w:tcW w:w="70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228.84</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06/09/2027</w:t>
            </w:r>
          </w:p>
        </w:tc>
        <w:tc>
          <w:tcPr>
            <w:tcW w:w="780" w:type="dxa"/>
            <w:vAlign w:val="bottom"/>
            <w:shd w:val="clear" w:color="auto" w:fill="E5EEF8"/>
          </w:tcPr>
          <w:p>
            <w:pPr>
              <w:spacing w:after="0"/>
              <w:rPr>
                <w:sz w:val="17"/>
                <w:szCs w:val="17"/>
                <w:color w:val="auto"/>
              </w:rPr>
            </w:pPr>
          </w:p>
        </w:tc>
        <w:tc>
          <w:tcPr>
            <w:tcW w:w="820" w:type="dxa"/>
            <w:vAlign w:val="bottom"/>
            <w:shd w:val="clear" w:color="auto" w:fill="E5EEF8"/>
          </w:tcPr>
          <w:p>
            <w:pPr>
              <w:spacing w:after="0"/>
              <w:rPr>
                <w:sz w:val="17"/>
                <w:szCs w:val="17"/>
                <w:color w:val="auto"/>
              </w:rPr>
            </w:pPr>
          </w:p>
        </w:tc>
        <w:tc>
          <w:tcPr>
            <w:tcW w:w="1440" w:type="dxa"/>
            <w:vAlign w:val="bottom"/>
            <w:shd w:val="clear" w:color="auto" w:fill="E5EEF8"/>
          </w:tcPr>
          <w:p>
            <w:pPr>
              <w:spacing w:after="0"/>
              <w:rPr>
                <w:sz w:val="17"/>
                <w:szCs w:val="17"/>
                <w:color w:val="auto"/>
              </w:rPr>
            </w:pPr>
          </w:p>
        </w:tc>
        <w:tc>
          <w:tcPr>
            <w:tcW w:w="1300" w:type="dxa"/>
            <w:vAlign w:val="bottom"/>
            <w:shd w:val="clear" w:color="auto" w:fill="E5EEF8"/>
          </w:tcPr>
          <w:p>
            <w:pPr>
              <w:spacing w:after="0"/>
              <w:rPr>
                <w:sz w:val="17"/>
                <w:szCs w:val="17"/>
                <w:color w:val="auto"/>
              </w:rPr>
            </w:pPr>
          </w:p>
        </w:tc>
      </w:tr>
      <w:tr>
        <w:trPr>
          <w:trHeight w:val="216"/>
        </w:trPr>
        <w:tc>
          <w:tcPr>
            <w:tcW w:w="2920" w:type="dxa"/>
            <w:vAlign w:val="bottom"/>
            <w:shd w:val="clear" w:color="auto" w:fill="E5EEF8"/>
          </w:tcPr>
          <w:p>
            <w:pPr>
              <w:spacing w:after="0"/>
              <w:rPr>
                <w:sz w:val="18"/>
                <w:szCs w:val="18"/>
                <w:color w:val="auto"/>
              </w:rPr>
            </w:pPr>
          </w:p>
        </w:tc>
        <w:tc>
          <w:tcPr>
            <w:tcW w:w="10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15,000</w:t>
            </w:r>
          </w:p>
        </w:tc>
        <w:tc>
          <w:tcPr>
            <w:tcW w:w="980" w:type="dxa"/>
            <w:vAlign w:val="bottom"/>
            <w:shd w:val="clear" w:color="auto" w:fill="E5EEF8"/>
          </w:tcPr>
          <w:p>
            <w:pPr>
              <w:spacing w:after="0"/>
              <w:rPr>
                <w:sz w:val="18"/>
                <w:szCs w:val="18"/>
                <w:color w:val="auto"/>
              </w:rPr>
            </w:pPr>
          </w:p>
        </w:tc>
        <w:tc>
          <w:tcPr>
            <w:tcW w:w="2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275.69</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01/19/2028</w:t>
            </w:r>
          </w:p>
        </w:tc>
        <w:tc>
          <w:tcPr>
            <w:tcW w:w="78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1300" w:type="dxa"/>
            <w:vAlign w:val="bottom"/>
            <w:shd w:val="clear" w:color="auto" w:fill="E5EEF8"/>
          </w:tcPr>
          <w:p>
            <w:pPr>
              <w:spacing w:after="0"/>
              <w:rPr>
                <w:sz w:val="18"/>
                <w:szCs w:val="18"/>
                <w:color w:val="auto"/>
              </w:rPr>
            </w:pPr>
          </w:p>
        </w:tc>
      </w:tr>
      <w:tr>
        <w:trPr>
          <w:trHeight w:val="228"/>
        </w:trPr>
        <w:tc>
          <w:tcPr>
            <w:tcW w:w="2920" w:type="dxa"/>
            <w:vAlign w:val="bottom"/>
            <w:shd w:val="clear" w:color="auto" w:fill="E5EEF8"/>
          </w:tcPr>
          <w:p>
            <w:pPr>
              <w:spacing w:after="0"/>
              <w:rPr>
                <w:sz w:val="19"/>
                <w:szCs w:val="19"/>
                <w:color w:val="auto"/>
              </w:rPr>
            </w:pPr>
          </w:p>
        </w:tc>
        <w:tc>
          <w:tcPr>
            <w:tcW w:w="10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7,500</w:t>
            </w:r>
          </w:p>
        </w:tc>
        <w:tc>
          <w:tcPr>
            <w:tcW w:w="1180" w:type="dxa"/>
            <w:vAlign w:val="bottom"/>
            <w:gridSpan w:val="2"/>
            <w:shd w:val="clear" w:color="auto" w:fill="E5EEF8"/>
          </w:tcPr>
          <w:p>
            <w:pPr>
              <w:jc w:val="right"/>
              <w:spacing w:after="0" w:line="228" w:lineRule="exact"/>
              <w:rPr>
                <w:sz w:val="20"/>
                <w:szCs w:val="20"/>
                <w:color w:val="auto"/>
              </w:rPr>
            </w:pPr>
            <w:r>
              <w:rPr>
                <w:rFonts w:ascii="Arial" w:cs="Arial" w:eastAsia="Arial" w:hAnsi="Arial"/>
                <w:sz w:val="14"/>
                <w:szCs w:val="14"/>
                <w:color w:val="auto"/>
              </w:rPr>
              <w:t>7,500</w:t>
            </w:r>
            <w:r>
              <w:rPr>
                <w:rFonts w:ascii="Arial" w:cs="Arial" w:eastAsia="Arial" w:hAnsi="Arial"/>
                <w:sz w:val="24"/>
                <w:szCs w:val="24"/>
                <w:color w:val="auto"/>
                <w:vertAlign w:val="superscript"/>
              </w:rPr>
              <w:t>(2)</w:t>
            </w:r>
          </w:p>
        </w:tc>
        <w:tc>
          <w:tcPr>
            <w:tcW w:w="70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270.30</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01/15/2029</w:t>
            </w:r>
          </w:p>
        </w:tc>
        <w:tc>
          <w:tcPr>
            <w:tcW w:w="780" w:type="dxa"/>
            <w:vAlign w:val="bottom"/>
            <w:shd w:val="clear" w:color="auto" w:fill="E5EEF8"/>
          </w:tcPr>
          <w:p>
            <w:pPr>
              <w:spacing w:after="0"/>
              <w:rPr>
                <w:sz w:val="19"/>
                <w:szCs w:val="19"/>
                <w:color w:val="auto"/>
              </w:rPr>
            </w:pPr>
          </w:p>
        </w:tc>
        <w:tc>
          <w:tcPr>
            <w:tcW w:w="820" w:type="dxa"/>
            <w:vAlign w:val="bottom"/>
            <w:shd w:val="clear" w:color="auto" w:fill="E5EEF8"/>
          </w:tcPr>
          <w:p>
            <w:pPr>
              <w:spacing w:after="0"/>
              <w:rPr>
                <w:sz w:val="19"/>
                <w:szCs w:val="19"/>
                <w:color w:val="auto"/>
              </w:rPr>
            </w:pPr>
          </w:p>
        </w:tc>
        <w:tc>
          <w:tcPr>
            <w:tcW w:w="1440" w:type="dxa"/>
            <w:vAlign w:val="bottom"/>
            <w:shd w:val="clear" w:color="auto" w:fill="E5EEF8"/>
          </w:tcPr>
          <w:p>
            <w:pPr>
              <w:spacing w:after="0"/>
              <w:rPr>
                <w:sz w:val="19"/>
                <w:szCs w:val="19"/>
                <w:color w:val="auto"/>
              </w:rPr>
            </w:pPr>
          </w:p>
        </w:tc>
        <w:tc>
          <w:tcPr>
            <w:tcW w:w="1300" w:type="dxa"/>
            <w:vAlign w:val="bottom"/>
            <w:shd w:val="clear" w:color="auto" w:fill="E5EEF8"/>
          </w:tcPr>
          <w:p>
            <w:pPr>
              <w:spacing w:after="0"/>
              <w:rPr>
                <w:sz w:val="19"/>
                <w:szCs w:val="19"/>
                <w:color w:val="auto"/>
              </w:rPr>
            </w:pPr>
          </w:p>
        </w:tc>
      </w:tr>
      <w:tr>
        <w:trPr>
          <w:trHeight w:val="216"/>
        </w:trPr>
        <w:tc>
          <w:tcPr>
            <w:tcW w:w="2920" w:type="dxa"/>
            <w:vAlign w:val="bottom"/>
            <w:shd w:val="clear" w:color="auto" w:fill="E5EEF8"/>
          </w:tcPr>
          <w:p>
            <w:pPr>
              <w:spacing w:after="0"/>
              <w:rPr>
                <w:sz w:val="18"/>
                <w:szCs w:val="18"/>
                <w:color w:val="auto"/>
              </w:rPr>
            </w:pPr>
          </w:p>
        </w:tc>
        <w:tc>
          <w:tcPr>
            <w:tcW w:w="1020" w:type="dxa"/>
            <w:vAlign w:val="bottom"/>
            <w:shd w:val="clear" w:color="auto" w:fill="E5EEF8"/>
          </w:tcPr>
          <w:p>
            <w:pPr>
              <w:spacing w:after="0"/>
              <w:rPr>
                <w:sz w:val="18"/>
                <w:szCs w:val="18"/>
                <w:color w:val="auto"/>
              </w:rPr>
            </w:pPr>
          </w:p>
        </w:tc>
        <w:tc>
          <w:tcPr>
            <w:tcW w:w="1180" w:type="dxa"/>
            <w:vAlign w:val="bottom"/>
            <w:gridSpan w:val="2"/>
            <w:shd w:val="clear" w:color="auto" w:fill="E5EEF8"/>
          </w:tcPr>
          <w:p>
            <w:pPr>
              <w:jc w:val="right"/>
              <w:spacing w:after="0" w:line="216" w:lineRule="exact"/>
              <w:rPr>
                <w:sz w:val="20"/>
                <w:szCs w:val="20"/>
                <w:color w:val="auto"/>
              </w:rPr>
            </w:pPr>
            <w:r>
              <w:rPr>
                <w:rFonts w:ascii="Arial" w:cs="Arial" w:eastAsia="Arial" w:hAnsi="Arial"/>
                <w:sz w:val="14"/>
                <w:szCs w:val="14"/>
                <w:color w:val="auto"/>
              </w:rPr>
              <w:t>11,414</w:t>
            </w:r>
            <w:r>
              <w:rPr>
                <w:rFonts w:ascii="Arial" w:cs="Arial" w:eastAsia="Arial" w:hAnsi="Arial"/>
                <w:sz w:val="24"/>
                <w:szCs w:val="24"/>
                <w:color w:val="auto"/>
                <w:vertAlign w:val="superscript"/>
              </w:rPr>
              <w:t>(5)</w:t>
            </w:r>
          </w:p>
        </w:tc>
        <w:tc>
          <w:tcPr>
            <w:tcW w:w="70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372.60</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01/14/2030</w:t>
            </w:r>
          </w:p>
        </w:tc>
        <w:tc>
          <w:tcPr>
            <w:tcW w:w="78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1300" w:type="dxa"/>
            <w:vAlign w:val="bottom"/>
            <w:shd w:val="clear" w:color="auto" w:fill="E5EEF8"/>
          </w:tcPr>
          <w:p>
            <w:pPr>
              <w:spacing w:after="0"/>
              <w:rPr>
                <w:sz w:val="18"/>
                <w:szCs w:val="18"/>
                <w:color w:val="auto"/>
              </w:rPr>
            </w:pPr>
          </w:p>
        </w:tc>
      </w:tr>
      <w:tr>
        <w:trPr>
          <w:trHeight w:val="216"/>
        </w:trPr>
        <w:tc>
          <w:tcPr>
            <w:tcW w:w="2920" w:type="dxa"/>
            <w:vAlign w:val="bottom"/>
            <w:shd w:val="clear" w:color="auto" w:fill="E5EEF8"/>
          </w:tcPr>
          <w:p>
            <w:pPr>
              <w:spacing w:after="0"/>
              <w:rPr>
                <w:sz w:val="18"/>
                <w:szCs w:val="18"/>
                <w:color w:val="auto"/>
              </w:rPr>
            </w:pPr>
          </w:p>
        </w:tc>
        <w:tc>
          <w:tcPr>
            <w:tcW w:w="1020" w:type="dxa"/>
            <w:vAlign w:val="bottom"/>
            <w:shd w:val="clear" w:color="auto" w:fill="E5EEF8"/>
          </w:tcPr>
          <w:p>
            <w:pPr>
              <w:spacing w:after="0"/>
              <w:rPr>
                <w:sz w:val="18"/>
                <w:szCs w:val="18"/>
                <w:color w:val="auto"/>
              </w:rPr>
            </w:pPr>
          </w:p>
        </w:tc>
        <w:tc>
          <w:tcPr>
            <w:tcW w:w="1180" w:type="dxa"/>
            <w:vAlign w:val="bottom"/>
            <w:gridSpan w:val="2"/>
            <w:shd w:val="clear" w:color="auto" w:fill="E5EEF8"/>
          </w:tcPr>
          <w:p>
            <w:pPr>
              <w:jc w:val="right"/>
              <w:spacing w:after="0" w:line="216" w:lineRule="exact"/>
              <w:rPr>
                <w:sz w:val="20"/>
                <w:szCs w:val="20"/>
                <w:color w:val="auto"/>
              </w:rPr>
            </w:pPr>
            <w:r>
              <w:rPr>
                <w:rFonts w:ascii="Arial" w:cs="Arial" w:eastAsia="Arial" w:hAnsi="Arial"/>
                <w:sz w:val="14"/>
                <w:szCs w:val="14"/>
                <w:color w:val="auto"/>
              </w:rPr>
              <w:t>9,647</w:t>
            </w:r>
            <w:r>
              <w:rPr>
                <w:rFonts w:ascii="Arial" w:cs="Arial" w:eastAsia="Arial" w:hAnsi="Arial"/>
                <w:sz w:val="24"/>
                <w:szCs w:val="24"/>
                <w:color w:val="auto"/>
                <w:vertAlign w:val="superscript"/>
              </w:rPr>
              <w:t>(6)</w:t>
            </w:r>
          </w:p>
        </w:tc>
        <w:tc>
          <w:tcPr>
            <w:tcW w:w="70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413.15</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01/13/2031</w:t>
            </w:r>
          </w:p>
        </w:tc>
        <w:tc>
          <w:tcPr>
            <w:tcW w:w="78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1300" w:type="dxa"/>
            <w:vAlign w:val="bottom"/>
            <w:shd w:val="clear" w:color="auto" w:fill="E5EEF8"/>
          </w:tcPr>
          <w:p>
            <w:pPr>
              <w:spacing w:after="0"/>
              <w:rPr>
                <w:sz w:val="18"/>
                <w:szCs w:val="18"/>
                <w:color w:val="auto"/>
              </w:rPr>
            </w:pPr>
          </w:p>
        </w:tc>
      </w:tr>
      <w:tr>
        <w:trPr>
          <w:trHeight w:val="216"/>
        </w:trPr>
        <w:tc>
          <w:tcPr>
            <w:tcW w:w="2920" w:type="dxa"/>
            <w:vAlign w:val="bottom"/>
            <w:shd w:val="clear" w:color="auto" w:fill="E5EEF8"/>
          </w:tcPr>
          <w:p>
            <w:pPr>
              <w:spacing w:after="0"/>
              <w:rPr>
                <w:sz w:val="18"/>
                <w:szCs w:val="18"/>
                <w:color w:val="auto"/>
              </w:rPr>
            </w:pPr>
          </w:p>
        </w:tc>
        <w:tc>
          <w:tcPr>
            <w:tcW w:w="1020" w:type="dxa"/>
            <w:vAlign w:val="bottom"/>
            <w:shd w:val="clear" w:color="auto" w:fill="E5EEF8"/>
          </w:tcPr>
          <w:p>
            <w:pPr>
              <w:spacing w:after="0"/>
              <w:rPr>
                <w:sz w:val="18"/>
                <w:szCs w:val="18"/>
                <w:color w:val="auto"/>
              </w:rPr>
            </w:pPr>
          </w:p>
        </w:tc>
        <w:tc>
          <w:tcPr>
            <w:tcW w:w="980" w:type="dxa"/>
            <w:vAlign w:val="bottom"/>
            <w:shd w:val="clear" w:color="auto" w:fill="E5EEF8"/>
          </w:tcPr>
          <w:p>
            <w:pPr>
              <w:spacing w:after="0"/>
              <w:rPr>
                <w:sz w:val="18"/>
                <w:szCs w:val="18"/>
                <w:color w:val="auto"/>
              </w:rPr>
            </w:pPr>
          </w:p>
        </w:tc>
        <w:tc>
          <w:tcPr>
            <w:tcW w:w="200" w:type="dxa"/>
            <w:vAlign w:val="bottom"/>
            <w:shd w:val="clear" w:color="auto" w:fill="E5EEF8"/>
          </w:tcPr>
          <w:p>
            <w:pPr>
              <w:spacing w:after="0"/>
              <w:rPr>
                <w:sz w:val="18"/>
                <w:szCs w:val="18"/>
                <w:color w:val="auto"/>
              </w:rPr>
            </w:pPr>
          </w:p>
        </w:tc>
        <w:tc>
          <w:tcPr>
            <w:tcW w:w="700" w:type="dxa"/>
            <w:vAlign w:val="bottom"/>
            <w:shd w:val="clear" w:color="auto" w:fill="E5EEF8"/>
          </w:tcPr>
          <w:p>
            <w:pPr>
              <w:spacing w:after="0"/>
              <w:rPr>
                <w:sz w:val="18"/>
                <w:szCs w:val="18"/>
                <w:color w:val="auto"/>
              </w:rPr>
            </w:pPr>
          </w:p>
        </w:tc>
        <w:tc>
          <w:tcPr>
            <w:tcW w:w="860" w:type="dxa"/>
            <w:vAlign w:val="bottom"/>
            <w:shd w:val="clear" w:color="auto" w:fill="E5EEF8"/>
          </w:tcPr>
          <w:p>
            <w:pPr>
              <w:spacing w:after="0"/>
              <w:rPr>
                <w:sz w:val="18"/>
                <w:szCs w:val="18"/>
                <w:color w:val="auto"/>
              </w:rPr>
            </w:pPr>
          </w:p>
        </w:tc>
        <w:tc>
          <w:tcPr>
            <w:tcW w:w="78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1440" w:type="dxa"/>
            <w:vAlign w:val="bottom"/>
            <w:shd w:val="clear" w:color="auto" w:fill="E5EEF8"/>
          </w:tcPr>
          <w:p>
            <w:pPr>
              <w:jc w:val="right"/>
              <w:ind w:right="32"/>
              <w:spacing w:after="0" w:line="216" w:lineRule="exact"/>
              <w:rPr>
                <w:sz w:val="20"/>
                <w:szCs w:val="20"/>
                <w:color w:val="auto"/>
              </w:rPr>
            </w:pPr>
            <w:r>
              <w:rPr>
                <w:rFonts w:ascii="Arial" w:cs="Arial" w:eastAsia="Arial" w:hAnsi="Arial"/>
                <w:sz w:val="25"/>
                <w:szCs w:val="25"/>
                <w:color w:val="auto"/>
                <w:vertAlign w:val="subscript"/>
              </w:rPr>
              <w:t>9,208</w:t>
            </w:r>
            <w:r>
              <w:rPr>
                <w:rFonts w:ascii="Arial" w:cs="Arial" w:eastAsia="Arial" w:hAnsi="Arial"/>
                <w:sz w:val="11"/>
                <w:szCs w:val="11"/>
                <w:color w:val="auto"/>
              </w:rPr>
              <w:t>(9)(11)</w:t>
            </w:r>
          </w:p>
        </w:tc>
        <w:tc>
          <w:tcPr>
            <w:tcW w:w="130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4,529,047</w:t>
            </w:r>
          </w:p>
        </w:tc>
      </w:tr>
      <w:tr>
        <w:trPr>
          <w:trHeight w:val="204"/>
        </w:trPr>
        <w:tc>
          <w:tcPr>
            <w:tcW w:w="2920" w:type="dxa"/>
            <w:vAlign w:val="bottom"/>
          </w:tcPr>
          <w:p>
            <w:pPr>
              <w:ind w:left="80"/>
              <w:spacing w:after="0"/>
              <w:rPr>
                <w:sz w:val="20"/>
                <w:szCs w:val="20"/>
                <w:color w:val="auto"/>
              </w:rPr>
            </w:pPr>
            <w:r>
              <w:rPr>
                <w:rFonts w:ascii="Arial" w:cs="Arial" w:eastAsia="Arial" w:hAnsi="Arial"/>
                <w:sz w:val="14"/>
                <w:szCs w:val="14"/>
                <w:color w:val="auto"/>
              </w:rPr>
              <w:t>Jason Conley</w:t>
            </w: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2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5,000</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134.23</w:t>
            </w:r>
          </w:p>
        </w:tc>
        <w:tc>
          <w:tcPr>
            <w:tcW w:w="860" w:type="dxa"/>
            <w:vAlign w:val="bottom"/>
          </w:tcPr>
          <w:p>
            <w:pPr>
              <w:jc w:val="right"/>
              <w:spacing w:after="0"/>
              <w:rPr>
                <w:sz w:val="20"/>
                <w:szCs w:val="20"/>
                <w:color w:val="auto"/>
              </w:rPr>
            </w:pPr>
            <w:r>
              <w:rPr>
                <w:rFonts w:ascii="Arial" w:cs="Arial" w:eastAsia="Arial" w:hAnsi="Arial"/>
                <w:sz w:val="14"/>
                <w:szCs w:val="14"/>
                <w:color w:val="auto"/>
              </w:rPr>
              <w:t>03/11/2024</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6,000</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165.97</w:t>
            </w:r>
          </w:p>
        </w:tc>
        <w:tc>
          <w:tcPr>
            <w:tcW w:w="860" w:type="dxa"/>
            <w:vAlign w:val="bottom"/>
          </w:tcPr>
          <w:p>
            <w:pPr>
              <w:jc w:val="right"/>
              <w:spacing w:after="0"/>
              <w:rPr>
                <w:sz w:val="20"/>
                <w:szCs w:val="20"/>
                <w:color w:val="auto"/>
              </w:rPr>
            </w:pPr>
            <w:r>
              <w:rPr>
                <w:rFonts w:ascii="Arial" w:cs="Arial" w:eastAsia="Arial" w:hAnsi="Arial"/>
                <w:sz w:val="14"/>
                <w:szCs w:val="14"/>
                <w:color w:val="auto"/>
              </w:rPr>
              <w:t>03/11/2025</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6,000</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170.61</w:t>
            </w:r>
          </w:p>
        </w:tc>
        <w:tc>
          <w:tcPr>
            <w:tcW w:w="860" w:type="dxa"/>
            <w:vAlign w:val="bottom"/>
          </w:tcPr>
          <w:p>
            <w:pPr>
              <w:jc w:val="right"/>
              <w:spacing w:after="0"/>
              <w:rPr>
                <w:sz w:val="20"/>
                <w:szCs w:val="20"/>
                <w:color w:val="auto"/>
              </w:rPr>
            </w:pPr>
            <w:r>
              <w:rPr>
                <w:rFonts w:ascii="Arial" w:cs="Arial" w:eastAsia="Arial" w:hAnsi="Arial"/>
                <w:sz w:val="14"/>
                <w:szCs w:val="14"/>
                <w:color w:val="auto"/>
              </w:rPr>
              <w:t>03/09/2026</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10,000</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185.42</w:t>
            </w:r>
          </w:p>
        </w:tc>
        <w:tc>
          <w:tcPr>
            <w:tcW w:w="860" w:type="dxa"/>
            <w:vAlign w:val="bottom"/>
          </w:tcPr>
          <w:p>
            <w:pPr>
              <w:jc w:val="right"/>
              <w:spacing w:after="0"/>
              <w:rPr>
                <w:sz w:val="20"/>
                <w:szCs w:val="20"/>
                <w:color w:val="auto"/>
              </w:rPr>
            </w:pPr>
            <w:r>
              <w:rPr>
                <w:rFonts w:ascii="Arial" w:cs="Arial" w:eastAsia="Arial" w:hAnsi="Arial"/>
                <w:sz w:val="14"/>
                <w:szCs w:val="14"/>
                <w:color w:val="auto"/>
              </w:rPr>
              <w:t>01/19/2027</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12,000</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275.69</w:t>
            </w:r>
          </w:p>
        </w:tc>
        <w:tc>
          <w:tcPr>
            <w:tcW w:w="860" w:type="dxa"/>
            <w:vAlign w:val="bottom"/>
          </w:tcPr>
          <w:p>
            <w:pPr>
              <w:jc w:val="right"/>
              <w:spacing w:after="0"/>
              <w:rPr>
                <w:sz w:val="20"/>
                <w:szCs w:val="20"/>
                <w:color w:val="auto"/>
              </w:rPr>
            </w:pPr>
            <w:r>
              <w:rPr>
                <w:rFonts w:ascii="Arial" w:cs="Arial" w:eastAsia="Arial" w:hAnsi="Arial"/>
                <w:sz w:val="14"/>
                <w:szCs w:val="14"/>
                <w:color w:val="auto"/>
              </w:rPr>
              <w:t>01/19/2028</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9"/>
        </w:trPr>
        <w:tc>
          <w:tcPr>
            <w:tcW w:w="29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7,150</w:t>
            </w:r>
          </w:p>
        </w:tc>
        <w:tc>
          <w:tcPr>
            <w:tcW w:w="1180" w:type="dxa"/>
            <w:vAlign w:val="bottom"/>
            <w:gridSpan w:val="2"/>
          </w:tcPr>
          <w:p>
            <w:pPr>
              <w:jc w:val="right"/>
              <w:spacing w:after="0" w:line="239" w:lineRule="exact"/>
              <w:rPr>
                <w:sz w:val="20"/>
                <w:szCs w:val="20"/>
                <w:color w:val="auto"/>
              </w:rPr>
            </w:pPr>
            <w:r>
              <w:rPr>
                <w:rFonts w:ascii="Arial" w:cs="Arial" w:eastAsia="Arial" w:hAnsi="Arial"/>
                <w:sz w:val="14"/>
                <w:szCs w:val="14"/>
                <w:color w:val="auto"/>
              </w:rPr>
              <w:t>7,150</w:t>
            </w:r>
            <w:r>
              <w:rPr>
                <w:rFonts w:ascii="Arial" w:cs="Arial" w:eastAsia="Arial" w:hAnsi="Arial"/>
                <w:sz w:val="24"/>
                <w:szCs w:val="24"/>
                <w:color w:val="auto"/>
                <w:vertAlign w:val="superscript"/>
              </w:rPr>
              <w:t>(2)</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270.30</w:t>
            </w:r>
          </w:p>
        </w:tc>
        <w:tc>
          <w:tcPr>
            <w:tcW w:w="860" w:type="dxa"/>
            <w:vAlign w:val="bottom"/>
          </w:tcPr>
          <w:p>
            <w:pPr>
              <w:jc w:val="right"/>
              <w:spacing w:after="0"/>
              <w:rPr>
                <w:sz w:val="20"/>
                <w:szCs w:val="20"/>
                <w:color w:val="auto"/>
              </w:rPr>
            </w:pPr>
            <w:r>
              <w:rPr>
                <w:rFonts w:ascii="Arial" w:cs="Arial" w:eastAsia="Arial" w:hAnsi="Arial"/>
                <w:sz w:val="14"/>
                <w:szCs w:val="14"/>
                <w:color w:val="auto"/>
              </w:rPr>
              <w:t>01/15/2029</w:t>
            </w: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6"/>
        </w:trPr>
        <w:tc>
          <w:tcPr>
            <w:tcW w:w="2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gridSpan w:val="2"/>
          </w:tcPr>
          <w:p>
            <w:pPr>
              <w:jc w:val="right"/>
              <w:spacing w:after="0" w:line="216" w:lineRule="exact"/>
              <w:rPr>
                <w:sz w:val="20"/>
                <w:szCs w:val="20"/>
                <w:color w:val="auto"/>
              </w:rPr>
            </w:pPr>
            <w:r>
              <w:rPr>
                <w:rFonts w:ascii="Arial" w:cs="Arial" w:eastAsia="Arial" w:hAnsi="Arial"/>
                <w:sz w:val="14"/>
                <w:szCs w:val="14"/>
                <w:color w:val="auto"/>
              </w:rPr>
              <w:t>11,078</w:t>
            </w:r>
            <w:r>
              <w:rPr>
                <w:rFonts w:ascii="Arial" w:cs="Arial" w:eastAsia="Arial" w:hAnsi="Arial"/>
                <w:sz w:val="24"/>
                <w:szCs w:val="24"/>
                <w:color w:val="auto"/>
                <w:vertAlign w:val="superscript"/>
              </w:rPr>
              <w:t>(5)</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372.60</w:t>
            </w:r>
          </w:p>
        </w:tc>
        <w:tc>
          <w:tcPr>
            <w:tcW w:w="860" w:type="dxa"/>
            <w:vAlign w:val="bottom"/>
          </w:tcPr>
          <w:p>
            <w:pPr>
              <w:jc w:val="right"/>
              <w:spacing w:after="0"/>
              <w:rPr>
                <w:sz w:val="20"/>
                <w:szCs w:val="20"/>
                <w:color w:val="auto"/>
              </w:rPr>
            </w:pPr>
            <w:r>
              <w:rPr>
                <w:rFonts w:ascii="Arial" w:cs="Arial" w:eastAsia="Arial" w:hAnsi="Arial"/>
                <w:sz w:val="14"/>
                <w:szCs w:val="14"/>
                <w:color w:val="auto"/>
              </w:rPr>
              <w:t>01/14/2030</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gridSpan w:val="2"/>
          </w:tcPr>
          <w:p>
            <w:pPr>
              <w:jc w:val="right"/>
              <w:spacing w:after="0" w:line="216" w:lineRule="exact"/>
              <w:rPr>
                <w:sz w:val="20"/>
                <w:szCs w:val="20"/>
                <w:color w:val="auto"/>
              </w:rPr>
            </w:pPr>
            <w:r>
              <w:rPr>
                <w:rFonts w:ascii="Arial" w:cs="Arial" w:eastAsia="Arial" w:hAnsi="Arial"/>
                <w:sz w:val="14"/>
                <w:szCs w:val="14"/>
                <w:color w:val="auto"/>
              </w:rPr>
              <w:t>9,111</w:t>
            </w:r>
            <w:r>
              <w:rPr>
                <w:rFonts w:ascii="Arial" w:cs="Arial" w:eastAsia="Arial" w:hAnsi="Arial"/>
                <w:sz w:val="24"/>
                <w:szCs w:val="24"/>
                <w:color w:val="auto"/>
                <w:vertAlign w:val="superscript"/>
              </w:rPr>
              <w:t>(6)</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413.15</w:t>
            </w:r>
          </w:p>
        </w:tc>
        <w:tc>
          <w:tcPr>
            <w:tcW w:w="860" w:type="dxa"/>
            <w:vAlign w:val="bottom"/>
          </w:tcPr>
          <w:p>
            <w:pPr>
              <w:jc w:val="right"/>
              <w:spacing w:after="0"/>
              <w:rPr>
                <w:sz w:val="20"/>
                <w:szCs w:val="20"/>
                <w:color w:val="auto"/>
              </w:rPr>
            </w:pPr>
            <w:r>
              <w:rPr>
                <w:rFonts w:ascii="Arial" w:cs="Arial" w:eastAsia="Arial" w:hAnsi="Arial"/>
                <w:sz w:val="14"/>
                <w:szCs w:val="14"/>
                <w:color w:val="auto"/>
              </w:rPr>
              <w:t>01/13/2021</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68"/>
        </w:trPr>
        <w:tc>
          <w:tcPr>
            <w:tcW w:w="2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8"/>
                <w:szCs w:val="28"/>
                <w:color w:val="auto"/>
                <w:vertAlign w:val="subscript"/>
              </w:rPr>
              <w:t>9,267</w:t>
            </w:r>
            <w:r>
              <w:rPr>
                <w:rFonts w:ascii="Arial" w:cs="Arial" w:eastAsia="Arial" w:hAnsi="Arial"/>
                <w:sz w:val="12"/>
                <w:szCs w:val="12"/>
                <w:color w:val="auto"/>
              </w:rPr>
              <w:t>(10)(11)</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4,558,067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-5845810</wp:posOffset>
            </wp:positionV>
            <wp:extent cx="505777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057775" cy="8890"/>
                    </a:xfrm>
                    <a:prstGeom prst="rect">
                      <a:avLst/>
                    </a:prstGeom>
                    <a:noFill/>
                  </pic:spPr>
                </pic:pic>
              </a:graphicData>
            </a:graphic>
          </wp:anchor>
        </w:drawing>
      </w:r>
    </w:p>
    <w:p>
      <w:pPr>
        <w:ind w:left="540" w:hanging="424"/>
        <w:spacing w:after="0" w:line="200" w:lineRule="auto"/>
        <w:tabs>
          <w:tab w:leader="none" w:pos="540" w:val="left"/>
        </w:tabs>
        <w:numPr>
          <w:ilvl w:val="0"/>
          <w:numId w:val="79"/>
        </w:numPr>
        <w:rPr>
          <w:rFonts w:ascii="Arial" w:cs="Arial" w:eastAsia="Arial" w:hAnsi="Arial"/>
          <w:sz w:val="24"/>
          <w:szCs w:val="24"/>
          <w:color w:val="auto"/>
          <w:vertAlign w:val="superscript"/>
        </w:rPr>
      </w:pPr>
      <w:r>
        <w:rPr>
          <w:rFonts w:ascii="Arial" w:cs="Arial" w:eastAsia="Arial" w:hAnsi="Arial"/>
          <w:sz w:val="14"/>
          <w:szCs w:val="14"/>
          <w:color w:val="auto"/>
        </w:rPr>
        <w:t>Calculated by multiplying $491.86, the closing market price of our common stock on December 31, 2021, by the number of restricted shares that have not vested.</w:t>
      </w:r>
    </w:p>
    <w:p>
      <w:pPr>
        <w:spacing w:after="0" w:line="71" w:lineRule="exact"/>
        <w:rPr>
          <w:rFonts w:ascii="Arial" w:cs="Arial" w:eastAsia="Arial" w:hAnsi="Arial"/>
          <w:sz w:val="24"/>
          <w:szCs w:val="24"/>
          <w:color w:val="auto"/>
          <w:vertAlign w:val="superscript"/>
        </w:rPr>
      </w:pPr>
    </w:p>
    <w:p>
      <w:pPr>
        <w:ind w:left="540" w:hanging="424"/>
        <w:spacing w:after="0" w:line="189" w:lineRule="auto"/>
        <w:tabs>
          <w:tab w:leader="none" w:pos="540" w:val="left"/>
        </w:tabs>
        <w:numPr>
          <w:ilvl w:val="0"/>
          <w:numId w:val="79"/>
        </w:numPr>
        <w:rPr>
          <w:rFonts w:ascii="Arial" w:cs="Arial" w:eastAsia="Arial" w:hAnsi="Arial"/>
          <w:sz w:val="19"/>
          <w:szCs w:val="19"/>
          <w:color w:val="auto"/>
          <w:vertAlign w:val="superscript"/>
        </w:rPr>
      </w:pPr>
      <w:r>
        <w:rPr>
          <w:rFonts w:ascii="Arial" w:cs="Arial" w:eastAsia="Arial" w:hAnsi="Arial"/>
          <w:sz w:val="12"/>
          <w:szCs w:val="12"/>
          <w:color w:val="auto"/>
        </w:rPr>
        <w:t>These stock options were granted on January 15, 2019 with unexercisable shares vesting in January 2022.</w:t>
      </w:r>
    </w:p>
    <w:p>
      <w:pPr>
        <w:spacing w:after="0" w:line="70" w:lineRule="exact"/>
        <w:rPr>
          <w:rFonts w:ascii="Arial" w:cs="Arial" w:eastAsia="Arial" w:hAnsi="Arial"/>
          <w:sz w:val="19"/>
          <w:szCs w:val="19"/>
          <w:color w:val="auto"/>
          <w:vertAlign w:val="superscript"/>
        </w:rPr>
      </w:pPr>
    </w:p>
    <w:p>
      <w:pPr>
        <w:ind w:left="540" w:hanging="424"/>
        <w:spacing w:after="0" w:line="189" w:lineRule="auto"/>
        <w:tabs>
          <w:tab w:leader="none" w:pos="540" w:val="left"/>
        </w:tabs>
        <w:numPr>
          <w:ilvl w:val="0"/>
          <w:numId w:val="79"/>
        </w:numPr>
        <w:rPr>
          <w:rFonts w:ascii="Arial" w:cs="Arial" w:eastAsia="Arial" w:hAnsi="Arial"/>
          <w:sz w:val="19"/>
          <w:szCs w:val="19"/>
          <w:color w:val="auto"/>
          <w:vertAlign w:val="superscript"/>
        </w:rPr>
      </w:pPr>
      <w:r>
        <w:rPr>
          <w:rFonts w:ascii="Arial" w:cs="Arial" w:eastAsia="Arial" w:hAnsi="Arial"/>
          <w:sz w:val="12"/>
          <w:szCs w:val="12"/>
          <w:color w:val="auto"/>
        </w:rPr>
        <w:t>These stock options were granted on January 14, 2020 with unexercisable shares vesting in January 2023.</w:t>
      </w:r>
    </w:p>
    <w:p>
      <w:pPr>
        <w:spacing w:after="0" w:line="70" w:lineRule="exact"/>
        <w:rPr>
          <w:rFonts w:ascii="Arial" w:cs="Arial" w:eastAsia="Arial" w:hAnsi="Arial"/>
          <w:sz w:val="19"/>
          <w:szCs w:val="19"/>
          <w:color w:val="auto"/>
          <w:vertAlign w:val="superscript"/>
        </w:rPr>
      </w:pPr>
    </w:p>
    <w:p>
      <w:pPr>
        <w:ind w:left="540" w:hanging="424"/>
        <w:spacing w:after="0" w:line="189" w:lineRule="auto"/>
        <w:tabs>
          <w:tab w:leader="none" w:pos="540" w:val="left"/>
        </w:tabs>
        <w:numPr>
          <w:ilvl w:val="0"/>
          <w:numId w:val="79"/>
        </w:numPr>
        <w:rPr>
          <w:rFonts w:ascii="Arial" w:cs="Arial" w:eastAsia="Arial" w:hAnsi="Arial"/>
          <w:sz w:val="19"/>
          <w:szCs w:val="19"/>
          <w:color w:val="auto"/>
          <w:vertAlign w:val="superscript"/>
        </w:rPr>
      </w:pPr>
      <w:r>
        <w:rPr>
          <w:rFonts w:ascii="Arial" w:cs="Arial" w:eastAsia="Arial" w:hAnsi="Arial"/>
          <w:sz w:val="12"/>
          <w:szCs w:val="12"/>
          <w:color w:val="auto"/>
        </w:rPr>
        <w:t>These stock options were granted on January 13, 2021 with unexercisable shares vesting in January 2024.</w:t>
      </w:r>
    </w:p>
    <w:p>
      <w:pPr>
        <w:spacing w:after="0" w:line="70" w:lineRule="exact"/>
        <w:rPr>
          <w:rFonts w:ascii="Arial" w:cs="Arial" w:eastAsia="Arial" w:hAnsi="Arial"/>
          <w:sz w:val="19"/>
          <w:szCs w:val="19"/>
          <w:color w:val="auto"/>
          <w:vertAlign w:val="superscript"/>
        </w:rPr>
      </w:pPr>
    </w:p>
    <w:p>
      <w:pPr>
        <w:ind w:left="540" w:hanging="424"/>
        <w:spacing w:after="0" w:line="189" w:lineRule="auto"/>
        <w:tabs>
          <w:tab w:leader="none" w:pos="540" w:val="left"/>
        </w:tabs>
        <w:numPr>
          <w:ilvl w:val="0"/>
          <w:numId w:val="79"/>
        </w:numPr>
        <w:rPr>
          <w:rFonts w:ascii="Arial" w:cs="Arial" w:eastAsia="Arial" w:hAnsi="Arial"/>
          <w:sz w:val="19"/>
          <w:szCs w:val="19"/>
          <w:color w:val="auto"/>
          <w:vertAlign w:val="superscript"/>
        </w:rPr>
      </w:pPr>
      <w:r>
        <w:rPr>
          <w:rFonts w:ascii="Arial" w:cs="Arial" w:eastAsia="Arial" w:hAnsi="Arial"/>
          <w:sz w:val="12"/>
          <w:szCs w:val="12"/>
          <w:color w:val="auto"/>
        </w:rPr>
        <w:t>These stock options were granted on January 14, 2020 with unexercisable shares vesting in two equal installments in January 2022 and 2023.</w:t>
      </w:r>
    </w:p>
    <w:p>
      <w:pPr>
        <w:spacing w:after="0" w:line="153" w:lineRule="exact"/>
        <w:rPr>
          <w:sz w:val="20"/>
          <w:szCs w:val="20"/>
          <w:color w:val="auto"/>
        </w:rPr>
      </w:pPr>
    </w:p>
    <w:tbl>
      <w:tblPr>
        <w:tblLayout w:type="fixed"/>
        <w:tblInd w:w="6920" w:type="dxa"/>
        <w:tblCellMar>
          <w:top w:w="0" w:type="dxa"/>
          <w:left w:w="0" w:type="dxa"/>
          <w:bottom w:w="0" w:type="dxa"/>
          <w:right w:w="0" w:type="dxa"/>
        </w:tblCellMar>
      </w:tblPr>
      <w:tr>
        <w:trPr>
          <w:trHeight w:val="27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005CB9"/>
              </w:rPr>
              <w:t>43</w:t>
            </w:r>
          </w:p>
        </w:tc>
      </w:tr>
      <w:tr>
        <w:trPr>
          <w:trHeight w:val="101"/>
        </w:trPr>
        <w:tc>
          <w:tcPr>
            <w:tcW w:w="3900" w:type="dxa"/>
            <w:vAlign w:val="bottom"/>
            <w:tcBorders>
              <w:right w:val="single" w:sz="8" w:color="005CB9"/>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-205105</wp:posOffset>
            </wp:positionV>
            <wp:extent cx="428625"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64" w:lineRule="exact"/>
        <w:rPr>
          <w:sz w:val="20"/>
          <w:szCs w:val="20"/>
          <w:color w:val="auto"/>
        </w:rPr>
      </w:pPr>
    </w:p>
    <w:p>
      <w:pPr>
        <w:ind w:left="540" w:hanging="424"/>
        <w:spacing w:after="0"/>
        <w:tabs>
          <w:tab w:leader="none" w:pos="540" w:val="left"/>
        </w:tabs>
        <w:numPr>
          <w:ilvl w:val="0"/>
          <w:numId w:val="80"/>
        </w:numPr>
        <w:rPr>
          <w:rFonts w:ascii="Arial" w:cs="Arial" w:eastAsia="Arial" w:hAnsi="Arial"/>
          <w:sz w:val="24"/>
          <w:szCs w:val="24"/>
          <w:color w:val="auto"/>
          <w:vertAlign w:val="superscript"/>
        </w:rPr>
      </w:pPr>
      <w:r>
        <w:rPr>
          <w:rFonts w:ascii="Arial" w:cs="Arial" w:eastAsia="Arial" w:hAnsi="Arial"/>
          <w:sz w:val="14"/>
          <w:szCs w:val="14"/>
          <w:color w:val="auto"/>
        </w:rPr>
        <w:t>These stock options were granted on January 13, 2021 with unexercisable shares vesting in two equal installments in January 2023 and 2024.</w:t>
      </w:r>
    </w:p>
    <w:p>
      <w:pPr>
        <w:spacing w:after="0" w:line="70" w:lineRule="exact"/>
        <w:rPr>
          <w:rFonts w:ascii="Arial" w:cs="Arial" w:eastAsia="Arial" w:hAnsi="Arial"/>
          <w:sz w:val="24"/>
          <w:szCs w:val="24"/>
          <w:color w:val="auto"/>
          <w:vertAlign w:val="superscript"/>
        </w:rPr>
      </w:pPr>
    </w:p>
    <w:p>
      <w:pPr>
        <w:ind w:left="540" w:right="160" w:hanging="424"/>
        <w:spacing w:after="0" w:line="183" w:lineRule="auto"/>
        <w:tabs>
          <w:tab w:leader="none" w:pos="540" w:val="left"/>
        </w:tabs>
        <w:numPr>
          <w:ilvl w:val="0"/>
          <w:numId w:val="80"/>
        </w:numPr>
        <w:rPr>
          <w:rFonts w:ascii="Arial" w:cs="Arial" w:eastAsia="Arial" w:hAnsi="Arial"/>
          <w:sz w:val="24"/>
          <w:szCs w:val="24"/>
          <w:color w:val="auto"/>
          <w:vertAlign w:val="superscript"/>
        </w:rPr>
      </w:pPr>
      <w:r>
        <w:rPr>
          <w:rFonts w:ascii="Arial" w:cs="Arial" w:eastAsia="Arial" w:hAnsi="Arial"/>
          <w:sz w:val="14"/>
          <w:szCs w:val="14"/>
          <w:color w:val="auto"/>
        </w:rPr>
        <w:t>This represents multiple restricted stock awards with the remaining shares of each grant vesting, subject to certification that applicable Company performance conditions have been met, as follows:</w:t>
      </w:r>
    </w:p>
    <w:p>
      <w:pPr>
        <w:ind w:left="880" w:hanging="332"/>
        <w:spacing w:after="0" w:line="212" w:lineRule="auto"/>
        <w:tabs>
          <w:tab w:leader="none" w:pos="88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35,136 shares granted on January 14, 2020 and vesting in November 2022; and</w:t>
      </w:r>
    </w:p>
    <w:p>
      <w:pPr>
        <w:ind w:left="880" w:hanging="332"/>
        <w:spacing w:after="0" w:line="211" w:lineRule="auto"/>
        <w:tabs>
          <w:tab w:leader="none" w:pos="880" w:val="left"/>
        </w:tabs>
        <w:numPr>
          <w:ilvl w:val="1"/>
          <w:numId w:val="82"/>
        </w:numPr>
        <w:rPr>
          <w:rFonts w:ascii="Arial" w:cs="Arial" w:eastAsia="Arial" w:hAnsi="Arial"/>
          <w:sz w:val="24"/>
          <w:szCs w:val="24"/>
          <w:color w:val="auto"/>
          <w:vertAlign w:val="superscript"/>
        </w:rPr>
      </w:pPr>
      <w:r>
        <w:rPr>
          <w:rFonts w:ascii="Arial" w:cs="Arial" w:eastAsia="Arial" w:hAnsi="Arial"/>
          <w:sz w:val="14"/>
          <w:szCs w:val="14"/>
          <w:color w:val="auto"/>
        </w:rPr>
        <w:t>31,336 shares granted on January 13, 2021 and vesting in November 2023.</w:t>
      </w:r>
    </w:p>
    <w:p>
      <w:pPr>
        <w:spacing w:after="0" w:line="71" w:lineRule="exact"/>
        <w:rPr>
          <w:rFonts w:ascii="Arial" w:cs="Arial" w:eastAsia="Arial" w:hAnsi="Arial"/>
          <w:sz w:val="24"/>
          <w:szCs w:val="24"/>
          <w:color w:val="auto"/>
          <w:vertAlign w:val="superscript"/>
        </w:rPr>
      </w:pPr>
    </w:p>
    <w:p>
      <w:pPr>
        <w:ind w:left="540" w:right="160" w:hanging="424"/>
        <w:spacing w:after="0" w:line="183" w:lineRule="auto"/>
        <w:tabs>
          <w:tab w:leader="none" w:pos="540" w:val="left"/>
        </w:tabs>
        <w:numPr>
          <w:ilvl w:val="0"/>
          <w:numId w:val="83"/>
        </w:numPr>
        <w:rPr>
          <w:rFonts w:ascii="Arial" w:cs="Arial" w:eastAsia="Arial" w:hAnsi="Arial"/>
          <w:sz w:val="24"/>
          <w:szCs w:val="24"/>
          <w:color w:val="auto"/>
          <w:vertAlign w:val="superscript"/>
        </w:rPr>
      </w:pPr>
      <w:r>
        <w:rPr>
          <w:rFonts w:ascii="Arial" w:cs="Arial" w:eastAsia="Arial" w:hAnsi="Arial"/>
          <w:sz w:val="14"/>
          <w:szCs w:val="14"/>
          <w:color w:val="auto"/>
        </w:rPr>
        <w:t>This represents multiple restricted stock awards with the remaining shares of each grant vesting, subject to certification that applicable Company performance conditions have been met, as follows:</w:t>
      </w:r>
    </w:p>
    <w:p>
      <w:pPr>
        <w:spacing w:after="0" w:line="1" w:lineRule="exact"/>
        <w:rPr>
          <w:rFonts w:ascii="Arial" w:cs="Arial" w:eastAsia="Arial" w:hAnsi="Arial"/>
          <w:sz w:val="24"/>
          <w:szCs w:val="24"/>
          <w:color w:val="auto"/>
          <w:vertAlign w:val="superscript"/>
        </w:rPr>
      </w:pPr>
    </w:p>
    <w:p>
      <w:pPr>
        <w:ind w:left="880" w:hanging="332"/>
        <w:spacing w:after="0" w:line="211" w:lineRule="auto"/>
        <w:tabs>
          <w:tab w:leader="none" w:pos="880" w:val="left"/>
        </w:tabs>
        <w:numPr>
          <w:ilvl w:val="1"/>
          <w:numId w:val="83"/>
        </w:numPr>
        <w:rPr>
          <w:rFonts w:ascii="Arial" w:cs="Arial" w:eastAsia="Arial" w:hAnsi="Arial"/>
          <w:sz w:val="24"/>
          <w:szCs w:val="24"/>
          <w:color w:val="auto"/>
          <w:vertAlign w:val="superscript"/>
        </w:rPr>
      </w:pPr>
      <w:r>
        <w:rPr>
          <w:rFonts w:ascii="Arial" w:cs="Arial" w:eastAsia="Arial" w:hAnsi="Arial"/>
          <w:sz w:val="14"/>
          <w:szCs w:val="14"/>
          <w:color w:val="auto"/>
        </w:rPr>
        <w:t>5,512 shares remaining from 11,023 shares granted on January 14, 2020 and vesting in November 2022; and</w:t>
      </w:r>
    </w:p>
    <w:p>
      <w:pPr>
        <w:ind w:left="880" w:hanging="332"/>
        <w:spacing w:after="0" w:line="211" w:lineRule="auto"/>
        <w:tabs>
          <w:tab w:leader="none" w:pos="880" w:val="left"/>
        </w:tabs>
        <w:numPr>
          <w:ilvl w:val="1"/>
          <w:numId w:val="84"/>
        </w:numPr>
        <w:rPr>
          <w:rFonts w:ascii="Arial" w:cs="Arial" w:eastAsia="Arial" w:hAnsi="Arial"/>
          <w:sz w:val="24"/>
          <w:szCs w:val="24"/>
          <w:color w:val="auto"/>
          <w:vertAlign w:val="superscript"/>
        </w:rPr>
      </w:pPr>
      <w:r>
        <w:rPr>
          <w:rFonts w:ascii="Arial" w:cs="Arial" w:eastAsia="Arial" w:hAnsi="Arial"/>
          <w:sz w:val="14"/>
          <w:szCs w:val="14"/>
          <w:color w:val="auto"/>
        </w:rPr>
        <w:t>9,914 shares granted on January 13, 2021 and vesting in two equal installments in November 2022 and November 2023.</w:t>
      </w:r>
    </w:p>
    <w:p>
      <w:pPr>
        <w:spacing w:after="0" w:line="71" w:lineRule="exact"/>
        <w:rPr>
          <w:rFonts w:ascii="Arial" w:cs="Arial" w:eastAsia="Arial" w:hAnsi="Arial"/>
          <w:sz w:val="24"/>
          <w:szCs w:val="24"/>
          <w:color w:val="auto"/>
          <w:vertAlign w:val="superscript"/>
        </w:rPr>
      </w:pPr>
    </w:p>
    <w:p>
      <w:pPr>
        <w:ind w:left="540" w:right="160" w:hanging="424"/>
        <w:spacing w:after="0" w:line="183" w:lineRule="auto"/>
        <w:tabs>
          <w:tab w:leader="none" w:pos="540" w:val="left"/>
        </w:tabs>
        <w:numPr>
          <w:ilvl w:val="0"/>
          <w:numId w:val="85"/>
        </w:numPr>
        <w:rPr>
          <w:rFonts w:ascii="Arial" w:cs="Arial" w:eastAsia="Arial" w:hAnsi="Arial"/>
          <w:sz w:val="24"/>
          <w:szCs w:val="24"/>
          <w:color w:val="auto"/>
          <w:vertAlign w:val="superscript"/>
        </w:rPr>
      </w:pPr>
      <w:r>
        <w:rPr>
          <w:rFonts w:ascii="Arial" w:cs="Arial" w:eastAsia="Arial" w:hAnsi="Arial"/>
          <w:sz w:val="14"/>
          <w:szCs w:val="14"/>
          <w:color w:val="auto"/>
        </w:rPr>
        <w:t>This represents multiple restricted stock awards with the remaining shares of each grant vesting, subject to certification that applicable Company performance conditions have been met, as follows:</w:t>
      </w:r>
    </w:p>
    <w:p>
      <w:pPr>
        <w:spacing w:after="0" w:line="1" w:lineRule="exact"/>
        <w:rPr>
          <w:rFonts w:ascii="Arial" w:cs="Arial" w:eastAsia="Arial" w:hAnsi="Arial"/>
          <w:sz w:val="24"/>
          <w:szCs w:val="24"/>
          <w:color w:val="auto"/>
          <w:vertAlign w:val="superscript"/>
        </w:rPr>
      </w:pPr>
    </w:p>
    <w:p>
      <w:pPr>
        <w:ind w:left="880" w:hanging="332"/>
        <w:spacing w:after="0" w:line="211" w:lineRule="auto"/>
        <w:tabs>
          <w:tab w:leader="none" w:pos="880" w:val="left"/>
        </w:tabs>
        <w:numPr>
          <w:ilvl w:val="1"/>
          <w:numId w:val="85"/>
        </w:numPr>
        <w:rPr>
          <w:rFonts w:ascii="Arial" w:cs="Arial" w:eastAsia="Arial" w:hAnsi="Arial"/>
          <w:sz w:val="24"/>
          <w:szCs w:val="24"/>
          <w:color w:val="auto"/>
          <w:vertAlign w:val="superscript"/>
        </w:rPr>
      </w:pPr>
      <w:r>
        <w:rPr>
          <w:rFonts w:ascii="Arial" w:cs="Arial" w:eastAsia="Arial" w:hAnsi="Arial"/>
          <w:sz w:val="14"/>
          <w:szCs w:val="14"/>
          <w:color w:val="auto"/>
        </w:rPr>
        <w:t>3,307 shares remaining from 6,614 shares granted on January 14, 2020 and vesting in November 2022; and</w:t>
      </w:r>
    </w:p>
    <w:p>
      <w:pPr>
        <w:ind w:left="880" w:hanging="332"/>
        <w:spacing w:after="0" w:line="211" w:lineRule="auto"/>
        <w:tabs>
          <w:tab w:leader="none" w:pos="880" w:val="left"/>
        </w:tabs>
        <w:numPr>
          <w:ilvl w:val="1"/>
          <w:numId w:val="86"/>
        </w:numPr>
        <w:rPr>
          <w:rFonts w:ascii="Arial" w:cs="Arial" w:eastAsia="Arial" w:hAnsi="Arial"/>
          <w:sz w:val="24"/>
          <w:szCs w:val="24"/>
          <w:color w:val="auto"/>
          <w:vertAlign w:val="superscript"/>
        </w:rPr>
      </w:pPr>
      <w:r>
        <w:rPr>
          <w:rFonts w:ascii="Arial" w:cs="Arial" w:eastAsia="Arial" w:hAnsi="Arial"/>
          <w:sz w:val="14"/>
          <w:szCs w:val="14"/>
          <w:color w:val="auto"/>
        </w:rPr>
        <w:t>5,901 shares granted on January 13, 2021 and vesting in two equal installments in November 2022 and November 2023.</w:t>
      </w:r>
    </w:p>
    <w:p>
      <w:pPr>
        <w:spacing w:after="0" w:line="71" w:lineRule="exact"/>
        <w:rPr>
          <w:rFonts w:ascii="Arial" w:cs="Arial" w:eastAsia="Arial" w:hAnsi="Arial"/>
          <w:sz w:val="24"/>
          <w:szCs w:val="24"/>
          <w:color w:val="auto"/>
          <w:vertAlign w:val="superscript"/>
        </w:rPr>
      </w:pPr>
    </w:p>
    <w:p>
      <w:pPr>
        <w:ind w:left="540" w:right="160" w:hanging="424"/>
        <w:spacing w:after="0" w:line="183" w:lineRule="auto"/>
        <w:tabs>
          <w:tab w:leader="none" w:pos="54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This represents multiple restricted stock awards with the remaining shares of each grant vesting, subject to certification that applicable Company performance conditions have been met, as follows:</w:t>
      </w:r>
    </w:p>
    <w:p>
      <w:pPr>
        <w:spacing w:after="0" w:line="1" w:lineRule="exact"/>
        <w:rPr>
          <w:rFonts w:ascii="Arial" w:cs="Arial" w:eastAsia="Arial" w:hAnsi="Arial"/>
          <w:sz w:val="24"/>
          <w:szCs w:val="24"/>
          <w:color w:val="auto"/>
          <w:vertAlign w:val="superscript"/>
        </w:rPr>
      </w:pPr>
    </w:p>
    <w:p>
      <w:pPr>
        <w:ind w:left="880" w:hanging="332"/>
        <w:spacing w:after="0" w:line="211" w:lineRule="auto"/>
        <w:tabs>
          <w:tab w:leader="none" w:pos="880" w:val="left"/>
        </w:tabs>
        <w:numPr>
          <w:ilvl w:val="1"/>
          <w:numId w:val="87"/>
        </w:numPr>
        <w:rPr>
          <w:rFonts w:ascii="Arial" w:cs="Arial" w:eastAsia="Arial" w:hAnsi="Arial"/>
          <w:sz w:val="24"/>
          <w:szCs w:val="24"/>
          <w:color w:val="auto"/>
          <w:vertAlign w:val="superscript"/>
        </w:rPr>
      </w:pPr>
      <w:r>
        <w:rPr>
          <w:rFonts w:ascii="Arial" w:cs="Arial" w:eastAsia="Arial" w:hAnsi="Arial"/>
          <w:sz w:val="14"/>
          <w:szCs w:val="14"/>
          <w:color w:val="auto"/>
        </w:rPr>
        <w:t>3,307 shares remaining from 6,614 shares granted on January 14, 2020 and vesting in November 2022; and</w:t>
      </w:r>
    </w:p>
    <w:p>
      <w:pPr>
        <w:ind w:left="880" w:hanging="332"/>
        <w:spacing w:after="0" w:line="211" w:lineRule="auto"/>
        <w:tabs>
          <w:tab w:leader="none" w:pos="880" w:val="left"/>
        </w:tabs>
        <w:numPr>
          <w:ilvl w:val="1"/>
          <w:numId w:val="88"/>
        </w:numPr>
        <w:rPr>
          <w:rFonts w:ascii="Arial" w:cs="Arial" w:eastAsia="Arial" w:hAnsi="Arial"/>
          <w:sz w:val="24"/>
          <w:szCs w:val="24"/>
          <w:color w:val="auto"/>
          <w:vertAlign w:val="superscript"/>
        </w:rPr>
      </w:pPr>
      <w:r>
        <w:rPr>
          <w:rFonts w:ascii="Arial" w:cs="Arial" w:eastAsia="Arial" w:hAnsi="Arial"/>
          <w:sz w:val="14"/>
          <w:szCs w:val="14"/>
          <w:color w:val="auto"/>
        </w:rPr>
        <w:t>5,960 shares granted on January 13, 2021 and vesting in two equal installments in November 2022 and November 2023.</w:t>
      </w:r>
    </w:p>
    <w:p>
      <w:pPr>
        <w:spacing w:after="0" w:line="71" w:lineRule="exact"/>
        <w:rPr>
          <w:rFonts w:ascii="Arial" w:cs="Arial" w:eastAsia="Arial" w:hAnsi="Arial"/>
          <w:sz w:val="24"/>
          <w:szCs w:val="24"/>
          <w:color w:val="auto"/>
          <w:vertAlign w:val="superscript"/>
        </w:rPr>
      </w:pPr>
    </w:p>
    <w:p>
      <w:pPr>
        <w:ind w:left="540" w:hanging="424"/>
        <w:spacing w:after="0" w:line="189" w:lineRule="auto"/>
        <w:tabs>
          <w:tab w:leader="none" w:pos="540" w:val="left"/>
        </w:tabs>
        <w:numPr>
          <w:ilvl w:val="0"/>
          <w:numId w:val="89"/>
        </w:numPr>
        <w:rPr>
          <w:rFonts w:ascii="Arial" w:cs="Arial" w:eastAsia="Arial" w:hAnsi="Arial"/>
          <w:sz w:val="19"/>
          <w:szCs w:val="19"/>
          <w:color w:val="auto"/>
          <w:vertAlign w:val="superscript"/>
        </w:rPr>
      </w:pPr>
      <w:r>
        <w:rPr>
          <w:rFonts w:ascii="Arial" w:cs="Arial" w:eastAsia="Arial" w:hAnsi="Arial"/>
          <w:sz w:val="12"/>
          <w:szCs w:val="12"/>
          <w:color w:val="auto"/>
        </w:rPr>
        <w:t>For all restricted stock awards granted, the vesting only occurs if the Compensation Committee certifies our Company’s attainment of related performance goals.</w:t>
      </w:r>
    </w:p>
    <w:p>
      <w:pPr>
        <w:spacing w:after="0" w:line="153" w:lineRule="exact"/>
        <w:rPr>
          <w:sz w:val="20"/>
          <w:szCs w:val="20"/>
          <w:color w:val="auto"/>
        </w:rPr>
      </w:pPr>
    </w:p>
    <w:tbl>
      <w:tblPr>
        <w:tblLayout w:type="fixed"/>
        <w:tblInd w:w="120" w:type="dxa"/>
        <w:tblCellMar>
          <w:top w:w="0" w:type="dxa"/>
          <w:left w:w="0" w:type="dxa"/>
          <w:bottom w:w="0" w:type="dxa"/>
          <w:right w:w="0" w:type="dxa"/>
        </w:tblCellMar>
      </w:tblPr>
      <w:tr>
        <w:trPr>
          <w:trHeight w:val="271"/>
        </w:trPr>
        <w:tc>
          <w:tcPr>
            <w:tcW w:w="440" w:type="dxa"/>
            <w:vAlign w:val="bottom"/>
            <w:tcBorders>
              <w:right w:val="single" w:sz="8" w:color="005CB9"/>
            </w:tcBorders>
          </w:tcPr>
          <w:p>
            <w:pPr>
              <w:jc w:val="right"/>
              <w:ind w:right="179"/>
              <w:spacing w:after="0"/>
              <w:rPr>
                <w:sz w:val="20"/>
                <w:szCs w:val="20"/>
                <w:color w:val="auto"/>
              </w:rPr>
            </w:pPr>
            <w:r>
              <w:rPr>
                <w:rFonts w:ascii="Arial" w:cs="Arial" w:eastAsia="Arial" w:hAnsi="Arial"/>
                <w:sz w:val="16"/>
                <w:szCs w:val="16"/>
                <w:b w:val="1"/>
                <w:bCs w:val="1"/>
                <w:color w:val="005CB9"/>
                <w:w w:val="89"/>
              </w:rPr>
              <w:t>44</w:t>
            </w:r>
          </w:p>
        </w:tc>
        <w:tc>
          <w:tcPr>
            <w:tcW w:w="4700" w:type="dxa"/>
            <w:vAlign w:val="bottom"/>
          </w:tcPr>
          <w:p>
            <w:pPr>
              <w:ind w:left="106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0"/>
        </w:trPr>
        <w:tc>
          <w:tcPr>
            <w:tcW w:w="440" w:type="dxa"/>
            <w:vAlign w:val="bottom"/>
            <w:tcBorders>
              <w:right w:val="single" w:sz="8" w:color="005CB9"/>
            </w:tcBorders>
          </w:tcPr>
          <w:p>
            <w:pPr>
              <w:spacing w:after="0"/>
              <w:rPr>
                <w:sz w:val="8"/>
                <w:szCs w:val="8"/>
                <w:color w:val="auto"/>
              </w:rPr>
            </w:pPr>
          </w:p>
        </w:tc>
        <w:tc>
          <w:tcPr>
            <w:tcW w:w="47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-205105</wp:posOffset>
            </wp:positionV>
            <wp:extent cx="428625"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0740"/>
          </w:cols>
          <w:pgMar w:left="320" w:top="459" w:right="8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Option Exercises and Stock Vested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840" w:type="dxa"/>
            <w:vAlign w:val="bottom"/>
            <w:shd w:val="clear" w:color="auto" w:fill="005CB9"/>
          </w:tcPr>
          <w:p>
            <w:pPr>
              <w:spacing w:after="0"/>
              <w:rPr>
                <w:sz w:val="15"/>
                <w:szCs w:val="15"/>
                <w:color w:val="auto"/>
              </w:rPr>
            </w:pPr>
          </w:p>
        </w:tc>
        <w:tc>
          <w:tcPr>
            <w:tcW w:w="4520" w:type="dxa"/>
            <w:vAlign w:val="bottom"/>
            <w:gridSpan w:val="2"/>
            <w:shd w:val="clear" w:color="auto" w:fill="005CB9"/>
          </w:tcPr>
          <w:p>
            <w:pPr>
              <w:jc w:val="right"/>
              <w:ind w:right="1559"/>
              <w:spacing w:after="0"/>
              <w:rPr>
                <w:sz w:val="20"/>
                <w:szCs w:val="20"/>
                <w:color w:val="auto"/>
              </w:rPr>
            </w:pPr>
            <w:r>
              <w:rPr>
                <w:rFonts w:ascii="Arial" w:cs="Arial" w:eastAsia="Arial" w:hAnsi="Arial"/>
                <w:sz w:val="14"/>
                <w:szCs w:val="14"/>
                <w:color w:val="FFFFFF"/>
              </w:rPr>
              <w:t>Option Awards</w:t>
            </w:r>
          </w:p>
        </w:tc>
        <w:tc>
          <w:tcPr>
            <w:tcW w:w="3660" w:type="dxa"/>
            <w:vAlign w:val="bottom"/>
            <w:gridSpan w:val="2"/>
            <w:shd w:val="clear" w:color="auto" w:fill="005CB9"/>
          </w:tcPr>
          <w:p>
            <w:pPr>
              <w:jc w:val="right"/>
              <w:ind w:right="1259"/>
              <w:spacing w:after="0"/>
              <w:rPr>
                <w:sz w:val="20"/>
                <w:szCs w:val="20"/>
                <w:color w:val="auto"/>
              </w:rPr>
            </w:pPr>
            <w:r>
              <w:rPr>
                <w:rFonts w:ascii="Arial" w:cs="Arial" w:eastAsia="Arial" w:hAnsi="Arial"/>
                <w:sz w:val="14"/>
                <w:szCs w:val="14"/>
                <w:color w:val="FFFFFF"/>
              </w:rPr>
              <w:t>Stock Awards</w:t>
            </w:r>
          </w:p>
        </w:tc>
        <w:tc>
          <w:tcPr>
            <w:tcW w:w="0" w:type="dxa"/>
            <w:vAlign w:val="bottom"/>
          </w:tcPr>
          <w:p>
            <w:pPr>
              <w:spacing w:after="0"/>
              <w:rPr>
                <w:sz w:val="1"/>
                <w:szCs w:val="1"/>
                <w:color w:val="auto"/>
              </w:rPr>
            </w:pPr>
          </w:p>
        </w:tc>
      </w:tr>
      <w:tr>
        <w:trPr>
          <w:trHeight w:val="167"/>
        </w:trPr>
        <w:tc>
          <w:tcPr>
            <w:tcW w:w="2840" w:type="dxa"/>
            <w:vAlign w:val="bottom"/>
            <w:vMerge w:val="restart"/>
            <w:shd w:val="clear" w:color="auto" w:fill="005CB9"/>
          </w:tcPr>
          <w:p>
            <w:pPr>
              <w:ind w:left="100"/>
              <w:spacing w:after="0"/>
              <w:rPr>
                <w:sz w:val="20"/>
                <w:szCs w:val="20"/>
                <w:color w:val="auto"/>
              </w:rPr>
            </w:pPr>
            <w:r>
              <w:rPr>
                <w:rFonts w:ascii="Arial" w:cs="Arial" w:eastAsia="Arial" w:hAnsi="Arial"/>
                <w:sz w:val="14"/>
                <w:szCs w:val="14"/>
                <w:color w:val="FFFFFF"/>
              </w:rPr>
              <w:t>Name</w:t>
            </w:r>
          </w:p>
        </w:tc>
        <w:tc>
          <w:tcPr>
            <w:tcW w:w="2420" w:type="dxa"/>
            <w:vAlign w:val="bottom"/>
            <w:shd w:val="clear" w:color="auto" w:fill="005CB9"/>
          </w:tcPr>
          <w:p>
            <w:pPr>
              <w:jc w:val="right"/>
              <w:ind w:right="320"/>
              <w:spacing w:after="0"/>
              <w:rPr>
                <w:sz w:val="20"/>
                <w:szCs w:val="20"/>
                <w:color w:val="auto"/>
              </w:rPr>
            </w:pPr>
            <w:r>
              <w:rPr>
                <w:rFonts w:ascii="Arial" w:cs="Arial" w:eastAsia="Arial" w:hAnsi="Arial"/>
                <w:sz w:val="14"/>
                <w:szCs w:val="14"/>
                <w:color w:val="FFFFFF"/>
              </w:rPr>
              <w:t># of Shares Acquired</w:t>
            </w:r>
          </w:p>
        </w:tc>
        <w:tc>
          <w:tcPr>
            <w:tcW w:w="2100" w:type="dxa"/>
            <w:vAlign w:val="bottom"/>
            <w:shd w:val="clear" w:color="auto" w:fill="005CB9"/>
          </w:tcPr>
          <w:p>
            <w:pPr>
              <w:jc w:val="right"/>
              <w:ind w:right="299"/>
              <w:spacing w:after="0"/>
              <w:rPr>
                <w:sz w:val="20"/>
                <w:szCs w:val="20"/>
                <w:color w:val="auto"/>
              </w:rPr>
            </w:pPr>
            <w:r>
              <w:rPr>
                <w:rFonts w:ascii="Arial" w:cs="Arial" w:eastAsia="Arial" w:hAnsi="Arial"/>
                <w:sz w:val="14"/>
                <w:szCs w:val="14"/>
                <w:color w:val="FFFFFF"/>
              </w:rPr>
              <w:t>Value Realized Upon</w:t>
            </w:r>
          </w:p>
        </w:tc>
        <w:tc>
          <w:tcPr>
            <w:tcW w:w="1980" w:type="dxa"/>
            <w:vAlign w:val="bottom"/>
            <w:shd w:val="clear" w:color="auto" w:fill="005CB9"/>
          </w:tcPr>
          <w:p>
            <w:pPr>
              <w:jc w:val="right"/>
              <w:ind w:right="200"/>
              <w:spacing w:after="0"/>
              <w:rPr>
                <w:sz w:val="20"/>
                <w:szCs w:val="20"/>
                <w:color w:val="auto"/>
              </w:rPr>
            </w:pPr>
            <w:r>
              <w:rPr>
                <w:rFonts w:ascii="Arial" w:cs="Arial" w:eastAsia="Arial" w:hAnsi="Arial"/>
                <w:sz w:val="14"/>
                <w:szCs w:val="14"/>
                <w:color w:val="FFFFFF"/>
              </w:rPr>
              <w:t># of Shares Acquired</w:t>
            </w:r>
          </w:p>
        </w:tc>
        <w:tc>
          <w:tcPr>
            <w:tcW w:w="1680" w:type="dxa"/>
            <w:vAlign w:val="bottom"/>
            <w:shd w:val="clear" w:color="auto" w:fill="005CB9"/>
          </w:tcPr>
          <w:p>
            <w:pPr>
              <w:jc w:val="right"/>
              <w:ind w:right="179"/>
              <w:spacing w:after="0"/>
              <w:rPr>
                <w:sz w:val="20"/>
                <w:szCs w:val="20"/>
                <w:color w:val="auto"/>
              </w:rPr>
            </w:pPr>
            <w:r>
              <w:rPr>
                <w:rFonts w:ascii="Arial" w:cs="Arial" w:eastAsia="Arial" w:hAnsi="Arial"/>
                <w:sz w:val="14"/>
                <w:szCs w:val="14"/>
                <w:color w:val="FFFFFF"/>
              </w:rPr>
              <w:t>Value Realized on</w:t>
            </w:r>
          </w:p>
        </w:tc>
        <w:tc>
          <w:tcPr>
            <w:tcW w:w="0" w:type="dxa"/>
            <w:vAlign w:val="bottom"/>
          </w:tcPr>
          <w:p>
            <w:pPr>
              <w:spacing w:after="0"/>
              <w:rPr>
                <w:sz w:val="1"/>
                <w:szCs w:val="1"/>
                <w:color w:val="auto"/>
              </w:rPr>
            </w:pPr>
          </w:p>
        </w:tc>
      </w:tr>
      <w:tr>
        <w:trPr>
          <w:trHeight w:val="157"/>
        </w:trPr>
        <w:tc>
          <w:tcPr>
            <w:tcW w:w="2840" w:type="dxa"/>
            <w:vAlign w:val="bottom"/>
            <w:vMerge w:val="continue"/>
            <w:shd w:val="clear" w:color="auto" w:fill="005CB9"/>
          </w:tcPr>
          <w:p>
            <w:pPr>
              <w:spacing w:after="0"/>
              <w:rPr>
                <w:sz w:val="13"/>
                <w:szCs w:val="13"/>
                <w:color w:val="auto"/>
              </w:rPr>
            </w:pPr>
          </w:p>
        </w:tc>
        <w:tc>
          <w:tcPr>
            <w:tcW w:w="2420" w:type="dxa"/>
            <w:vAlign w:val="bottom"/>
            <w:shd w:val="clear" w:color="auto" w:fill="005CB9"/>
          </w:tcPr>
          <w:p>
            <w:pPr>
              <w:jc w:val="right"/>
              <w:ind w:right="320"/>
              <w:spacing w:after="0" w:line="157" w:lineRule="exact"/>
              <w:rPr>
                <w:sz w:val="20"/>
                <w:szCs w:val="20"/>
                <w:color w:val="auto"/>
              </w:rPr>
            </w:pPr>
            <w:r>
              <w:rPr>
                <w:rFonts w:ascii="Arial" w:cs="Arial" w:eastAsia="Arial" w:hAnsi="Arial"/>
                <w:sz w:val="14"/>
                <w:szCs w:val="14"/>
                <w:color w:val="FFFFFF"/>
              </w:rPr>
              <w:t>on Exercise</w:t>
            </w:r>
          </w:p>
        </w:tc>
        <w:tc>
          <w:tcPr>
            <w:tcW w:w="2100" w:type="dxa"/>
            <w:vAlign w:val="bottom"/>
            <w:shd w:val="clear" w:color="auto" w:fill="005CB9"/>
          </w:tcPr>
          <w:p>
            <w:pPr>
              <w:jc w:val="right"/>
              <w:ind w:right="299"/>
              <w:spacing w:after="0" w:line="157" w:lineRule="exact"/>
              <w:rPr>
                <w:sz w:val="20"/>
                <w:szCs w:val="20"/>
                <w:color w:val="auto"/>
              </w:rPr>
            </w:pPr>
            <w:r>
              <w:rPr>
                <w:rFonts w:ascii="Arial" w:cs="Arial" w:eastAsia="Arial" w:hAnsi="Arial"/>
                <w:sz w:val="14"/>
                <w:szCs w:val="14"/>
                <w:color w:val="FFFFFF"/>
              </w:rPr>
              <w:t>Exercise ($)</w:t>
            </w:r>
          </w:p>
        </w:tc>
        <w:tc>
          <w:tcPr>
            <w:tcW w:w="1980" w:type="dxa"/>
            <w:vAlign w:val="bottom"/>
            <w:shd w:val="clear" w:color="auto" w:fill="005CB9"/>
          </w:tcPr>
          <w:p>
            <w:pPr>
              <w:jc w:val="right"/>
              <w:ind w:right="200"/>
              <w:spacing w:after="0" w:line="157" w:lineRule="exact"/>
              <w:rPr>
                <w:sz w:val="20"/>
                <w:szCs w:val="20"/>
                <w:color w:val="auto"/>
              </w:rPr>
            </w:pPr>
            <w:r>
              <w:rPr>
                <w:rFonts w:ascii="Arial" w:cs="Arial" w:eastAsia="Arial" w:hAnsi="Arial"/>
                <w:sz w:val="14"/>
                <w:szCs w:val="14"/>
                <w:color w:val="FFFFFF"/>
              </w:rPr>
              <w:t>on Vesting</w:t>
            </w:r>
          </w:p>
        </w:tc>
        <w:tc>
          <w:tcPr>
            <w:tcW w:w="1680" w:type="dxa"/>
            <w:vAlign w:val="bottom"/>
            <w:shd w:val="clear" w:color="auto" w:fill="005CB9"/>
          </w:tcPr>
          <w:p>
            <w:pPr>
              <w:jc w:val="right"/>
              <w:ind w:right="179"/>
              <w:spacing w:after="0" w:line="157" w:lineRule="exact"/>
              <w:rPr>
                <w:sz w:val="20"/>
                <w:szCs w:val="20"/>
                <w:color w:val="auto"/>
              </w:rPr>
            </w:pPr>
            <w:r>
              <w:rPr>
                <w:rFonts w:ascii="Arial" w:cs="Arial" w:eastAsia="Arial" w:hAnsi="Arial"/>
                <w:sz w:val="14"/>
                <w:szCs w:val="14"/>
                <w:color w:val="FFFFFF"/>
              </w:rPr>
              <w:t>Vesting ($)</w:t>
            </w:r>
          </w:p>
        </w:tc>
        <w:tc>
          <w:tcPr>
            <w:tcW w:w="0" w:type="dxa"/>
            <w:vAlign w:val="bottom"/>
          </w:tcPr>
          <w:p>
            <w:pPr>
              <w:spacing w:after="0"/>
              <w:rPr>
                <w:sz w:val="1"/>
                <w:szCs w:val="1"/>
                <w:color w:val="auto"/>
              </w:rPr>
            </w:pPr>
          </w:p>
        </w:tc>
      </w:tr>
      <w:tr>
        <w:trPr>
          <w:trHeight w:val="256"/>
        </w:trPr>
        <w:tc>
          <w:tcPr>
            <w:tcW w:w="2840" w:type="dxa"/>
            <w:vAlign w:val="bottom"/>
            <w:shd w:val="clear" w:color="auto" w:fill="E5EEF8"/>
          </w:tcPr>
          <w:p>
            <w:pPr>
              <w:ind w:left="100"/>
              <w:spacing w:after="0"/>
              <w:rPr>
                <w:sz w:val="20"/>
                <w:szCs w:val="20"/>
                <w:color w:val="auto"/>
              </w:rPr>
            </w:pPr>
            <w:r>
              <w:rPr>
                <w:rFonts w:ascii="Arial" w:cs="Arial" w:eastAsia="Arial" w:hAnsi="Arial"/>
                <w:sz w:val="17"/>
                <w:szCs w:val="17"/>
                <w:color w:val="auto"/>
              </w:rPr>
              <w:t>L. Neil Hunn</w:t>
            </w:r>
          </w:p>
        </w:tc>
        <w:tc>
          <w:tcPr>
            <w:tcW w:w="2420" w:type="dxa"/>
            <w:vAlign w:val="bottom"/>
            <w:shd w:val="clear" w:color="auto" w:fill="E5EEF8"/>
          </w:tcPr>
          <w:p>
            <w:pPr>
              <w:jc w:val="right"/>
              <w:ind w:right="320"/>
              <w:spacing w:after="0"/>
              <w:rPr>
                <w:sz w:val="20"/>
                <w:szCs w:val="20"/>
                <w:color w:val="auto"/>
              </w:rPr>
            </w:pPr>
            <w:r>
              <w:rPr>
                <w:rFonts w:ascii="Arial" w:cs="Arial" w:eastAsia="Arial" w:hAnsi="Arial"/>
                <w:sz w:val="17"/>
                <w:szCs w:val="17"/>
                <w:color w:val="auto"/>
              </w:rPr>
              <w:t>-</w:t>
            </w:r>
          </w:p>
        </w:tc>
        <w:tc>
          <w:tcPr>
            <w:tcW w:w="2100" w:type="dxa"/>
            <w:vAlign w:val="bottom"/>
            <w:shd w:val="clear" w:color="auto" w:fill="E5EEF8"/>
          </w:tcPr>
          <w:p>
            <w:pPr>
              <w:jc w:val="right"/>
              <w:ind w:right="299"/>
              <w:spacing w:after="0"/>
              <w:rPr>
                <w:sz w:val="20"/>
                <w:szCs w:val="20"/>
                <w:color w:val="auto"/>
              </w:rPr>
            </w:pPr>
            <w:r>
              <w:rPr>
                <w:rFonts w:ascii="Arial" w:cs="Arial" w:eastAsia="Arial" w:hAnsi="Arial"/>
                <w:sz w:val="17"/>
                <w:szCs w:val="17"/>
                <w:color w:val="auto"/>
              </w:rPr>
              <w:t>-</w:t>
            </w:r>
          </w:p>
        </w:tc>
        <w:tc>
          <w:tcPr>
            <w:tcW w:w="1980" w:type="dxa"/>
            <w:vAlign w:val="bottom"/>
            <w:shd w:val="clear" w:color="auto" w:fill="E5EEF8"/>
          </w:tcPr>
          <w:p>
            <w:pPr>
              <w:jc w:val="right"/>
              <w:ind w:right="200"/>
              <w:spacing w:after="0"/>
              <w:rPr>
                <w:sz w:val="20"/>
                <w:szCs w:val="20"/>
                <w:color w:val="auto"/>
              </w:rPr>
            </w:pPr>
            <w:r>
              <w:rPr>
                <w:rFonts w:ascii="Arial" w:cs="Arial" w:eastAsia="Arial" w:hAnsi="Arial"/>
                <w:sz w:val="17"/>
                <w:szCs w:val="17"/>
                <w:color w:val="auto"/>
              </w:rPr>
              <w:t>45,000</w:t>
            </w:r>
          </w:p>
        </w:tc>
        <w:tc>
          <w:tcPr>
            <w:tcW w:w="1680" w:type="dxa"/>
            <w:vAlign w:val="bottom"/>
            <w:shd w:val="clear" w:color="auto" w:fill="E5EEF8"/>
          </w:tcPr>
          <w:p>
            <w:pPr>
              <w:jc w:val="right"/>
              <w:ind w:right="179"/>
              <w:spacing w:after="0"/>
              <w:rPr>
                <w:sz w:val="20"/>
                <w:szCs w:val="20"/>
                <w:color w:val="auto"/>
              </w:rPr>
            </w:pPr>
            <w:r>
              <w:rPr>
                <w:rFonts w:ascii="Arial" w:cs="Arial" w:eastAsia="Arial" w:hAnsi="Arial"/>
                <w:sz w:val="17"/>
                <w:szCs w:val="17"/>
                <w:color w:val="auto"/>
              </w:rPr>
              <w:t>22,022,100</w:t>
            </w:r>
          </w:p>
        </w:tc>
        <w:tc>
          <w:tcPr>
            <w:tcW w:w="0" w:type="dxa"/>
            <w:vAlign w:val="bottom"/>
          </w:tcPr>
          <w:p>
            <w:pPr>
              <w:spacing w:after="0"/>
              <w:rPr>
                <w:sz w:val="1"/>
                <w:szCs w:val="1"/>
                <w:color w:val="auto"/>
              </w:rPr>
            </w:pPr>
          </w:p>
        </w:tc>
      </w:tr>
      <w:tr>
        <w:trPr>
          <w:trHeight w:val="248"/>
        </w:trPr>
        <w:tc>
          <w:tcPr>
            <w:tcW w:w="2840" w:type="dxa"/>
            <w:vAlign w:val="bottom"/>
          </w:tcPr>
          <w:p>
            <w:pPr>
              <w:ind w:left="100"/>
              <w:spacing w:after="0"/>
              <w:rPr>
                <w:sz w:val="20"/>
                <w:szCs w:val="20"/>
                <w:color w:val="auto"/>
              </w:rPr>
            </w:pPr>
            <w:r>
              <w:rPr>
                <w:rFonts w:ascii="Arial" w:cs="Arial" w:eastAsia="Arial" w:hAnsi="Arial"/>
                <w:sz w:val="17"/>
                <w:szCs w:val="17"/>
                <w:color w:val="auto"/>
              </w:rPr>
              <w:t>Robert C. Crisci</w:t>
            </w:r>
          </w:p>
        </w:tc>
        <w:tc>
          <w:tcPr>
            <w:tcW w:w="2420" w:type="dxa"/>
            <w:vAlign w:val="bottom"/>
          </w:tcPr>
          <w:p>
            <w:pPr>
              <w:jc w:val="right"/>
              <w:ind w:right="320"/>
              <w:spacing w:after="0"/>
              <w:rPr>
                <w:sz w:val="20"/>
                <w:szCs w:val="20"/>
                <w:color w:val="auto"/>
              </w:rPr>
            </w:pPr>
            <w:r>
              <w:rPr>
                <w:rFonts w:ascii="Arial" w:cs="Arial" w:eastAsia="Arial" w:hAnsi="Arial"/>
                <w:sz w:val="17"/>
                <w:szCs w:val="17"/>
                <w:color w:val="auto"/>
              </w:rPr>
              <w:t>-</w:t>
            </w:r>
          </w:p>
        </w:tc>
        <w:tc>
          <w:tcPr>
            <w:tcW w:w="2100" w:type="dxa"/>
            <w:vAlign w:val="bottom"/>
          </w:tcPr>
          <w:p>
            <w:pPr>
              <w:jc w:val="right"/>
              <w:ind w:right="299"/>
              <w:spacing w:after="0"/>
              <w:rPr>
                <w:sz w:val="20"/>
                <w:szCs w:val="20"/>
                <w:color w:val="auto"/>
              </w:rPr>
            </w:pPr>
            <w:r>
              <w:rPr>
                <w:rFonts w:ascii="Arial" w:cs="Arial" w:eastAsia="Arial" w:hAnsi="Arial"/>
                <w:sz w:val="17"/>
                <w:szCs w:val="17"/>
                <w:color w:val="auto"/>
              </w:rPr>
              <w:t>-</w:t>
            </w:r>
          </w:p>
        </w:tc>
        <w:tc>
          <w:tcPr>
            <w:tcW w:w="1980" w:type="dxa"/>
            <w:vAlign w:val="bottom"/>
          </w:tcPr>
          <w:p>
            <w:pPr>
              <w:jc w:val="right"/>
              <w:ind w:right="200"/>
              <w:spacing w:after="0"/>
              <w:rPr>
                <w:sz w:val="20"/>
                <w:szCs w:val="20"/>
                <w:color w:val="auto"/>
              </w:rPr>
            </w:pPr>
            <w:r>
              <w:rPr>
                <w:rFonts w:ascii="Arial" w:cs="Arial" w:eastAsia="Arial" w:hAnsi="Arial"/>
                <w:sz w:val="17"/>
                <w:szCs w:val="17"/>
                <w:color w:val="auto"/>
              </w:rPr>
              <w:t>12,511</w:t>
            </w:r>
          </w:p>
        </w:tc>
        <w:tc>
          <w:tcPr>
            <w:tcW w:w="1680" w:type="dxa"/>
            <w:vAlign w:val="bottom"/>
          </w:tcPr>
          <w:p>
            <w:pPr>
              <w:jc w:val="right"/>
              <w:ind w:right="179"/>
              <w:spacing w:after="0"/>
              <w:rPr>
                <w:sz w:val="20"/>
                <w:szCs w:val="20"/>
                <w:color w:val="auto"/>
              </w:rPr>
            </w:pPr>
            <w:r>
              <w:rPr>
                <w:rFonts w:ascii="Arial" w:cs="Arial" w:eastAsia="Arial" w:hAnsi="Arial"/>
                <w:sz w:val="17"/>
                <w:szCs w:val="17"/>
                <w:color w:val="auto"/>
              </w:rPr>
              <w:t>6,122,633</w:t>
            </w:r>
          </w:p>
        </w:tc>
        <w:tc>
          <w:tcPr>
            <w:tcW w:w="0" w:type="dxa"/>
            <w:vAlign w:val="bottom"/>
          </w:tcPr>
          <w:p>
            <w:pPr>
              <w:spacing w:after="0"/>
              <w:rPr>
                <w:sz w:val="1"/>
                <w:szCs w:val="1"/>
                <w:color w:val="auto"/>
              </w:rPr>
            </w:pPr>
          </w:p>
        </w:tc>
      </w:tr>
      <w:tr>
        <w:trPr>
          <w:trHeight w:val="265"/>
        </w:trPr>
        <w:tc>
          <w:tcPr>
            <w:tcW w:w="2840" w:type="dxa"/>
            <w:vAlign w:val="bottom"/>
            <w:shd w:val="clear" w:color="auto" w:fill="E5EEF8"/>
          </w:tcPr>
          <w:p>
            <w:pPr>
              <w:ind w:left="100"/>
              <w:spacing w:after="0"/>
              <w:rPr>
                <w:sz w:val="20"/>
                <w:szCs w:val="20"/>
                <w:color w:val="auto"/>
              </w:rPr>
            </w:pPr>
            <w:r>
              <w:rPr>
                <w:rFonts w:ascii="Arial" w:cs="Arial" w:eastAsia="Arial" w:hAnsi="Arial"/>
                <w:sz w:val="17"/>
                <w:szCs w:val="17"/>
                <w:color w:val="auto"/>
              </w:rPr>
              <w:t>John K. Stipancich</w:t>
            </w:r>
          </w:p>
        </w:tc>
        <w:tc>
          <w:tcPr>
            <w:tcW w:w="2420" w:type="dxa"/>
            <w:vAlign w:val="bottom"/>
            <w:shd w:val="clear" w:color="auto" w:fill="E5EEF8"/>
          </w:tcPr>
          <w:p>
            <w:pPr>
              <w:jc w:val="right"/>
              <w:ind w:right="320"/>
              <w:spacing w:after="0"/>
              <w:rPr>
                <w:sz w:val="20"/>
                <w:szCs w:val="20"/>
                <w:color w:val="auto"/>
              </w:rPr>
            </w:pPr>
            <w:r>
              <w:rPr>
                <w:rFonts w:ascii="Arial" w:cs="Arial" w:eastAsia="Arial" w:hAnsi="Arial"/>
                <w:sz w:val="17"/>
                <w:szCs w:val="17"/>
                <w:color w:val="auto"/>
              </w:rPr>
              <w:t>4,500</w:t>
            </w:r>
          </w:p>
        </w:tc>
        <w:tc>
          <w:tcPr>
            <w:tcW w:w="2100" w:type="dxa"/>
            <w:vAlign w:val="bottom"/>
            <w:shd w:val="clear" w:color="auto" w:fill="E5EEF8"/>
          </w:tcPr>
          <w:p>
            <w:pPr>
              <w:jc w:val="right"/>
              <w:ind w:right="299"/>
              <w:spacing w:after="0"/>
              <w:rPr>
                <w:sz w:val="20"/>
                <w:szCs w:val="20"/>
                <w:color w:val="auto"/>
              </w:rPr>
            </w:pPr>
            <w:r>
              <w:rPr>
                <w:rFonts w:ascii="Arial" w:cs="Arial" w:eastAsia="Arial" w:hAnsi="Arial"/>
                <w:sz w:val="17"/>
                <w:szCs w:val="17"/>
                <w:color w:val="auto"/>
              </w:rPr>
              <w:t>1,045,220</w:t>
            </w:r>
          </w:p>
        </w:tc>
        <w:tc>
          <w:tcPr>
            <w:tcW w:w="1980" w:type="dxa"/>
            <w:vAlign w:val="bottom"/>
            <w:shd w:val="clear" w:color="auto" w:fill="E5EEF8"/>
          </w:tcPr>
          <w:p>
            <w:pPr>
              <w:jc w:val="right"/>
              <w:ind w:right="200"/>
              <w:spacing w:after="0"/>
              <w:rPr>
                <w:sz w:val="20"/>
                <w:szCs w:val="20"/>
                <w:color w:val="auto"/>
              </w:rPr>
            </w:pPr>
            <w:r>
              <w:rPr>
                <w:rFonts w:ascii="Arial" w:cs="Arial" w:eastAsia="Arial" w:hAnsi="Arial"/>
                <w:sz w:val="17"/>
                <w:szCs w:val="17"/>
                <w:color w:val="auto"/>
              </w:rPr>
              <w:t>7,432</w:t>
            </w:r>
          </w:p>
        </w:tc>
        <w:tc>
          <w:tcPr>
            <w:tcW w:w="1680" w:type="dxa"/>
            <w:vAlign w:val="bottom"/>
            <w:shd w:val="clear" w:color="auto" w:fill="E5EEF8"/>
          </w:tcPr>
          <w:p>
            <w:pPr>
              <w:jc w:val="right"/>
              <w:ind w:right="179"/>
              <w:spacing w:after="0"/>
              <w:rPr>
                <w:sz w:val="20"/>
                <w:szCs w:val="20"/>
                <w:color w:val="auto"/>
              </w:rPr>
            </w:pPr>
            <w:r>
              <w:rPr>
                <w:rFonts w:ascii="Arial" w:cs="Arial" w:eastAsia="Arial" w:hAnsi="Arial"/>
                <w:sz w:val="17"/>
                <w:szCs w:val="17"/>
                <w:color w:val="auto"/>
              </w:rPr>
              <w:t>3,637,072</w:t>
            </w:r>
          </w:p>
        </w:tc>
        <w:tc>
          <w:tcPr>
            <w:tcW w:w="0" w:type="dxa"/>
            <w:vAlign w:val="bottom"/>
          </w:tcPr>
          <w:p>
            <w:pPr>
              <w:spacing w:after="0"/>
              <w:rPr>
                <w:sz w:val="1"/>
                <w:szCs w:val="1"/>
                <w:color w:val="auto"/>
              </w:rPr>
            </w:pPr>
          </w:p>
        </w:tc>
      </w:tr>
      <w:tr>
        <w:trPr>
          <w:trHeight w:val="239"/>
        </w:trPr>
        <w:tc>
          <w:tcPr>
            <w:tcW w:w="2840" w:type="dxa"/>
            <w:vAlign w:val="bottom"/>
          </w:tcPr>
          <w:p>
            <w:pPr>
              <w:ind w:left="100"/>
              <w:spacing w:after="0"/>
              <w:rPr>
                <w:sz w:val="20"/>
                <w:szCs w:val="20"/>
                <w:color w:val="auto"/>
              </w:rPr>
            </w:pPr>
            <w:r>
              <w:rPr>
                <w:rFonts w:ascii="Arial" w:cs="Arial" w:eastAsia="Arial" w:hAnsi="Arial"/>
                <w:sz w:val="17"/>
                <w:szCs w:val="17"/>
                <w:color w:val="auto"/>
              </w:rPr>
              <w:t>Jason Conley</w:t>
            </w:r>
          </w:p>
        </w:tc>
        <w:tc>
          <w:tcPr>
            <w:tcW w:w="2420" w:type="dxa"/>
            <w:vAlign w:val="bottom"/>
          </w:tcPr>
          <w:p>
            <w:pPr>
              <w:jc w:val="right"/>
              <w:ind w:right="320"/>
              <w:spacing w:after="0"/>
              <w:rPr>
                <w:sz w:val="20"/>
                <w:szCs w:val="20"/>
                <w:color w:val="auto"/>
              </w:rPr>
            </w:pPr>
            <w:r>
              <w:rPr>
                <w:rFonts w:ascii="Arial" w:cs="Arial" w:eastAsia="Arial" w:hAnsi="Arial"/>
                <w:sz w:val="17"/>
                <w:szCs w:val="17"/>
                <w:color w:val="auto"/>
              </w:rPr>
              <w:t>5,000</w:t>
            </w:r>
          </w:p>
        </w:tc>
        <w:tc>
          <w:tcPr>
            <w:tcW w:w="2100" w:type="dxa"/>
            <w:vAlign w:val="bottom"/>
          </w:tcPr>
          <w:p>
            <w:pPr>
              <w:jc w:val="right"/>
              <w:ind w:right="299"/>
              <w:spacing w:after="0"/>
              <w:rPr>
                <w:sz w:val="20"/>
                <w:szCs w:val="20"/>
                <w:color w:val="auto"/>
              </w:rPr>
            </w:pPr>
            <w:r>
              <w:rPr>
                <w:rFonts w:ascii="Arial" w:cs="Arial" w:eastAsia="Arial" w:hAnsi="Arial"/>
                <w:sz w:val="17"/>
                <w:szCs w:val="17"/>
                <w:color w:val="auto"/>
              </w:rPr>
              <w:t>1,673,900</w:t>
            </w:r>
          </w:p>
        </w:tc>
        <w:tc>
          <w:tcPr>
            <w:tcW w:w="1980" w:type="dxa"/>
            <w:vAlign w:val="bottom"/>
          </w:tcPr>
          <w:p>
            <w:pPr>
              <w:jc w:val="right"/>
              <w:ind w:right="200"/>
              <w:spacing w:after="0"/>
              <w:rPr>
                <w:sz w:val="20"/>
                <w:szCs w:val="20"/>
                <w:color w:val="auto"/>
              </w:rPr>
            </w:pPr>
            <w:r>
              <w:rPr>
                <w:rFonts w:ascii="Arial" w:cs="Arial" w:eastAsia="Arial" w:hAnsi="Arial"/>
                <w:sz w:val="17"/>
                <w:szCs w:val="17"/>
                <w:color w:val="auto"/>
              </w:rPr>
              <w:t>7,407</w:t>
            </w:r>
          </w:p>
        </w:tc>
        <w:tc>
          <w:tcPr>
            <w:tcW w:w="1680" w:type="dxa"/>
            <w:vAlign w:val="bottom"/>
          </w:tcPr>
          <w:p>
            <w:pPr>
              <w:jc w:val="right"/>
              <w:ind w:right="179"/>
              <w:spacing w:after="0"/>
              <w:rPr>
                <w:sz w:val="20"/>
                <w:szCs w:val="20"/>
                <w:color w:val="auto"/>
              </w:rPr>
            </w:pPr>
            <w:r>
              <w:rPr>
                <w:rFonts w:ascii="Arial" w:cs="Arial" w:eastAsia="Arial" w:hAnsi="Arial"/>
                <w:sz w:val="17"/>
                <w:szCs w:val="17"/>
                <w:color w:val="auto"/>
              </w:rPr>
              <w:t>3,624,838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-854075</wp:posOffset>
            </wp:positionV>
            <wp:extent cx="45948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594860" cy="8255"/>
                    </a:xfrm>
                    <a:prstGeom prst="rect">
                      <a:avLst/>
                    </a:prstGeom>
                    <a:noFill/>
                  </pic:spPr>
                </pic:pic>
              </a:graphicData>
            </a:graphic>
          </wp:anchor>
        </w:drawing>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No Pension Benefits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None of our named executive officers participates in a Company-sponsored defined-benefit pension plan.</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Non-Qualified Deferred Compensation</w:t>
      </w:r>
    </w:p>
    <w:p>
      <w:pPr>
        <w:spacing w:after="0" w:line="120" w:lineRule="exact"/>
        <w:rPr>
          <w:sz w:val="20"/>
          <w:szCs w:val="20"/>
          <w:color w:val="auto"/>
        </w:rPr>
      </w:pPr>
    </w:p>
    <w:p>
      <w:pPr>
        <w:jc w:val="both"/>
        <w:ind w:left="120" w:right="380"/>
        <w:spacing w:after="0" w:line="238" w:lineRule="auto"/>
        <w:rPr>
          <w:sz w:val="20"/>
          <w:szCs w:val="20"/>
          <w:color w:val="auto"/>
        </w:rPr>
      </w:pPr>
      <w:r>
        <w:rPr>
          <w:rFonts w:ascii="Arial" w:cs="Arial" w:eastAsia="Arial" w:hAnsi="Arial"/>
          <w:sz w:val="17"/>
          <w:szCs w:val="17"/>
          <w:color w:val="auto"/>
        </w:rPr>
        <w:t>Pursuant to our Company’s Non-Qualified Retirement Plan, named executive officers may defer base salary and payments earned under the cash incentive program. Deferral elections are made by eligible executives before the beginning of each year for amounts to be earned in the following year. The executive may invest such amounts in funds that are substantially similar to those available under the 401(k) plan.</w:t>
      </w:r>
    </w:p>
    <w:p>
      <w:pPr>
        <w:spacing w:after="0" w:line="93" w:lineRule="exact"/>
        <w:rPr>
          <w:sz w:val="20"/>
          <w:szCs w:val="20"/>
          <w:color w:val="auto"/>
        </w:rPr>
      </w:pPr>
    </w:p>
    <w:p>
      <w:pPr>
        <w:ind w:left="120" w:right="320"/>
        <w:spacing w:after="0" w:line="243" w:lineRule="auto"/>
        <w:rPr>
          <w:sz w:val="20"/>
          <w:szCs w:val="20"/>
          <w:color w:val="auto"/>
        </w:rPr>
      </w:pPr>
      <w:r>
        <w:rPr>
          <w:rFonts w:ascii="Arial" w:cs="Arial" w:eastAsia="Arial" w:hAnsi="Arial"/>
          <w:sz w:val="17"/>
          <w:szCs w:val="17"/>
          <w:color w:val="auto"/>
        </w:rPr>
        <w:t>The following table sets forth certain information with respect to the Non-Qualified Retirement Plan for our named executive officers during the fiscal year ended December 31, 2021.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4540" w:type="dxa"/>
            <w:vAlign w:val="bottom"/>
            <w:shd w:val="clear" w:color="auto" w:fill="005CB9"/>
          </w:tcPr>
          <w:p>
            <w:pPr>
              <w:spacing w:after="0"/>
              <w:rPr>
                <w:sz w:val="14"/>
                <w:szCs w:val="14"/>
                <w:color w:val="auto"/>
              </w:rPr>
            </w:pPr>
          </w:p>
        </w:tc>
        <w:tc>
          <w:tcPr>
            <w:tcW w:w="1520" w:type="dxa"/>
            <w:vAlign w:val="bottom"/>
            <w:shd w:val="clear" w:color="auto" w:fill="005CB9"/>
          </w:tcPr>
          <w:p>
            <w:pPr>
              <w:jc w:val="right"/>
              <w:ind w:right="161"/>
              <w:spacing w:after="0"/>
              <w:rPr>
                <w:sz w:val="20"/>
                <w:szCs w:val="20"/>
                <w:color w:val="auto"/>
              </w:rPr>
            </w:pPr>
            <w:r>
              <w:rPr>
                <w:rFonts w:ascii="Arial" w:cs="Arial" w:eastAsia="Arial" w:hAnsi="Arial"/>
                <w:sz w:val="14"/>
                <w:szCs w:val="14"/>
                <w:color w:val="FFFFFF"/>
              </w:rPr>
              <w:t>Executive</w:t>
            </w:r>
          </w:p>
        </w:tc>
        <w:tc>
          <w:tcPr>
            <w:tcW w:w="1320" w:type="dxa"/>
            <w:vAlign w:val="bottom"/>
            <w:shd w:val="clear" w:color="auto" w:fill="005CB9"/>
          </w:tcPr>
          <w:p>
            <w:pPr>
              <w:jc w:val="right"/>
              <w:ind w:right="161"/>
              <w:spacing w:after="0"/>
              <w:rPr>
                <w:sz w:val="20"/>
                <w:szCs w:val="20"/>
                <w:color w:val="auto"/>
              </w:rPr>
            </w:pPr>
            <w:r>
              <w:rPr>
                <w:rFonts w:ascii="Arial" w:cs="Arial" w:eastAsia="Arial" w:hAnsi="Arial"/>
                <w:sz w:val="14"/>
                <w:szCs w:val="14"/>
                <w:color w:val="FFFFFF"/>
              </w:rPr>
              <w:t>Registrant</w:t>
            </w:r>
          </w:p>
        </w:tc>
        <w:tc>
          <w:tcPr>
            <w:tcW w:w="1200" w:type="dxa"/>
            <w:vAlign w:val="bottom"/>
            <w:shd w:val="clear" w:color="auto" w:fill="005CB9"/>
          </w:tcPr>
          <w:p>
            <w:pPr>
              <w:jc w:val="right"/>
              <w:ind w:right="141"/>
              <w:spacing w:after="0"/>
              <w:rPr>
                <w:sz w:val="20"/>
                <w:szCs w:val="20"/>
                <w:color w:val="auto"/>
              </w:rPr>
            </w:pPr>
            <w:r>
              <w:rPr>
                <w:rFonts w:ascii="Arial" w:cs="Arial" w:eastAsia="Arial" w:hAnsi="Arial"/>
                <w:sz w:val="14"/>
                <w:szCs w:val="14"/>
                <w:color w:val="FFFFFF"/>
              </w:rPr>
              <w:t>Aggregate</w:t>
            </w:r>
          </w:p>
        </w:tc>
        <w:tc>
          <w:tcPr>
            <w:tcW w:w="1340" w:type="dxa"/>
            <w:vAlign w:val="bottom"/>
            <w:shd w:val="clear" w:color="auto" w:fill="005CB9"/>
          </w:tcPr>
          <w:p>
            <w:pPr>
              <w:jc w:val="right"/>
              <w:ind w:right="201"/>
              <w:spacing w:after="0"/>
              <w:rPr>
                <w:sz w:val="20"/>
                <w:szCs w:val="20"/>
                <w:color w:val="auto"/>
              </w:rPr>
            </w:pPr>
            <w:r>
              <w:rPr>
                <w:rFonts w:ascii="Arial" w:cs="Arial" w:eastAsia="Arial" w:hAnsi="Arial"/>
                <w:sz w:val="14"/>
                <w:szCs w:val="14"/>
                <w:color w:val="FFFFFF"/>
              </w:rPr>
              <w:t>Aggregate</w:t>
            </w:r>
          </w:p>
        </w:tc>
        <w:tc>
          <w:tcPr>
            <w:tcW w:w="1100" w:type="dxa"/>
            <w:vAlign w:val="bottom"/>
            <w:shd w:val="clear" w:color="auto" w:fill="005CB9"/>
          </w:tcPr>
          <w:p>
            <w:pPr>
              <w:jc w:val="right"/>
              <w:ind w:right="41"/>
              <w:spacing w:after="0"/>
              <w:rPr>
                <w:sz w:val="20"/>
                <w:szCs w:val="20"/>
                <w:color w:val="auto"/>
              </w:rPr>
            </w:pPr>
            <w:r>
              <w:rPr>
                <w:rFonts w:ascii="Arial" w:cs="Arial" w:eastAsia="Arial" w:hAnsi="Arial"/>
                <w:sz w:val="14"/>
                <w:szCs w:val="14"/>
                <w:color w:val="FFFFFF"/>
              </w:rPr>
              <w:t>Aggregate</w:t>
            </w:r>
          </w:p>
        </w:tc>
        <w:tc>
          <w:tcPr>
            <w:tcW w:w="0" w:type="dxa"/>
            <w:vAlign w:val="bottom"/>
          </w:tcPr>
          <w:p>
            <w:pPr>
              <w:spacing w:after="0"/>
              <w:rPr>
                <w:sz w:val="1"/>
                <w:szCs w:val="1"/>
                <w:color w:val="auto"/>
              </w:rPr>
            </w:pPr>
          </w:p>
        </w:tc>
      </w:tr>
      <w:tr>
        <w:trPr>
          <w:trHeight w:val="156"/>
        </w:trPr>
        <w:tc>
          <w:tcPr>
            <w:tcW w:w="4540" w:type="dxa"/>
            <w:vAlign w:val="bottom"/>
            <w:shd w:val="clear" w:color="auto" w:fill="005CB9"/>
          </w:tcPr>
          <w:p>
            <w:pPr>
              <w:spacing w:after="0"/>
              <w:rPr>
                <w:sz w:val="13"/>
                <w:szCs w:val="13"/>
                <w:color w:val="auto"/>
              </w:rPr>
            </w:pPr>
          </w:p>
        </w:tc>
        <w:tc>
          <w:tcPr>
            <w:tcW w:w="1520" w:type="dxa"/>
            <w:vAlign w:val="bottom"/>
            <w:shd w:val="clear" w:color="auto" w:fill="005CB9"/>
          </w:tcPr>
          <w:p>
            <w:pPr>
              <w:jc w:val="right"/>
              <w:ind w:right="161"/>
              <w:spacing w:after="0" w:line="155" w:lineRule="exact"/>
              <w:rPr>
                <w:sz w:val="20"/>
                <w:szCs w:val="20"/>
                <w:color w:val="auto"/>
              </w:rPr>
            </w:pPr>
            <w:r>
              <w:rPr>
                <w:rFonts w:ascii="Arial" w:cs="Arial" w:eastAsia="Arial" w:hAnsi="Arial"/>
                <w:sz w:val="14"/>
                <w:szCs w:val="14"/>
                <w:color w:val="FFFFFF"/>
              </w:rPr>
              <w:t>Contributions</w:t>
            </w:r>
          </w:p>
        </w:tc>
        <w:tc>
          <w:tcPr>
            <w:tcW w:w="1320" w:type="dxa"/>
            <w:vAlign w:val="bottom"/>
            <w:shd w:val="clear" w:color="auto" w:fill="005CB9"/>
          </w:tcPr>
          <w:p>
            <w:pPr>
              <w:jc w:val="right"/>
              <w:ind w:right="161"/>
              <w:spacing w:after="0" w:line="155" w:lineRule="exact"/>
              <w:rPr>
                <w:sz w:val="20"/>
                <w:szCs w:val="20"/>
                <w:color w:val="auto"/>
              </w:rPr>
            </w:pPr>
            <w:r>
              <w:rPr>
                <w:rFonts w:ascii="Arial" w:cs="Arial" w:eastAsia="Arial" w:hAnsi="Arial"/>
                <w:sz w:val="14"/>
                <w:szCs w:val="14"/>
                <w:color w:val="FFFFFF"/>
              </w:rPr>
              <w:t>Contributions</w:t>
            </w:r>
          </w:p>
        </w:tc>
        <w:tc>
          <w:tcPr>
            <w:tcW w:w="1200" w:type="dxa"/>
            <w:vAlign w:val="bottom"/>
            <w:shd w:val="clear" w:color="auto" w:fill="005CB9"/>
          </w:tcPr>
          <w:p>
            <w:pPr>
              <w:jc w:val="right"/>
              <w:ind w:right="141"/>
              <w:spacing w:after="0" w:line="155" w:lineRule="exact"/>
              <w:rPr>
                <w:sz w:val="20"/>
                <w:szCs w:val="20"/>
                <w:color w:val="auto"/>
              </w:rPr>
            </w:pPr>
            <w:r>
              <w:rPr>
                <w:rFonts w:ascii="Arial" w:cs="Arial" w:eastAsia="Arial" w:hAnsi="Arial"/>
                <w:sz w:val="14"/>
                <w:szCs w:val="14"/>
                <w:color w:val="FFFFFF"/>
              </w:rPr>
              <w:t>Earnings</w:t>
            </w:r>
          </w:p>
        </w:tc>
        <w:tc>
          <w:tcPr>
            <w:tcW w:w="1340" w:type="dxa"/>
            <w:vAlign w:val="bottom"/>
            <w:shd w:val="clear" w:color="auto" w:fill="005CB9"/>
          </w:tcPr>
          <w:p>
            <w:pPr>
              <w:jc w:val="right"/>
              <w:ind w:right="201"/>
              <w:spacing w:after="0" w:line="155" w:lineRule="exact"/>
              <w:rPr>
                <w:sz w:val="20"/>
                <w:szCs w:val="20"/>
                <w:color w:val="auto"/>
              </w:rPr>
            </w:pPr>
            <w:r>
              <w:rPr>
                <w:rFonts w:ascii="Arial" w:cs="Arial" w:eastAsia="Arial" w:hAnsi="Arial"/>
                <w:sz w:val="14"/>
                <w:szCs w:val="14"/>
                <w:color w:val="FFFFFF"/>
              </w:rPr>
              <w:t>Withdrawals/</w:t>
            </w:r>
          </w:p>
        </w:tc>
        <w:tc>
          <w:tcPr>
            <w:tcW w:w="1100" w:type="dxa"/>
            <w:vAlign w:val="bottom"/>
            <w:shd w:val="clear" w:color="auto" w:fill="005CB9"/>
          </w:tcPr>
          <w:p>
            <w:pPr>
              <w:jc w:val="right"/>
              <w:ind w:right="41"/>
              <w:spacing w:after="0" w:line="155" w:lineRule="exact"/>
              <w:rPr>
                <w:sz w:val="20"/>
                <w:szCs w:val="20"/>
                <w:color w:val="auto"/>
              </w:rPr>
            </w:pPr>
            <w:r>
              <w:rPr>
                <w:rFonts w:ascii="Arial" w:cs="Arial" w:eastAsia="Arial" w:hAnsi="Arial"/>
                <w:sz w:val="14"/>
                <w:szCs w:val="14"/>
                <w:color w:val="FFFFFF"/>
              </w:rPr>
              <w:t>Balance</w:t>
            </w:r>
          </w:p>
        </w:tc>
        <w:tc>
          <w:tcPr>
            <w:tcW w:w="0" w:type="dxa"/>
            <w:vAlign w:val="bottom"/>
          </w:tcPr>
          <w:p>
            <w:pPr>
              <w:spacing w:after="0"/>
              <w:rPr>
                <w:sz w:val="1"/>
                <w:szCs w:val="1"/>
                <w:color w:val="auto"/>
              </w:rPr>
            </w:pPr>
          </w:p>
        </w:tc>
      </w:tr>
      <w:tr>
        <w:trPr>
          <w:trHeight w:val="168"/>
        </w:trPr>
        <w:tc>
          <w:tcPr>
            <w:tcW w:w="4540" w:type="dxa"/>
            <w:vAlign w:val="bottom"/>
            <w:vMerge w:val="restart"/>
            <w:shd w:val="clear" w:color="auto" w:fill="005CB9"/>
          </w:tcPr>
          <w:p>
            <w:pPr>
              <w:ind w:left="100"/>
              <w:spacing w:after="0"/>
              <w:rPr>
                <w:sz w:val="20"/>
                <w:szCs w:val="20"/>
                <w:color w:val="auto"/>
              </w:rPr>
            </w:pPr>
            <w:r>
              <w:rPr>
                <w:rFonts w:ascii="Arial" w:cs="Arial" w:eastAsia="Arial" w:hAnsi="Arial"/>
                <w:sz w:val="14"/>
                <w:szCs w:val="14"/>
                <w:color w:val="FFFFFF"/>
              </w:rPr>
              <w:t>Name</w:t>
            </w:r>
          </w:p>
        </w:tc>
        <w:tc>
          <w:tcPr>
            <w:tcW w:w="1520" w:type="dxa"/>
            <w:vAlign w:val="bottom"/>
            <w:shd w:val="clear" w:color="auto" w:fill="005CB9"/>
          </w:tcPr>
          <w:p>
            <w:pPr>
              <w:jc w:val="right"/>
              <w:ind w:right="161"/>
              <w:spacing w:after="0"/>
              <w:rPr>
                <w:sz w:val="20"/>
                <w:szCs w:val="20"/>
                <w:color w:val="auto"/>
              </w:rPr>
            </w:pPr>
            <w:r>
              <w:rPr>
                <w:rFonts w:ascii="Arial" w:cs="Arial" w:eastAsia="Arial" w:hAnsi="Arial"/>
                <w:sz w:val="14"/>
                <w:szCs w:val="14"/>
                <w:color w:val="FFFFFF"/>
              </w:rPr>
              <w:t>in Last FY</w:t>
            </w:r>
            <w:r>
              <w:rPr>
                <w:rFonts w:ascii="Arial" w:cs="Arial" w:eastAsia="Arial" w:hAnsi="Arial"/>
                <w:sz w:val="14"/>
                <w:szCs w:val="14"/>
                <w:color w:val="FFFFFF"/>
                <w:vertAlign w:val="superscript"/>
              </w:rPr>
              <w:t>(1)</w:t>
            </w:r>
          </w:p>
        </w:tc>
        <w:tc>
          <w:tcPr>
            <w:tcW w:w="1320" w:type="dxa"/>
            <w:vAlign w:val="bottom"/>
            <w:shd w:val="clear" w:color="auto" w:fill="005CB9"/>
          </w:tcPr>
          <w:p>
            <w:pPr>
              <w:jc w:val="right"/>
              <w:ind w:right="161"/>
              <w:spacing w:after="0"/>
              <w:rPr>
                <w:sz w:val="20"/>
                <w:szCs w:val="20"/>
                <w:color w:val="auto"/>
              </w:rPr>
            </w:pPr>
            <w:r>
              <w:rPr>
                <w:rFonts w:ascii="Arial" w:cs="Arial" w:eastAsia="Arial" w:hAnsi="Arial"/>
                <w:sz w:val="14"/>
                <w:szCs w:val="14"/>
                <w:color w:val="FFFFFF"/>
              </w:rPr>
              <w:t>in Last FY</w:t>
            </w:r>
            <w:r>
              <w:rPr>
                <w:rFonts w:ascii="Arial" w:cs="Arial" w:eastAsia="Arial" w:hAnsi="Arial"/>
                <w:sz w:val="14"/>
                <w:szCs w:val="14"/>
                <w:color w:val="FFFFFF"/>
                <w:vertAlign w:val="superscript"/>
              </w:rPr>
              <w:t>(2)</w:t>
            </w:r>
          </w:p>
        </w:tc>
        <w:tc>
          <w:tcPr>
            <w:tcW w:w="1200" w:type="dxa"/>
            <w:vAlign w:val="bottom"/>
            <w:shd w:val="clear" w:color="auto" w:fill="005CB9"/>
          </w:tcPr>
          <w:p>
            <w:pPr>
              <w:jc w:val="right"/>
              <w:ind w:right="141"/>
              <w:spacing w:after="0"/>
              <w:rPr>
                <w:sz w:val="20"/>
                <w:szCs w:val="20"/>
                <w:color w:val="auto"/>
              </w:rPr>
            </w:pPr>
            <w:r>
              <w:rPr>
                <w:rFonts w:ascii="Arial" w:cs="Arial" w:eastAsia="Arial" w:hAnsi="Arial"/>
                <w:sz w:val="14"/>
                <w:szCs w:val="14"/>
                <w:color w:val="FFFFFF"/>
              </w:rPr>
              <w:t>in Last FY</w:t>
            </w:r>
            <w:r>
              <w:rPr>
                <w:rFonts w:ascii="Arial" w:cs="Arial" w:eastAsia="Arial" w:hAnsi="Arial"/>
                <w:sz w:val="14"/>
                <w:szCs w:val="14"/>
                <w:color w:val="FFFFFF"/>
                <w:vertAlign w:val="superscript"/>
              </w:rPr>
              <w:t>(3)</w:t>
            </w:r>
          </w:p>
        </w:tc>
        <w:tc>
          <w:tcPr>
            <w:tcW w:w="1340" w:type="dxa"/>
            <w:vAlign w:val="bottom"/>
            <w:shd w:val="clear" w:color="auto" w:fill="005CB9"/>
          </w:tcPr>
          <w:p>
            <w:pPr>
              <w:jc w:val="right"/>
              <w:ind w:right="201"/>
              <w:spacing w:after="0"/>
              <w:rPr>
                <w:sz w:val="20"/>
                <w:szCs w:val="20"/>
                <w:color w:val="auto"/>
              </w:rPr>
            </w:pPr>
            <w:r>
              <w:rPr>
                <w:rFonts w:ascii="Arial" w:cs="Arial" w:eastAsia="Arial" w:hAnsi="Arial"/>
                <w:sz w:val="14"/>
                <w:szCs w:val="14"/>
                <w:color w:val="FFFFFF"/>
              </w:rPr>
              <w:t>Distributions</w:t>
            </w:r>
          </w:p>
        </w:tc>
        <w:tc>
          <w:tcPr>
            <w:tcW w:w="1100" w:type="dxa"/>
            <w:vAlign w:val="bottom"/>
            <w:shd w:val="clear" w:color="auto" w:fill="005CB9"/>
          </w:tcPr>
          <w:p>
            <w:pPr>
              <w:jc w:val="right"/>
              <w:ind w:right="41"/>
              <w:spacing w:after="0"/>
              <w:rPr>
                <w:sz w:val="20"/>
                <w:szCs w:val="20"/>
                <w:color w:val="auto"/>
              </w:rPr>
            </w:pPr>
            <w:r>
              <w:rPr>
                <w:rFonts w:ascii="Arial" w:cs="Arial" w:eastAsia="Arial" w:hAnsi="Arial"/>
                <w:sz w:val="14"/>
                <w:szCs w:val="14"/>
                <w:color w:val="FFFFFF"/>
              </w:rPr>
              <w:t>at Last FYE</w:t>
            </w:r>
          </w:p>
        </w:tc>
        <w:tc>
          <w:tcPr>
            <w:tcW w:w="0" w:type="dxa"/>
            <w:vAlign w:val="bottom"/>
          </w:tcPr>
          <w:p>
            <w:pPr>
              <w:spacing w:after="0"/>
              <w:rPr>
                <w:sz w:val="1"/>
                <w:szCs w:val="1"/>
                <w:color w:val="auto"/>
              </w:rPr>
            </w:pPr>
          </w:p>
        </w:tc>
      </w:tr>
      <w:tr>
        <w:trPr>
          <w:trHeight w:val="157"/>
        </w:trPr>
        <w:tc>
          <w:tcPr>
            <w:tcW w:w="4540" w:type="dxa"/>
            <w:vAlign w:val="bottom"/>
            <w:vMerge w:val="continue"/>
            <w:shd w:val="clear" w:color="auto" w:fill="005CB9"/>
          </w:tcPr>
          <w:p>
            <w:pPr>
              <w:spacing w:after="0"/>
              <w:rPr>
                <w:sz w:val="13"/>
                <w:szCs w:val="13"/>
                <w:color w:val="auto"/>
              </w:rPr>
            </w:pPr>
          </w:p>
        </w:tc>
        <w:tc>
          <w:tcPr>
            <w:tcW w:w="1520" w:type="dxa"/>
            <w:vAlign w:val="bottom"/>
            <w:shd w:val="clear" w:color="auto" w:fill="005CB9"/>
          </w:tcPr>
          <w:p>
            <w:pPr>
              <w:jc w:val="right"/>
              <w:ind w:right="161"/>
              <w:spacing w:after="0" w:line="157" w:lineRule="exact"/>
              <w:rPr>
                <w:sz w:val="20"/>
                <w:szCs w:val="20"/>
                <w:color w:val="auto"/>
              </w:rPr>
            </w:pPr>
            <w:r>
              <w:rPr>
                <w:rFonts w:ascii="Arial" w:cs="Arial" w:eastAsia="Arial" w:hAnsi="Arial"/>
                <w:sz w:val="14"/>
                <w:szCs w:val="14"/>
                <w:color w:val="FFFFFF"/>
              </w:rPr>
              <w:t>($)</w:t>
            </w:r>
          </w:p>
        </w:tc>
        <w:tc>
          <w:tcPr>
            <w:tcW w:w="1320" w:type="dxa"/>
            <w:vAlign w:val="bottom"/>
            <w:shd w:val="clear" w:color="auto" w:fill="005CB9"/>
          </w:tcPr>
          <w:p>
            <w:pPr>
              <w:jc w:val="right"/>
              <w:ind w:right="161"/>
              <w:spacing w:after="0" w:line="157" w:lineRule="exact"/>
              <w:rPr>
                <w:sz w:val="20"/>
                <w:szCs w:val="20"/>
                <w:color w:val="auto"/>
              </w:rPr>
            </w:pPr>
            <w:r>
              <w:rPr>
                <w:rFonts w:ascii="Arial" w:cs="Arial" w:eastAsia="Arial" w:hAnsi="Arial"/>
                <w:sz w:val="14"/>
                <w:szCs w:val="14"/>
                <w:color w:val="FFFFFF"/>
              </w:rPr>
              <w:t>($)</w:t>
            </w:r>
          </w:p>
        </w:tc>
        <w:tc>
          <w:tcPr>
            <w:tcW w:w="1200" w:type="dxa"/>
            <w:vAlign w:val="bottom"/>
            <w:shd w:val="clear" w:color="auto" w:fill="005CB9"/>
          </w:tcPr>
          <w:p>
            <w:pPr>
              <w:jc w:val="right"/>
              <w:ind w:right="141"/>
              <w:spacing w:after="0" w:line="157" w:lineRule="exact"/>
              <w:rPr>
                <w:sz w:val="20"/>
                <w:szCs w:val="20"/>
                <w:color w:val="auto"/>
              </w:rPr>
            </w:pPr>
            <w:r>
              <w:rPr>
                <w:rFonts w:ascii="Arial" w:cs="Arial" w:eastAsia="Arial" w:hAnsi="Arial"/>
                <w:sz w:val="14"/>
                <w:szCs w:val="14"/>
                <w:color w:val="FFFFFF"/>
              </w:rPr>
              <w:t>($)</w:t>
            </w:r>
          </w:p>
        </w:tc>
        <w:tc>
          <w:tcPr>
            <w:tcW w:w="1340" w:type="dxa"/>
            <w:vAlign w:val="bottom"/>
            <w:shd w:val="clear" w:color="auto" w:fill="005CB9"/>
          </w:tcPr>
          <w:p>
            <w:pPr>
              <w:jc w:val="right"/>
              <w:ind w:right="201"/>
              <w:spacing w:after="0" w:line="157" w:lineRule="exact"/>
              <w:rPr>
                <w:sz w:val="20"/>
                <w:szCs w:val="20"/>
                <w:color w:val="auto"/>
              </w:rPr>
            </w:pPr>
            <w:r>
              <w:rPr>
                <w:rFonts w:ascii="Arial" w:cs="Arial" w:eastAsia="Arial" w:hAnsi="Arial"/>
                <w:sz w:val="14"/>
                <w:szCs w:val="14"/>
                <w:color w:val="FFFFFF"/>
              </w:rPr>
              <w:t>($)</w:t>
            </w:r>
          </w:p>
        </w:tc>
        <w:tc>
          <w:tcPr>
            <w:tcW w:w="1100" w:type="dxa"/>
            <w:vAlign w:val="bottom"/>
            <w:shd w:val="clear" w:color="auto" w:fill="005CB9"/>
          </w:tcPr>
          <w:p>
            <w:pPr>
              <w:jc w:val="right"/>
              <w:ind w:right="41"/>
              <w:spacing w:after="0" w:line="157" w:lineRule="exact"/>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56"/>
        </w:trPr>
        <w:tc>
          <w:tcPr>
            <w:tcW w:w="4540" w:type="dxa"/>
            <w:vAlign w:val="bottom"/>
            <w:shd w:val="clear" w:color="auto" w:fill="E5EEF8"/>
          </w:tcPr>
          <w:p>
            <w:pPr>
              <w:ind w:left="100"/>
              <w:spacing w:after="0"/>
              <w:rPr>
                <w:sz w:val="20"/>
                <w:szCs w:val="20"/>
                <w:color w:val="auto"/>
              </w:rPr>
            </w:pPr>
            <w:r>
              <w:rPr>
                <w:rFonts w:ascii="Arial" w:cs="Arial" w:eastAsia="Arial" w:hAnsi="Arial"/>
                <w:sz w:val="17"/>
                <w:szCs w:val="17"/>
                <w:color w:val="auto"/>
              </w:rPr>
              <w:t>L. Neil Hunn</w:t>
            </w:r>
          </w:p>
        </w:tc>
        <w:tc>
          <w:tcPr>
            <w:tcW w:w="1520" w:type="dxa"/>
            <w:vAlign w:val="bottom"/>
            <w:shd w:val="clear" w:color="auto" w:fill="E5EEF8"/>
          </w:tcPr>
          <w:p>
            <w:pPr>
              <w:jc w:val="right"/>
              <w:ind w:right="161"/>
              <w:spacing w:after="0"/>
              <w:rPr>
                <w:sz w:val="20"/>
                <w:szCs w:val="20"/>
                <w:color w:val="auto"/>
              </w:rPr>
            </w:pPr>
            <w:r>
              <w:rPr>
                <w:rFonts w:ascii="Arial" w:cs="Arial" w:eastAsia="Arial" w:hAnsi="Arial"/>
                <w:sz w:val="17"/>
                <w:szCs w:val="17"/>
                <w:color w:val="auto"/>
              </w:rPr>
              <w:t>157,600</w:t>
            </w:r>
          </w:p>
        </w:tc>
        <w:tc>
          <w:tcPr>
            <w:tcW w:w="1320" w:type="dxa"/>
            <w:vAlign w:val="bottom"/>
            <w:shd w:val="clear" w:color="auto" w:fill="E5EEF8"/>
          </w:tcPr>
          <w:p>
            <w:pPr>
              <w:jc w:val="right"/>
              <w:ind w:right="161"/>
              <w:spacing w:after="0"/>
              <w:rPr>
                <w:sz w:val="20"/>
                <w:szCs w:val="20"/>
                <w:color w:val="auto"/>
              </w:rPr>
            </w:pPr>
            <w:r>
              <w:rPr>
                <w:rFonts w:ascii="Arial" w:cs="Arial" w:eastAsia="Arial" w:hAnsi="Arial"/>
                <w:sz w:val="17"/>
                <w:szCs w:val="17"/>
                <w:color w:val="auto"/>
              </w:rPr>
              <w:t>97,050</w:t>
            </w:r>
          </w:p>
        </w:tc>
        <w:tc>
          <w:tcPr>
            <w:tcW w:w="1200" w:type="dxa"/>
            <w:vAlign w:val="bottom"/>
            <w:shd w:val="clear" w:color="auto" w:fill="E5EEF8"/>
          </w:tcPr>
          <w:p>
            <w:pPr>
              <w:jc w:val="right"/>
              <w:ind w:right="141"/>
              <w:spacing w:after="0"/>
              <w:rPr>
                <w:sz w:val="20"/>
                <w:szCs w:val="20"/>
                <w:color w:val="auto"/>
              </w:rPr>
            </w:pPr>
            <w:r>
              <w:rPr>
                <w:rFonts w:ascii="Arial" w:cs="Arial" w:eastAsia="Arial" w:hAnsi="Arial"/>
                <w:sz w:val="17"/>
                <w:szCs w:val="17"/>
                <w:color w:val="auto"/>
              </w:rPr>
              <w:t>34,975</w:t>
            </w:r>
          </w:p>
        </w:tc>
        <w:tc>
          <w:tcPr>
            <w:tcW w:w="1340" w:type="dxa"/>
            <w:vAlign w:val="bottom"/>
            <w:shd w:val="clear" w:color="auto" w:fill="E5EEF8"/>
          </w:tcPr>
          <w:p>
            <w:pPr>
              <w:jc w:val="right"/>
              <w:ind w:right="141"/>
              <w:spacing w:after="0"/>
              <w:rPr>
                <w:sz w:val="20"/>
                <w:szCs w:val="20"/>
                <w:color w:val="auto"/>
              </w:rPr>
            </w:pPr>
            <w:r>
              <w:rPr>
                <w:rFonts w:ascii="Arial" w:cs="Arial" w:eastAsia="Arial" w:hAnsi="Arial"/>
                <w:sz w:val="17"/>
                <w:szCs w:val="17"/>
                <w:color w:val="auto"/>
              </w:rPr>
              <w:t>(681,653)</w:t>
            </w:r>
          </w:p>
        </w:tc>
        <w:tc>
          <w:tcPr>
            <w:tcW w:w="1100" w:type="dxa"/>
            <w:vAlign w:val="bottom"/>
            <w:shd w:val="clear" w:color="auto" w:fill="E5EEF8"/>
          </w:tcPr>
          <w:p>
            <w:pPr>
              <w:jc w:val="right"/>
              <w:ind w:right="41"/>
              <w:spacing w:after="0"/>
              <w:rPr>
                <w:sz w:val="20"/>
                <w:szCs w:val="20"/>
                <w:color w:val="auto"/>
              </w:rPr>
            </w:pPr>
            <w:r>
              <w:rPr>
                <w:rFonts w:ascii="Arial" w:cs="Arial" w:eastAsia="Arial" w:hAnsi="Arial"/>
                <w:sz w:val="17"/>
                <w:szCs w:val="17"/>
                <w:color w:val="auto"/>
              </w:rPr>
              <w:t>432,190</w:t>
            </w:r>
          </w:p>
        </w:tc>
        <w:tc>
          <w:tcPr>
            <w:tcW w:w="0" w:type="dxa"/>
            <w:vAlign w:val="bottom"/>
          </w:tcPr>
          <w:p>
            <w:pPr>
              <w:spacing w:after="0"/>
              <w:rPr>
                <w:sz w:val="1"/>
                <w:szCs w:val="1"/>
                <w:color w:val="auto"/>
              </w:rPr>
            </w:pPr>
          </w:p>
        </w:tc>
      </w:tr>
      <w:tr>
        <w:trPr>
          <w:trHeight w:val="248"/>
        </w:trPr>
        <w:tc>
          <w:tcPr>
            <w:tcW w:w="4540" w:type="dxa"/>
            <w:vAlign w:val="bottom"/>
          </w:tcPr>
          <w:p>
            <w:pPr>
              <w:ind w:left="100"/>
              <w:spacing w:after="0"/>
              <w:rPr>
                <w:sz w:val="20"/>
                <w:szCs w:val="20"/>
                <w:color w:val="auto"/>
              </w:rPr>
            </w:pPr>
            <w:r>
              <w:rPr>
                <w:rFonts w:ascii="Arial" w:cs="Arial" w:eastAsia="Arial" w:hAnsi="Arial"/>
                <w:sz w:val="17"/>
                <w:szCs w:val="17"/>
                <w:color w:val="auto"/>
              </w:rPr>
              <w:t>Robert C. Crisci</w:t>
            </w:r>
          </w:p>
        </w:tc>
        <w:tc>
          <w:tcPr>
            <w:tcW w:w="1520" w:type="dxa"/>
            <w:vAlign w:val="bottom"/>
          </w:tcPr>
          <w:p>
            <w:pPr>
              <w:jc w:val="right"/>
              <w:ind w:right="161"/>
              <w:spacing w:after="0"/>
              <w:rPr>
                <w:sz w:val="20"/>
                <w:szCs w:val="20"/>
                <w:color w:val="auto"/>
              </w:rPr>
            </w:pPr>
            <w:r>
              <w:rPr>
                <w:rFonts w:ascii="Arial" w:cs="Arial" w:eastAsia="Arial" w:hAnsi="Arial"/>
                <w:sz w:val="17"/>
                <w:szCs w:val="17"/>
                <w:color w:val="auto"/>
              </w:rPr>
              <w:t>93,090</w:t>
            </w:r>
          </w:p>
        </w:tc>
        <w:tc>
          <w:tcPr>
            <w:tcW w:w="1320" w:type="dxa"/>
            <w:vAlign w:val="bottom"/>
          </w:tcPr>
          <w:p>
            <w:pPr>
              <w:jc w:val="right"/>
              <w:ind w:right="161"/>
              <w:spacing w:after="0"/>
              <w:rPr>
                <w:sz w:val="20"/>
                <w:szCs w:val="20"/>
                <w:color w:val="auto"/>
              </w:rPr>
            </w:pPr>
            <w:r>
              <w:rPr>
                <w:rFonts w:ascii="Arial" w:cs="Arial" w:eastAsia="Arial" w:hAnsi="Arial"/>
                <w:sz w:val="17"/>
                <w:szCs w:val="17"/>
                <w:color w:val="auto"/>
              </w:rPr>
              <w:t>48,068</w:t>
            </w:r>
          </w:p>
        </w:tc>
        <w:tc>
          <w:tcPr>
            <w:tcW w:w="1200" w:type="dxa"/>
            <w:vAlign w:val="bottom"/>
          </w:tcPr>
          <w:p>
            <w:pPr>
              <w:jc w:val="right"/>
              <w:ind w:right="141"/>
              <w:spacing w:after="0"/>
              <w:rPr>
                <w:sz w:val="20"/>
                <w:szCs w:val="20"/>
                <w:color w:val="auto"/>
              </w:rPr>
            </w:pPr>
            <w:r>
              <w:rPr>
                <w:rFonts w:ascii="Arial" w:cs="Arial" w:eastAsia="Arial" w:hAnsi="Arial"/>
                <w:sz w:val="17"/>
                <w:szCs w:val="17"/>
                <w:color w:val="auto"/>
              </w:rPr>
              <w:t>215,296</w:t>
            </w:r>
          </w:p>
        </w:tc>
        <w:tc>
          <w:tcPr>
            <w:tcW w:w="1340" w:type="dxa"/>
            <w:vAlign w:val="bottom"/>
          </w:tcPr>
          <w:p>
            <w:pPr>
              <w:jc w:val="right"/>
              <w:ind w:right="201"/>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41"/>
              <w:spacing w:after="0"/>
              <w:rPr>
                <w:sz w:val="20"/>
                <w:szCs w:val="20"/>
                <w:color w:val="auto"/>
              </w:rPr>
            </w:pPr>
            <w:r>
              <w:rPr>
                <w:rFonts w:ascii="Arial" w:cs="Arial" w:eastAsia="Arial" w:hAnsi="Arial"/>
                <w:sz w:val="17"/>
                <w:szCs w:val="17"/>
                <w:color w:val="auto"/>
              </w:rPr>
              <w:t>1,461,124</w:t>
            </w:r>
          </w:p>
        </w:tc>
        <w:tc>
          <w:tcPr>
            <w:tcW w:w="0" w:type="dxa"/>
            <w:vAlign w:val="bottom"/>
          </w:tcPr>
          <w:p>
            <w:pPr>
              <w:spacing w:after="0"/>
              <w:rPr>
                <w:sz w:val="1"/>
                <w:szCs w:val="1"/>
                <w:color w:val="auto"/>
              </w:rPr>
            </w:pPr>
          </w:p>
        </w:tc>
      </w:tr>
      <w:tr>
        <w:trPr>
          <w:trHeight w:val="265"/>
        </w:trPr>
        <w:tc>
          <w:tcPr>
            <w:tcW w:w="4540" w:type="dxa"/>
            <w:vAlign w:val="bottom"/>
            <w:shd w:val="clear" w:color="auto" w:fill="E5EEF8"/>
          </w:tcPr>
          <w:p>
            <w:pPr>
              <w:ind w:left="100"/>
              <w:spacing w:after="0"/>
              <w:rPr>
                <w:sz w:val="20"/>
                <w:szCs w:val="20"/>
                <w:color w:val="auto"/>
              </w:rPr>
            </w:pPr>
            <w:r>
              <w:rPr>
                <w:rFonts w:ascii="Arial" w:cs="Arial" w:eastAsia="Arial" w:hAnsi="Arial"/>
                <w:sz w:val="17"/>
                <w:szCs w:val="17"/>
                <w:color w:val="auto"/>
              </w:rPr>
              <w:t>John K. Stipancich</w:t>
            </w:r>
          </w:p>
        </w:tc>
        <w:tc>
          <w:tcPr>
            <w:tcW w:w="1520" w:type="dxa"/>
            <w:vAlign w:val="bottom"/>
            <w:shd w:val="clear" w:color="auto" w:fill="E5EEF8"/>
          </w:tcPr>
          <w:p>
            <w:pPr>
              <w:jc w:val="right"/>
              <w:ind w:right="161"/>
              <w:spacing w:after="0"/>
              <w:rPr>
                <w:sz w:val="20"/>
                <w:szCs w:val="20"/>
                <w:color w:val="auto"/>
              </w:rPr>
            </w:pPr>
            <w:r>
              <w:rPr>
                <w:rFonts w:ascii="Arial" w:cs="Arial" w:eastAsia="Arial" w:hAnsi="Arial"/>
                <w:sz w:val="17"/>
                <w:szCs w:val="17"/>
                <w:color w:val="auto"/>
              </w:rPr>
              <w:t>60,768</w:t>
            </w:r>
          </w:p>
        </w:tc>
        <w:tc>
          <w:tcPr>
            <w:tcW w:w="1320" w:type="dxa"/>
            <w:vAlign w:val="bottom"/>
            <w:shd w:val="clear" w:color="auto" w:fill="E5EEF8"/>
          </w:tcPr>
          <w:p>
            <w:pPr>
              <w:jc w:val="right"/>
              <w:ind w:right="161"/>
              <w:spacing w:after="0"/>
              <w:rPr>
                <w:sz w:val="20"/>
                <w:szCs w:val="20"/>
                <w:color w:val="auto"/>
              </w:rPr>
            </w:pPr>
            <w:r>
              <w:rPr>
                <w:rFonts w:ascii="Arial" w:cs="Arial" w:eastAsia="Arial" w:hAnsi="Arial"/>
                <w:sz w:val="17"/>
                <w:szCs w:val="17"/>
                <w:color w:val="auto"/>
              </w:rPr>
              <w:t>54,210</w:t>
            </w:r>
          </w:p>
        </w:tc>
        <w:tc>
          <w:tcPr>
            <w:tcW w:w="1200" w:type="dxa"/>
            <w:vAlign w:val="bottom"/>
            <w:shd w:val="clear" w:color="auto" w:fill="E5EEF8"/>
          </w:tcPr>
          <w:p>
            <w:pPr>
              <w:jc w:val="right"/>
              <w:ind w:right="141"/>
              <w:spacing w:after="0"/>
              <w:rPr>
                <w:sz w:val="20"/>
                <w:szCs w:val="20"/>
                <w:color w:val="auto"/>
              </w:rPr>
            </w:pPr>
            <w:r>
              <w:rPr>
                <w:rFonts w:ascii="Arial" w:cs="Arial" w:eastAsia="Arial" w:hAnsi="Arial"/>
                <w:sz w:val="17"/>
                <w:szCs w:val="17"/>
                <w:color w:val="auto"/>
              </w:rPr>
              <w:t>57,260</w:t>
            </w:r>
          </w:p>
        </w:tc>
        <w:tc>
          <w:tcPr>
            <w:tcW w:w="1340" w:type="dxa"/>
            <w:vAlign w:val="bottom"/>
            <w:shd w:val="clear" w:color="auto" w:fill="E5EEF8"/>
          </w:tcPr>
          <w:p>
            <w:pPr>
              <w:jc w:val="right"/>
              <w:ind w:right="201"/>
              <w:spacing w:after="0"/>
              <w:rPr>
                <w:sz w:val="20"/>
                <w:szCs w:val="20"/>
                <w:color w:val="auto"/>
              </w:rPr>
            </w:pPr>
            <w:r>
              <w:rPr>
                <w:rFonts w:ascii="Arial" w:cs="Arial" w:eastAsia="Arial" w:hAnsi="Arial"/>
                <w:sz w:val="17"/>
                <w:szCs w:val="17"/>
                <w:color w:val="auto"/>
              </w:rPr>
              <w:t>-</w:t>
            </w:r>
          </w:p>
        </w:tc>
        <w:tc>
          <w:tcPr>
            <w:tcW w:w="1100" w:type="dxa"/>
            <w:vAlign w:val="bottom"/>
            <w:shd w:val="clear" w:color="auto" w:fill="E5EEF8"/>
          </w:tcPr>
          <w:p>
            <w:pPr>
              <w:jc w:val="right"/>
              <w:ind w:right="41"/>
              <w:spacing w:after="0"/>
              <w:rPr>
                <w:sz w:val="20"/>
                <w:szCs w:val="20"/>
                <w:color w:val="auto"/>
              </w:rPr>
            </w:pPr>
            <w:r>
              <w:rPr>
                <w:rFonts w:ascii="Arial" w:cs="Arial" w:eastAsia="Arial" w:hAnsi="Arial"/>
                <w:sz w:val="17"/>
                <w:szCs w:val="17"/>
                <w:color w:val="auto"/>
              </w:rPr>
              <w:t>932,156</w:t>
            </w:r>
          </w:p>
        </w:tc>
        <w:tc>
          <w:tcPr>
            <w:tcW w:w="0" w:type="dxa"/>
            <w:vAlign w:val="bottom"/>
          </w:tcPr>
          <w:p>
            <w:pPr>
              <w:spacing w:after="0"/>
              <w:rPr>
                <w:sz w:val="1"/>
                <w:szCs w:val="1"/>
                <w:color w:val="auto"/>
              </w:rPr>
            </w:pPr>
          </w:p>
        </w:tc>
      </w:tr>
      <w:tr>
        <w:trPr>
          <w:trHeight w:val="239"/>
        </w:trPr>
        <w:tc>
          <w:tcPr>
            <w:tcW w:w="4540" w:type="dxa"/>
            <w:vAlign w:val="bottom"/>
          </w:tcPr>
          <w:p>
            <w:pPr>
              <w:ind w:left="100"/>
              <w:spacing w:after="0"/>
              <w:rPr>
                <w:sz w:val="20"/>
                <w:szCs w:val="20"/>
                <w:color w:val="auto"/>
              </w:rPr>
            </w:pPr>
            <w:r>
              <w:rPr>
                <w:rFonts w:ascii="Arial" w:cs="Arial" w:eastAsia="Arial" w:hAnsi="Arial"/>
                <w:sz w:val="17"/>
                <w:szCs w:val="17"/>
                <w:color w:val="auto"/>
              </w:rPr>
              <w:t>Jason Conley</w:t>
            </w:r>
          </w:p>
        </w:tc>
        <w:tc>
          <w:tcPr>
            <w:tcW w:w="1520" w:type="dxa"/>
            <w:vAlign w:val="bottom"/>
          </w:tcPr>
          <w:p>
            <w:pPr>
              <w:jc w:val="right"/>
              <w:ind w:right="161"/>
              <w:spacing w:after="0"/>
              <w:rPr>
                <w:sz w:val="20"/>
                <w:szCs w:val="20"/>
                <w:color w:val="auto"/>
              </w:rPr>
            </w:pPr>
            <w:r>
              <w:rPr>
                <w:rFonts w:ascii="Arial" w:cs="Arial" w:eastAsia="Arial" w:hAnsi="Arial"/>
                <w:sz w:val="17"/>
                <w:szCs w:val="17"/>
                <w:color w:val="auto"/>
              </w:rPr>
              <w:t>157,988</w:t>
            </w:r>
          </w:p>
        </w:tc>
        <w:tc>
          <w:tcPr>
            <w:tcW w:w="1320" w:type="dxa"/>
            <w:vAlign w:val="bottom"/>
          </w:tcPr>
          <w:p>
            <w:pPr>
              <w:jc w:val="right"/>
              <w:ind w:right="161"/>
              <w:spacing w:after="0"/>
              <w:rPr>
                <w:sz w:val="20"/>
                <w:szCs w:val="20"/>
                <w:color w:val="auto"/>
              </w:rPr>
            </w:pPr>
            <w:r>
              <w:rPr>
                <w:rFonts w:ascii="Arial" w:cs="Arial" w:eastAsia="Arial" w:hAnsi="Arial"/>
                <w:sz w:val="17"/>
                <w:szCs w:val="17"/>
                <w:color w:val="auto"/>
              </w:rPr>
              <w:t>34,874</w:t>
            </w:r>
          </w:p>
        </w:tc>
        <w:tc>
          <w:tcPr>
            <w:tcW w:w="1200" w:type="dxa"/>
            <w:vAlign w:val="bottom"/>
          </w:tcPr>
          <w:p>
            <w:pPr>
              <w:jc w:val="right"/>
              <w:ind w:right="141"/>
              <w:spacing w:after="0"/>
              <w:rPr>
                <w:sz w:val="20"/>
                <w:szCs w:val="20"/>
                <w:color w:val="auto"/>
              </w:rPr>
            </w:pPr>
            <w:r>
              <w:rPr>
                <w:rFonts w:ascii="Arial" w:cs="Arial" w:eastAsia="Arial" w:hAnsi="Arial"/>
                <w:sz w:val="17"/>
                <w:szCs w:val="17"/>
                <w:color w:val="auto"/>
              </w:rPr>
              <w:t>173,712</w:t>
            </w:r>
          </w:p>
        </w:tc>
        <w:tc>
          <w:tcPr>
            <w:tcW w:w="1340" w:type="dxa"/>
            <w:vAlign w:val="bottom"/>
          </w:tcPr>
          <w:p>
            <w:pPr>
              <w:jc w:val="right"/>
              <w:ind w:right="141"/>
              <w:spacing w:after="0"/>
              <w:rPr>
                <w:sz w:val="20"/>
                <w:szCs w:val="20"/>
                <w:color w:val="auto"/>
              </w:rPr>
            </w:pPr>
            <w:r>
              <w:rPr>
                <w:rFonts w:ascii="Arial" w:cs="Arial" w:eastAsia="Arial" w:hAnsi="Arial"/>
                <w:sz w:val="17"/>
                <w:szCs w:val="17"/>
                <w:color w:val="auto"/>
              </w:rPr>
              <w:t>(15,647)</w:t>
            </w:r>
          </w:p>
        </w:tc>
        <w:tc>
          <w:tcPr>
            <w:tcW w:w="1100" w:type="dxa"/>
            <w:vAlign w:val="bottom"/>
          </w:tcPr>
          <w:p>
            <w:pPr>
              <w:jc w:val="right"/>
              <w:ind w:right="41"/>
              <w:spacing w:after="0"/>
              <w:rPr>
                <w:sz w:val="20"/>
                <w:szCs w:val="20"/>
                <w:color w:val="auto"/>
              </w:rPr>
            </w:pPr>
            <w:r>
              <w:rPr>
                <w:rFonts w:ascii="Arial" w:cs="Arial" w:eastAsia="Arial" w:hAnsi="Arial"/>
                <w:sz w:val="17"/>
                <w:szCs w:val="17"/>
                <w:color w:val="auto"/>
              </w:rPr>
              <w:t>2,183,935</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100" w:hanging="424"/>
        <w:spacing w:after="0" w:line="183" w:lineRule="auto"/>
        <w:tabs>
          <w:tab w:leader="none" w:pos="540" w:val="left"/>
        </w:tabs>
        <w:numPr>
          <w:ilvl w:val="0"/>
          <w:numId w:val="90"/>
        </w:numPr>
        <w:rPr>
          <w:rFonts w:ascii="Arial" w:cs="Arial" w:eastAsia="Arial" w:hAnsi="Arial"/>
          <w:sz w:val="24"/>
          <w:szCs w:val="24"/>
          <w:color w:val="auto"/>
          <w:vertAlign w:val="superscript"/>
        </w:rPr>
      </w:pPr>
      <w:r>
        <w:rPr>
          <w:rFonts w:ascii="Arial" w:cs="Arial" w:eastAsia="Arial" w:hAnsi="Arial"/>
          <w:sz w:val="14"/>
          <w:szCs w:val="14"/>
          <w:color w:val="auto"/>
        </w:rPr>
        <w:t>Amounts reflect participant deferrals under the Non-Qualified Retirement Plan during the fiscal year ended December 31, 2021 and all of these amounts are included in the Summary Compensation Table above in the “Salary” or “Non-Equity Incentive Plan Compensation” column as applicable.</w:t>
      </w:r>
    </w:p>
    <w:p>
      <w:pPr>
        <w:spacing w:after="0" w:line="1" w:lineRule="exact"/>
        <w:rPr>
          <w:rFonts w:ascii="Arial" w:cs="Arial" w:eastAsia="Arial" w:hAnsi="Arial"/>
          <w:sz w:val="24"/>
          <w:szCs w:val="24"/>
          <w:color w:val="auto"/>
          <w:vertAlign w:val="superscript"/>
        </w:rPr>
      </w:pPr>
    </w:p>
    <w:p>
      <w:pPr>
        <w:ind w:left="540" w:hanging="424"/>
        <w:spacing w:after="0" w:line="211" w:lineRule="auto"/>
        <w:tabs>
          <w:tab w:leader="none" w:pos="540" w:val="left"/>
        </w:tabs>
        <w:numPr>
          <w:ilvl w:val="0"/>
          <w:numId w:val="90"/>
        </w:numPr>
        <w:rPr>
          <w:rFonts w:ascii="Arial" w:cs="Arial" w:eastAsia="Arial" w:hAnsi="Arial"/>
          <w:sz w:val="24"/>
          <w:szCs w:val="24"/>
          <w:color w:val="auto"/>
          <w:vertAlign w:val="superscript"/>
        </w:rPr>
      </w:pPr>
      <w:r>
        <w:rPr>
          <w:rFonts w:ascii="Arial" w:cs="Arial" w:eastAsia="Arial" w:hAnsi="Arial"/>
          <w:sz w:val="14"/>
          <w:szCs w:val="14"/>
          <w:color w:val="auto"/>
        </w:rPr>
        <w:t>The amounts are included in the Summary Compensation Table in the “All Other Compensation” column.</w:t>
      </w:r>
    </w:p>
    <w:p>
      <w:pPr>
        <w:spacing w:after="0" w:line="71" w:lineRule="exact"/>
        <w:rPr>
          <w:rFonts w:ascii="Arial" w:cs="Arial" w:eastAsia="Arial" w:hAnsi="Arial"/>
          <w:sz w:val="24"/>
          <w:szCs w:val="24"/>
          <w:color w:val="auto"/>
          <w:vertAlign w:val="superscript"/>
        </w:rPr>
      </w:pPr>
    </w:p>
    <w:p>
      <w:pPr>
        <w:ind w:left="540" w:right="200" w:hanging="424"/>
        <w:spacing w:after="0" w:line="183" w:lineRule="auto"/>
        <w:tabs>
          <w:tab w:leader="none" w:pos="540" w:val="left"/>
        </w:tabs>
        <w:numPr>
          <w:ilvl w:val="0"/>
          <w:numId w:val="90"/>
        </w:numPr>
        <w:rPr>
          <w:rFonts w:ascii="Arial" w:cs="Arial" w:eastAsia="Arial" w:hAnsi="Arial"/>
          <w:sz w:val="24"/>
          <w:szCs w:val="24"/>
          <w:color w:val="auto"/>
          <w:vertAlign w:val="superscript"/>
        </w:rPr>
      </w:pPr>
      <w:r>
        <w:rPr>
          <w:rFonts w:ascii="Arial" w:cs="Arial" w:eastAsia="Arial" w:hAnsi="Arial"/>
          <w:sz w:val="14"/>
          <w:szCs w:val="14"/>
          <w:color w:val="auto"/>
        </w:rPr>
        <w:t>No portion of these earnings was included in the Summary Compensation Table because the Non-Qualified Retirement Plan does not provide for “above-market” or preferential earnings as defined in applicable SEC rules.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Potential Payments upon Termination or Change in Control</w:t>
      </w:r>
    </w:p>
    <w:p>
      <w:pPr>
        <w:spacing w:after="0" w:line="120" w:lineRule="exact"/>
        <w:rPr>
          <w:sz w:val="20"/>
          <w:szCs w:val="20"/>
          <w:color w:val="auto"/>
        </w:rPr>
      </w:pPr>
    </w:p>
    <w:p>
      <w:pPr>
        <w:ind w:left="120" w:right="280"/>
        <w:spacing w:after="0" w:line="238" w:lineRule="auto"/>
        <w:rPr>
          <w:sz w:val="20"/>
          <w:szCs w:val="20"/>
          <w:color w:val="auto"/>
        </w:rPr>
      </w:pPr>
      <w:r>
        <w:rPr>
          <w:rFonts w:ascii="Arial" w:cs="Arial" w:eastAsia="Arial" w:hAnsi="Arial"/>
          <w:sz w:val="17"/>
          <w:szCs w:val="17"/>
          <w:color w:val="auto"/>
        </w:rPr>
        <w:t>The offer letters with Messrs. Hunn and Stipancich provide for certain benefits in the event of the termination of the officer’s employment under certain conditions. The amount of the benefits varies depending on the reason for termination, as explained below. In no event will excise tax gross-ups be paid in regard to a termination of employment related to a change in control.</w:t>
      </w:r>
    </w:p>
    <w:p>
      <w:pPr>
        <w:spacing w:after="0" w:line="140" w:lineRule="exact"/>
        <w:rPr>
          <w:sz w:val="20"/>
          <w:szCs w:val="20"/>
          <w:color w:val="auto"/>
        </w:rPr>
      </w:pPr>
    </w:p>
    <w:tbl>
      <w:tblPr>
        <w:tblLayout w:type="fixed"/>
        <w:tblInd w:w="6920" w:type="dxa"/>
        <w:tblCellMar>
          <w:top w:w="0" w:type="dxa"/>
          <w:left w:w="0" w:type="dxa"/>
          <w:bottom w:w="0" w:type="dxa"/>
          <w:right w:w="0" w:type="dxa"/>
        </w:tblCellMar>
      </w:tblPr>
      <w:tr>
        <w:trPr>
          <w:trHeight w:val="29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005CB9"/>
              </w:rPr>
              <w:t>45</w:t>
            </w:r>
          </w:p>
        </w:tc>
      </w:tr>
      <w:tr>
        <w:trPr>
          <w:trHeight w:val="100"/>
        </w:trPr>
        <w:tc>
          <w:tcPr>
            <w:tcW w:w="3900" w:type="dxa"/>
            <w:vAlign w:val="bottom"/>
            <w:tcBorders>
              <w:right w:val="single" w:sz="8" w:color="005CB9"/>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-205105</wp:posOffset>
            </wp:positionV>
            <wp:extent cx="428625"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Offer Letters to Messrs. Hunn and Stipancich, and Special Long-Term Cash Incentive Arrangement with Mr. Hunn</w:t>
      </w:r>
    </w:p>
    <w:p>
      <w:pPr>
        <w:spacing w:after="0" w:line="102"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i w:val="1"/>
          <w:iCs w:val="1"/>
          <w:color w:val="auto"/>
        </w:rPr>
        <w:t xml:space="preserve">Mr. Hunn. </w:t>
      </w:r>
      <w:r>
        <w:rPr>
          <w:rFonts w:ascii="Arial" w:cs="Arial" w:eastAsia="Arial" w:hAnsi="Arial"/>
          <w:sz w:val="17"/>
          <w:szCs w:val="17"/>
          <w:color w:val="auto"/>
        </w:rPr>
        <w:t>Pursuant to an offer letter dated August 18, 2011, if Mr. Hunn’s employment were to be terminated without cause, he would be entitled</w:t>
      </w:r>
      <w:r>
        <w:rPr>
          <w:rFonts w:ascii="Arial" w:cs="Arial" w:eastAsia="Arial" w:hAnsi="Arial"/>
          <w:sz w:val="17"/>
          <w:szCs w:val="17"/>
          <w:i w:val="1"/>
          <w:iCs w:val="1"/>
          <w:color w:val="auto"/>
        </w:rPr>
        <w:t xml:space="preserve"> </w:t>
      </w:r>
      <w:r>
        <w:rPr>
          <w:rFonts w:ascii="Arial" w:cs="Arial" w:eastAsia="Arial" w:hAnsi="Arial"/>
          <w:sz w:val="17"/>
          <w:szCs w:val="17"/>
          <w:color w:val="auto"/>
        </w:rPr>
        <w:t>to receive one year of medical benefit coverage and a severance payment equal to his then-current annual base salary. In addition, Mr. Hunn is party to a long-term cash incentive arrangement, the material terms of which may be found in the CD&amp;A section above captioned “Analysis of 2021 Compensation—CEO Special Long-Term Cash Incentive”.</w:t>
      </w:r>
    </w:p>
    <w:p>
      <w:pPr>
        <w:spacing w:after="0" w:line="72" w:lineRule="exact"/>
        <w:rPr>
          <w:sz w:val="20"/>
          <w:szCs w:val="20"/>
          <w:color w:val="auto"/>
        </w:rPr>
      </w:pPr>
    </w:p>
    <w:p>
      <w:pPr>
        <w:jc w:val="both"/>
        <w:ind w:left="120"/>
        <w:spacing w:after="0" w:line="248" w:lineRule="auto"/>
        <w:rPr>
          <w:sz w:val="20"/>
          <w:szCs w:val="20"/>
          <w:color w:val="auto"/>
        </w:rPr>
      </w:pPr>
      <w:r>
        <w:rPr>
          <w:rFonts w:ascii="Arial" w:cs="Arial" w:eastAsia="Arial" w:hAnsi="Arial"/>
          <w:sz w:val="17"/>
          <w:szCs w:val="17"/>
          <w:i w:val="1"/>
          <w:iCs w:val="1"/>
          <w:color w:val="auto"/>
        </w:rPr>
        <w:t>Mr. Stipancich</w:t>
      </w:r>
      <w:r>
        <w:rPr>
          <w:rFonts w:ascii="Arial" w:cs="Arial" w:eastAsia="Arial" w:hAnsi="Arial"/>
          <w:sz w:val="17"/>
          <w:szCs w:val="17"/>
          <w:color w:val="auto"/>
        </w:rPr>
        <w:t>. Pursuant to an offer letter dated June 17, 2016, if Mr. Stipancich’s employment were to be terminated without cause, he would be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receive one year of medical benefit coverage and a severance payment equal to his then-current annual base salary, plus a pro-rated bonus based upon Company performance.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Summary of Termination Payments and Benefits</w:t>
      </w:r>
    </w:p>
    <w:p>
      <w:pPr>
        <w:spacing w:after="0" w:line="12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following tables summarize the value of the termination payments and benefits that each of our named executive officers would receive if he had terminated employment on December 31, 2021 under the circumstances shown. Scenarios for termination for cause, voluntary resignation, and retirement have not been included because, in those circumstances, no severance or other additional payments would be made to named executive officers. Other than with respect to Mr. Hunn’s Special Long-Term Cash Incentive Award, scenarios for termination due to death or disability have not been included because they do not discriminate in scope, terms or operation in favor of named executive officers compared to the benefits offered to all salaried employees.</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440" w:type="dxa"/>
            <w:vAlign w:val="bottom"/>
            <w:tcBorders>
              <w:right w:val="single" w:sz="8" w:color="005CB9"/>
            </w:tcBorders>
          </w:tcPr>
          <w:p>
            <w:pPr>
              <w:jc w:val="right"/>
              <w:ind w:right="179"/>
              <w:spacing w:after="0"/>
              <w:rPr>
                <w:sz w:val="20"/>
                <w:szCs w:val="20"/>
                <w:color w:val="auto"/>
              </w:rPr>
            </w:pPr>
            <w:r>
              <w:rPr>
                <w:rFonts w:ascii="Arial" w:cs="Arial" w:eastAsia="Arial" w:hAnsi="Arial"/>
                <w:sz w:val="16"/>
                <w:szCs w:val="16"/>
                <w:b w:val="1"/>
                <w:bCs w:val="1"/>
                <w:color w:val="005CB9"/>
                <w:w w:val="89"/>
              </w:rPr>
              <w:t>46</w:t>
            </w:r>
          </w:p>
        </w:tc>
        <w:tc>
          <w:tcPr>
            <w:tcW w:w="4700" w:type="dxa"/>
            <w:vAlign w:val="bottom"/>
          </w:tcPr>
          <w:p>
            <w:pPr>
              <w:ind w:left="106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0"/>
        </w:trPr>
        <w:tc>
          <w:tcPr>
            <w:tcW w:w="440" w:type="dxa"/>
            <w:vAlign w:val="bottom"/>
            <w:tcBorders>
              <w:right w:val="single" w:sz="8" w:color="005CB9"/>
            </w:tcBorders>
          </w:tcPr>
          <w:p>
            <w:pPr>
              <w:spacing w:after="0"/>
              <w:rPr>
                <w:sz w:val="8"/>
                <w:szCs w:val="8"/>
                <w:color w:val="auto"/>
              </w:rPr>
            </w:pPr>
          </w:p>
        </w:tc>
        <w:tc>
          <w:tcPr>
            <w:tcW w:w="47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-205105</wp:posOffset>
            </wp:positionV>
            <wp:extent cx="428625"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020"/>
          </w:cols>
          <w:pgMar w:left="320" w:top="459" w:right="5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L. N</w:t>
      </w:r>
      <w:r>
        <w:rPr>
          <w:rFonts w:ascii="Arial" w:cs="Arial" w:eastAsia="Arial" w:hAnsi="Arial"/>
          <w:sz w:val="14"/>
          <w:szCs w:val="14"/>
          <w:b w:val="1"/>
          <w:bCs w:val="1"/>
          <w:color w:val="005CB9"/>
        </w:rPr>
        <w:t>EIL</w:t>
      </w:r>
      <w:r>
        <w:rPr>
          <w:rFonts w:ascii="Arial" w:cs="Arial" w:eastAsia="Arial" w:hAnsi="Arial"/>
          <w:sz w:val="18"/>
          <w:szCs w:val="18"/>
          <w:b w:val="1"/>
          <w:bCs w:val="1"/>
          <w:color w:val="005CB9"/>
        </w:rPr>
        <w:t xml:space="preserve"> H</w:t>
      </w:r>
      <w:r>
        <w:rPr>
          <w:rFonts w:ascii="Arial" w:cs="Arial" w:eastAsia="Arial" w:hAnsi="Arial"/>
          <w:sz w:val="14"/>
          <w:szCs w:val="14"/>
          <w:b w:val="1"/>
          <w:bCs w:val="1"/>
          <w:color w:val="005CB9"/>
        </w:rPr>
        <w:t>UNN</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40" w:type="dxa"/>
            <w:vAlign w:val="bottom"/>
            <w:shd w:val="clear" w:color="auto" w:fill="005CB9"/>
          </w:tcPr>
          <w:p>
            <w:pPr>
              <w:spacing w:after="0"/>
              <w:rPr>
                <w:sz w:val="15"/>
                <w:szCs w:val="15"/>
                <w:color w:val="auto"/>
              </w:rPr>
            </w:pPr>
          </w:p>
        </w:tc>
        <w:tc>
          <w:tcPr>
            <w:tcW w:w="4960" w:type="dxa"/>
            <w:vAlign w:val="bottom"/>
            <w:shd w:val="clear" w:color="auto" w:fill="005CB9"/>
          </w:tcPr>
          <w:p>
            <w:pPr>
              <w:spacing w:after="0"/>
              <w:rPr>
                <w:sz w:val="15"/>
                <w:szCs w:val="15"/>
                <w:color w:val="auto"/>
              </w:rPr>
            </w:pPr>
          </w:p>
        </w:tc>
        <w:tc>
          <w:tcPr>
            <w:tcW w:w="1500" w:type="dxa"/>
            <w:vAlign w:val="bottom"/>
            <w:shd w:val="clear" w:color="auto" w:fill="005CB9"/>
          </w:tcPr>
          <w:p>
            <w:pPr>
              <w:spacing w:after="0"/>
              <w:rPr>
                <w:sz w:val="15"/>
                <w:szCs w:val="15"/>
                <w:color w:val="auto"/>
              </w:rPr>
            </w:pPr>
          </w:p>
        </w:tc>
        <w:tc>
          <w:tcPr>
            <w:tcW w:w="360" w:type="dxa"/>
            <w:vAlign w:val="bottom"/>
            <w:shd w:val="clear" w:color="auto" w:fill="005CB9"/>
          </w:tcPr>
          <w:p>
            <w:pPr>
              <w:spacing w:after="0"/>
              <w:rPr>
                <w:sz w:val="15"/>
                <w:szCs w:val="15"/>
                <w:color w:val="auto"/>
              </w:rPr>
            </w:pPr>
          </w:p>
        </w:tc>
        <w:tc>
          <w:tcPr>
            <w:tcW w:w="1940" w:type="dxa"/>
            <w:vAlign w:val="bottom"/>
            <w:shd w:val="clear" w:color="auto" w:fill="005CB9"/>
          </w:tcPr>
          <w:p>
            <w:pPr>
              <w:jc w:val="right"/>
              <w:ind w:right="158"/>
              <w:spacing w:after="0"/>
              <w:rPr>
                <w:sz w:val="20"/>
                <w:szCs w:val="20"/>
                <w:color w:val="auto"/>
              </w:rPr>
            </w:pPr>
            <w:r>
              <w:rPr>
                <w:rFonts w:ascii="Arial" w:cs="Arial" w:eastAsia="Arial" w:hAnsi="Arial"/>
                <w:sz w:val="14"/>
                <w:szCs w:val="14"/>
                <w:color w:val="FFFFFF"/>
              </w:rPr>
              <w:t>Termination Scenario</w:t>
            </w:r>
          </w:p>
        </w:tc>
        <w:tc>
          <w:tcPr>
            <w:tcW w:w="440" w:type="dxa"/>
            <w:vAlign w:val="bottom"/>
            <w:shd w:val="clear" w:color="auto" w:fill="005CB9"/>
          </w:tcPr>
          <w:p>
            <w:pPr>
              <w:spacing w:after="0"/>
              <w:rPr>
                <w:sz w:val="15"/>
                <w:szCs w:val="15"/>
                <w:color w:val="auto"/>
              </w:rPr>
            </w:pPr>
          </w:p>
        </w:tc>
        <w:tc>
          <w:tcPr>
            <w:tcW w:w="660" w:type="dxa"/>
            <w:vAlign w:val="bottom"/>
            <w:tcBorders>
              <w:right w:val="single" w:sz="8" w:color="005CB9"/>
            </w:tcBorders>
            <w:shd w:val="clear" w:color="auto" w:fill="005CB9"/>
          </w:tcPr>
          <w:p>
            <w:pPr>
              <w:spacing w:after="0"/>
              <w:rPr>
                <w:sz w:val="15"/>
                <w:szCs w:val="15"/>
                <w:color w:val="auto"/>
              </w:rPr>
            </w:pPr>
          </w:p>
        </w:tc>
        <w:tc>
          <w:tcPr>
            <w:tcW w:w="120" w:type="dxa"/>
            <w:vAlign w:val="bottom"/>
            <w:shd w:val="clear" w:color="auto" w:fill="005CB9"/>
          </w:tcPr>
          <w:p>
            <w:pPr>
              <w:spacing w:after="0"/>
              <w:rPr>
                <w:sz w:val="15"/>
                <w:szCs w:val="15"/>
                <w:color w:val="auto"/>
              </w:rPr>
            </w:pPr>
          </w:p>
        </w:tc>
        <w:tc>
          <w:tcPr>
            <w:tcW w:w="200" w:type="dxa"/>
            <w:vAlign w:val="bottom"/>
            <w:shd w:val="clear" w:color="auto" w:fill="005CB9"/>
          </w:tcPr>
          <w:p>
            <w:pPr>
              <w:spacing w:after="0"/>
              <w:rPr>
                <w:sz w:val="15"/>
                <w:szCs w:val="15"/>
                <w:color w:val="auto"/>
              </w:rPr>
            </w:pPr>
          </w:p>
        </w:tc>
      </w:tr>
      <w:tr>
        <w:trPr>
          <w:trHeight w:val="160"/>
        </w:trPr>
        <w:tc>
          <w:tcPr>
            <w:tcW w:w="840" w:type="dxa"/>
            <w:vAlign w:val="bottom"/>
            <w:shd w:val="clear" w:color="auto" w:fill="005CB9"/>
          </w:tcPr>
          <w:p>
            <w:pPr>
              <w:spacing w:after="0"/>
              <w:rPr>
                <w:sz w:val="13"/>
                <w:szCs w:val="13"/>
                <w:color w:val="auto"/>
              </w:rPr>
            </w:pPr>
          </w:p>
        </w:tc>
        <w:tc>
          <w:tcPr>
            <w:tcW w:w="4960" w:type="dxa"/>
            <w:vAlign w:val="bottom"/>
            <w:shd w:val="clear" w:color="auto" w:fill="005CB9"/>
          </w:tcPr>
          <w:p>
            <w:pPr>
              <w:spacing w:after="0"/>
              <w:rPr>
                <w:sz w:val="13"/>
                <w:szCs w:val="13"/>
                <w:color w:val="auto"/>
              </w:rPr>
            </w:pPr>
          </w:p>
        </w:tc>
        <w:tc>
          <w:tcPr>
            <w:tcW w:w="1860" w:type="dxa"/>
            <w:vAlign w:val="bottom"/>
            <w:gridSpan w:val="2"/>
            <w:shd w:val="clear" w:color="auto" w:fill="005CB9"/>
          </w:tcPr>
          <w:p>
            <w:pPr>
              <w:jc w:val="right"/>
              <w:spacing w:after="0"/>
              <w:rPr>
                <w:sz w:val="20"/>
                <w:szCs w:val="20"/>
                <w:color w:val="auto"/>
              </w:rPr>
            </w:pPr>
            <w:r>
              <w:rPr>
                <w:rFonts w:ascii="Arial" w:cs="Arial" w:eastAsia="Arial" w:hAnsi="Arial"/>
                <w:sz w:val="14"/>
                <w:szCs w:val="14"/>
                <w:color w:val="FFFFFF"/>
              </w:rPr>
              <w:t>By Employee</w:t>
            </w:r>
          </w:p>
        </w:tc>
        <w:tc>
          <w:tcPr>
            <w:tcW w:w="1940" w:type="dxa"/>
            <w:vAlign w:val="bottom"/>
            <w:shd w:val="clear" w:color="auto" w:fill="005CB9"/>
          </w:tcPr>
          <w:p>
            <w:pPr>
              <w:jc w:val="right"/>
              <w:ind w:right="338"/>
              <w:spacing w:after="0"/>
              <w:rPr>
                <w:sz w:val="20"/>
                <w:szCs w:val="20"/>
                <w:color w:val="auto"/>
              </w:rPr>
            </w:pPr>
            <w:r>
              <w:rPr>
                <w:rFonts w:ascii="Arial" w:cs="Arial" w:eastAsia="Arial" w:hAnsi="Arial"/>
                <w:sz w:val="14"/>
                <w:szCs w:val="14"/>
                <w:color w:val="FFFFFF"/>
              </w:rPr>
              <w:t>By Company</w:t>
            </w:r>
          </w:p>
        </w:tc>
        <w:tc>
          <w:tcPr>
            <w:tcW w:w="440" w:type="dxa"/>
            <w:vAlign w:val="bottom"/>
            <w:shd w:val="clear" w:color="auto" w:fill="005CB9"/>
          </w:tcPr>
          <w:p>
            <w:pPr>
              <w:spacing w:after="0"/>
              <w:rPr>
                <w:sz w:val="13"/>
                <w:szCs w:val="13"/>
                <w:color w:val="auto"/>
              </w:rPr>
            </w:pPr>
          </w:p>
        </w:tc>
        <w:tc>
          <w:tcPr>
            <w:tcW w:w="980" w:type="dxa"/>
            <w:vAlign w:val="bottom"/>
            <w:gridSpan w:val="3"/>
            <w:shd w:val="clear" w:color="auto" w:fill="005CB9"/>
          </w:tcPr>
          <w:p>
            <w:pPr>
              <w:jc w:val="right"/>
              <w:ind w:right="39"/>
              <w:spacing w:after="0"/>
              <w:rPr>
                <w:sz w:val="20"/>
                <w:szCs w:val="20"/>
                <w:color w:val="auto"/>
              </w:rPr>
            </w:pPr>
            <w:r>
              <w:rPr>
                <w:rFonts w:ascii="Arial" w:cs="Arial" w:eastAsia="Arial" w:hAnsi="Arial"/>
                <w:sz w:val="14"/>
                <w:szCs w:val="14"/>
                <w:color w:val="FFFFFF"/>
              </w:rPr>
              <w:t>Change in</w:t>
            </w:r>
          </w:p>
        </w:tc>
      </w:tr>
      <w:tr>
        <w:trPr>
          <w:trHeight w:val="204"/>
        </w:trPr>
        <w:tc>
          <w:tcPr>
            <w:tcW w:w="5800" w:type="dxa"/>
            <w:vAlign w:val="bottom"/>
            <w:gridSpan w:val="2"/>
            <w:shd w:val="clear" w:color="auto" w:fill="005CB9"/>
          </w:tcPr>
          <w:p>
            <w:pPr>
              <w:ind w:left="100"/>
              <w:spacing w:after="0"/>
              <w:rPr>
                <w:sz w:val="20"/>
                <w:szCs w:val="20"/>
                <w:color w:val="auto"/>
              </w:rPr>
            </w:pPr>
            <w:r>
              <w:rPr>
                <w:rFonts w:ascii="Arial" w:cs="Arial" w:eastAsia="Arial" w:hAnsi="Arial"/>
                <w:sz w:val="14"/>
                <w:szCs w:val="14"/>
                <w:color w:val="FFFFFF"/>
              </w:rPr>
              <w:t>Potential Payments Upon Termination or Change in Control</w:t>
            </w:r>
          </w:p>
        </w:tc>
        <w:tc>
          <w:tcPr>
            <w:tcW w:w="1860" w:type="dxa"/>
            <w:vAlign w:val="bottom"/>
            <w:gridSpan w:val="2"/>
            <w:shd w:val="clear" w:color="auto" w:fill="005CB9"/>
          </w:tcPr>
          <w:p>
            <w:pPr>
              <w:jc w:val="right"/>
              <w:spacing w:after="0"/>
              <w:rPr>
                <w:sz w:val="20"/>
                <w:szCs w:val="20"/>
                <w:color w:val="auto"/>
              </w:rPr>
            </w:pPr>
            <w:r>
              <w:rPr>
                <w:rFonts w:ascii="Arial" w:cs="Arial" w:eastAsia="Arial" w:hAnsi="Arial"/>
                <w:sz w:val="14"/>
                <w:szCs w:val="14"/>
                <w:color w:val="FFFFFF"/>
              </w:rPr>
              <w:t>For Good Reason</w:t>
            </w:r>
          </w:p>
        </w:tc>
        <w:tc>
          <w:tcPr>
            <w:tcW w:w="1940" w:type="dxa"/>
            <w:vAlign w:val="bottom"/>
            <w:shd w:val="clear" w:color="auto" w:fill="005CB9"/>
          </w:tcPr>
          <w:p>
            <w:pPr>
              <w:jc w:val="right"/>
              <w:ind w:right="338"/>
              <w:spacing w:after="0"/>
              <w:rPr>
                <w:sz w:val="20"/>
                <w:szCs w:val="20"/>
                <w:color w:val="auto"/>
              </w:rPr>
            </w:pPr>
            <w:r>
              <w:rPr>
                <w:rFonts w:ascii="Arial" w:cs="Arial" w:eastAsia="Arial" w:hAnsi="Arial"/>
                <w:sz w:val="14"/>
                <w:szCs w:val="14"/>
                <w:color w:val="FFFFFF"/>
              </w:rPr>
              <w:t>Without Cause</w:t>
            </w:r>
          </w:p>
        </w:tc>
        <w:tc>
          <w:tcPr>
            <w:tcW w:w="440" w:type="dxa"/>
            <w:vAlign w:val="bottom"/>
            <w:shd w:val="clear" w:color="auto" w:fill="005CB9"/>
          </w:tcPr>
          <w:p>
            <w:pPr>
              <w:spacing w:after="0"/>
              <w:rPr>
                <w:sz w:val="17"/>
                <w:szCs w:val="17"/>
                <w:color w:val="auto"/>
              </w:rPr>
            </w:pPr>
          </w:p>
        </w:tc>
        <w:tc>
          <w:tcPr>
            <w:tcW w:w="980" w:type="dxa"/>
            <w:vAlign w:val="bottom"/>
            <w:gridSpan w:val="3"/>
            <w:shd w:val="clear" w:color="auto" w:fill="005CB9"/>
          </w:tcPr>
          <w:p>
            <w:pPr>
              <w:jc w:val="right"/>
              <w:ind w:right="39"/>
              <w:spacing w:after="0"/>
              <w:rPr>
                <w:sz w:val="20"/>
                <w:szCs w:val="20"/>
                <w:color w:val="auto"/>
              </w:rPr>
            </w:pPr>
            <w:r>
              <w:rPr>
                <w:rFonts w:ascii="Arial" w:cs="Arial" w:eastAsia="Arial" w:hAnsi="Arial"/>
                <w:sz w:val="14"/>
                <w:szCs w:val="14"/>
                <w:color w:val="FFFFFF"/>
              </w:rPr>
              <w:t>Control</w:t>
            </w:r>
            <w:r>
              <w:rPr>
                <w:rFonts w:ascii="Arial" w:cs="Arial" w:eastAsia="Arial" w:hAnsi="Arial"/>
                <w:sz w:val="14"/>
                <w:szCs w:val="14"/>
                <w:color w:val="FFFFFF"/>
                <w:vertAlign w:val="superscript"/>
              </w:rPr>
              <w:t>(1)</w:t>
            </w:r>
          </w:p>
        </w:tc>
      </w:tr>
      <w:tr>
        <w:trPr>
          <w:trHeight w:val="266"/>
        </w:trPr>
        <w:tc>
          <w:tcPr>
            <w:tcW w:w="5800" w:type="dxa"/>
            <w:vAlign w:val="bottom"/>
            <w:gridSpan w:val="2"/>
            <w:shd w:val="clear" w:color="auto" w:fill="E5EEF8"/>
          </w:tcPr>
          <w:p>
            <w:pPr>
              <w:ind w:left="100"/>
              <w:spacing w:after="0"/>
              <w:rPr>
                <w:sz w:val="20"/>
                <w:szCs w:val="20"/>
                <w:color w:val="auto"/>
              </w:rPr>
            </w:pPr>
            <w:r>
              <w:rPr>
                <w:rFonts w:ascii="Arial" w:cs="Arial" w:eastAsia="Arial" w:hAnsi="Arial"/>
                <w:sz w:val="17"/>
                <w:szCs w:val="17"/>
                <w:color w:val="auto"/>
              </w:rPr>
              <w:t>Cash payments</w:t>
            </w:r>
          </w:p>
        </w:tc>
        <w:tc>
          <w:tcPr>
            <w:tcW w:w="1500" w:type="dxa"/>
            <w:vAlign w:val="bottom"/>
            <w:shd w:val="clear" w:color="auto" w:fill="E5EEF8"/>
          </w:tcPr>
          <w:p>
            <w:pPr>
              <w:jc w:val="right"/>
              <w:ind w:right="479"/>
              <w:spacing w:after="0"/>
              <w:rPr>
                <w:sz w:val="20"/>
                <w:szCs w:val="20"/>
                <w:color w:val="auto"/>
              </w:rPr>
            </w:pPr>
            <w:r>
              <w:rPr>
                <w:rFonts w:ascii="Arial" w:cs="Arial" w:eastAsia="Arial" w:hAnsi="Arial"/>
                <w:sz w:val="17"/>
                <w:szCs w:val="17"/>
                <w:color w:val="auto"/>
              </w:rPr>
              <w:t>$</w:t>
            </w:r>
          </w:p>
        </w:tc>
        <w:tc>
          <w:tcPr>
            <w:tcW w:w="360" w:type="dxa"/>
            <w:vAlign w:val="bottom"/>
            <w:shd w:val="clear" w:color="auto" w:fill="E5EEF8"/>
          </w:tcPr>
          <w:p>
            <w:pPr>
              <w:jc w:val="right"/>
              <w:spacing w:after="0"/>
              <w:rPr>
                <w:sz w:val="20"/>
                <w:szCs w:val="20"/>
                <w:color w:val="auto"/>
              </w:rPr>
            </w:pPr>
            <w:r>
              <w:rPr>
                <w:rFonts w:ascii="Arial" w:cs="Arial" w:eastAsia="Arial" w:hAnsi="Arial"/>
                <w:sz w:val="17"/>
                <w:szCs w:val="17"/>
                <w:color w:val="auto"/>
              </w:rPr>
              <w:t>-</w:t>
            </w:r>
          </w:p>
        </w:tc>
        <w:tc>
          <w:tcPr>
            <w:tcW w:w="1940" w:type="dxa"/>
            <w:vAlign w:val="bottom"/>
            <w:shd w:val="clear" w:color="auto" w:fill="E5EEF8"/>
          </w:tcPr>
          <w:p>
            <w:pPr>
              <w:jc w:val="right"/>
              <w:ind w:right="338"/>
              <w:spacing w:after="0"/>
              <w:rPr>
                <w:sz w:val="20"/>
                <w:szCs w:val="20"/>
                <w:color w:val="auto"/>
              </w:rPr>
            </w:pPr>
            <w:r>
              <w:rPr>
                <w:rFonts w:ascii="Arial" w:cs="Arial" w:eastAsia="Arial" w:hAnsi="Arial"/>
                <w:sz w:val="17"/>
                <w:szCs w:val="17"/>
                <w:color w:val="auto"/>
              </w:rPr>
              <w:t>$  1,000,000</w:t>
            </w:r>
          </w:p>
        </w:tc>
        <w:tc>
          <w:tcPr>
            <w:tcW w:w="440" w:type="dxa"/>
            <w:vAlign w:val="bottom"/>
            <w:shd w:val="clear" w:color="auto" w:fill="E5EEF8"/>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E5EEF8"/>
          </w:tcPr>
          <w:p>
            <w:pPr>
              <w:jc w:val="right"/>
              <w:ind w:right="39"/>
              <w:spacing w:after="0"/>
              <w:rPr>
                <w:sz w:val="20"/>
                <w:szCs w:val="20"/>
                <w:color w:val="auto"/>
              </w:rPr>
            </w:pPr>
            <w:r>
              <w:rPr>
                <w:rFonts w:ascii="Arial" w:cs="Arial" w:eastAsia="Arial" w:hAnsi="Arial"/>
                <w:sz w:val="17"/>
                <w:szCs w:val="17"/>
                <w:color w:val="auto"/>
              </w:rPr>
              <w:t>1,000,000</w:t>
            </w:r>
          </w:p>
        </w:tc>
      </w:tr>
      <w:tr>
        <w:trPr>
          <w:trHeight w:val="72"/>
        </w:trPr>
        <w:tc>
          <w:tcPr>
            <w:tcW w:w="5800" w:type="dxa"/>
            <w:vAlign w:val="bottom"/>
            <w:gridSpan w:val="2"/>
            <w:shd w:val="clear" w:color="auto" w:fill="E5EEF8"/>
          </w:tcPr>
          <w:p>
            <w:pPr>
              <w:spacing w:after="0"/>
              <w:rPr>
                <w:sz w:val="6"/>
                <w:szCs w:val="6"/>
                <w:color w:val="auto"/>
              </w:rPr>
            </w:pPr>
          </w:p>
        </w:tc>
        <w:tc>
          <w:tcPr>
            <w:tcW w:w="1860" w:type="dxa"/>
            <w:vAlign w:val="bottom"/>
            <w:gridSpan w:val="2"/>
            <w:shd w:val="clear" w:color="auto" w:fill="E5EEF8"/>
          </w:tcPr>
          <w:p>
            <w:pPr>
              <w:spacing w:after="0"/>
              <w:rPr>
                <w:sz w:val="6"/>
                <w:szCs w:val="6"/>
                <w:color w:val="auto"/>
              </w:rPr>
            </w:pPr>
          </w:p>
        </w:tc>
        <w:tc>
          <w:tcPr>
            <w:tcW w:w="1940" w:type="dxa"/>
            <w:vAlign w:val="bottom"/>
            <w:shd w:val="clear" w:color="auto" w:fill="E5EEF8"/>
          </w:tcPr>
          <w:p>
            <w:pPr>
              <w:spacing w:after="0"/>
              <w:rPr>
                <w:sz w:val="6"/>
                <w:szCs w:val="6"/>
                <w:color w:val="auto"/>
              </w:rPr>
            </w:pPr>
          </w:p>
        </w:tc>
        <w:tc>
          <w:tcPr>
            <w:tcW w:w="440" w:type="dxa"/>
            <w:vAlign w:val="bottom"/>
            <w:shd w:val="clear" w:color="auto" w:fill="E5EEF8"/>
          </w:tcPr>
          <w:p>
            <w:pPr>
              <w:spacing w:after="0"/>
              <w:rPr>
                <w:sz w:val="6"/>
                <w:szCs w:val="6"/>
                <w:color w:val="auto"/>
              </w:rPr>
            </w:pPr>
          </w:p>
        </w:tc>
        <w:tc>
          <w:tcPr>
            <w:tcW w:w="660" w:type="dxa"/>
            <w:vAlign w:val="bottom"/>
            <w:tcBorders>
              <w:right w:val="single" w:sz="8" w:color="E5EEF8"/>
            </w:tcBorders>
            <w:shd w:val="clear" w:color="auto" w:fill="E5EEF8"/>
          </w:tcPr>
          <w:p>
            <w:pPr>
              <w:spacing w:after="0"/>
              <w:rPr>
                <w:sz w:val="6"/>
                <w:szCs w:val="6"/>
                <w:color w:val="auto"/>
              </w:rPr>
            </w:pPr>
          </w:p>
        </w:tc>
        <w:tc>
          <w:tcPr>
            <w:tcW w:w="120" w:type="dxa"/>
            <w:vAlign w:val="bottom"/>
            <w:shd w:val="clear" w:color="auto" w:fill="E5EEF8"/>
          </w:tcPr>
          <w:p>
            <w:pPr>
              <w:spacing w:after="0"/>
              <w:rPr>
                <w:sz w:val="6"/>
                <w:szCs w:val="6"/>
                <w:color w:val="auto"/>
              </w:rPr>
            </w:pPr>
          </w:p>
        </w:tc>
        <w:tc>
          <w:tcPr>
            <w:tcW w:w="200" w:type="dxa"/>
            <w:vAlign w:val="bottom"/>
            <w:shd w:val="clear" w:color="auto" w:fill="E5EEF8"/>
          </w:tcPr>
          <w:p>
            <w:pPr>
              <w:spacing w:after="0"/>
              <w:rPr>
                <w:sz w:val="6"/>
                <w:szCs w:val="6"/>
                <w:color w:val="auto"/>
              </w:rPr>
            </w:pPr>
          </w:p>
        </w:tc>
      </w:tr>
      <w:tr>
        <w:trPr>
          <w:trHeight w:val="338"/>
        </w:trPr>
        <w:tc>
          <w:tcPr>
            <w:tcW w:w="5800" w:type="dxa"/>
            <w:vAlign w:val="bottom"/>
            <w:gridSpan w:val="2"/>
          </w:tcPr>
          <w:p>
            <w:pPr>
              <w:ind w:left="100"/>
              <w:spacing w:after="0"/>
              <w:rPr>
                <w:sz w:val="20"/>
                <w:szCs w:val="20"/>
                <w:color w:val="auto"/>
              </w:rPr>
            </w:pPr>
            <w:r>
              <w:rPr>
                <w:rFonts w:ascii="Arial" w:cs="Arial" w:eastAsia="Arial" w:hAnsi="Arial"/>
                <w:sz w:val="17"/>
                <w:szCs w:val="17"/>
                <w:color w:val="auto"/>
              </w:rPr>
              <w:t>Payments related to Long-Term Cash Incentive Award</w:t>
            </w:r>
            <w:r>
              <w:rPr>
                <w:rFonts w:ascii="Arial" w:cs="Arial" w:eastAsia="Arial" w:hAnsi="Arial"/>
                <w:sz w:val="29"/>
                <w:szCs w:val="29"/>
                <w:color w:val="auto"/>
                <w:vertAlign w:val="superscript"/>
              </w:rPr>
              <w:t>(2)</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11,163,000</w:t>
            </w:r>
          </w:p>
        </w:tc>
        <w:tc>
          <w:tcPr>
            <w:tcW w:w="1940" w:type="dxa"/>
            <w:vAlign w:val="bottom"/>
          </w:tcPr>
          <w:p>
            <w:pPr>
              <w:jc w:val="right"/>
              <w:ind w:right="338"/>
              <w:spacing w:after="0"/>
              <w:rPr>
                <w:sz w:val="20"/>
                <w:szCs w:val="20"/>
                <w:color w:val="auto"/>
              </w:rPr>
            </w:pPr>
            <w:r>
              <w:rPr>
                <w:rFonts w:ascii="Arial" w:cs="Arial" w:eastAsia="Arial" w:hAnsi="Arial"/>
                <w:sz w:val="17"/>
                <w:szCs w:val="17"/>
                <w:color w:val="auto"/>
              </w:rPr>
              <w:t>11,163,000</w:t>
            </w:r>
          </w:p>
        </w:tc>
        <w:tc>
          <w:tcPr>
            <w:tcW w:w="440" w:type="dxa"/>
            <w:vAlign w:val="bottom"/>
          </w:tcPr>
          <w:p>
            <w:pPr>
              <w:spacing w:after="0"/>
              <w:rPr>
                <w:sz w:val="24"/>
                <w:szCs w:val="24"/>
                <w:color w:val="auto"/>
              </w:rPr>
            </w:pPr>
          </w:p>
        </w:tc>
        <w:tc>
          <w:tcPr>
            <w:tcW w:w="980" w:type="dxa"/>
            <w:vAlign w:val="bottom"/>
            <w:gridSpan w:val="3"/>
          </w:tcPr>
          <w:p>
            <w:pPr>
              <w:jc w:val="right"/>
              <w:ind w:right="39"/>
              <w:spacing w:after="0"/>
              <w:rPr>
                <w:sz w:val="20"/>
                <w:szCs w:val="20"/>
                <w:color w:val="auto"/>
              </w:rPr>
            </w:pPr>
            <w:r>
              <w:rPr>
                <w:rFonts w:ascii="Arial" w:cs="Arial" w:eastAsia="Arial" w:hAnsi="Arial"/>
                <w:sz w:val="17"/>
                <w:szCs w:val="17"/>
                <w:color w:val="auto"/>
                <w:w w:val="98"/>
              </w:rPr>
              <w:t>11,163,000</w:t>
            </w:r>
          </w:p>
        </w:tc>
      </w:tr>
      <w:tr>
        <w:trPr>
          <w:trHeight w:val="338"/>
        </w:trPr>
        <w:tc>
          <w:tcPr>
            <w:tcW w:w="5800" w:type="dxa"/>
            <w:vAlign w:val="bottom"/>
            <w:gridSpan w:val="2"/>
            <w:shd w:val="clear" w:color="auto" w:fill="E5EEF8"/>
          </w:tcPr>
          <w:p>
            <w:pPr>
              <w:ind w:left="80"/>
              <w:spacing w:after="0"/>
              <w:rPr>
                <w:sz w:val="20"/>
                <w:szCs w:val="20"/>
                <w:color w:val="auto"/>
              </w:rPr>
            </w:pPr>
            <w:r>
              <w:rPr>
                <w:rFonts w:ascii="Arial" w:cs="Arial" w:eastAsia="Arial" w:hAnsi="Arial"/>
                <w:sz w:val="17"/>
                <w:szCs w:val="17"/>
                <w:color w:val="auto"/>
              </w:rPr>
              <w:t>Accelerated Equity Awards</w:t>
            </w:r>
            <w:r>
              <w:rPr>
                <w:rFonts w:ascii="Arial" w:cs="Arial" w:eastAsia="Arial" w:hAnsi="Arial"/>
                <w:sz w:val="29"/>
                <w:szCs w:val="29"/>
                <w:color w:val="auto"/>
                <w:vertAlign w:val="superscript"/>
              </w:rPr>
              <w:t>(3)(4)</w:t>
            </w:r>
          </w:p>
        </w:tc>
        <w:tc>
          <w:tcPr>
            <w:tcW w:w="1500" w:type="dxa"/>
            <w:vAlign w:val="bottom"/>
            <w:shd w:val="clear" w:color="auto" w:fill="E5EEF8"/>
          </w:tcPr>
          <w:p>
            <w:pPr>
              <w:spacing w:after="0"/>
              <w:rPr>
                <w:sz w:val="24"/>
                <w:szCs w:val="24"/>
                <w:color w:val="auto"/>
              </w:rPr>
            </w:pPr>
          </w:p>
        </w:tc>
        <w:tc>
          <w:tcPr>
            <w:tcW w:w="360" w:type="dxa"/>
            <w:vAlign w:val="bottom"/>
            <w:shd w:val="clear" w:color="auto" w:fill="E5EEF8"/>
          </w:tcPr>
          <w:p>
            <w:pPr>
              <w:spacing w:after="0"/>
              <w:rPr>
                <w:sz w:val="24"/>
                <w:szCs w:val="24"/>
                <w:color w:val="auto"/>
              </w:rPr>
            </w:pPr>
          </w:p>
        </w:tc>
        <w:tc>
          <w:tcPr>
            <w:tcW w:w="1940" w:type="dxa"/>
            <w:vAlign w:val="bottom"/>
            <w:shd w:val="clear" w:color="auto" w:fill="E5EEF8"/>
          </w:tcPr>
          <w:p>
            <w:pPr>
              <w:spacing w:after="0"/>
              <w:rPr>
                <w:sz w:val="24"/>
                <w:szCs w:val="24"/>
                <w:color w:val="auto"/>
              </w:rPr>
            </w:pPr>
          </w:p>
        </w:tc>
        <w:tc>
          <w:tcPr>
            <w:tcW w:w="440" w:type="dxa"/>
            <w:vAlign w:val="bottom"/>
            <w:shd w:val="clear" w:color="auto" w:fill="E5EEF8"/>
          </w:tcPr>
          <w:p>
            <w:pPr>
              <w:spacing w:after="0"/>
              <w:rPr>
                <w:sz w:val="24"/>
                <w:szCs w:val="24"/>
                <w:color w:val="auto"/>
              </w:rPr>
            </w:pPr>
          </w:p>
        </w:tc>
        <w:tc>
          <w:tcPr>
            <w:tcW w:w="660" w:type="dxa"/>
            <w:vAlign w:val="bottom"/>
            <w:tcBorders>
              <w:right w:val="single" w:sz="8" w:color="E5EEF8"/>
            </w:tcBorders>
            <w:shd w:val="clear" w:color="auto" w:fill="E5EEF8"/>
          </w:tcPr>
          <w:p>
            <w:pPr>
              <w:spacing w:after="0"/>
              <w:rPr>
                <w:sz w:val="24"/>
                <w:szCs w:val="24"/>
                <w:color w:val="auto"/>
              </w:rPr>
            </w:pPr>
          </w:p>
        </w:tc>
        <w:tc>
          <w:tcPr>
            <w:tcW w:w="120" w:type="dxa"/>
            <w:vAlign w:val="bottom"/>
            <w:shd w:val="clear" w:color="auto" w:fill="E5EEF8"/>
          </w:tcPr>
          <w:p>
            <w:pPr>
              <w:spacing w:after="0"/>
              <w:rPr>
                <w:sz w:val="24"/>
                <w:szCs w:val="24"/>
                <w:color w:val="auto"/>
              </w:rPr>
            </w:pPr>
          </w:p>
        </w:tc>
        <w:tc>
          <w:tcPr>
            <w:tcW w:w="200" w:type="dxa"/>
            <w:vAlign w:val="bottom"/>
            <w:shd w:val="clear" w:color="auto" w:fill="E5EEF8"/>
          </w:tcPr>
          <w:p>
            <w:pPr>
              <w:spacing w:after="0"/>
              <w:rPr>
                <w:sz w:val="24"/>
                <w:szCs w:val="24"/>
                <w:color w:val="auto"/>
              </w:rPr>
            </w:pPr>
          </w:p>
        </w:tc>
      </w:tr>
      <w:tr>
        <w:trPr>
          <w:trHeight w:val="266"/>
        </w:trPr>
        <w:tc>
          <w:tcPr>
            <w:tcW w:w="840" w:type="dxa"/>
            <w:vAlign w:val="bottom"/>
          </w:tcPr>
          <w:p>
            <w:pPr>
              <w:ind w:left="440"/>
              <w:spacing w:after="0"/>
              <w:rPr>
                <w:sz w:val="20"/>
                <w:szCs w:val="20"/>
                <w:color w:val="auto"/>
              </w:rPr>
            </w:pPr>
            <w:r>
              <w:rPr>
                <w:rFonts w:ascii="Arial" w:cs="Arial" w:eastAsia="Arial" w:hAnsi="Arial"/>
                <w:sz w:val="17"/>
                <w:szCs w:val="17"/>
                <w:color w:val="auto"/>
              </w:rPr>
              <w:t>2019</w:t>
            </w:r>
          </w:p>
        </w:tc>
        <w:tc>
          <w:tcPr>
            <w:tcW w:w="4960" w:type="dxa"/>
            <w:vAlign w:val="bottom"/>
          </w:tcPr>
          <w:p>
            <w:pPr>
              <w:ind w:left="20"/>
              <w:spacing w:after="0"/>
              <w:rPr>
                <w:sz w:val="20"/>
                <w:szCs w:val="20"/>
                <w:color w:val="auto"/>
              </w:rPr>
            </w:pPr>
            <w:r>
              <w:rPr>
                <w:rFonts w:ascii="Arial" w:cs="Arial" w:eastAsia="Arial" w:hAnsi="Arial"/>
                <w:sz w:val="17"/>
                <w:szCs w:val="17"/>
                <w:color w:val="auto"/>
              </w:rPr>
              <w:t>Stock Option Grant</w:t>
            </w:r>
          </w:p>
        </w:tc>
        <w:tc>
          <w:tcPr>
            <w:tcW w:w="150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940" w:type="dxa"/>
            <w:vAlign w:val="bottom"/>
          </w:tcPr>
          <w:p>
            <w:pPr>
              <w:jc w:val="right"/>
              <w:ind w:right="33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980" w:type="dxa"/>
            <w:vAlign w:val="bottom"/>
            <w:gridSpan w:val="3"/>
          </w:tcPr>
          <w:p>
            <w:pPr>
              <w:jc w:val="right"/>
              <w:ind w:right="39"/>
              <w:spacing w:after="0"/>
              <w:rPr>
                <w:sz w:val="20"/>
                <w:szCs w:val="20"/>
                <w:color w:val="auto"/>
              </w:rPr>
            </w:pPr>
            <w:r>
              <w:rPr>
                <w:rFonts w:ascii="Arial" w:cs="Arial" w:eastAsia="Arial" w:hAnsi="Arial"/>
                <w:sz w:val="17"/>
                <w:szCs w:val="17"/>
                <w:color w:val="auto"/>
                <w:w w:val="98"/>
              </w:rPr>
              <w:t>13,293,600</w:t>
            </w:r>
          </w:p>
        </w:tc>
      </w:tr>
      <w:tr>
        <w:trPr>
          <w:trHeight w:val="72"/>
        </w:trPr>
        <w:tc>
          <w:tcPr>
            <w:tcW w:w="840" w:type="dxa"/>
            <w:vAlign w:val="bottom"/>
          </w:tcPr>
          <w:p>
            <w:pPr>
              <w:spacing w:after="0"/>
              <w:rPr>
                <w:sz w:val="6"/>
                <w:szCs w:val="6"/>
                <w:color w:val="auto"/>
              </w:rPr>
            </w:pPr>
          </w:p>
        </w:tc>
        <w:tc>
          <w:tcPr>
            <w:tcW w:w="49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9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r>
      <w:tr>
        <w:trPr>
          <w:trHeight w:val="266"/>
        </w:trPr>
        <w:tc>
          <w:tcPr>
            <w:tcW w:w="840" w:type="dxa"/>
            <w:vAlign w:val="bottom"/>
            <w:shd w:val="clear" w:color="auto" w:fill="E5EEF8"/>
          </w:tcPr>
          <w:p>
            <w:pPr>
              <w:ind w:left="440"/>
              <w:spacing w:after="0"/>
              <w:rPr>
                <w:sz w:val="20"/>
                <w:szCs w:val="20"/>
                <w:color w:val="auto"/>
              </w:rPr>
            </w:pPr>
            <w:r>
              <w:rPr>
                <w:rFonts w:ascii="Arial" w:cs="Arial" w:eastAsia="Arial" w:hAnsi="Arial"/>
                <w:sz w:val="17"/>
                <w:szCs w:val="17"/>
                <w:color w:val="auto"/>
              </w:rPr>
              <w:t>2020</w:t>
            </w:r>
          </w:p>
        </w:tc>
        <w:tc>
          <w:tcPr>
            <w:tcW w:w="4960" w:type="dxa"/>
            <w:vAlign w:val="bottom"/>
            <w:shd w:val="clear" w:color="auto" w:fill="E5EEF8"/>
          </w:tcPr>
          <w:p>
            <w:pPr>
              <w:ind w:left="20"/>
              <w:spacing w:after="0"/>
              <w:rPr>
                <w:sz w:val="20"/>
                <w:szCs w:val="20"/>
                <w:color w:val="auto"/>
              </w:rPr>
            </w:pPr>
            <w:r>
              <w:rPr>
                <w:rFonts w:ascii="Arial" w:cs="Arial" w:eastAsia="Arial" w:hAnsi="Arial"/>
                <w:sz w:val="17"/>
                <w:szCs w:val="17"/>
                <w:color w:val="auto"/>
              </w:rPr>
              <w:t>Stock Option Grant</w:t>
            </w:r>
          </w:p>
        </w:tc>
        <w:tc>
          <w:tcPr>
            <w:tcW w:w="1500" w:type="dxa"/>
            <w:vAlign w:val="bottom"/>
            <w:shd w:val="clear" w:color="auto" w:fill="E5EEF8"/>
          </w:tcPr>
          <w:p>
            <w:pPr>
              <w:spacing w:after="0"/>
              <w:rPr>
                <w:sz w:val="23"/>
                <w:szCs w:val="23"/>
                <w:color w:val="auto"/>
              </w:rPr>
            </w:pPr>
          </w:p>
        </w:tc>
        <w:tc>
          <w:tcPr>
            <w:tcW w:w="360" w:type="dxa"/>
            <w:vAlign w:val="bottom"/>
            <w:shd w:val="clear" w:color="auto" w:fill="E5EEF8"/>
          </w:tcPr>
          <w:p>
            <w:pPr>
              <w:jc w:val="right"/>
              <w:spacing w:after="0"/>
              <w:rPr>
                <w:sz w:val="20"/>
                <w:szCs w:val="20"/>
                <w:color w:val="auto"/>
              </w:rPr>
            </w:pPr>
            <w:r>
              <w:rPr>
                <w:rFonts w:ascii="Arial" w:cs="Arial" w:eastAsia="Arial" w:hAnsi="Arial"/>
                <w:sz w:val="17"/>
                <w:szCs w:val="17"/>
                <w:color w:val="auto"/>
              </w:rPr>
              <w:t>-</w:t>
            </w:r>
          </w:p>
        </w:tc>
        <w:tc>
          <w:tcPr>
            <w:tcW w:w="1940" w:type="dxa"/>
            <w:vAlign w:val="bottom"/>
            <w:shd w:val="clear" w:color="auto" w:fill="E5EEF8"/>
          </w:tcPr>
          <w:p>
            <w:pPr>
              <w:jc w:val="right"/>
              <w:ind w:right="338"/>
              <w:spacing w:after="0"/>
              <w:rPr>
                <w:sz w:val="20"/>
                <w:szCs w:val="20"/>
                <w:color w:val="auto"/>
              </w:rPr>
            </w:pPr>
            <w:r>
              <w:rPr>
                <w:rFonts w:ascii="Arial" w:cs="Arial" w:eastAsia="Arial" w:hAnsi="Arial"/>
                <w:sz w:val="17"/>
                <w:szCs w:val="17"/>
                <w:color w:val="auto"/>
              </w:rPr>
              <w:t>-</w:t>
            </w:r>
          </w:p>
        </w:tc>
        <w:tc>
          <w:tcPr>
            <w:tcW w:w="440" w:type="dxa"/>
            <w:vAlign w:val="bottom"/>
            <w:shd w:val="clear" w:color="auto" w:fill="E5EEF8"/>
          </w:tcPr>
          <w:p>
            <w:pPr>
              <w:spacing w:after="0"/>
              <w:rPr>
                <w:sz w:val="23"/>
                <w:szCs w:val="23"/>
                <w:color w:val="auto"/>
              </w:rPr>
            </w:pPr>
          </w:p>
        </w:tc>
        <w:tc>
          <w:tcPr>
            <w:tcW w:w="980" w:type="dxa"/>
            <w:vAlign w:val="bottom"/>
            <w:gridSpan w:val="3"/>
            <w:shd w:val="clear" w:color="auto" w:fill="E5EEF8"/>
          </w:tcPr>
          <w:p>
            <w:pPr>
              <w:jc w:val="right"/>
              <w:ind w:right="39"/>
              <w:spacing w:after="0"/>
              <w:rPr>
                <w:sz w:val="20"/>
                <w:szCs w:val="20"/>
                <w:color w:val="auto"/>
              </w:rPr>
            </w:pPr>
            <w:r>
              <w:rPr>
                <w:rFonts w:ascii="Arial" w:cs="Arial" w:eastAsia="Arial" w:hAnsi="Arial"/>
                <w:sz w:val="17"/>
                <w:szCs w:val="17"/>
                <w:color w:val="auto"/>
              </w:rPr>
              <w:t>6,805,930</w:t>
            </w:r>
          </w:p>
        </w:tc>
      </w:tr>
      <w:tr>
        <w:trPr>
          <w:trHeight w:val="72"/>
        </w:trPr>
        <w:tc>
          <w:tcPr>
            <w:tcW w:w="840" w:type="dxa"/>
            <w:vAlign w:val="bottom"/>
            <w:shd w:val="clear" w:color="auto" w:fill="E5EEF8"/>
          </w:tcPr>
          <w:p>
            <w:pPr>
              <w:spacing w:after="0"/>
              <w:rPr>
                <w:sz w:val="6"/>
                <w:szCs w:val="6"/>
                <w:color w:val="auto"/>
              </w:rPr>
            </w:pPr>
          </w:p>
        </w:tc>
        <w:tc>
          <w:tcPr>
            <w:tcW w:w="4960" w:type="dxa"/>
            <w:vAlign w:val="bottom"/>
            <w:shd w:val="clear" w:color="auto" w:fill="E5EEF8"/>
          </w:tcPr>
          <w:p>
            <w:pPr>
              <w:spacing w:after="0"/>
              <w:rPr>
                <w:sz w:val="6"/>
                <w:szCs w:val="6"/>
                <w:color w:val="auto"/>
              </w:rPr>
            </w:pPr>
          </w:p>
        </w:tc>
        <w:tc>
          <w:tcPr>
            <w:tcW w:w="1500" w:type="dxa"/>
            <w:vAlign w:val="bottom"/>
            <w:shd w:val="clear" w:color="auto" w:fill="E5EEF8"/>
          </w:tcPr>
          <w:p>
            <w:pPr>
              <w:spacing w:after="0"/>
              <w:rPr>
                <w:sz w:val="6"/>
                <w:szCs w:val="6"/>
                <w:color w:val="auto"/>
              </w:rPr>
            </w:pPr>
          </w:p>
        </w:tc>
        <w:tc>
          <w:tcPr>
            <w:tcW w:w="360" w:type="dxa"/>
            <w:vAlign w:val="bottom"/>
            <w:shd w:val="clear" w:color="auto" w:fill="E5EEF8"/>
          </w:tcPr>
          <w:p>
            <w:pPr>
              <w:spacing w:after="0"/>
              <w:rPr>
                <w:sz w:val="6"/>
                <w:szCs w:val="6"/>
                <w:color w:val="auto"/>
              </w:rPr>
            </w:pPr>
          </w:p>
        </w:tc>
        <w:tc>
          <w:tcPr>
            <w:tcW w:w="1940" w:type="dxa"/>
            <w:vAlign w:val="bottom"/>
            <w:shd w:val="clear" w:color="auto" w:fill="E5EEF8"/>
          </w:tcPr>
          <w:p>
            <w:pPr>
              <w:spacing w:after="0"/>
              <w:rPr>
                <w:sz w:val="6"/>
                <w:szCs w:val="6"/>
                <w:color w:val="auto"/>
              </w:rPr>
            </w:pPr>
          </w:p>
        </w:tc>
        <w:tc>
          <w:tcPr>
            <w:tcW w:w="440" w:type="dxa"/>
            <w:vAlign w:val="bottom"/>
            <w:shd w:val="clear" w:color="auto" w:fill="E5EEF8"/>
          </w:tcPr>
          <w:p>
            <w:pPr>
              <w:spacing w:after="0"/>
              <w:rPr>
                <w:sz w:val="6"/>
                <w:szCs w:val="6"/>
                <w:color w:val="auto"/>
              </w:rPr>
            </w:pPr>
          </w:p>
        </w:tc>
        <w:tc>
          <w:tcPr>
            <w:tcW w:w="660" w:type="dxa"/>
            <w:vAlign w:val="bottom"/>
            <w:tcBorders>
              <w:right w:val="single" w:sz="8" w:color="E5EEF8"/>
            </w:tcBorders>
            <w:shd w:val="clear" w:color="auto" w:fill="E5EEF8"/>
          </w:tcPr>
          <w:p>
            <w:pPr>
              <w:spacing w:after="0"/>
              <w:rPr>
                <w:sz w:val="6"/>
                <w:szCs w:val="6"/>
                <w:color w:val="auto"/>
              </w:rPr>
            </w:pPr>
          </w:p>
        </w:tc>
        <w:tc>
          <w:tcPr>
            <w:tcW w:w="120" w:type="dxa"/>
            <w:vAlign w:val="bottom"/>
            <w:shd w:val="clear" w:color="auto" w:fill="E5EEF8"/>
          </w:tcPr>
          <w:p>
            <w:pPr>
              <w:spacing w:after="0"/>
              <w:rPr>
                <w:sz w:val="6"/>
                <w:szCs w:val="6"/>
                <w:color w:val="auto"/>
              </w:rPr>
            </w:pPr>
          </w:p>
        </w:tc>
        <w:tc>
          <w:tcPr>
            <w:tcW w:w="200" w:type="dxa"/>
            <w:vAlign w:val="bottom"/>
            <w:shd w:val="clear" w:color="auto" w:fill="E5EEF8"/>
          </w:tcPr>
          <w:p>
            <w:pPr>
              <w:spacing w:after="0"/>
              <w:rPr>
                <w:sz w:val="6"/>
                <w:szCs w:val="6"/>
                <w:color w:val="auto"/>
              </w:rPr>
            </w:pPr>
          </w:p>
        </w:tc>
      </w:tr>
      <w:tr>
        <w:trPr>
          <w:trHeight w:val="266"/>
        </w:trPr>
        <w:tc>
          <w:tcPr>
            <w:tcW w:w="840" w:type="dxa"/>
            <w:vAlign w:val="bottom"/>
          </w:tcPr>
          <w:p>
            <w:pPr>
              <w:ind w:left="440"/>
              <w:spacing w:after="0"/>
              <w:rPr>
                <w:sz w:val="20"/>
                <w:szCs w:val="20"/>
                <w:color w:val="auto"/>
              </w:rPr>
            </w:pPr>
            <w:r>
              <w:rPr>
                <w:rFonts w:ascii="Arial" w:cs="Arial" w:eastAsia="Arial" w:hAnsi="Arial"/>
                <w:sz w:val="17"/>
                <w:szCs w:val="17"/>
                <w:color w:val="auto"/>
              </w:rPr>
              <w:t>2021</w:t>
            </w:r>
          </w:p>
        </w:tc>
        <w:tc>
          <w:tcPr>
            <w:tcW w:w="4960" w:type="dxa"/>
            <w:vAlign w:val="bottom"/>
          </w:tcPr>
          <w:p>
            <w:pPr>
              <w:ind w:left="20"/>
              <w:spacing w:after="0"/>
              <w:rPr>
                <w:sz w:val="20"/>
                <w:szCs w:val="20"/>
                <w:color w:val="auto"/>
              </w:rPr>
            </w:pPr>
            <w:r>
              <w:rPr>
                <w:rFonts w:ascii="Arial" w:cs="Arial" w:eastAsia="Arial" w:hAnsi="Arial"/>
                <w:sz w:val="17"/>
                <w:szCs w:val="17"/>
                <w:color w:val="auto"/>
              </w:rPr>
              <w:t>Stock Option Grant</w:t>
            </w:r>
          </w:p>
        </w:tc>
        <w:tc>
          <w:tcPr>
            <w:tcW w:w="150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940" w:type="dxa"/>
            <w:vAlign w:val="bottom"/>
          </w:tcPr>
          <w:p>
            <w:pPr>
              <w:jc w:val="right"/>
              <w:ind w:right="33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980" w:type="dxa"/>
            <w:vAlign w:val="bottom"/>
            <w:gridSpan w:val="3"/>
          </w:tcPr>
          <w:p>
            <w:pPr>
              <w:jc w:val="right"/>
              <w:ind w:right="39"/>
              <w:spacing w:after="0"/>
              <w:rPr>
                <w:sz w:val="20"/>
                <w:szCs w:val="20"/>
                <w:color w:val="auto"/>
              </w:rPr>
            </w:pPr>
            <w:r>
              <w:rPr>
                <w:rFonts w:ascii="Arial" w:cs="Arial" w:eastAsia="Arial" w:hAnsi="Arial"/>
                <w:sz w:val="17"/>
                <w:szCs w:val="17"/>
                <w:color w:val="auto"/>
              </w:rPr>
              <w:t>3,733,373</w:t>
            </w:r>
          </w:p>
        </w:tc>
      </w:tr>
      <w:tr>
        <w:trPr>
          <w:trHeight w:val="72"/>
        </w:trPr>
        <w:tc>
          <w:tcPr>
            <w:tcW w:w="840" w:type="dxa"/>
            <w:vAlign w:val="bottom"/>
          </w:tcPr>
          <w:p>
            <w:pPr>
              <w:spacing w:after="0"/>
              <w:rPr>
                <w:sz w:val="6"/>
                <w:szCs w:val="6"/>
                <w:color w:val="auto"/>
              </w:rPr>
            </w:pPr>
          </w:p>
        </w:tc>
        <w:tc>
          <w:tcPr>
            <w:tcW w:w="49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9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r>
      <w:tr>
        <w:trPr>
          <w:trHeight w:val="266"/>
        </w:trPr>
        <w:tc>
          <w:tcPr>
            <w:tcW w:w="840" w:type="dxa"/>
            <w:vAlign w:val="bottom"/>
            <w:shd w:val="clear" w:color="auto" w:fill="E5EEF8"/>
          </w:tcPr>
          <w:p>
            <w:pPr>
              <w:ind w:left="440"/>
              <w:spacing w:after="0"/>
              <w:rPr>
                <w:sz w:val="20"/>
                <w:szCs w:val="20"/>
                <w:color w:val="auto"/>
              </w:rPr>
            </w:pPr>
            <w:r>
              <w:rPr>
                <w:rFonts w:ascii="Arial" w:cs="Arial" w:eastAsia="Arial" w:hAnsi="Arial"/>
                <w:sz w:val="17"/>
                <w:szCs w:val="17"/>
                <w:color w:val="auto"/>
              </w:rPr>
              <w:t>2020</w:t>
            </w:r>
          </w:p>
        </w:tc>
        <w:tc>
          <w:tcPr>
            <w:tcW w:w="4960" w:type="dxa"/>
            <w:vAlign w:val="bottom"/>
            <w:shd w:val="clear" w:color="auto" w:fill="E5EEF8"/>
          </w:tcPr>
          <w:p>
            <w:pPr>
              <w:ind w:left="20"/>
              <w:spacing w:after="0"/>
              <w:rPr>
                <w:sz w:val="20"/>
                <w:szCs w:val="20"/>
                <w:color w:val="auto"/>
              </w:rPr>
            </w:pPr>
            <w:r>
              <w:rPr>
                <w:rFonts w:ascii="Arial" w:cs="Arial" w:eastAsia="Arial" w:hAnsi="Arial"/>
                <w:sz w:val="17"/>
                <w:szCs w:val="17"/>
                <w:color w:val="auto"/>
              </w:rPr>
              <w:t>Restricted Stock Grant</w:t>
            </w:r>
          </w:p>
        </w:tc>
        <w:tc>
          <w:tcPr>
            <w:tcW w:w="1500" w:type="dxa"/>
            <w:vAlign w:val="bottom"/>
            <w:shd w:val="clear" w:color="auto" w:fill="E5EEF8"/>
          </w:tcPr>
          <w:p>
            <w:pPr>
              <w:spacing w:after="0"/>
              <w:rPr>
                <w:sz w:val="23"/>
                <w:szCs w:val="23"/>
                <w:color w:val="auto"/>
              </w:rPr>
            </w:pPr>
          </w:p>
        </w:tc>
        <w:tc>
          <w:tcPr>
            <w:tcW w:w="360" w:type="dxa"/>
            <w:vAlign w:val="bottom"/>
            <w:shd w:val="clear" w:color="auto" w:fill="E5EEF8"/>
          </w:tcPr>
          <w:p>
            <w:pPr>
              <w:jc w:val="right"/>
              <w:spacing w:after="0"/>
              <w:rPr>
                <w:sz w:val="20"/>
                <w:szCs w:val="20"/>
                <w:color w:val="auto"/>
              </w:rPr>
            </w:pPr>
            <w:r>
              <w:rPr>
                <w:rFonts w:ascii="Arial" w:cs="Arial" w:eastAsia="Arial" w:hAnsi="Arial"/>
                <w:sz w:val="17"/>
                <w:szCs w:val="17"/>
                <w:color w:val="auto"/>
              </w:rPr>
              <w:t>-</w:t>
            </w:r>
          </w:p>
        </w:tc>
        <w:tc>
          <w:tcPr>
            <w:tcW w:w="1940" w:type="dxa"/>
            <w:vAlign w:val="bottom"/>
            <w:shd w:val="clear" w:color="auto" w:fill="E5EEF8"/>
          </w:tcPr>
          <w:p>
            <w:pPr>
              <w:jc w:val="right"/>
              <w:ind w:right="338"/>
              <w:spacing w:after="0"/>
              <w:rPr>
                <w:sz w:val="20"/>
                <w:szCs w:val="20"/>
                <w:color w:val="auto"/>
              </w:rPr>
            </w:pPr>
            <w:r>
              <w:rPr>
                <w:rFonts w:ascii="Arial" w:cs="Arial" w:eastAsia="Arial" w:hAnsi="Arial"/>
                <w:sz w:val="17"/>
                <w:szCs w:val="17"/>
                <w:color w:val="auto"/>
              </w:rPr>
              <w:t>-</w:t>
            </w:r>
          </w:p>
        </w:tc>
        <w:tc>
          <w:tcPr>
            <w:tcW w:w="440" w:type="dxa"/>
            <w:vAlign w:val="bottom"/>
            <w:shd w:val="clear" w:color="auto" w:fill="E5EEF8"/>
          </w:tcPr>
          <w:p>
            <w:pPr>
              <w:spacing w:after="0"/>
              <w:rPr>
                <w:sz w:val="23"/>
                <w:szCs w:val="23"/>
                <w:color w:val="auto"/>
              </w:rPr>
            </w:pPr>
          </w:p>
        </w:tc>
        <w:tc>
          <w:tcPr>
            <w:tcW w:w="980" w:type="dxa"/>
            <w:vAlign w:val="bottom"/>
            <w:gridSpan w:val="3"/>
            <w:shd w:val="clear" w:color="auto" w:fill="E5EEF8"/>
          </w:tcPr>
          <w:p>
            <w:pPr>
              <w:jc w:val="right"/>
              <w:ind w:right="39"/>
              <w:spacing w:after="0"/>
              <w:rPr>
                <w:sz w:val="20"/>
                <w:szCs w:val="20"/>
                <w:color w:val="auto"/>
              </w:rPr>
            </w:pPr>
            <w:r>
              <w:rPr>
                <w:rFonts w:ascii="Arial" w:cs="Arial" w:eastAsia="Arial" w:hAnsi="Arial"/>
                <w:sz w:val="17"/>
                <w:szCs w:val="17"/>
                <w:color w:val="auto"/>
                <w:w w:val="98"/>
              </w:rPr>
              <w:t>17,281,993</w:t>
            </w:r>
          </w:p>
        </w:tc>
      </w:tr>
      <w:tr>
        <w:trPr>
          <w:trHeight w:val="72"/>
        </w:trPr>
        <w:tc>
          <w:tcPr>
            <w:tcW w:w="840" w:type="dxa"/>
            <w:vAlign w:val="bottom"/>
            <w:shd w:val="clear" w:color="auto" w:fill="E5EEF8"/>
          </w:tcPr>
          <w:p>
            <w:pPr>
              <w:spacing w:after="0"/>
              <w:rPr>
                <w:sz w:val="6"/>
                <w:szCs w:val="6"/>
                <w:color w:val="auto"/>
              </w:rPr>
            </w:pPr>
          </w:p>
        </w:tc>
        <w:tc>
          <w:tcPr>
            <w:tcW w:w="4960" w:type="dxa"/>
            <w:vAlign w:val="bottom"/>
            <w:shd w:val="clear" w:color="auto" w:fill="E5EEF8"/>
          </w:tcPr>
          <w:p>
            <w:pPr>
              <w:spacing w:after="0"/>
              <w:rPr>
                <w:sz w:val="6"/>
                <w:szCs w:val="6"/>
                <w:color w:val="auto"/>
              </w:rPr>
            </w:pPr>
          </w:p>
        </w:tc>
        <w:tc>
          <w:tcPr>
            <w:tcW w:w="1500" w:type="dxa"/>
            <w:vAlign w:val="bottom"/>
            <w:shd w:val="clear" w:color="auto" w:fill="E5EEF8"/>
          </w:tcPr>
          <w:p>
            <w:pPr>
              <w:spacing w:after="0"/>
              <w:rPr>
                <w:sz w:val="6"/>
                <w:szCs w:val="6"/>
                <w:color w:val="auto"/>
              </w:rPr>
            </w:pPr>
          </w:p>
        </w:tc>
        <w:tc>
          <w:tcPr>
            <w:tcW w:w="360" w:type="dxa"/>
            <w:vAlign w:val="bottom"/>
            <w:shd w:val="clear" w:color="auto" w:fill="E5EEF8"/>
          </w:tcPr>
          <w:p>
            <w:pPr>
              <w:spacing w:after="0"/>
              <w:rPr>
                <w:sz w:val="6"/>
                <w:szCs w:val="6"/>
                <w:color w:val="auto"/>
              </w:rPr>
            </w:pPr>
          </w:p>
        </w:tc>
        <w:tc>
          <w:tcPr>
            <w:tcW w:w="1940" w:type="dxa"/>
            <w:vAlign w:val="bottom"/>
            <w:shd w:val="clear" w:color="auto" w:fill="E5EEF8"/>
          </w:tcPr>
          <w:p>
            <w:pPr>
              <w:spacing w:after="0"/>
              <w:rPr>
                <w:sz w:val="6"/>
                <w:szCs w:val="6"/>
                <w:color w:val="auto"/>
              </w:rPr>
            </w:pPr>
          </w:p>
        </w:tc>
        <w:tc>
          <w:tcPr>
            <w:tcW w:w="440" w:type="dxa"/>
            <w:vAlign w:val="bottom"/>
            <w:shd w:val="clear" w:color="auto" w:fill="E5EEF8"/>
          </w:tcPr>
          <w:p>
            <w:pPr>
              <w:spacing w:after="0"/>
              <w:rPr>
                <w:sz w:val="6"/>
                <w:szCs w:val="6"/>
                <w:color w:val="auto"/>
              </w:rPr>
            </w:pPr>
          </w:p>
        </w:tc>
        <w:tc>
          <w:tcPr>
            <w:tcW w:w="660" w:type="dxa"/>
            <w:vAlign w:val="bottom"/>
            <w:tcBorders>
              <w:right w:val="single" w:sz="8" w:color="E5EEF8"/>
            </w:tcBorders>
            <w:shd w:val="clear" w:color="auto" w:fill="E5EEF8"/>
          </w:tcPr>
          <w:p>
            <w:pPr>
              <w:spacing w:after="0"/>
              <w:rPr>
                <w:sz w:val="6"/>
                <w:szCs w:val="6"/>
                <w:color w:val="auto"/>
              </w:rPr>
            </w:pPr>
          </w:p>
        </w:tc>
        <w:tc>
          <w:tcPr>
            <w:tcW w:w="120" w:type="dxa"/>
            <w:vAlign w:val="bottom"/>
            <w:shd w:val="clear" w:color="auto" w:fill="E5EEF8"/>
          </w:tcPr>
          <w:p>
            <w:pPr>
              <w:spacing w:after="0"/>
              <w:rPr>
                <w:sz w:val="6"/>
                <w:szCs w:val="6"/>
                <w:color w:val="auto"/>
              </w:rPr>
            </w:pPr>
          </w:p>
        </w:tc>
        <w:tc>
          <w:tcPr>
            <w:tcW w:w="200" w:type="dxa"/>
            <w:vAlign w:val="bottom"/>
            <w:shd w:val="clear" w:color="auto" w:fill="E5EEF8"/>
          </w:tcPr>
          <w:p>
            <w:pPr>
              <w:spacing w:after="0"/>
              <w:rPr>
                <w:sz w:val="6"/>
                <w:szCs w:val="6"/>
                <w:color w:val="auto"/>
              </w:rPr>
            </w:pPr>
          </w:p>
        </w:tc>
      </w:tr>
      <w:tr>
        <w:trPr>
          <w:trHeight w:val="266"/>
        </w:trPr>
        <w:tc>
          <w:tcPr>
            <w:tcW w:w="840" w:type="dxa"/>
            <w:vAlign w:val="bottom"/>
          </w:tcPr>
          <w:p>
            <w:pPr>
              <w:ind w:left="440"/>
              <w:spacing w:after="0"/>
              <w:rPr>
                <w:sz w:val="20"/>
                <w:szCs w:val="20"/>
                <w:color w:val="auto"/>
              </w:rPr>
            </w:pPr>
            <w:r>
              <w:rPr>
                <w:rFonts w:ascii="Arial" w:cs="Arial" w:eastAsia="Arial" w:hAnsi="Arial"/>
                <w:sz w:val="17"/>
                <w:szCs w:val="17"/>
                <w:color w:val="auto"/>
              </w:rPr>
              <w:t>2021</w:t>
            </w:r>
          </w:p>
        </w:tc>
        <w:tc>
          <w:tcPr>
            <w:tcW w:w="4960" w:type="dxa"/>
            <w:vAlign w:val="bottom"/>
          </w:tcPr>
          <w:p>
            <w:pPr>
              <w:ind w:left="20"/>
              <w:spacing w:after="0"/>
              <w:rPr>
                <w:sz w:val="20"/>
                <w:szCs w:val="20"/>
                <w:color w:val="auto"/>
              </w:rPr>
            </w:pPr>
            <w:r>
              <w:rPr>
                <w:rFonts w:ascii="Arial" w:cs="Arial" w:eastAsia="Arial" w:hAnsi="Arial"/>
                <w:sz w:val="17"/>
                <w:szCs w:val="17"/>
                <w:color w:val="auto"/>
              </w:rPr>
              <w:t>Restricted Stock Grant</w:t>
            </w:r>
          </w:p>
        </w:tc>
        <w:tc>
          <w:tcPr>
            <w:tcW w:w="150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940" w:type="dxa"/>
            <w:vAlign w:val="bottom"/>
          </w:tcPr>
          <w:p>
            <w:pPr>
              <w:jc w:val="right"/>
              <w:ind w:right="33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980" w:type="dxa"/>
            <w:vAlign w:val="bottom"/>
            <w:gridSpan w:val="3"/>
          </w:tcPr>
          <w:p>
            <w:pPr>
              <w:jc w:val="right"/>
              <w:ind w:right="39"/>
              <w:spacing w:after="0"/>
              <w:rPr>
                <w:sz w:val="20"/>
                <w:szCs w:val="20"/>
                <w:color w:val="auto"/>
              </w:rPr>
            </w:pPr>
            <w:r>
              <w:rPr>
                <w:rFonts w:ascii="Arial" w:cs="Arial" w:eastAsia="Arial" w:hAnsi="Arial"/>
                <w:sz w:val="17"/>
                <w:szCs w:val="17"/>
                <w:color w:val="auto"/>
                <w:w w:val="98"/>
              </w:rPr>
              <w:t>15,412,925</w:t>
            </w:r>
          </w:p>
        </w:tc>
      </w:tr>
      <w:tr>
        <w:trPr>
          <w:trHeight w:val="72"/>
        </w:trPr>
        <w:tc>
          <w:tcPr>
            <w:tcW w:w="5800" w:type="dxa"/>
            <w:vAlign w:val="bottom"/>
            <w:gridSpan w:val="2"/>
          </w:tcPr>
          <w:p>
            <w:pPr>
              <w:spacing w:after="0"/>
              <w:rPr>
                <w:sz w:val="6"/>
                <w:szCs w:val="6"/>
                <w:color w:val="auto"/>
              </w:rPr>
            </w:pPr>
          </w:p>
        </w:tc>
        <w:tc>
          <w:tcPr>
            <w:tcW w:w="1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9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r>
      <w:tr>
        <w:trPr>
          <w:trHeight w:val="266"/>
        </w:trPr>
        <w:tc>
          <w:tcPr>
            <w:tcW w:w="5800" w:type="dxa"/>
            <w:vAlign w:val="bottom"/>
            <w:gridSpan w:val="2"/>
            <w:shd w:val="clear" w:color="auto" w:fill="E5EEF8"/>
          </w:tcPr>
          <w:p>
            <w:pPr>
              <w:ind w:left="100"/>
              <w:spacing w:after="0"/>
              <w:rPr>
                <w:sz w:val="20"/>
                <w:szCs w:val="20"/>
                <w:color w:val="auto"/>
              </w:rPr>
            </w:pPr>
            <w:r>
              <w:rPr>
                <w:rFonts w:ascii="Arial" w:cs="Arial" w:eastAsia="Arial" w:hAnsi="Arial"/>
                <w:sz w:val="17"/>
                <w:szCs w:val="17"/>
                <w:color w:val="auto"/>
              </w:rPr>
              <w:t>Continued Medical Benefits</w:t>
            </w:r>
          </w:p>
        </w:tc>
        <w:tc>
          <w:tcPr>
            <w:tcW w:w="1500" w:type="dxa"/>
            <w:vAlign w:val="bottom"/>
            <w:shd w:val="clear" w:color="auto" w:fill="E5EEF8"/>
          </w:tcPr>
          <w:p>
            <w:pPr>
              <w:spacing w:after="0"/>
              <w:rPr>
                <w:sz w:val="23"/>
                <w:szCs w:val="23"/>
                <w:color w:val="auto"/>
              </w:rPr>
            </w:pPr>
          </w:p>
        </w:tc>
        <w:tc>
          <w:tcPr>
            <w:tcW w:w="360" w:type="dxa"/>
            <w:vAlign w:val="bottom"/>
            <w:shd w:val="clear" w:color="auto" w:fill="E5EEF8"/>
          </w:tcPr>
          <w:p>
            <w:pPr>
              <w:jc w:val="right"/>
              <w:spacing w:after="0"/>
              <w:rPr>
                <w:sz w:val="20"/>
                <w:szCs w:val="20"/>
                <w:color w:val="auto"/>
              </w:rPr>
            </w:pPr>
            <w:r>
              <w:rPr>
                <w:rFonts w:ascii="Arial" w:cs="Arial" w:eastAsia="Arial" w:hAnsi="Arial"/>
                <w:sz w:val="17"/>
                <w:szCs w:val="17"/>
                <w:color w:val="auto"/>
              </w:rPr>
              <w:t>-</w:t>
            </w:r>
          </w:p>
        </w:tc>
        <w:tc>
          <w:tcPr>
            <w:tcW w:w="1940" w:type="dxa"/>
            <w:vAlign w:val="bottom"/>
            <w:shd w:val="clear" w:color="auto" w:fill="E5EEF8"/>
          </w:tcPr>
          <w:p>
            <w:pPr>
              <w:jc w:val="right"/>
              <w:ind w:right="338"/>
              <w:spacing w:after="0"/>
              <w:rPr>
                <w:sz w:val="20"/>
                <w:szCs w:val="20"/>
                <w:color w:val="auto"/>
              </w:rPr>
            </w:pPr>
            <w:r>
              <w:rPr>
                <w:rFonts w:ascii="Arial" w:cs="Arial" w:eastAsia="Arial" w:hAnsi="Arial"/>
                <w:sz w:val="17"/>
                <w:szCs w:val="17"/>
                <w:color w:val="auto"/>
              </w:rPr>
              <w:t>22,311</w:t>
            </w:r>
          </w:p>
        </w:tc>
        <w:tc>
          <w:tcPr>
            <w:tcW w:w="440" w:type="dxa"/>
            <w:vAlign w:val="bottom"/>
            <w:shd w:val="clear" w:color="auto" w:fill="E5EEF8"/>
          </w:tcPr>
          <w:p>
            <w:pPr>
              <w:spacing w:after="0"/>
              <w:rPr>
                <w:sz w:val="23"/>
                <w:szCs w:val="23"/>
                <w:color w:val="auto"/>
              </w:rPr>
            </w:pPr>
          </w:p>
        </w:tc>
        <w:tc>
          <w:tcPr>
            <w:tcW w:w="980" w:type="dxa"/>
            <w:vAlign w:val="bottom"/>
            <w:gridSpan w:val="3"/>
            <w:shd w:val="clear" w:color="auto" w:fill="E5EEF8"/>
          </w:tcPr>
          <w:p>
            <w:pPr>
              <w:jc w:val="right"/>
              <w:ind w:right="39"/>
              <w:spacing w:after="0"/>
              <w:rPr>
                <w:sz w:val="20"/>
                <w:szCs w:val="20"/>
                <w:color w:val="auto"/>
              </w:rPr>
            </w:pPr>
            <w:r>
              <w:rPr>
                <w:rFonts w:ascii="Arial" w:cs="Arial" w:eastAsia="Arial" w:hAnsi="Arial"/>
                <w:sz w:val="17"/>
                <w:szCs w:val="17"/>
                <w:color w:val="auto"/>
              </w:rPr>
              <w:t>22,311</w:t>
            </w:r>
          </w:p>
        </w:tc>
      </w:tr>
      <w:tr>
        <w:trPr>
          <w:trHeight w:val="72"/>
        </w:trPr>
        <w:tc>
          <w:tcPr>
            <w:tcW w:w="840" w:type="dxa"/>
            <w:vAlign w:val="bottom"/>
            <w:shd w:val="clear" w:color="auto" w:fill="E5EEF8"/>
          </w:tcPr>
          <w:p>
            <w:pPr>
              <w:spacing w:after="0"/>
              <w:rPr>
                <w:sz w:val="6"/>
                <w:szCs w:val="6"/>
                <w:color w:val="auto"/>
              </w:rPr>
            </w:pPr>
          </w:p>
        </w:tc>
        <w:tc>
          <w:tcPr>
            <w:tcW w:w="4960" w:type="dxa"/>
            <w:vAlign w:val="bottom"/>
            <w:shd w:val="clear" w:color="auto" w:fill="E5EEF8"/>
          </w:tcPr>
          <w:p>
            <w:pPr>
              <w:spacing w:after="0"/>
              <w:rPr>
                <w:sz w:val="6"/>
                <w:szCs w:val="6"/>
                <w:color w:val="auto"/>
              </w:rPr>
            </w:pPr>
          </w:p>
        </w:tc>
        <w:tc>
          <w:tcPr>
            <w:tcW w:w="1860" w:type="dxa"/>
            <w:vAlign w:val="bottom"/>
            <w:gridSpan w:val="2"/>
            <w:shd w:val="clear" w:color="auto" w:fill="E5EEF8"/>
          </w:tcPr>
          <w:p>
            <w:pPr>
              <w:spacing w:after="0"/>
              <w:rPr>
                <w:sz w:val="6"/>
                <w:szCs w:val="6"/>
                <w:color w:val="auto"/>
              </w:rPr>
            </w:pPr>
          </w:p>
        </w:tc>
        <w:tc>
          <w:tcPr>
            <w:tcW w:w="1940" w:type="dxa"/>
            <w:vAlign w:val="bottom"/>
            <w:shd w:val="clear" w:color="auto" w:fill="E5EEF8"/>
          </w:tcPr>
          <w:p>
            <w:pPr>
              <w:spacing w:after="0"/>
              <w:rPr>
                <w:sz w:val="6"/>
                <w:szCs w:val="6"/>
                <w:color w:val="auto"/>
              </w:rPr>
            </w:pPr>
          </w:p>
        </w:tc>
        <w:tc>
          <w:tcPr>
            <w:tcW w:w="1100" w:type="dxa"/>
            <w:vAlign w:val="bottom"/>
            <w:tcBorders>
              <w:right w:val="single" w:sz="8" w:color="E5EEF8"/>
            </w:tcBorders>
            <w:gridSpan w:val="2"/>
            <w:shd w:val="clear" w:color="auto" w:fill="E5EEF8"/>
          </w:tcPr>
          <w:p>
            <w:pPr>
              <w:spacing w:after="0"/>
              <w:rPr>
                <w:sz w:val="6"/>
                <w:szCs w:val="6"/>
                <w:color w:val="auto"/>
              </w:rPr>
            </w:pPr>
          </w:p>
        </w:tc>
        <w:tc>
          <w:tcPr>
            <w:tcW w:w="120" w:type="dxa"/>
            <w:vAlign w:val="bottom"/>
            <w:shd w:val="clear" w:color="auto" w:fill="E5EEF8"/>
          </w:tcPr>
          <w:p>
            <w:pPr>
              <w:spacing w:after="0"/>
              <w:rPr>
                <w:sz w:val="6"/>
                <w:szCs w:val="6"/>
                <w:color w:val="auto"/>
              </w:rPr>
            </w:pPr>
          </w:p>
        </w:tc>
        <w:tc>
          <w:tcPr>
            <w:tcW w:w="200" w:type="dxa"/>
            <w:vAlign w:val="bottom"/>
            <w:shd w:val="clear" w:color="auto" w:fill="E5EEF8"/>
          </w:tcPr>
          <w:p>
            <w:pPr>
              <w:spacing w:after="0"/>
              <w:rPr>
                <w:sz w:val="6"/>
                <w:szCs w:val="6"/>
                <w:color w:val="auto"/>
              </w:rPr>
            </w:pPr>
          </w:p>
        </w:tc>
      </w:tr>
      <w:tr>
        <w:trPr>
          <w:trHeight w:val="266"/>
        </w:trPr>
        <w:tc>
          <w:tcPr>
            <w:tcW w:w="840" w:type="dxa"/>
            <w:vAlign w:val="bottom"/>
          </w:tcPr>
          <w:p>
            <w:pPr>
              <w:ind w:left="80"/>
              <w:spacing w:after="0"/>
              <w:rPr>
                <w:sz w:val="20"/>
                <w:szCs w:val="20"/>
                <w:color w:val="auto"/>
              </w:rPr>
            </w:pPr>
            <w:r>
              <w:rPr>
                <w:rFonts w:ascii="Arial" w:cs="Arial" w:eastAsia="Arial" w:hAnsi="Arial"/>
                <w:sz w:val="17"/>
                <w:szCs w:val="17"/>
                <w:color w:val="auto"/>
              </w:rPr>
              <w:t>Total</w:t>
            </w:r>
          </w:p>
        </w:tc>
        <w:tc>
          <w:tcPr>
            <w:tcW w:w="4960" w:type="dxa"/>
            <w:vAlign w:val="bottom"/>
          </w:tcPr>
          <w:p>
            <w:pPr>
              <w:spacing w:after="0"/>
              <w:rPr>
                <w:sz w:val="23"/>
                <w:szCs w:val="23"/>
                <w:color w:val="auto"/>
              </w:rPr>
            </w:pP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$ 11,163,000</w:t>
            </w:r>
          </w:p>
        </w:tc>
        <w:tc>
          <w:tcPr>
            <w:tcW w:w="1940" w:type="dxa"/>
            <w:vAlign w:val="bottom"/>
          </w:tcPr>
          <w:p>
            <w:pPr>
              <w:jc w:val="right"/>
              <w:ind w:right="338"/>
              <w:spacing w:after="0"/>
              <w:rPr>
                <w:sz w:val="20"/>
                <w:szCs w:val="20"/>
                <w:color w:val="auto"/>
              </w:rPr>
            </w:pPr>
            <w:r>
              <w:rPr>
                <w:rFonts w:ascii="Arial" w:cs="Arial" w:eastAsia="Arial" w:hAnsi="Arial"/>
                <w:sz w:val="17"/>
                <w:szCs w:val="17"/>
                <w:color w:val="auto"/>
              </w:rPr>
              <w:t>$ 12,185,311</w:t>
            </w:r>
          </w:p>
        </w:tc>
        <w:tc>
          <w:tcPr>
            <w:tcW w:w="1420" w:type="dxa"/>
            <w:vAlign w:val="bottom"/>
            <w:gridSpan w:val="4"/>
          </w:tcPr>
          <w:p>
            <w:pPr>
              <w:jc w:val="right"/>
              <w:ind w:right="39"/>
              <w:spacing w:after="0"/>
              <w:rPr>
                <w:sz w:val="20"/>
                <w:szCs w:val="20"/>
                <w:color w:val="auto"/>
              </w:rPr>
            </w:pPr>
            <w:r>
              <w:rPr>
                <w:rFonts w:ascii="Arial" w:cs="Arial" w:eastAsia="Arial" w:hAnsi="Arial"/>
                <w:sz w:val="17"/>
                <w:szCs w:val="17"/>
                <w:color w:val="auto"/>
              </w:rPr>
              <w:t>$ 68,690,821</w:t>
            </w:r>
          </w:p>
        </w:tc>
      </w:tr>
      <w:tr>
        <w:trPr>
          <w:trHeight w:val="503"/>
        </w:trPr>
        <w:tc>
          <w:tcPr>
            <w:tcW w:w="5800" w:type="dxa"/>
            <w:vAlign w:val="bottom"/>
            <w:gridSpan w:val="2"/>
          </w:tcPr>
          <w:p>
            <w:pPr>
              <w:spacing w:after="0"/>
              <w:rPr>
                <w:sz w:val="20"/>
                <w:szCs w:val="20"/>
                <w:color w:val="auto"/>
              </w:rPr>
            </w:pPr>
            <w:r>
              <w:rPr>
                <w:rFonts w:ascii="Arial" w:cs="Arial" w:eastAsia="Arial" w:hAnsi="Arial"/>
                <w:sz w:val="18"/>
                <w:szCs w:val="18"/>
                <w:b w:val="1"/>
                <w:bCs w:val="1"/>
                <w:color w:val="005CB9"/>
              </w:rPr>
              <w:t>R</w:t>
            </w:r>
            <w:r>
              <w:rPr>
                <w:rFonts w:ascii="Arial" w:cs="Arial" w:eastAsia="Arial" w:hAnsi="Arial"/>
                <w:sz w:val="14"/>
                <w:szCs w:val="14"/>
                <w:b w:val="1"/>
                <w:bCs w:val="1"/>
                <w:color w:val="005CB9"/>
              </w:rPr>
              <w:t>OBERT</w:t>
            </w:r>
            <w:r>
              <w:rPr>
                <w:rFonts w:ascii="Arial" w:cs="Arial" w:eastAsia="Arial" w:hAnsi="Arial"/>
                <w:sz w:val="18"/>
                <w:szCs w:val="18"/>
                <w:b w:val="1"/>
                <w:bCs w:val="1"/>
                <w:color w:val="005CB9"/>
              </w:rPr>
              <w:t xml:space="preserve"> C. C</w:t>
            </w:r>
            <w:r>
              <w:rPr>
                <w:rFonts w:ascii="Arial" w:cs="Arial" w:eastAsia="Arial" w:hAnsi="Arial"/>
                <w:sz w:val="14"/>
                <w:szCs w:val="14"/>
                <w:b w:val="1"/>
                <w:bCs w:val="1"/>
                <w:color w:val="005CB9"/>
              </w:rPr>
              <w:t>RISCI</w:t>
            </w: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08"/>
        </w:trPr>
        <w:tc>
          <w:tcPr>
            <w:tcW w:w="84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175"/>
        </w:trPr>
        <w:tc>
          <w:tcPr>
            <w:tcW w:w="840" w:type="dxa"/>
            <w:vAlign w:val="bottom"/>
            <w:shd w:val="clear" w:color="auto" w:fill="005CB9"/>
          </w:tcPr>
          <w:p>
            <w:pPr>
              <w:spacing w:after="0"/>
              <w:rPr>
                <w:sz w:val="15"/>
                <w:szCs w:val="15"/>
                <w:color w:val="auto"/>
              </w:rPr>
            </w:pPr>
          </w:p>
        </w:tc>
        <w:tc>
          <w:tcPr>
            <w:tcW w:w="4960" w:type="dxa"/>
            <w:vAlign w:val="bottom"/>
            <w:shd w:val="clear" w:color="auto" w:fill="005CB9"/>
          </w:tcPr>
          <w:p>
            <w:pPr>
              <w:spacing w:after="0"/>
              <w:rPr>
                <w:sz w:val="15"/>
                <w:szCs w:val="15"/>
                <w:color w:val="auto"/>
              </w:rPr>
            </w:pPr>
          </w:p>
        </w:tc>
        <w:tc>
          <w:tcPr>
            <w:tcW w:w="1500" w:type="dxa"/>
            <w:vAlign w:val="bottom"/>
            <w:shd w:val="clear" w:color="auto" w:fill="005CB9"/>
          </w:tcPr>
          <w:p>
            <w:pPr>
              <w:spacing w:after="0"/>
              <w:rPr>
                <w:sz w:val="15"/>
                <w:szCs w:val="15"/>
                <w:color w:val="auto"/>
              </w:rPr>
            </w:pPr>
          </w:p>
        </w:tc>
        <w:tc>
          <w:tcPr>
            <w:tcW w:w="360" w:type="dxa"/>
            <w:vAlign w:val="bottom"/>
            <w:shd w:val="clear" w:color="auto" w:fill="005CB9"/>
          </w:tcPr>
          <w:p>
            <w:pPr>
              <w:spacing w:after="0"/>
              <w:rPr>
                <w:sz w:val="15"/>
                <w:szCs w:val="15"/>
                <w:color w:val="auto"/>
              </w:rPr>
            </w:pPr>
          </w:p>
        </w:tc>
        <w:tc>
          <w:tcPr>
            <w:tcW w:w="1940" w:type="dxa"/>
            <w:vAlign w:val="bottom"/>
            <w:shd w:val="clear" w:color="auto" w:fill="005CB9"/>
          </w:tcPr>
          <w:p>
            <w:pPr>
              <w:jc w:val="right"/>
              <w:ind w:right="478"/>
              <w:spacing w:after="0"/>
              <w:rPr>
                <w:sz w:val="20"/>
                <w:szCs w:val="20"/>
                <w:color w:val="auto"/>
              </w:rPr>
            </w:pPr>
            <w:r>
              <w:rPr>
                <w:rFonts w:ascii="Arial" w:cs="Arial" w:eastAsia="Arial" w:hAnsi="Arial"/>
                <w:sz w:val="14"/>
                <w:szCs w:val="14"/>
                <w:color w:val="FFFFFF"/>
              </w:rPr>
              <w:t>Termination Scenario</w:t>
            </w:r>
          </w:p>
        </w:tc>
        <w:tc>
          <w:tcPr>
            <w:tcW w:w="440" w:type="dxa"/>
            <w:vAlign w:val="bottom"/>
            <w:shd w:val="clear" w:color="auto" w:fill="005CB9"/>
          </w:tcPr>
          <w:p>
            <w:pPr>
              <w:spacing w:after="0"/>
              <w:rPr>
                <w:sz w:val="15"/>
                <w:szCs w:val="15"/>
                <w:color w:val="auto"/>
              </w:rPr>
            </w:pPr>
          </w:p>
        </w:tc>
        <w:tc>
          <w:tcPr>
            <w:tcW w:w="660" w:type="dxa"/>
            <w:vAlign w:val="bottom"/>
            <w:tcBorders>
              <w:right w:val="single" w:sz="8" w:color="005CB9"/>
            </w:tcBorders>
            <w:shd w:val="clear" w:color="auto" w:fill="005CB9"/>
          </w:tcPr>
          <w:p>
            <w:pPr>
              <w:spacing w:after="0"/>
              <w:rPr>
                <w:sz w:val="15"/>
                <w:szCs w:val="15"/>
                <w:color w:val="auto"/>
              </w:rPr>
            </w:pPr>
          </w:p>
        </w:tc>
        <w:tc>
          <w:tcPr>
            <w:tcW w:w="120" w:type="dxa"/>
            <w:vAlign w:val="bottom"/>
            <w:shd w:val="clear" w:color="auto" w:fill="005CB9"/>
          </w:tcPr>
          <w:p>
            <w:pPr>
              <w:spacing w:after="0"/>
              <w:rPr>
                <w:sz w:val="15"/>
                <w:szCs w:val="15"/>
                <w:color w:val="auto"/>
              </w:rPr>
            </w:pPr>
          </w:p>
        </w:tc>
        <w:tc>
          <w:tcPr>
            <w:tcW w:w="200" w:type="dxa"/>
            <w:vAlign w:val="bottom"/>
            <w:shd w:val="clear" w:color="auto" w:fill="005CB9"/>
          </w:tcPr>
          <w:p>
            <w:pPr>
              <w:spacing w:after="0"/>
              <w:rPr>
                <w:sz w:val="15"/>
                <w:szCs w:val="15"/>
                <w:color w:val="auto"/>
              </w:rPr>
            </w:pPr>
          </w:p>
        </w:tc>
      </w:tr>
      <w:tr>
        <w:trPr>
          <w:trHeight w:val="160"/>
        </w:trPr>
        <w:tc>
          <w:tcPr>
            <w:tcW w:w="840" w:type="dxa"/>
            <w:vAlign w:val="bottom"/>
            <w:shd w:val="clear" w:color="auto" w:fill="005CB9"/>
          </w:tcPr>
          <w:p>
            <w:pPr>
              <w:spacing w:after="0"/>
              <w:rPr>
                <w:sz w:val="13"/>
                <w:szCs w:val="13"/>
                <w:color w:val="auto"/>
              </w:rPr>
            </w:pPr>
          </w:p>
        </w:tc>
        <w:tc>
          <w:tcPr>
            <w:tcW w:w="4960" w:type="dxa"/>
            <w:vAlign w:val="bottom"/>
            <w:shd w:val="clear" w:color="auto" w:fill="005CB9"/>
          </w:tcPr>
          <w:p>
            <w:pPr>
              <w:spacing w:after="0"/>
              <w:rPr>
                <w:sz w:val="13"/>
                <w:szCs w:val="13"/>
                <w:color w:val="auto"/>
              </w:rPr>
            </w:pPr>
          </w:p>
        </w:tc>
        <w:tc>
          <w:tcPr>
            <w:tcW w:w="1500" w:type="dxa"/>
            <w:vAlign w:val="bottom"/>
            <w:shd w:val="clear" w:color="auto" w:fill="005CB9"/>
          </w:tcPr>
          <w:p>
            <w:pPr>
              <w:jc w:val="right"/>
              <w:ind w:right="159"/>
              <w:spacing w:after="0"/>
              <w:rPr>
                <w:sz w:val="20"/>
                <w:szCs w:val="20"/>
                <w:color w:val="auto"/>
              </w:rPr>
            </w:pPr>
            <w:r>
              <w:rPr>
                <w:rFonts w:ascii="Arial" w:cs="Arial" w:eastAsia="Arial" w:hAnsi="Arial"/>
                <w:sz w:val="14"/>
                <w:szCs w:val="14"/>
                <w:color w:val="FFFFFF"/>
              </w:rPr>
              <w:t>By Employee</w:t>
            </w:r>
          </w:p>
        </w:tc>
        <w:tc>
          <w:tcPr>
            <w:tcW w:w="360" w:type="dxa"/>
            <w:vAlign w:val="bottom"/>
            <w:shd w:val="clear" w:color="auto" w:fill="005CB9"/>
          </w:tcPr>
          <w:p>
            <w:pPr>
              <w:spacing w:after="0"/>
              <w:rPr>
                <w:sz w:val="13"/>
                <w:szCs w:val="13"/>
                <w:color w:val="auto"/>
              </w:rPr>
            </w:pPr>
          </w:p>
        </w:tc>
        <w:tc>
          <w:tcPr>
            <w:tcW w:w="1940" w:type="dxa"/>
            <w:vAlign w:val="bottom"/>
            <w:shd w:val="clear" w:color="auto" w:fill="005CB9"/>
          </w:tcPr>
          <w:p>
            <w:pPr>
              <w:jc w:val="right"/>
              <w:ind w:right="698"/>
              <w:spacing w:after="0"/>
              <w:rPr>
                <w:sz w:val="20"/>
                <w:szCs w:val="20"/>
                <w:color w:val="auto"/>
              </w:rPr>
            </w:pPr>
            <w:r>
              <w:rPr>
                <w:rFonts w:ascii="Arial" w:cs="Arial" w:eastAsia="Arial" w:hAnsi="Arial"/>
                <w:sz w:val="14"/>
                <w:szCs w:val="14"/>
                <w:color w:val="FFFFFF"/>
              </w:rPr>
              <w:t>By Company</w:t>
            </w:r>
          </w:p>
        </w:tc>
        <w:tc>
          <w:tcPr>
            <w:tcW w:w="440" w:type="dxa"/>
            <w:vAlign w:val="bottom"/>
            <w:shd w:val="clear" w:color="auto" w:fill="005CB9"/>
          </w:tcPr>
          <w:p>
            <w:pPr>
              <w:spacing w:after="0"/>
              <w:rPr>
                <w:sz w:val="13"/>
                <w:szCs w:val="13"/>
                <w:color w:val="auto"/>
              </w:rPr>
            </w:pPr>
          </w:p>
        </w:tc>
        <w:tc>
          <w:tcPr>
            <w:tcW w:w="780" w:type="dxa"/>
            <w:vAlign w:val="bottom"/>
            <w:gridSpan w:val="2"/>
            <w:shd w:val="clear" w:color="auto" w:fill="005CB9"/>
          </w:tcPr>
          <w:p>
            <w:pPr>
              <w:jc w:val="right"/>
              <w:spacing w:after="0"/>
              <w:rPr>
                <w:sz w:val="20"/>
                <w:szCs w:val="20"/>
                <w:color w:val="auto"/>
              </w:rPr>
            </w:pPr>
            <w:r>
              <w:rPr>
                <w:rFonts w:ascii="Arial" w:cs="Arial" w:eastAsia="Arial" w:hAnsi="Arial"/>
                <w:sz w:val="14"/>
                <w:szCs w:val="14"/>
                <w:color w:val="FFFFFF"/>
              </w:rPr>
              <w:t>Change in</w:t>
            </w:r>
          </w:p>
        </w:tc>
        <w:tc>
          <w:tcPr>
            <w:tcW w:w="200" w:type="dxa"/>
            <w:vAlign w:val="bottom"/>
            <w:shd w:val="clear" w:color="auto" w:fill="005CB9"/>
          </w:tcPr>
          <w:p>
            <w:pPr>
              <w:spacing w:after="0"/>
              <w:rPr>
                <w:sz w:val="13"/>
                <w:szCs w:val="13"/>
                <w:color w:val="auto"/>
              </w:rPr>
            </w:pPr>
          </w:p>
        </w:tc>
      </w:tr>
      <w:tr>
        <w:trPr>
          <w:trHeight w:val="204"/>
        </w:trPr>
        <w:tc>
          <w:tcPr>
            <w:tcW w:w="5800" w:type="dxa"/>
            <w:vAlign w:val="bottom"/>
            <w:gridSpan w:val="2"/>
            <w:shd w:val="clear" w:color="auto" w:fill="005CB9"/>
          </w:tcPr>
          <w:p>
            <w:pPr>
              <w:ind w:left="100"/>
              <w:spacing w:after="0"/>
              <w:rPr>
                <w:sz w:val="20"/>
                <w:szCs w:val="20"/>
                <w:color w:val="auto"/>
              </w:rPr>
            </w:pPr>
            <w:r>
              <w:rPr>
                <w:rFonts w:ascii="Arial" w:cs="Arial" w:eastAsia="Arial" w:hAnsi="Arial"/>
                <w:sz w:val="14"/>
                <w:szCs w:val="14"/>
                <w:color w:val="FFFFFF"/>
              </w:rPr>
              <w:t>Potential Payments Upon Termination or Change in Control</w:t>
            </w:r>
          </w:p>
        </w:tc>
        <w:tc>
          <w:tcPr>
            <w:tcW w:w="1500" w:type="dxa"/>
            <w:vAlign w:val="bottom"/>
            <w:shd w:val="clear" w:color="auto" w:fill="005CB9"/>
          </w:tcPr>
          <w:p>
            <w:pPr>
              <w:jc w:val="right"/>
              <w:ind w:right="159"/>
              <w:spacing w:after="0"/>
              <w:rPr>
                <w:sz w:val="20"/>
                <w:szCs w:val="20"/>
                <w:color w:val="auto"/>
              </w:rPr>
            </w:pPr>
            <w:r>
              <w:rPr>
                <w:rFonts w:ascii="Arial" w:cs="Arial" w:eastAsia="Arial" w:hAnsi="Arial"/>
                <w:sz w:val="14"/>
                <w:szCs w:val="14"/>
                <w:color w:val="FFFFFF"/>
              </w:rPr>
              <w:t>For Good Reason</w:t>
            </w:r>
          </w:p>
        </w:tc>
        <w:tc>
          <w:tcPr>
            <w:tcW w:w="360" w:type="dxa"/>
            <w:vAlign w:val="bottom"/>
            <w:shd w:val="clear" w:color="auto" w:fill="005CB9"/>
          </w:tcPr>
          <w:p>
            <w:pPr>
              <w:spacing w:after="0"/>
              <w:rPr>
                <w:sz w:val="17"/>
                <w:szCs w:val="17"/>
                <w:color w:val="auto"/>
              </w:rPr>
            </w:pPr>
          </w:p>
        </w:tc>
        <w:tc>
          <w:tcPr>
            <w:tcW w:w="1940" w:type="dxa"/>
            <w:vAlign w:val="bottom"/>
            <w:shd w:val="clear" w:color="auto" w:fill="005CB9"/>
          </w:tcPr>
          <w:p>
            <w:pPr>
              <w:jc w:val="right"/>
              <w:ind w:right="698"/>
              <w:spacing w:after="0"/>
              <w:rPr>
                <w:sz w:val="20"/>
                <w:szCs w:val="20"/>
                <w:color w:val="auto"/>
              </w:rPr>
            </w:pPr>
            <w:r>
              <w:rPr>
                <w:rFonts w:ascii="Arial" w:cs="Arial" w:eastAsia="Arial" w:hAnsi="Arial"/>
                <w:sz w:val="14"/>
                <w:szCs w:val="14"/>
                <w:color w:val="FFFFFF"/>
              </w:rPr>
              <w:t>Without Cause</w:t>
            </w:r>
          </w:p>
        </w:tc>
        <w:tc>
          <w:tcPr>
            <w:tcW w:w="440" w:type="dxa"/>
            <w:vAlign w:val="bottom"/>
            <w:shd w:val="clear" w:color="auto" w:fill="005CB9"/>
          </w:tcPr>
          <w:p>
            <w:pPr>
              <w:spacing w:after="0"/>
              <w:rPr>
                <w:sz w:val="17"/>
                <w:szCs w:val="17"/>
                <w:color w:val="auto"/>
              </w:rPr>
            </w:pPr>
          </w:p>
        </w:tc>
        <w:tc>
          <w:tcPr>
            <w:tcW w:w="780" w:type="dxa"/>
            <w:vAlign w:val="bottom"/>
            <w:gridSpan w:val="2"/>
            <w:shd w:val="clear" w:color="auto" w:fill="005CB9"/>
          </w:tcPr>
          <w:p>
            <w:pPr>
              <w:jc w:val="right"/>
              <w:spacing w:after="0"/>
              <w:rPr>
                <w:sz w:val="20"/>
                <w:szCs w:val="20"/>
                <w:color w:val="auto"/>
              </w:rPr>
            </w:pPr>
            <w:r>
              <w:rPr>
                <w:rFonts w:ascii="Arial" w:cs="Arial" w:eastAsia="Arial" w:hAnsi="Arial"/>
                <w:sz w:val="14"/>
                <w:szCs w:val="14"/>
                <w:color w:val="FFFFFF"/>
              </w:rPr>
              <w:t>Control</w:t>
            </w:r>
            <w:r>
              <w:rPr>
                <w:rFonts w:ascii="Arial" w:cs="Arial" w:eastAsia="Arial" w:hAnsi="Arial"/>
                <w:sz w:val="14"/>
                <w:szCs w:val="14"/>
                <w:color w:val="FFFFFF"/>
                <w:vertAlign w:val="superscript"/>
              </w:rPr>
              <w:t>(1)</w:t>
            </w:r>
          </w:p>
        </w:tc>
        <w:tc>
          <w:tcPr>
            <w:tcW w:w="200" w:type="dxa"/>
            <w:vAlign w:val="bottom"/>
            <w:shd w:val="clear" w:color="auto" w:fill="005CB9"/>
          </w:tcPr>
          <w:p>
            <w:pPr>
              <w:spacing w:after="0"/>
              <w:rPr>
                <w:sz w:val="17"/>
                <w:szCs w:val="17"/>
                <w:color w:val="auto"/>
              </w:rPr>
            </w:pPr>
          </w:p>
        </w:tc>
      </w:tr>
      <w:tr>
        <w:trPr>
          <w:trHeight w:val="266"/>
        </w:trPr>
        <w:tc>
          <w:tcPr>
            <w:tcW w:w="5800" w:type="dxa"/>
            <w:vAlign w:val="bottom"/>
            <w:gridSpan w:val="2"/>
            <w:shd w:val="clear" w:color="auto" w:fill="E5EEF8"/>
          </w:tcPr>
          <w:p>
            <w:pPr>
              <w:ind w:left="100"/>
              <w:spacing w:after="0"/>
              <w:rPr>
                <w:sz w:val="20"/>
                <w:szCs w:val="20"/>
                <w:color w:val="auto"/>
              </w:rPr>
            </w:pPr>
            <w:r>
              <w:rPr>
                <w:rFonts w:ascii="Arial" w:cs="Arial" w:eastAsia="Arial" w:hAnsi="Arial"/>
                <w:sz w:val="17"/>
                <w:szCs w:val="17"/>
                <w:color w:val="auto"/>
              </w:rPr>
              <w:t>Cash payments</w:t>
            </w:r>
          </w:p>
        </w:tc>
        <w:tc>
          <w:tcPr>
            <w:tcW w:w="1500" w:type="dxa"/>
            <w:vAlign w:val="bottom"/>
            <w:shd w:val="clear" w:color="auto" w:fill="E5EEF8"/>
          </w:tcPr>
          <w:p>
            <w:pPr>
              <w:jc w:val="right"/>
              <w:ind w:right="159"/>
              <w:spacing w:after="0"/>
              <w:rPr>
                <w:sz w:val="20"/>
                <w:szCs w:val="20"/>
                <w:color w:val="auto"/>
              </w:rPr>
            </w:pPr>
            <w:r>
              <w:rPr>
                <w:rFonts w:ascii="Arial" w:cs="Arial" w:eastAsia="Arial" w:hAnsi="Arial"/>
                <w:sz w:val="17"/>
                <w:szCs w:val="17"/>
                <w:color w:val="auto"/>
              </w:rPr>
              <w:t>$ -</w:t>
            </w:r>
          </w:p>
        </w:tc>
        <w:tc>
          <w:tcPr>
            <w:tcW w:w="360" w:type="dxa"/>
            <w:vAlign w:val="bottom"/>
            <w:shd w:val="clear" w:color="auto" w:fill="E5EEF8"/>
          </w:tcPr>
          <w:p>
            <w:pPr>
              <w:spacing w:after="0"/>
              <w:rPr>
                <w:sz w:val="23"/>
                <w:szCs w:val="23"/>
                <w:color w:val="auto"/>
              </w:rPr>
            </w:pPr>
          </w:p>
        </w:tc>
        <w:tc>
          <w:tcPr>
            <w:tcW w:w="1940" w:type="dxa"/>
            <w:vAlign w:val="bottom"/>
            <w:shd w:val="clear" w:color="auto" w:fill="E5EEF8"/>
          </w:tcPr>
          <w:p>
            <w:pPr>
              <w:jc w:val="right"/>
              <w:ind w:right="698"/>
              <w:spacing w:after="0"/>
              <w:rPr>
                <w:sz w:val="20"/>
                <w:szCs w:val="20"/>
                <w:color w:val="auto"/>
              </w:rPr>
            </w:pPr>
            <w:r>
              <w:rPr>
                <w:rFonts w:ascii="Arial" w:cs="Arial" w:eastAsia="Arial" w:hAnsi="Arial"/>
                <w:sz w:val="17"/>
                <w:szCs w:val="17"/>
                <w:color w:val="auto"/>
              </w:rPr>
              <w:t>$ -</w:t>
            </w:r>
          </w:p>
        </w:tc>
        <w:tc>
          <w:tcPr>
            <w:tcW w:w="440" w:type="dxa"/>
            <w:vAlign w:val="bottom"/>
            <w:shd w:val="clear" w:color="auto" w:fill="E5EEF8"/>
          </w:tcPr>
          <w:p>
            <w:pPr>
              <w:jc w:val="right"/>
              <w:ind w:right="15"/>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E5EEF8"/>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E5EEF8"/>
          </w:tcPr>
          <w:p>
            <w:pPr>
              <w:spacing w:after="0"/>
              <w:rPr>
                <w:sz w:val="23"/>
                <w:szCs w:val="23"/>
                <w:color w:val="auto"/>
              </w:rPr>
            </w:pPr>
          </w:p>
        </w:tc>
      </w:tr>
      <w:tr>
        <w:trPr>
          <w:trHeight w:val="71"/>
        </w:trPr>
        <w:tc>
          <w:tcPr>
            <w:tcW w:w="5800" w:type="dxa"/>
            <w:vAlign w:val="bottom"/>
            <w:gridSpan w:val="2"/>
            <w:shd w:val="clear" w:color="auto" w:fill="E5EEF8"/>
          </w:tcPr>
          <w:p>
            <w:pPr>
              <w:spacing w:after="0"/>
              <w:rPr>
                <w:sz w:val="6"/>
                <w:szCs w:val="6"/>
                <w:color w:val="auto"/>
              </w:rPr>
            </w:pPr>
          </w:p>
        </w:tc>
        <w:tc>
          <w:tcPr>
            <w:tcW w:w="1500" w:type="dxa"/>
            <w:vAlign w:val="bottom"/>
            <w:shd w:val="clear" w:color="auto" w:fill="E5EEF8"/>
          </w:tcPr>
          <w:p>
            <w:pPr>
              <w:spacing w:after="0"/>
              <w:rPr>
                <w:sz w:val="6"/>
                <w:szCs w:val="6"/>
                <w:color w:val="auto"/>
              </w:rPr>
            </w:pPr>
          </w:p>
        </w:tc>
        <w:tc>
          <w:tcPr>
            <w:tcW w:w="360" w:type="dxa"/>
            <w:vAlign w:val="bottom"/>
            <w:shd w:val="clear" w:color="auto" w:fill="E5EEF8"/>
          </w:tcPr>
          <w:p>
            <w:pPr>
              <w:spacing w:after="0"/>
              <w:rPr>
                <w:sz w:val="6"/>
                <w:szCs w:val="6"/>
                <w:color w:val="auto"/>
              </w:rPr>
            </w:pPr>
          </w:p>
        </w:tc>
        <w:tc>
          <w:tcPr>
            <w:tcW w:w="1940" w:type="dxa"/>
            <w:vAlign w:val="bottom"/>
            <w:shd w:val="clear" w:color="auto" w:fill="E5EEF8"/>
          </w:tcPr>
          <w:p>
            <w:pPr>
              <w:spacing w:after="0"/>
              <w:rPr>
                <w:sz w:val="6"/>
                <w:szCs w:val="6"/>
                <w:color w:val="auto"/>
              </w:rPr>
            </w:pPr>
          </w:p>
        </w:tc>
        <w:tc>
          <w:tcPr>
            <w:tcW w:w="440" w:type="dxa"/>
            <w:vAlign w:val="bottom"/>
            <w:shd w:val="clear" w:color="auto" w:fill="E5EEF8"/>
          </w:tcPr>
          <w:p>
            <w:pPr>
              <w:spacing w:after="0"/>
              <w:rPr>
                <w:sz w:val="6"/>
                <w:szCs w:val="6"/>
                <w:color w:val="auto"/>
              </w:rPr>
            </w:pPr>
          </w:p>
        </w:tc>
        <w:tc>
          <w:tcPr>
            <w:tcW w:w="660" w:type="dxa"/>
            <w:vAlign w:val="bottom"/>
            <w:tcBorders>
              <w:right w:val="single" w:sz="8" w:color="E5EEF8"/>
            </w:tcBorders>
            <w:shd w:val="clear" w:color="auto" w:fill="E5EEF8"/>
          </w:tcPr>
          <w:p>
            <w:pPr>
              <w:spacing w:after="0"/>
              <w:rPr>
                <w:sz w:val="6"/>
                <w:szCs w:val="6"/>
                <w:color w:val="auto"/>
              </w:rPr>
            </w:pPr>
          </w:p>
        </w:tc>
        <w:tc>
          <w:tcPr>
            <w:tcW w:w="120" w:type="dxa"/>
            <w:vAlign w:val="bottom"/>
            <w:shd w:val="clear" w:color="auto" w:fill="E5EEF8"/>
          </w:tcPr>
          <w:p>
            <w:pPr>
              <w:spacing w:after="0"/>
              <w:rPr>
                <w:sz w:val="6"/>
                <w:szCs w:val="6"/>
                <w:color w:val="auto"/>
              </w:rPr>
            </w:pPr>
          </w:p>
        </w:tc>
        <w:tc>
          <w:tcPr>
            <w:tcW w:w="200" w:type="dxa"/>
            <w:vAlign w:val="bottom"/>
            <w:shd w:val="clear" w:color="auto" w:fill="E5EEF8"/>
          </w:tcPr>
          <w:p>
            <w:pPr>
              <w:spacing w:after="0"/>
              <w:rPr>
                <w:sz w:val="6"/>
                <w:szCs w:val="6"/>
                <w:color w:val="auto"/>
              </w:rPr>
            </w:pPr>
          </w:p>
        </w:tc>
      </w:tr>
      <w:tr>
        <w:trPr>
          <w:trHeight w:val="338"/>
        </w:trPr>
        <w:tc>
          <w:tcPr>
            <w:tcW w:w="5800" w:type="dxa"/>
            <w:vAlign w:val="bottom"/>
            <w:gridSpan w:val="2"/>
          </w:tcPr>
          <w:p>
            <w:pPr>
              <w:ind w:left="80"/>
              <w:spacing w:after="0"/>
              <w:rPr>
                <w:sz w:val="20"/>
                <w:szCs w:val="20"/>
                <w:color w:val="auto"/>
              </w:rPr>
            </w:pPr>
            <w:r>
              <w:rPr>
                <w:rFonts w:ascii="Arial" w:cs="Arial" w:eastAsia="Arial" w:hAnsi="Arial"/>
                <w:sz w:val="17"/>
                <w:szCs w:val="17"/>
                <w:color w:val="auto"/>
              </w:rPr>
              <w:t>Accelerated Equity Awards</w:t>
            </w:r>
            <w:r>
              <w:rPr>
                <w:rFonts w:ascii="Arial" w:cs="Arial" w:eastAsia="Arial" w:hAnsi="Arial"/>
                <w:sz w:val="29"/>
                <w:szCs w:val="29"/>
                <w:color w:val="auto"/>
                <w:vertAlign w:val="superscript"/>
              </w:rPr>
              <w:t>(3)(4)</w:t>
            </w: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6"/>
        </w:trPr>
        <w:tc>
          <w:tcPr>
            <w:tcW w:w="840" w:type="dxa"/>
            <w:vAlign w:val="bottom"/>
            <w:shd w:val="clear" w:color="auto" w:fill="E5EEF8"/>
          </w:tcPr>
          <w:p>
            <w:pPr>
              <w:ind w:left="440"/>
              <w:spacing w:after="0"/>
              <w:rPr>
                <w:sz w:val="20"/>
                <w:szCs w:val="20"/>
                <w:color w:val="auto"/>
              </w:rPr>
            </w:pPr>
            <w:r>
              <w:rPr>
                <w:rFonts w:ascii="Arial" w:cs="Arial" w:eastAsia="Arial" w:hAnsi="Arial"/>
                <w:sz w:val="17"/>
                <w:szCs w:val="17"/>
                <w:color w:val="auto"/>
              </w:rPr>
              <w:t>2019</w:t>
            </w:r>
          </w:p>
        </w:tc>
        <w:tc>
          <w:tcPr>
            <w:tcW w:w="4960" w:type="dxa"/>
            <w:vAlign w:val="bottom"/>
            <w:shd w:val="clear" w:color="auto" w:fill="E5EEF8"/>
          </w:tcPr>
          <w:p>
            <w:pPr>
              <w:ind w:left="20"/>
              <w:spacing w:after="0"/>
              <w:rPr>
                <w:sz w:val="20"/>
                <w:szCs w:val="20"/>
                <w:color w:val="auto"/>
              </w:rPr>
            </w:pPr>
            <w:r>
              <w:rPr>
                <w:rFonts w:ascii="Arial" w:cs="Arial" w:eastAsia="Arial" w:hAnsi="Arial"/>
                <w:sz w:val="17"/>
                <w:szCs w:val="17"/>
                <w:color w:val="auto"/>
              </w:rPr>
              <w:t>Stock Option Grant</w:t>
            </w:r>
          </w:p>
        </w:tc>
        <w:tc>
          <w:tcPr>
            <w:tcW w:w="1500" w:type="dxa"/>
            <w:vAlign w:val="bottom"/>
            <w:shd w:val="clear" w:color="auto" w:fill="E5EEF8"/>
          </w:tcPr>
          <w:p>
            <w:pPr>
              <w:jc w:val="right"/>
              <w:ind w:right="159"/>
              <w:spacing w:after="0"/>
              <w:rPr>
                <w:sz w:val="20"/>
                <w:szCs w:val="20"/>
                <w:color w:val="auto"/>
              </w:rPr>
            </w:pPr>
            <w:r>
              <w:rPr>
                <w:rFonts w:ascii="Arial" w:cs="Arial" w:eastAsia="Arial" w:hAnsi="Arial"/>
                <w:sz w:val="17"/>
                <w:szCs w:val="17"/>
                <w:color w:val="auto"/>
              </w:rPr>
              <w:t>-</w:t>
            </w:r>
          </w:p>
        </w:tc>
        <w:tc>
          <w:tcPr>
            <w:tcW w:w="360" w:type="dxa"/>
            <w:vAlign w:val="bottom"/>
            <w:shd w:val="clear" w:color="auto" w:fill="E5EEF8"/>
          </w:tcPr>
          <w:p>
            <w:pPr>
              <w:spacing w:after="0"/>
              <w:rPr>
                <w:sz w:val="23"/>
                <w:szCs w:val="23"/>
                <w:color w:val="auto"/>
              </w:rPr>
            </w:pPr>
          </w:p>
        </w:tc>
        <w:tc>
          <w:tcPr>
            <w:tcW w:w="1940" w:type="dxa"/>
            <w:vAlign w:val="bottom"/>
            <w:shd w:val="clear" w:color="auto" w:fill="E5EEF8"/>
          </w:tcPr>
          <w:p>
            <w:pPr>
              <w:jc w:val="right"/>
              <w:ind w:right="698"/>
              <w:spacing w:after="0"/>
              <w:rPr>
                <w:sz w:val="20"/>
                <w:szCs w:val="20"/>
                <w:color w:val="auto"/>
              </w:rPr>
            </w:pPr>
            <w:r>
              <w:rPr>
                <w:rFonts w:ascii="Arial" w:cs="Arial" w:eastAsia="Arial" w:hAnsi="Arial"/>
                <w:sz w:val="17"/>
                <w:szCs w:val="17"/>
                <w:color w:val="auto"/>
              </w:rPr>
              <w:t>-</w:t>
            </w:r>
          </w:p>
        </w:tc>
        <w:tc>
          <w:tcPr>
            <w:tcW w:w="440" w:type="dxa"/>
            <w:vAlign w:val="bottom"/>
            <w:shd w:val="clear" w:color="auto" w:fill="E5EEF8"/>
          </w:tcPr>
          <w:p>
            <w:pPr>
              <w:spacing w:after="0"/>
              <w:rPr>
                <w:sz w:val="23"/>
                <w:szCs w:val="23"/>
                <w:color w:val="auto"/>
              </w:rPr>
            </w:pPr>
          </w:p>
        </w:tc>
        <w:tc>
          <w:tcPr>
            <w:tcW w:w="780" w:type="dxa"/>
            <w:vAlign w:val="bottom"/>
            <w:gridSpan w:val="2"/>
            <w:shd w:val="clear" w:color="auto" w:fill="E5EEF8"/>
          </w:tcPr>
          <w:p>
            <w:pPr>
              <w:jc w:val="right"/>
              <w:spacing w:after="0"/>
              <w:rPr>
                <w:sz w:val="20"/>
                <w:szCs w:val="20"/>
                <w:color w:val="auto"/>
              </w:rPr>
            </w:pPr>
            <w:r>
              <w:rPr>
                <w:rFonts w:ascii="Arial" w:cs="Arial" w:eastAsia="Arial" w:hAnsi="Arial"/>
                <w:sz w:val="17"/>
                <w:szCs w:val="17"/>
                <w:color w:val="auto"/>
              </w:rPr>
              <w:t>2,769,500</w:t>
            </w:r>
          </w:p>
        </w:tc>
        <w:tc>
          <w:tcPr>
            <w:tcW w:w="200" w:type="dxa"/>
            <w:vAlign w:val="bottom"/>
            <w:shd w:val="clear" w:color="auto" w:fill="E5EEF8"/>
          </w:tcPr>
          <w:p>
            <w:pPr>
              <w:spacing w:after="0"/>
              <w:rPr>
                <w:sz w:val="23"/>
                <w:szCs w:val="23"/>
                <w:color w:val="auto"/>
              </w:rPr>
            </w:pPr>
          </w:p>
        </w:tc>
      </w:tr>
      <w:tr>
        <w:trPr>
          <w:trHeight w:val="71"/>
        </w:trPr>
        <w:tc>
          <w:tcPr>
            <w:tcW w:w="840" w:type="dxa"/>
            <w:vAlign w:val="bottom"/>
            <w:shd w:val="clear" w:color="auto" w:fill="E5EEF8"/>
          </w:tcPr>
          <w:p>
            <w:pPr>
              <w:spacing w:after="0"/>
              <w:rPr>
                <w:sz w:val="6"/>
                <w:szCs w:val="6"/>
                <w:color w:val="auto"/>
              </w:rPr>
            </w:pPr>
          </w:p>
        </w:tc>
        <w:tc>
          <w:tcPr>
            <w:tcW w:w="4960" w:type="dxa"/>
            <w:vAlign w:val="bottom"/>
            <w:shd w:val="clear" w:color="auto" w:fill="E5EEF8"/>
          </w:tcPr>
          <w:p>
            <w:pPr>
              <w:spacing w:after="0"/>
              <w:rPr>
                <w:sz w:val="6"/>
                <w:szCs w:val="6"/>
                <w:color w:val="auto"/>
              </w:rPr>
            </w:pPr>
          </w:p>
        </w:tc>
        <w:tc>
          <w:tcPr>
            <w:tcW w:w="1500" w:type="dxa"/>
            <w:vAlign w:val="bottom"/>
            <w:shd w:val="clear" w:color="auto" w:fill="E5EEF8"/>
          </w:tcPr>
          <w:p>
            <w:pPr>
              <w:spacing w:after="0"/>
              <w:rPr>
                <w:sz w:val="6"/>
                <w:szCs w:val="6"/>
                <w:color w:val="auto"/>
              </w:rPr>
            </w:pPr>
          </w:p>
        </w:tc>
        <w:tc>
          <w:tcPr>
            <w:tcW w:w="360" w:type="dxa"/>
            <w:vAlign w:val="bottom"/>
            <w:shd w:val="clear" w:color="auto" w:fill="E5EEF8"/>
          </w:tcPr>
          <w:p>
            <w:pPr>
              <w:spacing w:after="0"/>
              <w:rPr>
                <w:sz w:val="6"/>
                <w:szCs w:val="6"/>
                <w:color w:val="auto"/>
              </w:rPr>
            </w:pPr>
          </w:p>
        </w:tc>
        <w:tc>
          <w:tcPr>
            <w:tcW w:w="1940" w:type="dxa"/>
            <w:vAlign w:val="bottom"/>
            <w:shd w:val="clear" w:color="auto" w:fill="E5EEF8"/>
          </w:tcPr>
          <w:p>
            <w:pPr>
              <w:spacing w:after="0"/>
              <w:rPr>
                <w:sz w:val="6"/>
                <w:szCs w:val="6"/>
                <w:color w:val="auto"/>
              </w:rPr>
            </w:pPr>
          </w:p>
        </w:tc>
        <w:tc>
          <w:tcPr>
            <w:tcW w:w="440" w:type="dxa"/>
            <w:vAlign w:val="bottom"/>
            <w:shd w:val="clear" w:color="auto" w:fill="E5EEF8"/>
          </w:tcPr>
          <w:p>
            <w:pPr>
              <w:spacing w:after="0"/>
              <w:rPr>
                <w:sz w:val="6"/>
                <w:szCs w:val="6"/>
                <w:color w:val="auto"/>
              </w:rPr>
            </w:pPr>
          </w:p>
        </w:tc>
        <w:tc>
          <w:tcPr>
            <w:tcW w:w="660" w:type="dxa"/>
            <w:vAlign w:val="bottom"/>
            <w:tcBorders>
              <w:right w:val="single" w:sz="8" w:color="E5EEF8"/>
            </w:tcBorders>
            <w:shd w:val="clear" w:color="auto" w:fill="E5EEF8"/>
          </w:tcPr>
          <w:p>
            <w:pPr>
              <w:spacing w:after="0"/>
              <w:rPr>
                <w:sz w:val="6"/>
                <w:szCs w:val="6"/>
                <w:color w:val="auto"/>
              </w:rPr>
            </w:pPr>
          </w:p>
        </w:tc>
        <w:tc>
          <w:tcPr>
            <w:tcW w:w="120" w:type="dxa"/>
            <w:vAlign w:val="bottom"/>
            <w:shd w:val="clear" w:color="auto" w:fill="E5EEF8"/>
          </w:tcPr>
          <w:p>
            <w:pPr>
              <w:spacing w:after="0"/>
              <w:rPr>
                <w:sz w:val="6"/>
                <w:szCs w:val="6"/>
                <w:color w:val="auto"/>
              </w:rPr>
            </w:pPr>
          </w:p>
        </w:tc>
        <w:tc>
          <w:tcPr>
            <w:tcW w:w="200" w:type="dxa"/>
            <w:vAlign w:val="bottom"/>
            <w:shd w:val="clear" w:color="auto" w:fill="E5EEF8"/>
          </w:tcPr>
          <w:p>
            <w:pPr>
              <w:spacing w:after="0"/>
              <w:rPr>
                <w:sz w:val="6"/>
                <w:szCs w:val="6"/>
                <w:color w:val="auto"/>
              </w:rPr>
            </w:pPr>
          </w:p>
        </w:tc>
      </w:tr>
      <w:tr>
        <w:trPr>
          <w:trHeight w:val="266"/>
        </w:trPr>
        <w:tc>
          <w:tcPr>
            <w:tcW w:w="840" w:type="dxa"/>
            <w:vAlign w:val="bottom"/>
          </w:tcPr>
          <w:p>
            <w:pPr>
              <w:ind w:left="440"/>
              <w:spacing w:after="0"/>
              <w:rPr>
                <w:sz w:val="20"/>
                <w:szCs w:val="20"/>
                <w:color w:val="auto"/>
              </w:rPr>
            </w:pPr>
            <w:r>
              <w:rPr>
                <w:rFonts w:ascii="Arial" w:cs="Arial" w:eastAsia="Arial" w:hAnsi="Arial"/>
                <w:sz w:val="17"/>
                <w:szCs w:val="17"/>
                <w:color w:val="auto"/>
              </w:rPr>
              <w:t>2020</w:t>
            </w:r>
          </w:p>
        </w:tc>
        <w:tc>
          <w:tcPr>
            <w:tcW w:w="4960" w:type="dxa"/>
            <w:vAlign w:val="bottom"/>
          </w:tcPr>
          <w:p>
            <w:pPr>
              <w:ind w:left="20"/>
              <w:spacing w:after="0"/>
              <w:rPr>
                <w:sz w:val="20"/>
                <w:szCs w:val="20"/>
                <w:color w:val="auto"/>
              </w:rPr>
            </w:pPr>
            <w:r>
              <w:rPr>
                <w:rFonts w:ascii="Arial" w:cs="Arial" w:eastAsia="Arial" w:hAnsi="Arial"/>
                <w:sz w:val="17"/>
                <w:szCs w:val="17"/>
                <w:color w:val="auto"/>
              </w:rPr>
              <w:t>Stock Option Grant</w:t>
            </w:r>
          </w:p>
        </w:tc>
        <w:tc>
          <w:tcPr>
            <w:tcW w:w="1500" w:type="dxa"/>
            <w:vAlign w:val="bottom"/>
          </w:tcPr>
          <w:p>
            <w:pPr>
              <w:jc w:val="right"/>
              <w:ind w:right="159"/>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3"/>
                <w:szCs w:val="23"/>
                <w:color w:val="auto"/>
              </w:rPr>
            </w:pPr>
          </w:p>
        </w:tc>
        <w:tc>
          <w:tcPr>
            <w:tcW w:w="1940" w:type="dxa"/>
            <w:vAlign w:val="bottom"/>
          </w:tcPr>
          <w:p>
            <w:pPr>
              <w:jc w:val="right"/>
              <w:ind w:right="69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2,241,969</w:t>
            </w:r>
          </w:p>
        </w:tc>
        <w:tc>
          <w:tcPr>
            <w:tcW w:w="200" w:type="dxa"/>
            <w:vAlign w:val="bottom"/>
          </w:tcPr>
          <w:p>
            <w:pPr>
              <w:spacing w:after="0"/>
              <w:rPr>
                <w:sz w:val="23"/>
                <w:szCs w:val="23"/>
                <w:color w:val="auto"/>
              </w:rPr>
            </w:pPr>
          </w:p>
        </w:tc>
      </w:tr>
      <w:tr>
        <w:trPr>
          <w:trHeight w:val="71"/>
        </w:trPr>
        <w:tc>
          <w:tcPr>
            <w:tcW w:w="840" w:type="dxa"/>
            <w:vAlign w:val="bottom"/>
          </w:tcPr>
          <w:p>
            <w:pPr>
              <w:spacing w:after="0"/>
              <w:rPr>
                <w:sz w:val="6"/>
                <w:szCs w:val="6"/>
                <w:color w:val="auto"/>
              </w:rPr>
            </w:pPr>
          </w:p>
        </w:tc>
        <w:tc>
          <w:tcPr>
            <w:tcW w:w="49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9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r>
      <w:tr>
        <w:trPr>
          <w:trHeight w:val="266"/>
        </w:trPr>
        <w:tc>
          <w:tcPr>
            <w:tcW w:w="840" w:type="dxa"/>
            <w:vAlign w:val="bottom"/>
            <w:shd w:val="clear" w:color="auto" w:fill="E5EEF8"/>
          </w:tcPr>
          <w:p>
            <w:pPr>
              <w:ind w:left="440"/>
              <w:spacing w:after="0"/>
              <w:rPr>
                <w:sz w:val="20"/>
                <w:szCs w:val="20"/>
                <w:color w:val="auto"/>
              </w:rPr>
            </w:pPr>
            <w:r>
              <w:rPr>
                <w:rFonts w:ascii="Arial" w:cs="Arial" w:eastAsia="Arial" w:hAnsi="Arial"/>
                <w:sz w:val="17"/>
                <w:szCs w:val="17"/>
                <w:color w:val="auto"/>
              </w:rPr>
              <w:t>2021</w:t>
            </w:r>
          </w:p>
        </w:tc>
        <w:tc>
          <w:tcPr>
            <w:tcW w:w="4960" w:type="dxa"/>
            <w:vAlign w:val="bottom"/>
            <w:shd w:val="clear" w:color="auto" w:fill="E5EEF8"/>
          </w:tcPr>
          <w:p>
            <w:pPr>
              <w:ind w:left="20"/>
              <w:spacing w:after="0"/>
              <w:rPr>
                <w:sz w:val="20"/>
                <w:szCs w:val="20"/>
                <w:color w:val="auto"/>
              </w:rPr>
            </w:pPr>
            <w:r>
              <w:rPr>
                <w:rFonts w:ascii="Arial" w:cs="Arial" w:eastAsia="Arial" w:hAnsi="Arial"/>
                <w:sz w:val="17"/>
                <w:szCs w:val="17"/>
                <w:color w:val="auto"/>
              </w:rPr>
              <w:t>Stock Option Grant</w:t>
            </w:r>
          </w:p>
        </w:tc>
        <w:tc>
          <w:tcPr>
            <w:tcW w:w="1500" w:type="dxa"/>
            <w:vAlign w:val="bottom"/>
            <w:shd w:val="clear" w:color="auto" w:fill="E5EEF8"/>
          </w:tcPr>
          <w:p>
            <w:pPr>
              <w:jc w:val="right"/>
              <w:ind w:right="159"/>
              <w:spacing w:after="0"/>
              <w:rPr>
                <w:sz w:val="20"/>
                <w:szCs w:val="20"/>
                <w:color w:val="auto"/>
              </w:rPr>
            </w:pPr>
            <w:r>
              <w:rPr>
                <w:rFonts w:ascii="Arial" w:cs="Arial" w:eastAsia="Arial" w:hAnsi="Arial"/>
                <w:sz w:val="17"/>
                <w:szCs w:val="17"/>
                <w:color w:val="auto"/>
              </w:rPr>
              <w:t>-</w:t>
            </w:r>
          </w:p>
        </w:tc>
        <w:tc>
          <w:tcPr>
            <w:tcW w:w="360" w:type="dxa"/>
            <w:vAlign w:val="bottom"/>
            <w:shd w:val="clear" w:color="auto" w:fill="E5EEF8"/>
          </w:tcPr>
          <w:p>
            <w:pPr>
              <w:spacing w:after="0"/>
              <w:rPr>
                <w:sz w:val="23"/>
                <w:szCs w:val="23"/>
                <w:color w:val="auto"/>
              </w:rPr>
            </w:pPr>
          </w:p>
        </w:tc>
        <w:tc>
          <w:tcPr>
            <w:tcW w:w="1940" w:type="dxa"/>
            <w:vAlign w:val="bottom"/>
            <w:shd w:val="clear" w:color="auto" w:fill="E5EEF8"/>
          </w:tcPr>
          <w:p>
            <w:pPr>
              <w:jc w:val="right"/>
              <w:ind w:right="698"/>
              <w:spacing w:after="0"/>
              <w:rPr>
                <w:sz w:val="20"/>
                <w:szCs w:val="20"/>
                <w:color w:val="auto"/>
              </w:rPr>
            </w:pPr>
            <w:r>
              <w:rPr>
                <w:rFonts w:ascii="Arial" w:cs="Arial" w:eastAsia="Arial" w:hAnsi="Arial"/>
                <w:sz w:val="17"/>
                <w:szCs w:val="17"/>
                <w:color w:val="auto"/>
              </w:rPr>
              <w:t>-</w:t>
            </w:r>
          </w:p>
        </w:tc>
        <w:tc>
          <w:tcPr>
            <w:tcW w:w="440" w:type="dxa"/>
            <w:vAlign w:val="bottom"/>
            <w:shd w:val="clear" w:color="auto" w:fill="E5EEF8"/>
          </w:tcPr>
          <w:p>
            <w:pPr>
              <w:spacing w:after="0"/>
              <w:rPr>
                <w:sz w:val="23"/>
                <w:szCs w:val="23"/>
                <w:color w:val="auto"/>
              </w:rPr>
            </w:pPr>
          </w:p>
        </w:tc>
        <w:tc>
          <w:tcPr>
            <w:tcW w:w="780" w:type="dxa"/>
            <w:vAlign w:val="bottom"/>
            <w:gridSpan w:val="2"/>
            <w:shd w:val="clear" w:color="auto" w:fill="E5EEF8"/>
          </w:tcPr>
          <w:p>
            <w:pPr>
              <w:jc w:val="right"/>
              <w:spacing w:after="0"/>
              <w:rPr>
                <w:sz w:val="20"/>
                <w:szCs w:val="20"/>
                <w:color w:val="auto"/>
              </w:rPr>
            </w:pPr>
            <w:r>
              <w:rPr>
                <w:rFonts w:ascii="Arial" w:cs="Arial" w:eastAsia="Arial" w:hAnsi="Arial"/>
                <w:sz w:val="17"/>
                <w:szCs w:val="17"/>
                <w:color w:val="auto"/>
              </w:rPr>
              <w:t>1,223,390</w:t>
            </w:r>
          </w:p>
        </w:tc>
        <w:tc>
          <w:tcPr>
            <w:tcW w:w="200" w:type="dxa"/>
            <w:vAlign w:val="bottom"/>
            <w:shd w:val="clear" w:color="auto" w:fill="E5EEF8"/>
          </w:tcPr>
          <w:p>
            <w:pPr>
              <w:spacing w:after="0"/>
              <w:rPr>
                <w:sz w:val="23"/>
                <w:szCs w:val="23"/>
                <w:color w:val="auto"/>
              </w:rPr>
            </w:pPr>
          </w:p>
        </w:tc>
      </w:tr>
      <w:tr>
        <w:trPr>
          <w:trHeight w:val="71"/>
        </w:trPr>
        <w:tc>
          <w:tcPr>
            <w:tcW w:w="840" w:type="dxa"/>
            <w:vAlign w:val="bottom"/>
            <w:shd w:val="clear" w:color="auto" w:fill="E5EEF8"/>
          </w:tcPr>
          <w:p>
            <w:pPr>
              <w:spacing w:after="0"/>
              <w:rPr>
                <w:sz w:val="6"/>
                <w:szCs w:val="6"/>
                <w:color w:val="auto"/>
              </w:rPr>
            </w:pPr>
          </w:p>
        </w:tc>
        <w:tc>
          <w:tcPr>
            <w:tcW w:w="4960" w:type="dxa"/>
            <w:vAlign w:val="bottom"/>
            <w:shd w:val="clear" w:color="auto" w:fill="E5EEF8"/>
          </w:tcPr>
          <w:p>
            <w:pPr>
              <w:spacing w:after="0"/>
              <w:rPr>
                <w:sz w:val="6"/>
                <w:szCs w:val="6"/>
                <w:color w:val="auto"/>
              </w:rPr>
            </w:pPr>
          </w:p>
        </w:tc>
        <w:tc>
          <w:tcPr>
            <w:tcW w:w="1500" w:type="dxa"/>
            <w:vAlign w:val="bottom"/>
            <w:shd w:val="clear" w:color="auto" w:fill="E5EEF8"/>
          </w:tcPr>
          <w:p>
            <w:pPr>
              <w:spacing w:after="0"/>
              <w:rPr>
                <w:sz w:val="6"/>
                <w:szCs w:val="6"/>
                <w:color w:val="auto"/>
              </w:rPr>
            </w:pPr>
          </w:p>
        </w:tc>
        <w:tc>
          <w:tcPr>
            <w:tcW w:w="360" w:type="dxa"/>
            <w:vAlign w:val="bottom"/>
            <w:shd w:val="clear" w:color="auto" w:fill="E5EEF8"/>
          </w:tcPr>
          <w:p>
            <w:pPr>
              <w:spacing w:after="0"/>
              <w:rPr>
                <w:sz w:val="6"/>
                <w:szCs w:val="6"/>
                <w:color w:val="auto"/>
              </w:rPr>
            </w:pPr>
          </w:p>
        </w:tc>
        <w:tc>
          <w:tcPr>
            <w:tcW w:w="1940" w:type="dxa"/>
            <w:vAlign w:val="bottom"/>
            <w:shd w:val="clear" w:color="auto" w:fill="E5EEF8"/>
          </w:tcPr>
          <w:p>
            <w:pPr>
              <w:spacing w:after="0"/>
              <w:rPr>
                <w:sz w:val="6"/>
                <w:szCs w:val="6"/>
                <w:color w:val="auto"/>
              </w:rPr>
            </w:pPr>
          </w:p>
        </w:tc>
        <w:tc>
          <w:tcPr>
            <w:tcW w:w="440" w:type="dxa"/>
            <w:vAlign w:val="bottom"/>
            <w:shd w:val="clear" w:color="auto" w:fill="E5EEF8"/>
          </w:tcPr>
          <w:p>
            <w:pPr>
              <w:spacing w:after="0"/>
              <w:rPr>
                <w:sz w:val="6"/>
                <w:szCs w:val="6"/>
                <w:color w:val="auto"/>
              </w:rPr>
            </w:pPr>
          </w:p>
        </w:tc>
        <w:tc>
          <w:tcPr>
            <w:tcW w:w="660" w:type="dxa"/>
            <w:vAlign w:val="bottom"/>
            <w:tcBorders>
              <w:right w:val="single" w:sz="8" w:color="E5EEF8"/>
            </w:tcBorders>
            <w:shd w:val="clear" w:color="auto" w:fill="E5EEF8"/>
          </w:tcPr>
          <w:p>
            <w:pPr>
              <w:spacing w:after="0"/>
              <w:rPr>
                <w:sz w:val="6"/>
                <w:szCs w:val="6"/>
                <w:color w:val="auto"/>
              </w:rPr>
            </w:pPr>
          </w:p>
        </w:tc>
        <w:tc>
          <w:tcPr>
            <w:tcW w:w="120" w:type="dxa"/>
            <w:vAlign w:val="bottom"/>
            <w:shd w:val="clear" w:color="auto" w:fill="E5EEF8"/>
          </w:tcPr>
          <w:p>
            <w:pPr>
              <w:spacing w:after="0"/>
              <w:rPr>
                <w:sz w:val="6"/>
                <w:szCs w:val="6"/>
                <w:color w:val="auto"/>
              </w:rPr>
            </w:pPr>
          </w:p>
        </w:tc>
        <w:tc>
          <w:tcPr>
            <w:tcW w:w="200" w:type="dxa"/>
            <w:vAlign w:val="bottom"/>
            <w:shd w:val="clear" w:color="auto" w:fill="E5EEF8"/>
          </w:tcPr>
          <w:p>
            <w:pPr>
              <w:spacing w:after="0"/>
              <w:rPr>
                <w:sz w:val="6"/>
                <w:szCs w:val="6"/>
                <w:color w:val="auto"/>
              </w:rPr>
            </w:pPr>
          </w:p>
        </w:tc>
      </w:tr>
      <w:tr>
        <w:trPr>
          <w:trHeight w:val="266"/>
        </w:trPr>
        <w:tc>
          <w:tcPr>
            <w:tcW w:w="840" w:type="dxa"/>
            <w:vAlign w:val="bottom"/>
          </w:tcPr>
          <w:p>
            <w:pPr>
              <w:ind w:left="440"/>
              <w:spacing w:after="0"/>
              <w:rPr>
                <w:sz w:val="20"/>
                <w:szCs w:val="20"/>
                <w:color w:val="auto"/>
              </w:rPr>
            </w:pPr>
            <w:r>
              <w:rPr>
                <w:rFonts w:ascii="Arial" w:cs="Arial" w:eastAsia="Arial" w:hAnsi="Arial"/>
                <w:sz w:val="17"/>
                <w:szCs w:val="17"/>
                <w:color w:val="auto"/>
              </w:rPr>
              <w:t>2020</w:t>
            </w:r>
          </w:p>
        </w:tc>
        <w:tc>
          <w:tcPr>
            <w:tcW w:w="4960" w:type="dxa"/>
            <w:vAlign w:val="bottom"/>
          </w:tcPr>
          <w:p>
            <w:pPr>
              <w:ind w:left="20"/>
              <w:spacing w:after="0"/>
              <w:rPr>
                <w:sz w:val="20"/>
                <w:szCs w:val="20"/>
                <w:color w:val="auto"/>
              </w:rPr>
            </w:pPr>
            <w:r>
              <w:rPr>
                <w:rFonts w:ascii="Arial" w:cs="Arial" w:eastAsia="Arial" w:hAnsi="Arial"/>
                <w:sz w:val="17"/>
                <w:szCs w:val="17"/>
                <w:color w:val="auto"/>
              </w:rPr>
              <w:t>Restricted Stock Grant</w:t>
            </w:r>
          </w:p>
        </w:tc>
        <w:tc>
          <w:tcPr>
            <w:tcW w:w="1500" w:type="dxa"/>
            <w:vAlign w:val="bottom"/>
          </w:tcPr>
          <w:p>
            <w:pPr>
              <w:jc w:val="right"/>
              <w:ind w:right="159"/>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3"/>
                <w:szCs w:val="23"/>
                <w:color w:val="auto"/>
              </w:rPr>
            </w:pPr>
          </w:p>
        </w:tc>
        <w:tc>
          <w:tcPr>
            <w:tcW w:w="1940" w:type="dxa"/>
            <w:vAlign w:val="bottom"/>
          </w:tcPr>
          <w:p>
            <w:pPr>
              <w:jc w:val="right"/>
              <w:ind w:right="69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2,710,640</w:t>
            </w:r>
          </w:p>
        </w:tc>
        <w:tc>
          <w:tcPr>
            <w:tcW w:w="200" w:type="dxa"/>
            <w:vAlign w:val="bottom"/>
          </w:tcPr>
          <w:p>
            <w:pPr>
              <w:spacing w:after="0"/>
              <w:rPr>
                <w:sz w:val="23"/>
                <w:szCs w:val="23"/>
                <w:color w:val="auto"/>
              </w:rPr>
            </w:pPr>
          </w:p>
        </w:tc>
      </w:tr>
      <w:tr>
        <w:trPr>
          <w:trHeight w:val="71"/>
        </w:trPr>
        <w:tc>
          <w:tcPr>
            <w:tcW w:w="840" w:type="dxa"/>
            <w:vAlign w:val="bottom"/>
          </w:tcPr>
          <w:p>
            <w:pPr>
              <w:spacing w:after="0"/>
              <w:rPr>
                <w:sz w:val="6"/>
                <w:szCs w:val="6"/>
                <w:color w:val="auto"/>
              </w:rPr>
            </w:pPr>
          </w:p>
        </w:tc>
        <w:tc>
          <w:tcPr>
            <w:tcW w:w="49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9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r>
      <w:tr>
        <w:trPr>
          <w:trHeight w:val="266"/>
        </w:trPr>
        <w:tc>
          <w:tcPr>
            <w:tcW w:w="840" w:type="dxa"/>
            <w:vAlign w:val="bottom"/>
            <w:shd w:val="clear" w:color="auto" w:fill="E5EEF8"/>
          </w:tcPr>
          <w:p>
            <w:pPr>
              <w:ind w:left="440"/>
              <w:spacing w:after="0"/>
              <w:rPr>
                <w:sz w:val="20"/>
                <w:szCs w:val="20"/>
                <w:color w:val="auto"/>
              </w:rPr>
            </w:pPr>
            <w:r>
              <w:rPr>
                <w:rFonts w:ascii="Arial" w:cs="Arial" w:eastAsia="Arial" w:hAnsi="Arial"/>
                <w:sz w:val="17"/>
                <w:szCs w:val="17"/>
                <w:color w:val="auto"/>
              </w:rPr>
              <w:t>2021</w:t>
            </w:r>
          </w:p>
        </w:tc>
        <w:tc>
          <w:tcPr>
            <w:tcW w:w="4960" w:type="dxa"/>
            <w:vAlign w:val="bottom"/>
            <w:shd w:val="clear" w:color="auto" w:fill="E5EEF8"/>
          </w:tcPr>
          <w:p>
            <w:pPr>
              <w:ind w:left="20"/>
              <w:spacing w:after="0"/>
              <w:rPr>
                <w:sz w:val="20"/>
                <w:szCs w:val="20"/>
                <w:color w:val="auto"/>
              </w:rPr>
            </w:pPr>
            <w:r>
              <w:rPr>
                <w:rFonts w:ascii="Arial" w:cs="Arial" w:eastAsia="Arial" w:hAnsi="Arial"/>
                <w:sz w:val="17"/>
                <w:szCs w:val="17"/>
                <w:color w:val="auto"/>
              </w:rPr>
              <w:t>Restricted Stock Grant</w:t>
            </w:r>
          </w:p>
        </w:tc>
        <w:tc>
          <w:tcPr>
            <w:tcW w:w="1500" w:type="dxa"/>
            <w:vAlign w:val="bottom"/>
            <w:shd w:val="clear" w:color="auto" w:fill="E5EEF8"/>
          </w:tcPr>
          <w:p>
            <w:pPr>
              <w:jc w:val="right"/>
              <w:ind w:right="159"/>
              <w:spacing w:after="0"/>
              <w:rPr>
                <w:sz w:val="20"/>
                <w:szCs w:val="20"/>
                <w:color w:val="auto"/>
              </w:rPr>
            </w:pPr>
            <w:r>
              <w:rPr>
                <w:rFonts w:ascii="Arial" w:cs="Arial" w:eastAsia="Arial" w:hAnsi="Arial"/>
                <w:sz w:val="17"/>
                <w:szCs w:val="17"/>
                <w:color w:val="auto"/>
              </w:rPr>
              <w:t>-</w:t>
            </w:r>
          </w:p>
        </w:tc>
        <w:tc>
          <w:tcPr>
            <w:tcW w:w="360" w:type="dxa"/>
            <w:vAlign w:val="bottom"/>
            <w:shd w:val="clear" w:color="auto" w:fill="E5EEF8"/>
          </w:tcPr>
          <w:p>
            <w:pPr>
              <w:spacing w:after="0"/>
              <w:rPr>
                <w:sz w:val="23"/>
                <w:szCs w:val="23"/>
                <w:color w:val="auto"/>
              </w:rPr>
            </w:pPr>
          </w:p>
        </w:tc>
        <w:tc>
          <w:tcPr>
            <w:tcW w:w="1940" w:type="dxa"/>
            <w:vAlign w:val="bottom"/>
            <w:shd w:val="clear" w:color="auto" w:fill="E5EEF8"/>
          </w:tcPr>
          <w:p>
            <w:pPr>
              <w:jc w:val="right"/>
              <w:ind w:right="698"/>
              <w:spacing w:after="0"/>
              <w:rPr>
                <w:sz w:val="20"/>
                <w:szCs w:val="20"/>
                <w:color w:val="auto"/>
              </w:rPr>
            </w:pPr>
            <w:r>
              <w:rPr>
                <w:rFonts w:ascii="Arial" w:cs="Arial" w:eastAsia="Arial" w:hAnsi="Arial"/>
                <w:sz w:val="17"/>
                <w:szCs w:val="17"/>
                <w:color w:val="auto"/>
              </w:rPr>
              <w:t>-</w:t>
            </w:r>
          </w:p>
        </w:tc>
        <w:tc>
          <w:tcPr>
            <w:tcW w:w="440" w:type="dxa"/>
            <w:vAlign w:val="bottom"/>
            <w:shd w:val="clear" w:color="auto" w:fill="E5EEF8"/>
          </w:tcPr>
          <w:p>
            <w:pPr>
              <w:spacing w:after="0"/>
              <w:rPr>
                <w:sz w:val="23"/>
                <w:szCs w:val="23"/>
                <w:color w:val="auto"/>
              </w:rPr>
            </w:pPr>
          </w:p>
        </w:tc>
        <w:tc>
          <w:tcPr>
            <w:tcW w:w="780" w:type="dxa"/>
            <w:vAlign w:val="bottom"/>
            <w:gridSpan w:val="2"/>
            <w:shd w:val="clear" w:color="auto" w:fill="E5EEF8"/>
          </w:tcPr>
          <w:p>
            <w:pPr>
              <w:jc w:val="right"/>
              <w:spacing w:after="0"/>
              <w:rPr>
                <w:sz w:val="20"/>
                <w:szCs w:val="20"/>
                <w:color w:val="auto"/>
              </w:rPr>
            </w:pPr>
            <w:r>
              <w:rPr>
                <w:rFonts w:ascii="Arial" w:cs="Arial" w:eastAsia="Arial" w:hAnsi="Arial"/>
                <w:sz w:val="17"/>
                <w:szCs w:val="17"/>
                <w:color w:val="auto"/>
              </w:rPr>
              <w:t>4,876,300</w:t>
            </w:r>
          </w:p>
        </w:tc>
        <w:tc>
          <w:tcPr>
            <w:tcW w:w="200" w:type="dxa"/>
            <w:vAlign w:val="bottom"/>
            <w:shd w:val="clear" w:color="auto" w:fill="E5EEF8"/>
          </w:tcPr>
          <w:p>
            <w:pPr>
              <w:spacing w:after="0"/>
              <w:rPr>
                <w:sz w:val="23"/>
                <w:szCs w:val="23"/>
                <w:color w:val="auto"/>
              </w:rPr>
            </w:pPr>
          </w:p>
        </w:tc>
      </w:tr>
      <w:tr>
        <w:trPr>
          <w:trHeight w:val="71"/>
        </w:trPr>
        <w:tc>
          <w:tcPr>
            <w:tcW w:w="5800" w:type="dxa"/>
            <w:vAlign w:val="bottom"/>
            <w:gridSpan w:val="2"/>
            <w:shd w:val="clear" w:color="auto" w:fill="E5EEF8"/>
          </w:tcPr>
          <w:p>
            <w:pPr>
              <w:spacing w:after="0"/>
              <w:rPr>
                <w:sz w:val="6"/>
                <w:szCs w:val="6"/>
                <w:color w:val="auto"/>
              </w:rPr>
            </w:pPr>
          </w:p>
        </w:tc>
        <w:tc>
          <w:tcPr>
            <w:tcW w:w="1500" w:type="dxa"/>
            <w:vAlign w:val="bottom"/>
            <w:shd w:val="clear" w:color="auto" w:fill="E5EEF8"/>
          </w:tcPr>
          <w:p>
            <w:pPr>
              <w:spacing w:after="0"/>
              <w:rPr>
                <w:sz w:val="6"/>
                <w:szCs w:val="6"/>
                <w:color w:val="auto"/>
              </w:rPr>
            </w:pPr>
          </w:p>
        </w:tc>
        <w:tc>
          <w:tcPr>
            <w:tcW w:w="360" w:type="dxa"/>
            <w:vAlign w:val="bottom"/>
            <w:shd w:val="clear" w:color="auto" w:fill="E5EEF8"/>
          </w:tcPr>
          <w:p>
            <w:pPr>
              <w:spacing w:after="0"/>
              <w:rPr>
                <w:sz w:val="6"/>
                <w:szCs w:val="6"/>
                <w:color w:val="auto"/>
              </w:rPr>
            </w:pPr>
          </w:p>
        </w:tc>
        <w:tc>
          <w:tcPr>
            <w:tcW w:w="1940" w:type="dxa"/>
            <w:vAlign w:val="bottom"/>
            <w:shd w:val="clear" w:color="auto" w:fill="E5EEF8"/>
          </w:tcPr>
          <w:p>
            <w:pPr>
              <w:spacing w:after="0"/>
              <w:rPr>
                <w:sz w:val="6"/>
                <w:szCs w:val="6"/>
                <w:color w:val="auto"/>
              </w:rPr>
            </w:pPr>
          </w:p>
        </w:tc>
        <w:tc>
          <w:tcPr>
            <w:tcW w:w="440" w:type="dxa"/>
            <w:vAlign w:val="bottom"/>
            <w:shd w:val="clear" w:color="auto" w:fill="E5EEF8"/>
          </w:tcPr>
          <w:p>
            <w:pPr>
              <w:spacing w:after="0"/>
              <w:rPr>
                <w:sz w:val="6"/>
                <w:szCs w:val="6"/>
                <w:color w:val="auto"/>
              </w:rPr>
            </w:pPr>
          </w:p>
        </w:tc>
        <w:tc>
          <w:tcPr>
            <w:tcW w:w="660" w:type="dxa"/>
            <w:vAlign w:val="bottom"/>
            <w:tcBorders>
              <w:right w:val="single" w:sz="8" w:color="E5EEF8"/>
            </w:tcBorders>
            <w:shd w:val="clear" w:color="auto" w:fill="E5EEF8"/>
          </w:tcPr>
          <w:p>
            <w:pPr>
              <w:spacing w:after="0"/>
              <w:rPr>
                <w:sz w:val="6"/>
                <w:szCs w:val="6"/>
                <w:color w:val="auto"/>
              </w:rPr>
            </w:pPr>
          </w:p>
        </w:tc>
        <w:tc>
          <w:tcPr>
            <w:tcW w:w="120" w:type="dxa"/>
            <w:vAlign w:val="bottom"/>
            <w:shd w:val="clear" w:color="auto" w:fill="E5EEF8"/>
          </w:tcPr>
          <w:p>
            <w:pPr>
              <w:spacing w:after="0"/>
              <w:rPr>
                <w:sz w:val="6"/>
                <w:szCs w:val="6"/>
                <w:color w:val="auto"/>
              </w:rPr>
            </w:pPr>
          </w:p>
        </w:tc>
        <w:tc>
          <w:tcPr>
            <w:tcW w:w="200" w:type="dxa"/>
            <w:vAlign w:val="bottom"/>
            <w:shd w:val="clear" w:color="auto" w:fill="E5EEF8"/>
          </w:tcPr>
          <w:p>
            <w:pPr>
              <w:spacing w:after="0"/>
              <w:rPr>
                <w:sz w:val="6"/>
                <w:szCs w:val="6"/>
                <w:color w:val="auto"/>
              </w:rPr>
            </w:pPr>
          </w:p>
        </w:tc>
      </w:tr>
      <w:tr>
        <w:trPr>
          <w:trHeight w:val="266"/>
        </w:trPr>
        <w:tc>
          <w:tcPr>
            <w:tcW w:w="5800" w:type="dxa"/>
            <w:vAlign w:val="bottom"/>
            <w:gridSpan w:val="2"/>
          </w:tcPr>
          <w:p>
            <w:pPr>
              <w:ind w:left="100"/>
              <w:spacing w:after="0"/>
              <w:rPr>
                <w:sz w:val="20"/>
                <w:szCs w:val="20"/>
                <w:color w:val="auto"/>
              </w:rPr>
            </w:pPr>
            <w:r>
              <w:rPr>
                <w:rFonts w:ascii="Arial" w:cs="Arial" w:eastAsia="Arial" w:hAnsi="Arial"/>
                <w:sz w:val="17"/>
                <w:szCs w:val="17"/>
                <w:color w:val="auto"/>
              </w:rPr>
              <w:t>Continued Medical Benefits</w:t>
            </w:r>
          </w:p>
        </w:tc>
        <w:tc>
          <w:tcPr>
            <w:tcW w:w="1500" w:type="dxa"/>
            <w:vAlign w:val="bottom"/>
          </w:tcPr>
          <w:p>
            <w:pPr>
              <w:jc w:val="right"/>
              <w:ind w:right="159"/>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3"/>
                <w:szCs w:val="23"/>
                <w:color w:val="auto"/>
              </w:rPr>
            </w:pPr>
          </w:p>
        </w:tc>
        <w:tc>
          <w:tcPr>
            <w:tcW w:w="1940" w:type="dxa"/>
            <w:vAlign w:val="bottom"/>
          </w:tcPr>
          <w:p>
            <w:pPr>
              <w:jc w:val="right"/>
              <w:ind w:right="69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3"/>
                <w:szCs w:val="23"/>
                <w:color w:val="auto"/>
              </w:rPr>
            </w:pPr>
          </w:p>
        </w:tc>
      </w:tr>
      <w:tr>
        <w:trPr>
          <w:trHeight w:val="72"/>
        </w:trPr>
        <w:tc>
          <w:tcPr>
            <w:tcW w:w="840" w:type="dxa"/>
            <w:vAlign w:val="bottom"/>
          </w:tcPr>
          <w:p>
            <w:pPr>
              <w:spacing w:after="0"/>
              <w:rPr>
                <w:sz w:val="6"/>
                <w:szCs w:val="6"/>
                <w:color w:val="auto"/>
              </w:rPr>
            </w:pPr>
          </w:p>
        </w:tc>
        <w:tc>
          <w:tcPr>
            <w:tcW w:w="49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10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r>
      <w:tr>
        <w:trPr>
          <w:trHeight w:val="266"/>
        </w:trPr>
        <w:tc>
          <w:tcPr>
            <w:tcW w:w="840" w:type="dxa"/>
            <w:vAlign w:val="bottom"/>
            <w:shd w:val="clear" w:color="auto" w:fill="E5EEF8"/>
          </w:tcPr>
          <w:p>
            <w:pPr>
              <w:ind w:left="80"/>
              <w:spacing w:after="0"/>
              <w:rPr>
                <w:sz w:val="20"/>
                <w:szCs w:val="20"/>
                <w:color w:val="auto"/>
              </w:rPr>
            </w:pPr>
            <w:r>
              <w:rPr>
                <w:rFonts w:ascii="Arial" w:cs="Arial" w:eastAsia="Arial" w:hAnsi="Arial"/>
                <w:sz w:val="17"/>
                <w:szCs w:val="17"/>
                <w:color w:val="auto"/>
              </w:rPr>
              <w:t>Total</w:t>
            </w:r>
          </w:p>
        </w:tc>
        <w:tc>
          <w:tcPr>
            <w:tcW w:w="4960" w:type="dxa"/>
            <w:vAlign w:val="bottom"/>
            <w:shd w:val="clear" w:color="auto" w:fill="E5EEF8"/>
          </w:tcPr>
          <w:p>
            <w:pPr>
              <w:spacing w:after="0"/>
              <w:rPr>
                <w:sz w:val="23"/>
                <w:szCs w:val="23"/>
                <w:color w:val="auto"/>
              </w:rPr>
            </w:pPr>
          </w:p>
        </w:tc>
        <w:tc>
          <w:tcPr>
            <w:tcW w:w="1500" w:type="dxa"/>
            <w:vAlign w:val="bottom"/>
            <w:shd w:val="clear" w:color="auto" w:fill="E5EEF8"/>
          </w:tcPr>
          <w:p>
            <w:pPr>
              <w:jc w:val="right"/>
              <w:ind w:right="159"/>
              <w:spacing w:after="0"/>
              <w:rPr>
                <w:sz w:val="20"/>
                <w:szCs w:val="20"/>
                <w:color w:val="auto"/>
              </w:rPr>
            </w:pPr>
            <w:r>
              <w:rPr>
                <w:rFonts w:ascii="Arial" w:cs="Arial" w:eastAsia="Arial" w:hAnsi="Arial"/>
                <w:sz w:val="17"/>
                <w:szCs w:val="17"/>
                <w:color w:val="auto"/>
              </w:rPr>
              <w:t>$ -</w:t>
            </w:r>
          </w:p>
        </w:tc>
        <w:tc>
          <w:tcPr>
            <w:tcW w:w="360" w:type="dxa"/>
            <w:vAlign w:val="bottom"/>
            <w:shd w:val="clear" w:color="auto" w:fill="E5EEF8"/>
          </w:tcPr>
          <w:p>
            <w:pPr>
              <w:spacing w:after="0"/>
              <w:rPr>
                <w:sz w:val="23"/>
                <w:szCs w:val="23"/>
                <w:color w:val="auto"/>
              </w:rPr>
            </w:pPr>
          </w:p>
        </w:tc>
        <w:tc>
          <w:tcPr>
            <w:tcW w:w="1940" w:type="dxa"/>
            <w:vAlign w:val="bottom"/>
            <w:shd w:val="clear" w:color="auto" w:fill="E5EEF8"/>
          </w:tcPr>
          <w:p>
            <w:pPr>
              <w:jc w:val="right"/>
              <w:ind w:right="698"/>
              <w:spacing w:after="0"/>
              <w:rPr>
                <w:sz w:val="20"/>
                <w:szCs w:val="20"/>
                <w:color w:val="auto"/>
              </w:rPr>
            </w:pPr>
            <w:r>
              <w:rPr>
                <w:rFonts w:ascii="Arial" w:cs="Arial" w:eastAsia="Arial" w:hAnsi="Arial"/>
                <w:sz w:val="17"/>
                <w:szCs w:val="17"/>
                <w:color w:val="auto"/>
              </w:rPr>
              <w:t>$ -</w:t>
            </w:r>
          </w:p>
        </w:tc>
        <w:tc>
          <w:tcPr>
            <w:tcW w:w="1220" w:type="dxa"/>
            <w:vAlign w:val="bottom"/>
            <w:gridSpan w:val="3"/>
            <w:shd w:val="clear" w:color="auto" w:fill="E5EEF8"/>
          </w:tcPr>
          <w:p>
            <w:pPr>
              <w:jc w:val="right"/>
              <w:spacing w:after="0"/>
              <w:rPr>
                <w:sz w:val="20"/>
                <w:szCs w:val="20"/>
                <w:color w:val="auto"/>
              </w:rPr>
            </w:pPr>
            <w:r>
              <w:rPr>
                <w:rFonts w:ascii="Arial" w:cs="Arial" w:eastAsia="Arial" w:hAnsi="Arial"/>
                <w:sz w:val="17"/>
                <w:szCs w:val="17"/>
                <w:color w:val="auto"/>
              </w:rPr>
              <w:t>$ 13,821,799</w:t>
            </w:r>
          </w:p>
        </w:tc>
        <w:tc>
          <w:tcPr>
            <w:tcW w:w="200" w:type="dxa"/>
            <w:vAlign w:val="bottom"/>
            <w:shd w:val="clear" w:color="auto" w:fill="E5EEF8"/>
          </w:tcPr>
          <w:p>
            <w:pPr>
              <w:spacing w:after="0"/>
              <w:rPr>
                <w:sz w:val="23"/>
                <w:szCs w:val="23"/>
                <w:color w:val="auto"/>
              </w:rPr>
            </w:pPr>
          </w:p>
        </w:tc>
      </w:tr>
      <w:tr>
        <w:trPr>
          <w:trHeight w:val="72"/>
        </w:trPr>
        <w:tc>
          <w:tcPr>
            <w:tcW w:w="5800" w:type="dxa"/>
            <w:vAlign w:val="bottom"/>
            <w:gridSpan w:val="2"/>
            <w:shd w:val="clear" w:color="auto" w:fill="E5EEF8"/>
          </w:tcPr>
          <w:p>
            <w:pPr>
              <w:spacing w:after="0"/>
              <w:rPr>
                <w:sz w:val="6"/>
                <w:szCs w:val="6"/>
                <w:color w:val="auto"/>
              </w:rPr>
            </w:pPr>
          </w:p>
        </w:tc>
        <w:tc>
          <w:tcPr>
            <w:tcW w:w="1500" w:type="dxa"/>
            <w:vAlign w:val="bottom"/>
            <w:shd w:val="clear" w:color="auto" w:fill="E5EEF8"/>
          </w:tcPr>
          <w:p>
            <w:pPr>
              <w:spacing w:after="0"/>
              <w:rPr>
                <w:sz w:val="6"/>
                <w:szCs w:val="6"/>
                <w:color w:val="auto"/>
              </w:rPr>
            </w:pPr>
          </w:p>
        </w:tc>
        <w:tc>
          <w:tcPr>
            <w:tcW w:w="360" w:type="dxa"/>
            <w:vAlign w:val="bottom"/>
            <w:shd w:val="clear" w:color="auto" w:fill="E5EEF8"/>
          </w:tcPr>
          <w:p>
            <w:pPr>
              <w:spacing w:after="0"/>
              <w:rPr>
                <w:sz w:val="6"/>
                <w:szCs w:val="6"/>
                <w:color w:val="auto"/>
              </w:rPr>
            </w:pPr>
          </w:p>
        </w:tc>
        <w:tc>
          <w:tcPr>
            <w:tcW w:w="1940" w:type="dxa"/>
            <w:vAlign w:val="bottom"/>
            <w:shd w:val="clear" w:color="auto" w:fill="E5EEF8"/>
          </w:tcPr>
          <w:p>
            <w:pPr>
              <w:spacing w:after="0"/>
              <w:rPr>
                <w:sz w:val="6"/>
                <w:szCs w:val="6"/>
                <w:color w:val="auto"/>
              </w:rPr>
            </w:pPr>
          </w:p>
        </w:tc>
        <w:tc>
          <w:tcPr>
            <w:tcW w:w="440" w:type="dxa"/>
            <w:vAlign w:val="bottom"/>
            <w:shd w:val="clear" w:color="auto" w:fill="E5EEF8"/>
          </w:tcPr>
          <w:p>
            <w:pPr>
              <w:spacing w:after="0"/>
              <w:rPr>
                <w:sz w:val="6"/>
                <w:szCs w:val="6"/>
                <w:color w:val="auto"/>
              </w:rPr>
            </w:pPr>
          </w:p>
        </w:tc>
        <w:tc>
          <w:tcPr>
            <w:tcW w:w="660" w:type="dxa"/>
            <w:vAlign w:val="bottom"/>
            <w:tcBorders>
              <w:right w:val="single" w:sz="8" w:color="E5EEF8"/>
            </w:tcBorders>
            <w:shd w:val="clear" w:color="auto" w:fill="E5EEF8"/>
          </w:tcPr>
          <w:p>
            <w:pPr>
              <w:spacing w:after="0"/>
              <w:rPr>
                <w:sz w:val="6"/>
                <w:szCs w:val="6"/>
                <w:color w:val="auto"/>
              </w:rPr>
            </w:pPr>
          </w:p>
        </w:tc>
        <w:tc>
          <w:tcPr>
            <w:tcW w:w="120" w:type="dxa"/>
            <w:vAlign w:val="bottom"/>
            <w:shd w:val="clear" w:color="auto" w:fill="E5EEF8"/>
          </w:tcPr>
          <w:p>
            <w:pPr>
              <w:spacing w:after="0"/>
              <w:rPr>
                <w:sz w:val="6"/>
                <w:szCs w:val="6"/>
                <w:color w:val="auto"/>
              </w:rPr>
            </w:pPr>
          </w:p>
        </w:tc>
        <w:tc>
          <w:tcPr>
            <w:tcW w:w="200" w:type="dxa"/>
            <w:vAlign w:val="bottom"/>
            <w:shd w:val="clear" w:color="auto" w:fill="E5EEF8"/>
          </w:tcPr>
          <w:p>
            <w:pPr>
              <w:spacing w:after="0"/>
              <w:rPr>
                <w:sz w:val="6"/>
                <w:szCs w:val="6"/>
                <w:color w:val="auto"/>
              </w:rPr>
            </w:pPr>
          </w:p>
        </w:tc>
      </w:tr>
      <w:tr>
        <w:trPr>
          <w:trHeight w:val="432"/>
        </w:trPr>
        <w:tc>
          <w:tcPr>
            <w:tcW w:w="5800" w:type="dxa"/>
            <w:vAlign w:val="bottom"/>
            <w:gridSpan w:val="2"/>
          </w:tcPr>
          <w:p>
            <w:pPr>
              <w:spacing w:after="0"/>
              <w:rPr>
                <w:sz w:val="20"/>
                <w:szCs w:val="20"/>
                <w:color w:val="auto"/>
              </w:rPr>
            </w:pPr>
            <w:r>
              <w:rPr>
                <w:rFonts w:ascii="Arial" w:cs="Arial" w:eastAsia="Arial" w:hAnsi="Arial"/>
                <w:sz w:val="18"/>
                <w:szCs w:val="18"/>
                <w:b w:val="1"/>
                <w:bCs w:val="1"/>
                <w:color w:val="005CB9"/>
              </w:rPr>
              <w:t>J</w:t>
            </w:r>
            <w:r>
              <w:rPr>
                <w:rFonts w:ascii="Arial" w:cs="Arial" w:eastAsia="Arial" w:hAnsi="Arial"/>
                <w:sz w:val="14"/>
                <w:szCs w:val="14"/>
                <w:b w:val="1"/>
                <w:bCs w:val="1"/>
                <w:color w:val="005CB9"/>
              </w:rPr>
              <w:t>OHN</w:t>
            </w:r>
            <w:r>
              <w:rPr>
                <w:rFonts w:ascii="Arial" w:cs="Arial" w:eastAsia="Arial" w:hAnsi="Arial"/>
                <w:sz w:val="18"/>
                <w:szCs w:val="18"/>
                <w:b w:val="1"/>
                <w:bCs w:val="1"/>
                <w:color w:val="005CB9"/>
              </w:rPr>
              <w:t xml:space="preserve"> K. S</w:t>
            </w:r>
            <w:r>
              <w:rPr>
                <w:rFonts w:ascii="Arial" w:cs="Arial" w:eastAsia="Arial" w:hAnsi="Arial"/>
                <w:sz w:val="14"/>
                <w:szCs w:val="14"/>
                <w:b w:val="1"/>
                <w:bCs w:val="1"/>
                <w:color w:val="005CB9"/>
              </w:rPr>
              <w:t>TIPANCICH</w:t>
            </w: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08"/>
        </w:trPr>
        <w:tc>
          <w:tcPr>
            <w:tcW w:w="84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175"/>
        </w:trPr>
        <w:tc>
          <w:tcPr>
            <w:tcW w:w="840" w:type="dxa"/>
            <w:vAlign w:val="bottom"/>
            <w:shd w:val="clear" w:color="auto" w:fill="005CB9"/>
          </w:tcPr>
          <w:p>
            <w:pPr>
              <w:spacing w:after="0"/>
              <w:rPr>
                <w:sz w:val="15"/>
                <w:szCs w:val="15"/>
                <w:color w:val="auto"/>
              </w:rPr>
            </w:pPr>
          </w:p>
        </w:tc>
        <w:tc>
          <w:tcPr>
            <w:tcW w:w="4960" w:type="dxa"/>
            <w:vAlign w:val="bottom"/>
            <w:shd w:val="clear" w:color="auto" w:fill="005CB9"/>
          </w:tcPr>
          <w:p>
            <w:pPr>
              <w:spacing w:after="0"/>
              <w:rPr>
                <w:sz w:val="15"/>
                <w:szCs w:val="15"/>
                <w:color w:val="auto"/>
              </w:rPr>
            </w:pPr>
          </w:p>
        </w:tc>
        <w:tc>
          <w:tcPr>
            <w:tcW w:w="1500" w:type="dxa"/>
            <w:vAlign w:val="bottom"/>
            <w:shd w:val="clear" w:color="auto" w:fill="005CB9"/>
          </w:tcPr>
          <w:p>
            <w:pPr>
              <w:spacing w:after="0"/>
              <w:rPr>
                <w:sz w:val="15"/>
                <w:szCs w:val="15"/>
                <w:color w:val="auto"/>
              </w:rPr>
            </w:pPr>
          </w:p>
        </w:tc>
        <w:tc>
          <w:tcPr>
            <w:tcW w:w="360" w:type="dxa"/>
            <w:vAlign w:val="bottom"/>
            <w:shd w:val="clear" w:color="auto" w:fill="005CB9"/>
          </w:tcPr>
          <w:p>
            <w:pPr>
              <w:spacing w:after="0"/>
              <w:rPr>
                <w:sz w:val="15"/>
                <w:szCs w:val="15"/>
                <w:color w:val="auto"/>
              </w:rPr>
            </w:pPr>
          </w:p>
        </w:tc>
        <w:tc>
          <w:tcPr>
            <w:tcW w:w="1940" w:type="dxa"/>
            <w:vAlign w:val="bottom"/>
            <w:shd w:val="clear" w:color="auto" w:fill="005CB9"/>
          </w:tcPr>
          <w:p>
            <w:pPr>
              <w:jc w:val="right"/>
              <w:ind w:right="298"/>
              <w:spacing w:after="0"/>
              <w:rPr>
                <w:sz w:val="20"/>
                <w:szCs w:val="20"/>
                <w:color w:val="auto"/>
              </w:rPr>
            </w:pPr>
            <w:r>
              <w:rPr>
                <w:rFonts w:ascii="Arial" w:cs="Arial" w:eastAsia="Arial" w:hAnsi="Arial"/>
                <w:sz w:val="14"/>
                <w:szCs w:val="14"/>
                <w:color w:val="FFFFFF"/>
              </w:rPr>
              <w:t>Termination Scenario</w:t>
            </w:r>
          </w:p>
        </w:tc>
        <w:tc>
          <w:tcPr>
            <w:tcW w:w="440" w:type="dxa"/>
            <w:vAlign w:val="bottom"/>
            <w:shd w:val="clear" w:color="auto" w:fill="005CB9"/>
          </w:tcPr>
          <w:p>
            <w:pPr>
              <w:spacing w:after="0"/>
              <w:rPr>
                <w:sz w:val="15"/>
                <w:szCs w:val="15"/>
                <w:color w:val="auto"/>
              </w:rPr>
            </w:pPr>
          </w:p>
        </w:tc>
        <w:tc>
          <w:tcPr>
            <w:tcW w:w="660" w:type="dxa"/>
            <w:vAlign w:val="bottom"/>
            <w:tcBorders>
              <w:right w:val="single" w:sz="8" w:color="005CB9"/>
            </w:tcBorders>
            <w:shd w:val="clear" w:color="auto" w:fill="005CB9"/>
          </w:tcPr>
          <w:p>
            <w:pPr>
              <w:spacing w:after="0"/>
              <w:rPr>
                <w:sz w:val="15"/>
                <w:szCs w:val="15"/>
                <w:color w:val="auto"/>
              </w:rPr>
            </w:pPr>
          </w:p>
        </w:tc>
        <w:tc>
          <w:tcPr>
            <w:tcW w:w="120" w:type="dxa"/>
            <w:vAlign w:val="bottom"/>
            <w:shd w:val="clear" w:color="auto" w:fill="005CB9"/>
          </w:tcPr>
          <w:p>
            <w:pPr>
              <w:spacing w:after="0"/>
              <w:rPr>
                <w:sz w:val="15"/>
                <w:szCs w:val="15"/>
                <w:color w:val="auto"/>
              </w:rPr>
            </w:pPr>
          </w:p>
        </w:tc>
        <w:tc>
          <w:tcPr>
            <w:tcW w:w="200" w:type="dxa"/>
            <w:vAlign w:val="bottom"/>
            <w:shd w:val="clear" w:color="auto" w:fill="005CB9"/>
          </w:tcPr>
          <w:p>
            <w:pPr>
              <w:spacing w:after="0"/>
              <w:rPr>
                <w:sz w:val="15"/>
                <w:szCs w:val="15"/>
                <w:color w:val="auto"/>
              </w:rPr>
            </w:pPr>
          </w:p>
        </w:tc>
      </w:tr>
      <w:tr>
        <w:trPr>
          <w:trHeight w:val="160"/>
        </w:trPr>
        <w:tc>
          <w:tcPr>
            <w:tcW w:w="840" w:type="dxa"/>
            <w:vAlign w:val="bottom"/>
            <w:shd w:val="clear" w:color="auto" w:fill="005CB9"/>
          </w:tcPr>
          <w:p>
            <w:pPr>
              <w:spacing w:after="0"/>
              <w:rPr>
                <w:sz w:val="13"/>
                <w:szCs w:val="13"/>
                <w:color w:val="auto"/>
              </w:rPr>
            </w:pPr>
          </w:p>
        </w:tc>
        <w:tc>
          <w:tcPr>
            <w:tcW w:w="4960" w:type="dxa"/>
            <w:vAlign w:val="bottom"/>
            <w:shd w:val="clear" w:color="auto" w:fill="005CB9"/>
          </w:tcPr>
          <w:p>
            <w:pPr>
              <w:spacing w:after="0"/>
              <w:rPr>
                <w:sz w:val="13"/>
                <w:szCs w:val="13"/>
                <w:color w:val="auto"/>
              </w:rPr>
            </w:pPr>
          </w:p>
        </w:tc>
        <w:tc>
          <w:tcPr>
            <w:tcW w:w="1860" w:type="dxa"/>
            <w:vAlign w:val="bottom"/>
            <w:gridSpan w:val="2"/>
            <w:shd w:val="clear" w:color="auto" w:fill="005CB9"/>
          </w:tcPr>
          <w:p>
            <w:pPr>
              <w:jc w:val="right"/>
              <w:ind w:right="175"/>
              <w:spacing w:after="0"/>
              <w:rPr>
                <w:sz w:val="20"/>
                <w:szCs w:val="20"/>
                <w:color w:val="auto"/>
              </w:rPr>
            </w:pPr>
            <w:r>
              <w:rPr>
                <w:rFonts w:ascii="Arial" w:cs="Arial" w:eastAsia="Arial" w:hAnsi="Arial"/>
                <w:sz w:val="14"/>
                <w:szCs w:val="14"/>
                <w:color w:val="FFFFFF"/>
              </w:rPr>
              <w:t>By Employee</w:t>
            </w:r>
          </w:p>
        </w:tc>
        <w:tc>
          <w:tcPr>
            <w:tcW w:w="1940" w:type="dxa"/>
            <w:vAlign w:val="bottom"/>
            <w:shd w:val="clear" w:color="auto" w:fill="005CB9"/>
          </w:tcPr>
          <w:p>
            <w:pPr>
              <w:jc w:val="right"/>
              <w:ind w:right="498"/>
              <w:spacing w:after="0"/>
              <w:rPr>
                <w:sz w:val="20"/>
                <w:szCs w:val="20"/>
                <w:color w:val="auto"/>
              </w:rPr>
            </w:pPr>
            <w:r>
              <w:rPr>
                <w:rFonts w:ascii="Arial" w:cs="Arial" w:eastAsia="Arial" w:hAnsi="Arial"/>
                <w:sz w:val="14"/>
                <w:szCs w:val="14"/>
                <w:color w:val="FFFFFF"/>
              </w:rPr>
              <w:t>By Company</w:t>
            </w:r>
          </w:p>
        </w:tc>
        <w:tc>
          <w:tcPr>
            <w:tcW w:w="440" w:type="dxa"/>
            <w:vAlign w:val="bottom"/>
            <w:shd w:val="clear" w:color="auto" w:fill="005CB9"/>
          </w:tcPr>
          <w:p>
            <w:pPr>
              <w:spacing w:after="0"/>
              <w:rPr>
                <w:sz w:val="13"/>
                <w:szCs w:val="13"/>
                <w:color w:val="auto"/>
              </w:rPr>
            </w:pPr>
          </w:p>
        </w:tc>
        <w:tc>
          <w:tcPr>
            <w:tcW w:w="780" w:type="dxa"/>
            <w:vAlign w:val="bottom"/>
            <w:gridSpan w:val="2"/>
            <w:shd w:val="clear" w:color="auto" w:fill="005CB9"/>
          </w:tcPr>
          <w:p>
            <w:pPr>
              <w:jc w:val="right"/>
              <w:ind w:right="20"/>
              <w:spacing w:after="0"/>
              <w:rPr>
                <w:sz w:val="20"/>
                <w:szCs w:val="20"/>
                <w:color w:val="auto"/>
              </w:rPr>
            </w:pPr>
            <w:r>
              <w:rPr>
                <w:rFonts w:ascii="Arial" w:cs="Arial" w:eastAsia="Arial" w:hAnsi="Arial"/>
                <w:sz w:val="14"/>
                <w:szCs w:val="14"/>
                <w:color w:val="FFFFFF"/>
              </w:rPr>
              <w:t>Change in</w:t>
            </w:r>
          </w:p>
        </w:tc>
        <w:tc>
          <w:tcPr>
            <w:tcW w:w="200" w:type="dxa"/>
            <w:vAlign w:val="bottom"/>
            <w:shd w:val="clear" w:color="auto" w:fill="005CB9"/>
          </w:tcPr>
          <w:p>
            <w:pPr>
              <w:spacing w:after="0"/>
              <w:rPr>
                <w:sz w:val="13"/>
                <w:szCs w:val="13"/>
                <w:color w:val="auto"/>
              </w:rPr>
            </w:pPr>
          </w:p>
        </w:tc>
      </w:tr>
      <w:tr>
        <w:trPr>
          <w:trHeight w:val="204"/>
        </w:trPr>
        <w:tc>
          <w:tcPr>
            <w:tcW w:w="5800" w:type="dxa"/>
            <w:vAlign w:val="bottom"/>
            <w:gridSpan w:val="2"/>
            <w:shd w:val="clear" w:color="auto" w:fill="005CB9"/>
          </w:tcPr>
          <w:p>
            <w:pPr>
              <w:ind w:left="100"/>
              <w:spacing w:after="0"/>
              <w:rPr>
                <w:sz w:val="20"/>
                <w:szCs w:val="20"/>
                <w:color w:val="auto"/>
              </w:rPr>
            </w:pPr>
            <w:r>
              <w:rPr>
                <w:rFonts w:ascii="Arial" w:cs="Arial" w:eastAsia="Arial" w:hAnsi="Arial"/>
                <w:sz w:val="14"/>
                <w:szCs w:val="14"/>
                <w:color w:val="FFFFFF"/>
              </w:rPr>
              <w:t>Potential Payments Upon Termination or Change in Control</w:t>
            </w:r>
          </w:p>
        </w:tc>
        <w:tc>
          <w:tcPr>
            <w:tcW w:w="1860" w:type="dxa"/>
            <w:vAlign w:val="bottom"/>
            <w:gridSpan w:val="2"/>
            <w:shd w:val="clear" w:color="auto" w:fill="005CB9"/>
          </w:tcPr>
          <w:p>
            <w:pPr>
              <w:jc w:val="right"/>
              <w:ind w:right="175"/>
              <w:spacing w:after="0"/>
              <w:rPr>
                <w:sz w:val="20"/>
                <w:szCs w:val="20"/>
                <w:color w:val="auto"/>
              </w:rPr>
            </w:pPr>
            <w:r>
              <w:rPr>
                <w:rFonts w:ascii="Arial" w:cs="Arial" w:eastAsia="Arial" w:hAnsi="Arial"/>
                <w:sz w:val="14"/>
                <w:szCs w:val="14"/>
                <w:color w:val="FFFFFF"/>
              </w:rPr>
              <w:t>For Good Reason</w:t>
            </w:r>
          </w:p>
        </w:tc>
        <w:tc>
          <w:tcPr>
            <w:tcW w:w="1940" w:type="dxa"/>
            <w:vAlign w:val="bottom"/>
            <w:shd w:val="clear" w:color="auto" w:fill="005CB9"/>
          </w:tcPr>
          <w:p>
            <w:pPr>
              <w:jc w:val="right"/>
              <w:ind w:right="498"/>
              <w:spacing w:after="0"/>
              <w:rPr>
                <w:sz w:val="20"/>
                <w:szCs w:val="20"/>
                <w:color w:val="auto"/>
              </w:rPr>
            </w:pPr>
            <w:r>
              <w:rPr>
                <w:rFonts w:ascii="Arial" w:cs="Arial" w:eastAsia="Arial" w:hAnsi="Arial"/>
                <w:sz w:val="14"/>
                <w:szCs w:val="14"/>
                <w:color w:val="FFFFFF"/>
              </w:rPr>
              <w:t>Without Cause</w:t>
            </w:r>
          </w:p>
        </w:tc>
        <w:tc>
          <w:tcPr>
            <w:tcW w:w="440" w:type="dxa"/>
            <w:vAlign w:val="bottom"/>
            <w:shd w:val="clear" w:color="auto" w:fill="005CB9"/>
          </w:tcPr>
          <w:p>
            <w:pPr>
              <w:spacing w:after="0"/>
              <w:rPr>
                <w:sz w:val="17"/>
                <w:szCs w:val="17"/>
                <w:color w:val="auto"/>
              </w:rPr>
            </w:pPr>
          </w:p>
        </w:tc>
        <w:tc>
          <w:tcPr>
            <w:tcW w:w="780" w:type="dxa"/>
            <w:vAlign w:val="bottom"/>
            <w:gridSpan w:val="2"/>
            <w:shd w:val="clear" w:color="auto" w:fill="005CB9"/>
          </w:tcPr>
          <w:p>
            <w:pPr>
              <w:jc w:val="right"/>
              <w:ind w:right="20"/>
              <w:spacing w:after="0"/>
              <w:rPr>
                <w:sz w:val="20"/>
                <w:szCs w:val="20"/>
                <w:color w:val="auto"/>
              </w:rPr>
            </w:pPr>
            <w:r>
              <w:rPr>
                <w:rFonts w:ascii="Arial" w:cs="Arial" w:eastAsia="Arial" w:hAnsi="Arial"/>
                <w:sz w:val="14"/>
                <w:szCs w:val="14"/>
                <w:color w:val="FFFFFF"/>
              </w:rPr>
              <w:t>Control</w:t>
            </w:r>
            <w:r>
              <w:rPr>
                <w:rFonts w:ascii="Arial" w:cs="Arial" w:eastAsia="Arial" w:hAnsi="Arial"/>
                <w:sz w:val="14"/>
                <w:szCs w:val="14"/>
                <w:color w:val="FFFFFF"/>
                <w:vertAlign w:val="superscript"/>
              </w:rPr>
              <w:t>(1)</w:t>
            </w:r>
          </w:p>
        </w:tc>
        <w:tc>
          <w:tcPr>
            <w:tcW w:w="200" w:type="dxa"/>
            <w:vAlign w:val="bottom"/>
            <w:shd w:val="clear" w:color="auto" w:fill="005CB9"/>
          </w:tcPr>
          <w:p>
            <w:pPr>
              <w:spacing w:after="0"/>
              <w:rPr>
                <w:sz w:val="17"/>
                <w:szCs w:val="17"/>
                <w:color w:val="auto"/>
              </w:rPr>
            </w:pPr>
          </w:p>
        </w:tc>
      </w:tr>
      <w:tr>
        <w:trPr>
          <w:trHeight w:val="266"/>
        </w:trPr>
        <w:tc>
          <w:tcPr>
            <w:tcW w:w="5800" w:type="dxa"/>
            <w:vAlign w:val="bottom"/>
            <w:gridSpan w:val="2"/>
            <w:shd w:val="clear" w:color="auto" w:fill="E5EEF8"/>
          </w:tcPr>
          <w:p>
            <w:pPr>
              <w:ind w:left="100"/>
              <w:spacing w:after="0"/>
              <w:rPr>
                <w:sz w:val="20"/>
                <w:szCs w:val="20"/>
                <w:color w:val="auto"/>
              </w:rPr>
            </w:pPr>
            <w:r>
              <w:rPr>
                <w:rFonts w:ascii="Arial" w:cs="Arial" w:eastAsia="Arial" w:hAnsi="Arial"/>
                <w:sz w:val="17"/>
                <w:szCs w:val="17"/>
                <w:color w:val="auto"/>
              </w:rPr>
              <w:t>Cash payments</w:t>
            </w:r>
          </w:p>
        </w:tc>
        <w:tc>
          <w:tcPr>
            <w:tcW w:w="1860" w:type="dxa"/>
            <w:vAlign w:val="bottom"/>
            <w:gridSpan w:val="2"/>
            <w:shd w:val="clear" w:color="auto" w:fill="E5EEF8"/>
          </w:tcPr>
          <w:p>
            <w:pPr>
              <w:jc w:val="right"/>
              <w:ind w:right="175"/>
              <w:spacing w:after="0"/>
              <w:rPr>
                <w:sz w:val="20"/>
                <w:szCs w:val="20"/>
                <w:color w:val="auto"/>
              </w:rPr>
            </w:pPr>
            <w:r>
              <w:rPr>
                <w:rFonts w:ascii="Arial" w:cs="Arial" w:eastAsia="Arial" w:hAnsi="Arial"/>
                <w:sz w:val="17"/>
                <w:szCs w:val="17"/>
                <w:color w:val="auto"/>
              </w:rPr>
              <w:t>$ -</w:t>
            </w:r>
          </w:p>
        </w:tc>
        <w:tc>
          <w:tcPr>
            <w:tcW w:w="1940" w:type="dxa"/>
            <w:vAlign w:val="bottom"/>
            <w:shd w:val="clear" w:color="auto" w:fill="E5EEF8"/>
          </w:tcPr>
          <w:p>
            <w:pPr>
              <w:jc w:val="right"/>
              <w:ind w:right="498"/>
              <w:spacing w:after="0"/>
              <w:rPr>
                <w:sz w:val="20"/>
                <w:szCs w:val="20"/>
                <w:color w:val="auto"/>
              </w:rPr>
            </w:pPr>
            <w:r>
              <w:rPr>
                <w:rFonts w:ascii="Arial" w:cs="Arial" w:eastAsia="Arial" w:hAnsi="Arial"/>
                <w:sz w:val="17"/>
                <w:szCs w:val="17"/>
                <w:color w:val="auto"/>
              </w:rPr>
              <w:t>$ 1,687,500</w:t>
            </w:r>
          </w:p>
        </w:tc>
        <w:tc>
          <w:tcPr>
            <w:tcW w:w="1220" w:type="dxa"/>
            <w:vAlign w:val="bottom"/>
            <w:gridSpan w:val="3"/>
            <w:shd w:val="clear" w:color="auto" w:fill="E5EEF8"/>
          </w:tcPr>
          <w:p>
            <w:pPr>
              <w:jc w:val="right"/>
              <w:ind w:right="20"/>
              <w:spacing w:after="0"/>
              <w:rPr>
                <w:sz w:val="20"/>
                <w:szCs w:val="20"/>
                <w:color w:val="auto"/>
              </w:rPr>
            </w:pPr>
            <w:r>
              <w:rPr>
                <w:rFonts w:ascii="Arial" w:cs="Arial" w:eastAsia="Arial" w:hAnsi="Arial"/>
                <w:sz w:val="17"/>
                <w:szCs w:val="17"/>
                <w:color w:val="auto"/>
              </w:rPr>
              <w:t>$ 1,687,500</w:t>
            </w:r>
          </w:p>
        </w:tc>
        <w:tc>
          <w:tcPr>
            <w:tcW w:w="200" w:type="dxa"/>
            <w:vAlign w:val="bottom"/>
            <w:shd w:val="clear" w:color="auto" w:fill="E5EEF8"/>
          </w:tcPr>
          <w:p>
            <w:pPr>
              <w:spacing w:after="0"/>
              <w:rPr>
                <w:sz w:val="23"/>
                <w:szCs w:val="23"/>
                <w:color w:val="auto"/>
              </w:rPr>
            </w:pPr>
          </w:p>
        </w:tc>
      </w:tr>
      <w:tr>
        <w:trPr>
          <w:trHeight w:val="72"/>
        </w:trPr>
        <w:tc>
          <w:tcPr>
            <w:tcW w:w="5800" w:type="dxa"/>
            <w:vAlign w:val="bottom"/>
            <w:gridSpan w:val="2"/>
            <w:shd w:val="clear" w:color="auto" w:fill="E5EEF8"/>
          </w:tcPr>
          <w:p>
            <w:pPr>
              <w:spacing w:after="0"/>
              <w:rPr>
                <w:sz w:val="6"/>
                <w:szCs w:val="6"/>
                <w:color w:val="auto"/>
              </w:rPr>
            </w:pPr>
          </w:p>
        </w:tc>
        <w:tc>
          <w:tcPr>
            <w:tcW w:w="1500" w:type="dxa"/>
            <w:vAlign w:val="bottom"/>
            <w:shd w:val="clear" w:color="auto" w:fill="E5EEF8"/>
          </w:tcPr>
          <w:p>
            <w:pPr>
              <w:spacing w:after="0"/>
              <w:rPr>
                <w:sz w:val="6"/>
                <w:szCs w:val="6"/>
                <w:color w:val="auto"/>
              </w:rPr>
            </w:pPr>
          </w:p>
        </w:tc>
        <w:tc>
          <w:tcPr>
            <w:tcW w:w="360" w:type="dxa"/>
            <w:vAlign w:val="bottom"/>
            <w:shd w:val="clear" w:color="auto" w:fill="E5EEF8"/>
          </w:tcPr>
          <w:p>
            <w:pPr>
              <w:spacing w:after="0"/>
              <w:rPr>
                <w:sz w:val="6"/>
                <w:szCs w:val="6"/>
                <w:color w:val="auto"/>
              </w:rPr>
            </w:pPr>
          </w:p>
        </w:tc>
        <w:tc>
          <w:tcPr>
            <w:tcW w:w="1940" w:type="dxa"/>
            <w:vAlign w:val="bottom"/>
            <w:shd w:val="clear" w:color="auto" w:fill="E5EEF8"/>
          </w:tcPr>
          <w:p>
            <w:pPr>
              <w:spacing w:after="0"/>
              <w:rPr>
                <w:sz w:val="6"/>
                <w:szCs w:val="6"/>
                <w:color w:val="auto"/>
              </w:rPr>
            </w:pPr>
          </w:p>
        </w:tc>
        <w:tc>
          <w:tcPr>
            <w:tcW w:w="440" w:type="dxa"/>
            <w:vAlign w:val="bottom"/>
            <w:shd w:val="clear" w:color="auto" w:fill="E5EEF8"/>
          </w:tcPr>
          <w:p>
            <w:pPr>
              <w:spacing w:after="0"/>
              <w:rPr>
                <w:sz w:val="6"/>
                <w:szCs w:val="6"/>
                <w:color w:val="auto"/>
              </w:rPr>
            </w:pPr>
          </w:p>
        </w:tc>
        <w:tc>
          <w:tcPr>
            <w:tcW w:w="660" w:type="dxa"/>
            <w:vAlign w:val="bottom"/>
            <w:tcBorders>
              <w:right w:val="single" w:sz="8" w:color="E5EEF8"/>
            </w:tcBorders>
            <w:shd w:val="clear" w:color="auto" w:fill="E5EEF8"/>
          </w:tcPr>
          <w:p>
            <w:pPr>
              <w:spacing w:after="0"/>
              <w:rPr>
                <w:sz w:val="6"/>
                <w:szCs w:val="6"/>
                <w:color w:val="auto"/>
              </w:rPr>
            </w:pPr>
          </w:p>
        </w:tc>
        <w:tc>
          <w:tcPr>
            <w:tcW w:w="120" w:type="dxa"/>
            <w:vAlign w:val="bottom"/>
            <w:shd w:val="clear" w:color="auto" w:fill="E5EEF8"/>
          </w:tcPr>
          <w:p>
            <w:pPr>
              <w:spacing w:after="0"/>
              <w:rPr>
                <w:sz w:val="6"/>
                <w:szCs w:val="6"/>
                <w:color w:val="auto"/>
              </w:rPr>
            </w:pPr>
          </w:p>
        </w:tc>
        <w:tc>
          <w:tcPr>
            <w:tcW w:w="200" w:type="dxa"/>
            <w:vAlign w:val="bottom"/>
            <w:shd w:val="clear" w:color="auto" w:fill="E5EEF8"/>
          </w:tcPr>
          <w:p>
            <w:pPr>
              <w:spacing w:after="0"/>
              <w:rPr>
                <w:sz w:val="6"/>
                <w:szCs w:val="6"/>
                <w:color w:val="auto"/>
              </w:rPr>
            </w:pPr>
          </w:p>
        </w:tc>
      </w:tr>
      <w:tr>
        <w:trPr>
          <w:trHeight w:val="338"/>
        </w:trPr>
        <w:tc>
          <w:tcPr>
            <w:tcW w:w="5800" w:type="dxa"/>
            <w:vAlign w:val="bottom"/>
            <w:gridSpan w:val="2"/>
          </w:tcPr>
          <w:p>
            <w:pPr>
              <w:ind w:left="80"/>
              <w:spacing w:after="0"/>
              <w:rPr>
                <w:sz w:val="20"/>
                <w:szCs w:val="20"/>
                <w:color w:val="auto"/>
              </w:rPr>
            </w:pPr>
            <w:r>
              <w:rPr>
                <w:rFonts w:ascii="Arial" w:cs="Arial" w:eastAsia="Arial" w:hAnsi="Arial"/>
                <w:sz w:val="17"/>
                <w:szCs w:val="17"/>
                <w:color w:val="auto"/>
              </w:rPr>
              <w:t>Accelerated Equity Awards</w:t>
            </w:r>
            <w:r>
              <w:rPr>
                <w:rFonts w:ascii="Arial" w:cs="Arial" w:eastAsia="Arial" w:hAnsi="Arial"/>
                <w:sz w:val="29"/>
                <w:szCs w:val="29"/>
                <w:color w:val="auto"/>
                <w:vertAlign w:val="superscript"/>
              </w:rPr>
              <w:t>(3)(4)</w:t>
            </w: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6"/>
        </w:trPr>
        <w:tc>
          <w:tcPr>
            <w:tcW w:w="840" w:type="dxa"/>
            <w:vAlign w:val="bottom"/>
            <w:shd w:val="clear" w:color="auto" w:fill="E5EEF8"/>
          </w:tcPr>
          <w:p>
            <w:pPr>
              <w:ind w:left="440"/>
              <w:spacing w:after="0"/>
              <w:rPr>
                <w:sz w:val="20"/>
                <w:szCs w:val="20"/>
                <w:color w:val="auto"/>
              </w:rPr>
            </w:pPr>
            <w:r>
              <w:rPr>
                <w:rFonts w:ascii="Arial" w:cs="Arial" w:eastAsia="Arial" w:hAnsi="Arial"/>
                <w:sz w:val="17"/>
                <w:szCs w:val="17"/>
                <w:color w:val="auto"/>
              </w:rPr>
              <w:t>2019</w:t>
            </w:r>
          </w:p>
        </w:tc>
        <w:tc>
          <w:tcPr>
            <w:tcW w:w="4960" w:type="dxa"/>
            <w:vAlign w:val="bottom"/>
            <w:shd w:val="clear" w:color="auto" w:fill="E5EEF8"/>
          </w:tcPr>
          <w:p>
            <w:pPr>
              <w:ind w:left="20"/>
              <w:spacing w:after="0"/>
              <w:rPr>
                <w:sz w:val="20"/>
                <w:szCs w:val="20"/>
                <w:color w:val="auto"/>
              </w:rPr>
            </w:pPr>
            <w:r>
              <w:rPr>
                <w:rFonts w:ascii="Arial" w:cs="Arial" w:eastAsia="Arial" w:hAnsi="Arial"/>
                <w:sz w:val="17"/>
                <w:szCs w:val="17"/>
                <w:color w:val="auto"/>
              </w:rPr>
              <w:t>Stock Option Grant</w:t>
            </w:r>
          </w:p>
        </w:tc>
        <w:tc>
          <w:tcPr>
            <w:tcW w:w="1500" w:type="dxa"/>
            <w:vAlign w:val="bottom"/>
            <w:shd w:val="clear" w:color="auto" w:fill="E5EEF8"/>
          </w:tcPr>
          <w:p>
            <w:pPr>
              <w:spacing w:after="0"/>
              <w:rPr>
                <w:sz w:val="23"/>
                <w:szCs w:val="23"/>
                <w:color w:val="auto"/>
              </w:rPr>
            </w:pPr>
          </w:p>
        </w:tc>
        <w:tc>
          <w:tcPr>
            <w:tcW w:w="360" w:type="dxa"/>
            <w:vAlign w:val="bottom"/>
            <w:shd w:val="clear" w:color="auto" w:fill="E5EEF8"/>
          </w:tcPr>
          <w:p>
            <w:pPr>
              <w:jc w:val="right"/>
              <w:ind w:right="175"/>
              <w:spacing w:after="0"/>
              <w:rPr>
                <w:sz w:val="20"/>
                <w:szCs w:val="20"/>
                <w:color w:val="auto"/>
              </w:rPr>
            </w:pPr>
            <w:r>
              <w:rPr>
                <w:rFonts w:ascii="Arial" w:cs="Arial" w:eastAsia="Arial" w:hAnsi="Arial"/>
                <w:sz w:val="17"/>
                <w:szCs w:val="17"/>
                <w:color w:val="auto"/>
              </w:rPr>
              <w:t>-</w:t>
            </w:r>
          </w:p>
        </w:tc>
        <w:tc>
          <w:tcPr>
            <w:tcW w:w="1940" w:type="dxa"/>
            <w:vAlign w:val="bottom"/>
            <w:shd w:val="clear" w:color="auto" w:fill="E5EEF8"/>
          </w:tcPr>
          <w:p>
            <w:pPr>
              <w:jc w:val="right"/>
              <w:ind w:right="498"/>
              <w:spacing w:after="0"/>
              <w:rPr>
                <w:sz w:val="20"/>
                <w:szCs w:val="20"/>
                <w:color w:val="auto"/>
              </w:rPr>
            </w:pPr>
            <w:r>
              <w:rPr>
                <w:rFonts w:ascii="Arial" w:cs="Arial" w:eastAsia="Arial" w:hAnsi="Arial"/>
                <w:sz w:val="17"/>
                <w:szCs w:val="17"/>
                <w:color w:val="auto"/>
              </w:rPr>
              <w:t>-</w:t>
            </w:r>
          </w:p>
        </w:tc>
        <w:tc>
          <w:tcPr>
            <w:tcW w:w="440" w:type="dxa"/>
            <w:vAlign w:val="bottom"/>
            <w:shd w:val="clear" w:color="auto" w:fill="E5EEF8"/>
          </w:tcPr>
          <w:p>
            <w:pPr>
              <w:spacing w:after="0"/>
              <w:rPr>
                <w:sz w:val="23"/>
                <w:szCs w:val="23"/>
                <w:color w:val="auto"/>
              </w:rPr>
            </w:pPr>
          </w:p>
        </w:tc>
        <w:tc>
          <w:tcPr>
            <w:tcW w:w="780" w:type="dxa"/>
            <w:vAlign w:val="bottom"/>
            <w:gridSpan w:val="2"/>
            <w:shd w:val="clear" w:color="auto" w:fill="E5EEF8"/>
          </w:tcPr>
          <w:p>
            <w:pPr>
              <w:jc w:val="right"/>
              <w:ind w:right="20"/>
              <w:spacing w:after="0"/>
              <w:rPr>
                <w:sz w:val="20"/>
                <w:szCs w:val="20"/>
                <w:color w:val="auto"/>
              </w:rPr>
            </w:pPr>
            <w:r>
              <w:rPr>
                <w:rFonts w:ascii="Arial" w:cs="Arial" w:eastAsia="Arial" w:hAnsi="Arial"/>
                <w:sz w:val="17"/>
                <w:szCs w:val="17"/>
                <w:color w:val="auto"/>
                <w:w w:val="97"/>
              </w:rPr>
              <w:t>1,661,700</w:t>
            </w:r>
          </w:p>
        </w:tc>
        <w:tc>
          <w:tcPr>
            <w:tcW w:w="200" w:type="dxa"/>
            <w:vAlign w:val="bottom"/>
            <w:shd w:val="clear" w:color="auto" w:fill="E5EEF8"/>
          </w:tcPr>
          <w:p>
            <w:pPr>
              <w:spacing w:after="0"/>
              <w:rPr>
                <w:sz w:val="23"/>
                <w:szCs w:val="23"/>
                <w:color w:val="auto"/>
              </w:rPr>
            </w:pPr>
          </w:p>
        </w:tc>
      </w:tr>
      <w:tr>
        <w:trPr>
          <w:trHeight w:val="71"/>
        </w:trPr>
        <w:tc>
          <w:tcPr>
            <w:tcW w:w="840" w:type="dxa"/>
            <w:vAlign w:val="bottom"/>
            <w:shd w:val="clear" w:color="auto" w:fill="E5EEF8"/>
          </w:tcPr>
          <w:p>
            <w:pPr>
              <w:spacing w:after="0"/>
              <w:rPr>
                <w:sz w:val="6"/>
                <w:szCs w:val="6"/>
                <w:color w:val="auto"/>
              </w:rPr>
            </w:pPr>
          </w:p>
        </w:tc>
        <w:tc>
          <w:tcPr>
            <w:tcW w:w="4960" w:type="dxa"/>
            <w:vAlign w:val="bottom"/>
            <w:shd w:val="clear" w:color="auto" w:fill="E5EEF8"/>
          </w:tcPr>
          <w:p>
            <w:pPr>
              <w:spacing w:after="0"/>
              <w:rPr>
                <w:sz w:val="6"/>
                <w:szCs w:val="6"/>
                <w:color w:val="auto"/>
              </w:rPr>
            </w:pPr>
          </w:p>
        </w:tc>
        <w:tc>
          <w:tcPr>
            <w:tcW w:w="1500" w:type="dxa"/>
            <w:vAlign w:val="bottom"/>
            <w:shd w:val="clear" w:color="auto" w:fill="E5EEF8"/>
          </w:tcPr>
          <w:p>
            <w:pPr>
              <w:spacing w:after="0"/>
              <w:rPr>
                <w:sz w:val="6"/>
                <w:szCs w:val="6"/>
                <w:color w:val="auto"/>
              </w:rPr>
            </w:pPr>
          </w:p>
        </w:tc>
        <w:tc>
          <w:tcPr>
            <w:tcW w:w="360" w:type="dxa"/>
            <w:vAlign w:val="bottom"/>
            <w:shd w:val="clear" w:color="auto" w:fill="E5EEF8"/>
          </w:tcPr>
          <w:p>
            <w:pPr>
              <w:spacing w:after="0"/>
              <w:rPr>
                <w:sz w:val="6"/>
                <w:szCs w:val="6"/>
                <w:color w:val="auto"/>
              </w:rPr>
            </w:pPr>
          </w:p>
        </w:tc>
        <w:tc>
          <w:tcPr>
            <w:tcW w:w="1940" w:type="dxa"/>
            <w:vAlign w:val="bottom"/>
            <w:shd w:val="clear" w:color="auto" w:fill="E5EEF8"/>
          </w:tcPr>
          <w:p>
            <w:pPr>
              <w:spacing w:after="0"/>
              <w:rPr>
                <w:sz w:val="6"/>
                <w:szCs w:val="6"/>
                <w:color w:val="auto"/>
              </w:rPr>
            </w:pPr>
          </w:p>
        </w:tc>
        <w:tc>
          <w:tcPr>
            <w:tcW w:w="440" w:type="dxa"/>
            <w:vAlign w:val="bottom"/>
            <w:shd w:val="clear" w:color="auto" w:fill="E5EEF8"/>
          </w:tcPr>
          <w:p>
            <w:pPr>
              <w:spacing w:after="0"/>
              <w:rPr>
                <w:sz w:val="6"/>
                <w:szCs w:val="6"/>
                <w:color w:val="auto"/>
              </w:rPr>
            </w:pPr>
          </w:p>
        </w:tc>
        <w:tc>
          <w:tcPr>
            <w:tcW w:w="660" w:type="dxa"/>
            <w:vAlign w:val="bottom"/>
            <w:tcBorders>
              <w:right w:val="single" w:sz="8" w:color="E5EEF8"/>
            </w:tcBorders>
            <w:shd w:val="clear" w:color="auto" w:fill="E5EEF8"/>
          </w:tcPr>
          <w:p>
            <w:pPr>
              <w:spacing w:after="0"/>
              <w:rPr>
                <w:sz w:val="6"/>
                <w:szCs w:val="6"/>
                <w:color w:val="auto"/>
              </w:rPr>
            </w:pPr>
          </w:p>
        </w:tc>
        <w:tc>
          <w:tcPr>
            <w:tcW w:w="120" w:type="dxa"/>
            <w:vAlign w:val="bottom"/>
            <w:shd w:val="clear" w:color="auto" w:fill="E5EEF8"/>
          </w:tcPr>
          <w:p>
            <w:pPr>
              <w:spacing w:after="0"/>
              <w:rPr>
                <w:sz w:val="6"/>
                <w:szCs w:val="6"/>
                <w:color w:val="auto"/>
              </w:rPr>
            </w:pPr>
          </w:p>
        </w:tc>
        <w:tc>
          <w:tcPr>
            <w:tcW w:w="200" w:type="dxa"/>
            <w:vAlign w:val="bottom"/>
            <w:shd w:val="clear" w:color="auto" w:fill="E5EEF8"/>
          </w:tcPr>
          <w:p>
            <w:pPr>
              <w:spacing w:after="0"/>
              <w:rPr>
                <w:sz w:val="6"/>
                <w:szCs w:val="6"/>
                <w:color w:val="auto"/>
              </w:rPr>
            </w:pPr>
          </w:p>
        </w:tc>
      </w:tr>
      <w:tr>
        <w:trPr>
          <w:trHeight w:val="266"/>
        </w:trPr>
        <w:tc>
          <w:tcPr>
            <w:tcW w:w="840" w:type="dxa"/>
            <w:vAlign w:val="bottom"/>
          </w:tcPr>
          <w:p>
            <w:pPr>
              <w:ind w:left="440"/>
              <w:spacing w:after="0"/>
              <w:rPr>
                <w:sz w:val="20"/>
                <w:szCs w:val="20"/>
                <w:color w:val="auto"/>
              </w:rPr>
            </w:pPr>
            <w:r>
              <w:rPr>
                <w:rFonts w:ascii="Arial" w:cs="Arial" w:eastAsia="Arial" w:hAnsi="Arial"/>
                <w:sz w:val="17"/>
                <w:szCs w:val="17"/>
                <w:color w:val="auto"/>
              </w:rPr>
              <w:t>2020</w:t>
            </w:r>
          </w:p>
        </w:tc>
        <w:tc>
          <w:tcPr>
            <w:tcW w:w="4960" w:type="dxa"/>
            <w:vAlign w:val="bottom"/>
          </w:tcPr>
          <w:p>
            <w:pPr>
              <w:ind w:left="20"/>
              <w:spacing w:after="0"/>
              <w:rPr>
                <w:sz w:val="20"/>
                <w:szCs w:val="20"/>
                <w:color w:val="auto"/>
              </w:rPr>
            </w:pPr>
            <w:r>
              <w:rPr>
                <w:rFonts w:ascii="Arial" w:cs="Arial" w:eastAsia="Arial" w:hAnsi="Arial"/>
                <w:sz w:val="17"/>
                <w:szCs w:val="17"/>
                <w:color w:val="auto"/>
              </w:rPr>
              <w:t>Stock Option Grant</w:t>
            </w:r>
          </w:p>
        </w:tc>
        <w:tc>
          <w:tcPr>
            <w:tcW w:w="1500" w:type="dxa"/>
            <w:vAlign w:val="bottom"/>
          </w:tcPr>
          <w:p>
            <w:pPr>
              <w:spacing w:after="0"/>
              <w:rPr>
                <w:sz w:val="23"/>
                <w:szCs w:val="23"/>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940" w:type="dxa"/>
            <w:vAlign w:val="bottom"/>
          </w:tcPr>
          <w:p>
            <w:pPr>
              <w:jc w:val="right"/>
              <w:ind w:right="49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1,361,234</w:t>
            </w:r>
          </w:p>
        </w:tc>
        <w:tc>
          <w:tcPr>
            <w:tcW w:w="200" w:type="dxa"/>
            <w:vAlign w:val="bottom"/>
          </w:tcPr>
          <w:p>
            <w:pPr>
              <w:spacing w:after="0"/>
              <w:rPr>
                <w:sz w:val="23"/>
                <w:szCs w:val="23"/>
                <w:color w:val="auto"/>
              </w:rPr>
            </w:pPr>
          </w:p>
        </w:tc>
      </w:tr>
      <w:tr>
        <w:trPr>
          <w:trHeight w:val="71"/>
        </w:trPr>
        <w:tc>
          <w:tcPr>
            <w:tcW w:w="840" w:type="dxa"/>
            <w:vAlign w:val="bottom"/>
          </w:tcPr>
          <w:p>
            <w:pPr>
              <w:spacing w:after="0"/>
              <w:rPr>
                <w:sz w:val="6"/>
                <w:szCs w:val="6"/>
                <w:color w:val="auto"/>
              </w:rPr>
            </w:pPr>
          </w:p>
        </w:tc>
        <w:tc>
          <w:tcPr>
            <w:tcW w:w="49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9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r>
      <w:tr>
        <w:trPr>
          <w:trHeight w:val="266"/>
        </w:trPr>
        <w:tc>
          <w:tcPr>
            <w:tcW w:w="840" w:type="dxa"/>
            <w:vAlign w:val="bottom"/>
            <w:shd w:val="clear" w:color="auto" w:fill="E5EEF8"/>
          </w:tcPr>
          <w:p>
            <w:pPr>
              <w:ind w:left="440"/>
              <w:spacing w:after="0"/>
              <w:rPr>
                <w:sz w:val="20"/>
                <w:szCs w:val="20"/>
                <w:color w:val="auto"/>
              </w:rPr>
            </w:pPr>
            <w:r>
              <w:rPr>
                <w:rFonts w:ascii="Arial" w:cs="Arial" w:eastAsia="Arial" w:hAnsi="Arial"/>
                <w:sz w:val="17"/>
                <w:szCs w:val="17"/>
                <w:color w:val="auto"/>
              </w:rPr>
              <w:t>2021</w:t>
            </w:r>
          </w:p>
        </w:tc>
        <w:tc>
          <w:tcPr>
            <w:tcW w:w="4960" w:type="dxa"/>
            <w:vAlign w:val="bottom"/>
            <w:shd w:val="clear" w:color="auto" w:fill="E5EEF8"/>
          </w:tcPr>
          <w:p>
            <w:pPr>
              <w:ind w:left="20"/>
              <w:spacing w:after="0"/>
              <w:rPr>
                <w:sz w:val="20"/>
                <w:szCs w:val="20"/>
                <w:color w:val="auto"/>
              </w:rPr>
            </w:pPr>
            <w:r>
              <w:rPr>
                <w:rFonts w:ascii="Arial" w:cs="Arial" w:eastAsia="Arial" w:hAnsi="Arial"/>
                <w:sz w:val="17"/>
                <w:szCs w:val="17"/>
                <w:color w:val="auto"/>
              </w:rPr>
              <w:t>Stock Option Grant</w:t>
            </w:r>
          </w:p>
        </w:tc>
        <w:tc>
          <w:tcPr>
            <w:tcW w:w="1500" w:type="dxa"/>
            <w:vAlign w:val="bottom"/>
            <w:shd w:val="clear" w:color="auto" w:fill="E5EEF8"/>
          </w:tcPr>
          <w:p>
            <w:pPr>
              <w:spacing w:after="0"/>
              <w:rPr>
                <w:sz w:val="23"/>
                <w:szCs w:val="23"/>
                <w:color w:val="auto"/>
              </w:rPr>
            </w:pPr>
          </w:p>
        </w:tc>
        <w:tc>
          <w:tcPr>
            <w:tcW w:w="360" w:type="dxa"/>
            <w:vAlign w:val="bottom"/>
            <w:shd w:val="clear" w:color="auto" w:fill="E5EEF8"/>
          </w:tcPr>
          <w:p>
            <w:pPr>
              <w:jc w:val="right"/>
              <w:ind w:right="175"/>
              <w:spacing w:after="0"/>
              <w:rPr>
                <w:sz w:val="20"/>
                <w:szCs w:val="20"/>
                <w:color w:val="auto"/>
              </w:rPr>
            </w:pPr>
            <w:r>
              <w:rPr>
                <w:rFonts w:ascii="Arial" w:cs="Arial" w:eastAsia="Arial" w:hAnsi="Arial"/>
                <w:sz w:val="17"/>
                <w:szCs w:val="17"/>
                <w:color w:val="auto"/>
              </w:rPr>
              <w:t>-</w:t>
            </w:r>
          </w:p>
        </w:tc>
        <w:tc>
          <w:tcPr>
            <w:tcW w:w="1940" w:type="dxa"/>
            <w:vAlign w:val="bottom"/>
            <w:shd w:val="clear" w:color="auto" w:fill="E5EEF8"/>
          </w:tcPr>
          <w:p>
            <w:pPr>
              <w:jc w:val="right"/>
              <w:ind w:right="498"/>
              <w:spacing w:after="0"/>
              <w:rPr>
                <w:sz w:val="20"/>
                <w:szCs w:val="20"/>
                <w:color w:val="auto"/>
              </w:rPr>
            </w:pPr>
            <w:r>
              <w:rPr>
                <w:rFonts w:ascii="Arial" w:cs="Arial" w:eastAsia="Arial" w:hAnsi="Arial"/>
                <w:sz w:val="17"/>
                <w:szCs w:val="17"/>
                <w:color w:val="auto"/>
              </w:rPr>
              <w:t>-</w:t>
            </w:r>
          </w:p>
        </w:tc>
        <w:tc>
          <w:tcPr>
            <w:tcW w:w="440" w:type="dxa"/>
            <w:vAlign w:val="bottom"/>
            <w:shd w:val="clear" w:color="auto" w:fill="E5EEF8"/>
          </w:tcPr>
          <w:p>
            <w:pPr>
              <w:spacing w:after="0"/>
              <w:rPr>
                <w:sz w:val="23"/>
                <w:szCs w:val="23"/>
                <w:color w:val="auto"/>
              </w:rPr>
            </w:pPr>
          </w:p>
        </w:tc>
        <w:tc>
          <w:tcPr>
            <w:tcW w:w="780" w:type="dxa"/>
            <w:vAlign w:val="bottom"/>
            <w:gridSpan w:val="2"/>
            <w:shd w:val="clear" w:color="auto" w:fill="E5EEF8"/>
          </w:tcPr>
          <w:p>
            <w:pPr>
              <w:jc w:val="right"/>
              <w:ind w:right="20"/>
              <w:spacing w:after="0"/>
              <w:rPr>
                <w:sz w:val="20"/>
                <w:szCs w:val="20"/>
                <w:color w:val="auto"/>
              </w:rPr>
            </w:pPr>
            <w:r>
              <w:rPr>
                <w:rFonts w:ascii="Arial" w:cs="Arial" w:eastAsia="Arial" w:hAnsi="Arial"/>
                <w:sz w:val="17"/>
                <w:szCs w:val="17"/>
                <w:color w:val="auto"/>
              </w:rPr>
              <w:t>759,315</w:t>
            </w:r>
          </w:p>
        </w:tc>
        <w:tc>
          <w:tcPr>
            <w:tcW w:w="200" w:type="dxa"/>
            <w:vAlign w:val="bottom"/>
            <w:shd w:val="clear" w:color="auto" w:fill="E5EEF8"/>
          </w:tcPr>
          <w:p>
            <w:pPr>
              <w:spacing w:after="0"/>
              <w:rPr>
                <w:sz w:val="23"/>
                <w:szCs w:val="23"/>
                <w:color w:val="auto"/>
              </w:rPr>
            </w:pPr>
          </w:p>
        </w:tc>
      </w:tr>
      <w:tr>
        <w:trPr>
          <w:trHeight w:val="71"/>
        </w:trPr>
        <w:tc>
          <w:tcPr>
            <w:tcW w:w="840" w:type="dxa"/>
            <w:vAlign w:val="bottom"/>
            <w:shd w:val="clear" w:color="auto" w:fill="E5EEF8"/>
          </w:tcPr>
          <w:p>
            <w:pPr>
              <w:spacing w:after="0"/>
              <w:rPr>
                <w:sz w:val="6"/>
                <w:szCs w:val="6"/>
                <w:color w:val="auto"/>
              </w:rPr>
            </w:pPr>
          </w:p>
        </w:tc>
        <w:tc>
          <w:tcPr>
            <w:tcW w:w="4960" w:type="dxa"/>
            <w:vAlign w:val="bottom"/>
            <w:shd w:val="clear" w:color="auto" w:fill="E5EEF8"/>
          </w:tcPr>
          <w:p>
            <w:pPr>
              <w:spacing w:after="0"/>
              <w:rPr>
                <w:sz w:val="6"/>
                <w:szCs w:val="6"/>
                <w:color w:val="auto"/>
              </w:rPr>
            </w:pPr>
          </w:p>
        </w:tc>
        <w:tc>
          <w:tcPr>
            <w:tcW w:w="1500" w:type="dxa"/>
            <w:vAlign w:val="bottom"/>
            <w:shd w:val="clear" w:color="auto" w:fill="E5EEF8"/>
          </w:tcPr>
          <w:p>
            <w:pPr>
              <w:spacing w:after="0"/>
              <w:rPr>
                <w:sz w:val="6"/>
                <w:szCs w:val="6"/>
                <w:color w:val="auto"/>
              </w:rPr>
            </w:pPr>
          </w:p>
        </w:tc>
        <w:tc>
          <w:tcPr>
            <w:tcW w:w="360" w:type="dxa"/>
            <w:vAlign w:val="bottom"/>
            <w:shd w:val="clear" w:color="auto" w:fill="E5EEF8"/>
          </w:tcPr>
          <w:p>
            <w:pPr>
              <w:spacing w:after="0"/>
              <w:rPr>
                <w:sz w:val="6"/>
                <w:szCs w:val="6"/>
                <w:color w:val="auto"/>
              </w:rPr>
            </w:pPr>
          </w:p>
        </w:tc>
        <w:tc>
          <w:tcPr>
            <w:tcW w:w="1940" w:type="dxa"/>
            <w:vAlign w:val="bottom"/>
            <w:shd w:val="clear" w:color="auto" w:fill="E5EEF8"/>
          </w:tcPr>
          <w:p>
            <w:pPr>
              <w:spacing w:after="0"/>
              <w:rPr>
                <w:sz w:val="6"/>
                <w:szCs w:val="6"/>
                <w:color w:val="auto"/>
              </w:rPr>
            </w:pPr>
          </w:p>
        </w:tc>
        <w:tc>
          <w:tcPr>
            <w:tcW w:w="440" w:type="dxa"/>
            <w:vAlign w:val="bottom"/>
            <w:shd w:val="clear" w:color="auto" w:fill="E5EEF8"/>
          </w:tcPr>
          <w:p>
            <w:pPr>
              <w:spacing w:after="0"/>
              <w:rPr>
                <w:sz w:val="6"/>
                <w:szCs w:val="6"/>
                <w:color w:val="auto"/>
              </w:rPr>
            </w:pPr>
          </w:p>
        </w:tc>
        <w:tc>
          <w:tcPr>
            <w:tcW w:w="660" w:type="dxa"/>
            <w:vAlign w:val="bottom"/>
            <w:tcBorders>
              <w:right w:val="single" w:sz="8" w:color="E5EEF8"/>
            </w:tcBorders>
            <w:shd w:val="clear" w:color="auto" w:fill="E5EEF8"/>
          </w:tcPr>
          <w:p>
            <w:pPr>
              <w:spacing w:after="0"/>
              <w:rPr>
                <w:sz w:val="6"/>
                <w:szCs w:val="6"/>
                <w:color w:val="auto"/>
              </w:rPr>
            </w:pPr>
          </w:p>
        </w:tc>
        <w:tc>
          <w:tcPr>
            <w:tcW w:w="120" w:type="dxa"/>
            <w:vAlign w:val="bottom"/>
            <w:shd w:val="clear" w:color="auto" w:fill="E5EEF8"/>
          </w:tcPr>
          <w:p>
            <w:pPr>
              <w:spacing w:after="0"/>
              <w:rPr>
                <w:sz w:val="6"/>
                <w:szCs w:val="6"/>
                <w:color w:val="auto"/>
              </w:rPr>
            </w:pPr>
          </w:p>
        </w:tc>
        <w:tc>
          <w:tcPr>
            <w:tcW w:w="200" w:type="dxa"/>
            <w:vAlign w:val="bottom"/>
            <w:shd w:val="clear" w:color="auto" w:fill="E5EEF8"/>
          </w:tcPr>
          <w:p>
            <w:pPr>
              <w:spacing w:after="0"/>
              <w:rPr>
                <w:sz w:val="6"/>
                <w:szCs w:val="6"/>
                <w:color w:val="auto"/>
              </w:rPr>
            </w:pPr>
          </w:p>
        </w:tc>
      </w:tr>
      <w:tr>
        <w:trPr>
          <w:trHeight w:val="266"/>
        </w:trPr>
        <w:tc>
          <w:tcPr>
            <w:tcW w:w="840" w:type="dxa"/>
            <w:vAlign w:val="bottom"/>
          </w:tcPr>
          <w:p>
            <w:pPr>
              <w:ind w:left="440"/>
              <w:spacing w:after="0"/>
              <w:rPr>
                <w:sz w:val="20"/>
                <w:szCs w:val="20"/>
                <w:color w:val="auto"/>
              </w:rPr>
            </w:pPr>
            <w:r>
              <w:rPr>
                <w:rFonts w:ascii="Arial" w:cs="Arial" w:eastAsia="Arial" w:hAnsi="Arial"/>
                <w:sz w:val="17"/>
                <w:szCs w:val="17"/>
                <w:color w:val="auto"/>
              </w:rPr>
              <w:t>2020</w:t>
            </w:r>
          </w:p>
        </w:tc>
        <w:tc>
          <w:tcPr>
            <w:tcW w:w="4960" w:type="dxa"/>
            <w:vAlign w:val="bottom"/>
          </w:tcPr>
          <w:p>
            <w:pPr>
              <w:ind w:left="20"/>
              <w:spacing w:after="0"/>
              <w:rPr>
                <w:sz w:val="20"/>
                <w:szCs w:val="20"/>
                <w:color w:val="auto"/>
              </w:rPr>
            </w:pPr>
            <w:r>
              <w:rPr>
                <w:rFonts w:ascii="Arial" w:cs="Arial" w:eastAsia="Arial" w:hAnsi="Arial"/>
                <w:sz w:val="17"/>
                <w:szCs w:val="17"/>
                <w:color w:val="auto"/>
              </w:rPr>
              <w:t>Restricted Stock Grant</w:t>
            </w:r>
          </w:p>
        </w:tc>
        <w:tc>
          <w:tcPr>
            <w:tcW w:w="1500" w:type="dxa"/>
            <w:vAlign w:val="bottom"/>
          </w:tcPr>
          <w:p>
            <w:pPr>
              <w:spacing w:after="0"/>
              <w:rPr>
                <w:sz w:val="23"/>
                <w:szCs w:val="23"/>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940" w:type="dxa"/>
            <w:vAlign w:val="bottom"/>
          </w:tcPr>
          <w:p>
            <w:pPr>
              <w:jc w:val="right"/>
              <w:ind w:right="49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1,626,581</w:t>
            </w:r>
          </w:p>
        </w:tc>
        <w:tc>
          <w:tcPr>
            <w:tcW w:w="200" w:type="dxa"/>
            <w:vAlign w:val="bottom"/>
          </w:tcPr>
          <w:p>
            <w:pPr>
              <w:spacing w:after="0"/>
              <w:rPr>
                <w:sz w:val="23"/>
                <w:szCs w:val="23"/>
                <w:color w:val="auto"/>
              </w:rPr>
            </w:pPr>
          </w:p>
        </w:tc>
      </w:tr>
      <w:tr>
        <w:trPr>
          <w:trHeight w:val="71"/>
        </w:trPr>
        <w:tc>
          <w:tcPr>
            <w:tcW w:w="840" w:type="dxa"/>
            <w:vAlign w:val="bottom"/>
          </w:tcPr>
          <w:p>
            <w:pPr>
              <w:spacing w:after="0"/>
              <w:rPr>
                <w:sz w:val="6"/>
                <w:szCs w:val="6"/>
                <w:color w:val="auto"/>
              </w:rPr>
            </w:pPr>
          </w:p>
        </w:tc>
        <w:tc>
          <w:tcPr>
            <w:tcW w:w="49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9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r>
      <w:tr>
        <w:trPr>
          <w:trHeight w:val="266"/>
        </w:trPr>
        <w:tc>
          <w:tcPr>
            <w:tcW w:w="840" w:type="dxa"/>
            <w:vAlign w:val="bottom"/>
            <w:shd w:val="clear" w:color="auto" w:fill="E5EEF8"/>
          </w:tcPr>
          <w:p>
            <w:pPr>
              <w:ind w:left="440"/>
              <w:spacing w:after="0"/>
              <w:rPr>
                <w:sz w:val="20"/>
                <w:szCs w:val="20"/>
                <w:color w:val="auto"/>
              </w:rPr>
            </w:pPr>
            <w:r>
              <w:rPr>
                <w:rFonts w:ascii="Arial" w:cs="Arial" w:eastAsia="Arial" w:hAnsi="Arial"/>
                <w:sz w:val="17"/>
                <w:szCs w:val="17"/>
                <w:color w:val="auto"/>
              </w:rPr>
              <w:t>2021</w:t>
            </w:r>
          </w:p>
        </w:tc>
        <w:tc>
          <w:tcPr>
            <w:tcW w:w="4960" w:type="dxa"/>
            <w:vAlign w:val="bottom"/>
            <w:shd w:val="clear" w:color="auto" w:fill="E5EEF8"/>
          </w:tcPr>
          <w:p>
            <w:pPr>
              <w:ind w:left="20"/>
              <w:spacing w:after="0"/>
              <w:rPr>
                <w:sz w:val="20"/>
                <w:szCs w:val="20"/>
                <w:color w:val="auto"/>
              </w:rPr>
            </w:pPr>
            <w:r>
              <w:rPr>
                <w:rFonts w:ascii="Arial" w:cs="Arial" w:eastAsia="Arial" w:hAnsi="Arial"/>
                <w:sz w:val="17"/>
                <w:szCs w:val="17"/>
                <w:color w:val="auto"/>
              </w:rPr>
              <w:t>Restricted Stock Grant</w:t>
            </w:r>
          </w:p>
        </w:tc>
        <w:tc>
          <w:tcPr>
            <w:tcW w:w="1500" w:type="dxa"/>
            <w:vAlign w:val="bottom"/>
            <w:shd w:val="clear" w:color="auto" w:fill="E5EEF8"/>
          </w:tcPr>
          <w:p>
            <w:pPr>
              <w:spacing w:after="0"/>
              <w:rPr>
                <w:sz w:val="23"/>
                <w:szCs w:val="23"/>
                <w:color w:val="auto"/>
              </w:rPr>
            </w:pPr>
          </w:p>
        </w:tc>
        <w:tc>
          <w:tcPr>
            <w:tcW w:w="360" w:type="dxa"/>
            <w:vAlign w:val="bottom"/>
            <w:shd w:val="clear" w:color="auto" w:fill="E5EEF8"/>
          </w:tcPr>
          <w:p>
            <w:pPr>
              <w:jc w:val="right"/>
              <w:ind w:right="175"/>
              <w:spacing w:after="0"/>
              <w:rPr>
                <w:sz w:val="20"/>
                <w:szCs w:val="20"/>
                <w:color w:val="auto"/>
              </w:rPr>
            </w:pPr>
            <w:r>
              <w:rPr>
                <w:rFonts w:ascii="Arial" w:cs="Arial" w:eastAsia="Arial" w:hAnsi="Arial"/>
                <w:sz w:val="17"/>
                <w:szCs w:val="17"/>
                <w:color w:val="auto"/>
              </w:rPr>
              <w:t>-</w:t>
            </w:r>
          </w:p>
        </w:tc>
        <w:tc>
          <w:tcPr>
            <w:tcW w:w="1940" w:type="dxa"/>
            <w:vAlign w:val="bottom"/>
            <w:shd w:val="clear" w:color="auto" w:fill="E5EEF8"/>
          </w:tcPr>
          <w:p>
            <w:pPr>
              <w:jc w:val="right"/>
              <w:ind w:right="498"/>
              <w:spacing w:after="0"/>
              <w:rPr>
                <w:sz w:val="20"/>
                <w:szCs w:val="20"/>
                <w:color w:val="auto"/>
              </w:rPr>
            </w:pPr>
            <w:r>
              <w:rPr>
                <w:rFonts w:ascii="Arial" w:cs="Arial" w:eastAsia="Arial" w:hAnsi="Arial"/>
                <w:sz w:val="17"/>
                <w:szCs w:val="17"/>
                <w:color w:val="auto"/>
              </w:rPr>
              <w:t>-</w:t>
            </w:r>
          </w:p>
        </w:tc>
        <w:tc>
          <w:tcPr>
            <w:tcW w:w="440" w:type="dxa"/>
            <w:vAlign w:val="bottom"/>
            <w:shd w:val="clear" w:color="auto" w:fill="E5EEF8"/>
          </w:tcPr>
          <w:p>
            <w:pPr>
              <w:spacing w:after="0"/>
              <w:rPr>
                <w:sz w:val="23"/>
                <w:szCs w:val="23"/>
                <w:color w:val="auto"/>
              </w:rPr>
            </w:pPr>
          </w:p>
        </w:tc>
        <w:tc>
          <w:tcPr>
            <w:tcW w:w="780" w:type="dxa"/>
            <w:vAlign w:val="bottom"/>
            <w:gridSpan w:val="2"/>
            <w:shd w:val="clear" w:color="auto" w:fill="E5EEF8"/>
          </w:tcPr>
          <w:p>
            <w:pPr>
              <w:jc w:val="right"/>
              <w:ind w:right="20"/>
              <w:spacing w:after="0"/>
              <w:rPr>
                <w:sz w:val="20"/>
                <w:szCs w:val="20"/>
                <w:color w:val="auto"/>
              </w:rPr>
            </w:pPr>
            <w:r>
              <w:rPr>
                <w:rFonts w:ascii="Arial" w:cs="Arial" w:eastAsia="Arial" w:hAnsi="Arial"/>
                <w:sz w:val="17"/>
                <w:szCs w:val="17"/>
                <w:color w:val="auto"/>
              </w:rPr>
              <w:t>759,315</w:t>
            </w:r>
          </w:p>
        </w:tc>
        <w:tc>
          <w:tcPr>
            <w:tcW w:w="200" w:type="dxa"/>
            <w:vAlign w:val="bottom"/>
            <w:shd w:val="clear" w:color="auto" w:fill="E5EEF8"/>
          </w:tcPr>
          <w:p>
            <w:pPr>
              <w:spacing w:after="0"/>
              <w:rPr>
                <w:sz w:val="23"/>
                <w:szCs w:val="23"/>
                <w:color w:val="auto"/>
              </w:rPr>
            </w:pPr>
          </w:p>
        </w:tc>
      </w:tr>
      <w:tr>
        <w:trPr>
          <w:trHeight w:val="71"/>
        </w:trPr>
        <w:tc>
          <w:tcPr>
            <w:tcW w:w="5800" w:type="dxa"/>
            <w:vAlign w:val="bottom"/>
            <w:gridSpan w:val="2"/>
            <w:shd w:val="clear" w:color="auto" w:fill="E5EEF8"/>
          </w:tcPr>
          <w:p>
            <w:pPr>
              <w:spacing w:after="0"/>
              <w:rPr>
                <w:sz w:val="6"/>
                <w:szCs w:val="6"/>
                <w:color w:val="auto"/>
              </w:rPr>
            </w:pPr>
          </w:p>
        </w:tc>
        <w:tc>
          <w:tcPr>
            <w:tcW w:w="1500" w:type="dxa"/>
            <w:vAlign w:val="bottom"/>
            <w:shd w:val="clear" w:color="auto" w:fill="E5EEF8"/>
          </w:tcPr>
          <w:p>
            <w:pPr>
              <w:spacing w:after="0"/>
              <w:rPr>
                <w:sz w:val="6"/>
                <w:szCs w:val="6"/>
                <w:color w:val="auto"/>
              </w:rPr>
            </w:pPr>
          </w:p>
        </w:tc>
        <w:tc>
          <w:tcPr>
            <w:tcW w:w="360" w:type="dxa"/>
            <w:vAlign w:val="bottom"/>
            <w:shd w:val="clear" w:color="auto" w:fill="E5EEF8"/>
          </w:tcPr>
          <w:p>
            <w:pPr>
              <w:spacing w:after="0"/>
              <w:rPr>
                <w:sz w:val="6"/>
                <w:szCs w:val="6"/>
                <w:color w:val="auto"/>
              </w:rPr>
            </w:pPr>
          </w:p>
        </w:tc>
        <w:tc>
          <w:tcPr>
            <w:tcW w:w="1940" w:type="dxa"/>
            <w:vAlign w:val="bottom"/>
            <w:shd w:val="clear" w:color="auto" w:fill="E5EEF8"/>
          </w:tcPr>
          <w:p>
            <w:pPr>
              <w:spacing w:after="0"/>
              <w:rPr>
                <w:sz w:val="6"/>
                <w:szCs w:val="6"/>
                <w:color w:val="auto"/>
              </w:rPr>
            </w:pPr>
          </w:p>
        </w:tc>
        <w:tc>
          <w:tcPr>
            <w:tcW w:w="440" w:type="dxa"/>
            <w:vAlign w:val="bottom"/>
            <w:shd w:val="clear" w:color="auto" w:fill="E5EEF8"/>
          </w:tcPr>
          <w:p>
            <w:pPr>
              <w:spacing w:after="0"/>
              <w:rPr>
                <w:sz w:val="6"/>
                <w:szCs w:val="6"/>
                <w:color w:val="auto"/>
              </w:rPr>
            </w:pPr>
          </w:p>
        </w:tc>
        <w:tc>
          <w:tcPr>
            <w:tcW w:w="660" w:type="dxa"/>
            <w:vAlign w:val="bottom"/>
            <w:tcBorders>
              <w:right w:val="single" w:sz="8" w:color="E5EEF8"/>
            </w:tcBorders>
            <w:shd w:val="clear" w:color="auto" w:fill="E5EEF8"/>
          </w:tcPr>
          <w:p>
            <w:pPr>
              <w:spacing w:after="0"/>
              <w:rPr>
                <w:sz w:val="6"/>
                <w:szCs w:val="6"/>
                <w:color w:val="auto"/>
              </w:rPr>
            </w:pPr>
          </w:p>
        </w:tc>
        <w:tc>
          <w:tcPr>
            <w:tcW w:w="120" w:type="dxa"/>
            <w:vAlign w:val="bottom"/>
            <w:shd w:val="clear" w:color="auto" w:fill="E5EEF8"/>
          </w:tcPr>
          <w:p>
            <w:pPr>
              <w:spacing w:after="0"/>
              <w:rPr>
                <w:sz w:val="6"/>
                <w:szCs w:val="6"/>
                <w:color w:val="auto"/>
              </w:rPr>
            </w:pPr>
          </w:p>
        </w:tc>
        <w:tc>
          <w:tcPr>
            <w:tcW w:w="200" w:type="dxa"/>
            <w:vAlign w:val="bottom"/>
            <w:shd w:val="clear" w:color="auto" w:fill="E5EEF8"/>
          </w:tcPr>
          <w:p>
            <w:pPr>
              <w:spacing w:after="0"/>
              <w:rPr>
                <w:sz w:val="6"/>
                <w:szCs w:val="6"/>
                <w:color w:val="auto"/>
              </w:rPr>
            </w:pPr>
          </w:p>
        </w:tc>
      </w:tr>
      <w:tr>
        <w:trPr>
          <w:trHeight w:val="266"/>
        </w:trPr>
        <w:tc>
          <w:tcPr>
            <w:tcW w:w="5800" w:type="dxa"/>
            <w:vAlign w:val="bottom"/>
            <w:gridSpan w:val="2"/>
          </w:tcPr>
          <w:p>
            <w:pPr>
              <w:ind w:left="100"/>
              <w:spacing w:after="0"/>
              <w:rPr>
                <w:sz w:val="20"/>
                <w:szCs w:val="20"/>
                <w:color w:val="auto"/>
              </w:rPr>
            </w:pPr>
            <w:r>
              <w:rPr>
                <w:rFonts w:ascii="Arial" w:cs="Arial" w:eastAsia="Arial" w:hAnsi="Arial"/>
                <w:sz w:val="17"/>
                <w:szCs w:val="17"/>
                <w:color w:val="auto"/>
              </w:rPr>
              <w:t>Continued Medical Benefits</w:t>
            </w:r>
          </w:p>
        </w:tc>
        <w:tc>
          <w:tcPr>
            <w:tcW w:w="1500" w:type="dxa"/>
            <w:vAlign w:val="bottom"/>
          </w:tcPr>
          <w:p>
            <w:pPr>
              <w:spacing w:after="0"/>
              <w:rPr>
                <w:sz w:val="23"/>
                <w:szCs w:val="23"/>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940" w:type="dxa"/>
            <w:vAlign w:val="bottom"/>
          </w:tcPr>
          <w:p>
            <w:pPr>
              <w:jc w:val="right"/>
              <w:ind w:right="498"/>
              <w:spacing w:after="0"/>
              <w:rPr>
                <w:sz w:val="20"/>
                <w:szCs w:val="20"/>
                <w:color w:val="auto"/>
              </w:rPr>
            </w:pPr>
            <w:r>
              <w:rPr>
                <w:rFonts w:ascii="Arial" w:cs="Arial" w:eastAsia="Arial" w:hAnsi="Arial"/>
                <w:sz w:val="17"/>
                <w:szCs w:val="17"/>
                <w:color w:val="auto"/>
              </w:rPr>
              <w:t>22,311</w:t>
            </w:r>
          </w:p>
        </w:tc>
        <w:tc>
          <w:tcPr>
            <w:tcW w:w="440" w:type="dxa"/>
            <w:vAlign w:val="bottom"/>
          </w:tcPr>
          <w:p>
            <w:pPr>
              <w:spacing w:after="0"/>
              <w:rPr>
                <w:sz w:val="23"/>
                <w:szCs w:val="2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22,311</w:t>
            </w:r>
          </w:p>
        </w:tc>
        <w:tc>
          <w:tcPr>
            <w:tcW w:w="200" w:type="dxa"/>
            <w:vAlign w:val="bottom"/>
          </w:tcPr>
          <w:p>
            <w:pPr>
              <w:spacing w:after="0"/>
              <w:rPr>
                <w:sz w:val="23"/>
                <w:szCs w:val="23"/>
                <w:color w:val="auto"/>
              </w:rPr>
            </w:pPr>
          </w:p>
        </w:tc>
      </w:tr>
      <w:tr>
        <w:trPr>
          <w:trHeight w:val="72"/>
        </w:trPr>
        <w:tc>
          <w:tcPr>
            <w:tcW w:w="840" w:type="dxa"/>
            <w:vAlign w:val="bottom"/>
          </w:tcPr>
          <w:p>
            <w:pPr>
              <w:spacing w:after="0"/>
              <w:rPr>
                <w:sz w:val="6"/>
                <w:szCs w:val="6"/>
                <w:color w:val="auto"/>
              </w:rPr>
            </w:pPr>
          </w:p>
        </w:tc>
        <w:tc>
          <w:tcPr>
            <w:tcW w:w="49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10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r>
      <w:tr>
        <w:trPr>
          <w:trHeight w:val="266"/>
        </w:trPr>
        <w:tc>
          <w:tcPr>
            <w:tcW w:w="840" w:type="dxa"/>
            <w:vAlign w:val="bottom"/>
            <w:shd w:val="clear" w:color="auto" w:fill="E5EEF8"/>
          </w:tcPr>
          <w:p>
            <w:pPr>
              <w:ind w:left="80"/>
              <w:spacing w:after="0"/>
              <w:rPr>
                <w:sz w:val="20"/>
                <w:szCs w:val="20"/>
                <w:color w:val="auto"/>
              </w:rPr>
            </w:pPr>
            <w:r>
              <w:rPr>
                <w:rFonts w:ascii="Arial" w:cs="Arial" w:eastAsia="Arial" w:hAnsi="Arial"/>
                <w:sz w:val="17"/>
                <w:szCs w:val="17"/>
                <w:color w:val="auto"/>
              </w:rPr>
              <w:t>Total</w:t>
            </w:r>
          </w:p>
        </w:tc>
        <w:tc>
          <w:tcPr>
            <w:tcW w:w="4960" w:type="dxa"/>
            <w:vAlign w:val="bottom"/>
            <w:shd w:val="clear" w:color="auto" w:fill="E5EEF8"/>
          </w:tcPr>
          <w:p>
            <w:pPr>
              <w:spacing w:after="0"/>
              <w:rPr>
                <w:sz w:val="23"/>
                <w:szCs w:val="23"/>
                <w:color w:val="auto"/>
              </w:rPr>
            </w:pPr>
          </w:p>
        </w:tc>
        <w:tc>
          <w:tcPr>
            <w:tcW w:w="1500" w:type="dxa"/>
            <w:vAlign w:val="bottom"/>
            <w:shd w:val="clear" w:color="auto" w:fill="E5EEF8"/>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E5EEF8"/>
          </w:tcPr>
          <w:p>
            <w:pPr>
              <w:jc w:val="right"/>
              <w:ind w:right="175"/>
              <w:spacing w:after="0"/>
              <w:rPr>
                <w:sz w:val="20"/>
                <w:szCs w:val="20"/>
                <w:color w:val="auto"/>
              </w:rPr>
            </w:pPr>
            <w:r>
              <w:rPr>
                <w:rFonts w:ascii="Arial" w:cs="Arial" w:eastAsia="Arial" w:hAnsi="Arial"/>
                <w:sz w:val="17"/>
                <w:szCs w:val="17"/>
                <w:color w:val="auto"/>
              </w:rPr>
              <w:t>-</w:t>
            </w:r>
          </w:p>
        </w:tc>
        <w:tc>
          <w:tcPr>
            <w:tcW w:w="1940" w:type="dxa"/>
            <w:vAlign w:val="bottom"/>
            <w:shd w:val="clear" w:color="auto" w:fill="E5EEF8"/>
          </w:tcPr>
          <w:p>
            <w:pPr>
              <w:jc w:val="right"/>
              <w:ind w:right="498"/>
              <w:spacing w:after="0"/>
              <w:rPr>
                <w:sz w:val="20"/>
                <w:szCs w:val="20"/>
                <w:color w:val="auto"/>
              </w:rPr>
            </w:pPr>
            <w:r>
              <w:rPr>
                <w:rFonts w:ascii="Arial" w:cs="Arial" w:eastAsia="Arial" w:hAnsi="Arial"/>
                <w:sz w:val="17"/>
                <w:szCs w:val="17"/>
                <w:color w:val="auto"/>
              </w:rPr>
              <w:t>$ 1,709,811</w:t>
            </w:r>
          </w:p>
        </w:tc>
        <w:tc>
          <w:tcPr>
            <w:tcW w:w="1220" w:type="dxa"/>
            <w:vAlign w:val="bottom"/>
            <w:gridSpan w:val="3"/>
            <w:shd w:val="clear" w:color="auto" w:fill="E5EEF8"/>
          </w:tcPr>
          <w:p>
            <w:pPr>
              <w:jc w:val="right"/>
              <w:ind w:right="20"/>
              <w:spacing w:after="0"/>
              <w:rPr>
                <w:sz w:val="20"/>
                <w:szCs w:val="20"/>
                <w:color w:val="auto"/>
              </w:rPr>
            </w:pPr>
            <w:r>
              <w:rPr>
                <w:rFonts w:ascii="Arial" w:cs="Arial" w:eastAsia="Arial" w:hAnsi="Arial"/>
                <w:sz w:val="17"/>
                <w:szCs w:val="17"/>
                <w:color w:val="auto"/>
              </w:rPr>
              <w:t>$ 9,998,796</w:t>
            </w:r>
          </w:p>
        </w:tc>
        <w:tc>
          <w:tcPr>
            <w:tcW w:w="200" w:type="dxa"/>
            <w:vAlign w:val="bottom"/>
            <w:shd w:val="clear" w:color="auto" w:fill="E5EEF8"/>
          </w:tcPr>
          <w:p>
            <w:pPr>
              <w:spacing w:after="0"/>
              <w:rPr>
                <w:sz w:val="23"/>
                <w:szCs w:val="23"/>
                <w:color w:val="auto"/>
              </w:rPr>
            </w:pPr>
          </w:p>
        </w:tc>
      </w:tr>
      <w:tr>
        <w:trPr>
          <w:trHeight w:val="71"/>
        </w:trPr>
        <w:tc>
          <w:tcPr>
            <w:tcW w:w="840" w:type="dxa"/>
            <w:vAlign w:val="bottom"/>
            <w:shd w:val="clear" w:color="auto" w:fill="E5EEF8"/>
          </w:tcPr>
          <w:p>
            <w:pPr>
              <w:spacing w:after="0"/>
              <w:rPr>
                <w:sz w:val="6"/>
                <w:szCs w:val="6"/>
                <w:color w:val="auto"/>
              </w:rPr>
            </w:pPr>
          </w:p>
        </w:tc>
        <w:tc>
          <w:tcPr>
            <w:tcW w:w="4960" w:type="dxa"/>
            <w:vAlign w:val="bottom"/>
            <w:shd w:val="clear" w:color="auto" w:fill="E5EEF8"/>
          </w:tcPr>
          <w:p>
            <w:pPr>
              <w:spacing w:after="0"/>
              <w:rPr>
                <w:sz w:val="6"/>
                <w:szCs w:val="6"/>
                <w:color w:val="auto"/>
              </w:rPr>
            </w:pPr>
          </w:p>
        </w:tc>
        <w:tc>
          <w:tcPr>
            <w:tcW w:w="4900" w:type="dxa"/>
            <w:vAlign w:val="bottom"/>
            <w:tcBorders>
              <w:right w:val="single" w:sz="8" w:color="E5EEF8"/>
            </w:tcBorders>
            <w:gridSpan w:val="5"/>
            <w:shd w:val="clear" w:color="auto" w:fill="E5EEF8"/>
          </w:tcPr>
          <w:p>
            <w:pPr>
              <w:spacing w:after="0"/>
              <w:rPr>
                <w:sz w:val="6"/>
                <w:szCs w:val="6"/>
                <w:color w:val="auto"/>
              </w:rPr>
            </w:pPr>
          </w:p>
        </w:tc>
        <w:tc>
          <w:tcPr>
            <w:tcW w:w="120" w:type="dxa"/>
            <w:vAlign w:val="bottom"/>
            <w:shd w:val="clear" w:color="auto" w:fill="E5EEF8"/>
          </w:tcPr>
          <w:p>
            <w:pPr>
              <w:spacing w:after="0"/>
              <w:rPr>
                <w:sz w:val="6"/>
                <w:szCs w:val="6"/>
                <w:color w:val="auto"/>
              </w:rPr>
            </w:pPr>
          </w:p>
        </w:tc>
        <w:tc>
          <w:tcPr>
            <w:tcW w:w="200" w:type="dxa"/>
            <w:vAlign w:val="bottom"/>
            <w:shd w:val="clear" w:color="auto" w:fill="E5EEF8"/>
          </w:tcPr>
          <w:p>
            <w:pPr>
              <w:spacing w:after="0"/>
              <w:rPr>
                <w:sz w:val="6"/>
                <w:szCs w:val="6"/>
                <w:color w:val="auto"/>
              </w:rPr>
            </w:pPr>
          </w:p>
        </w:tc>
      </w:tr>
      <w:tr>
        <w:trPr>
          <w:trHeight w:val="149"/>
        </w:trPr>
        <w:tc>
          <w:tcPr>
            <w:tcW w:w="8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5020" w:type="dxa"/>
            <w:vAlign w:val="bottom"/>
            <w:gridSpan w:val="6"/>
          </w:tcPr>
          <w:p>
            <w:pPr>
              <w:spacing w:after="0"/>
              <w:rPr>
                <w:sz w:val="12"/>
                <w:szCs w:val="12"/>
                <w:color w:val="auto"/>
              </w:rPr>
            </w:pPr>
          </w:p>
        </w:tc>
        <w:tc>
          <w:tcPr>
            <w:tcW w:w="200" w:type="dxa"/>
            <w:vAlign w:val="bottom"/>
          </w:tcPr>
          <w:p>
            <w:pPr>
              <w:spacing w:after="0"/>
              <w:rPr>
                <w:sz w:val="12"/>
                <w:szCs w:val="12"/>
                <w:color w:val="auto"/>
              </w:rPr>
            </w:pPr>
          </w:p>
        </w:tc>
      </w:tr>
      <w:tr>
        <w:trPr>
          <w:trHeight w:val="291"/>
        </w:trPr>
        <w:tc>
          <w:tcPr>
            <w:tcW w:w="8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900" w:type="dxa"/>
            <w:vAlign w:val="bottom"/>
            <w:tcBorders>
              <w:right w:val="single" w:sz="8" w:color="005CB9"/>
            </w:tcBorders>
            <w:gridSpan w:val="5"/>
          </w:tcPr>
          <w:p>
            <w:pPr>
              <w:ind w:left="1000"/>
              <w:spacing w:after="0"/>
              <w:rPr>
                <w:sz w:val="20"/>
                <w:szCs w:val="20"/>
                <w:color w:val="auto"/>
              </w:rPr>
            </w:pPr>
            <w:r>
              <w:rPr>
                <w:rFonts w:ascii="Arial" w:cs="Arial" w:eastAsia="Arial" w:hAnsi="Arial"/>
                <w:sz w:val="16"/>
                <w:szCs w:val="16"/>
                <w:b w:val="1"/>
                <w:bCs w:val="1"/>
                <w:color w:val="005CB9"/>
              </w:rPr>
              <w:t>Roper Technologies, Inc. 2022 Proxy Statement</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005CB9"/>
              </w:rPr>
              <w:t>47</w:t>
            </w:r>
          </w:p>
        </w:tc>
      </w:tr>
      <w:tr>
        <w:trPr>
          <w:trHeight w:val="101"/>
        </w:trPr>
        <w:tc>
          <w:tcPr>
            <w:tcW w:w="84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Borders>
              <w:right w:val="single" w:sz="8" w:color="005CB9"/>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-7954645</wp:posOffset>
            </wp:positionV>
            <wp:extent cx="28289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2892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-5125720</wp:posOffset>
            </wp:positionV>
            <wp:extent cx="31203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12039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-2510790</wp:posOffset>
            </wp:positionV>
            <wp:extent cx="28886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88861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-205105</wp:posOffset>
            </wp:positionV>
            <wp:extent cx="428625"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J</w:t>
      </w:r>
      <w:r>
        <w:rPr>
          <w:rFonts w:ascii="Arial" w:cs="Arial" w:eastAsia="Arial" w:hAnsi="Arial"/>
          <w:sz w:val="14"/>
          <w:szCs w:val="14"/>
          <w:b w:val="1"/>
          <w:bCs w:val="1"/>
          <w:color w:val="005CB9"/>
        </w:rPr>
        <w:t>ASON</w:t>
      </w:r>
      <w:r>
        <w:rPr>
          <w:rFonts w:ascii="Arial" w:cs="Arial" w:eastAsia="Arial" w:hAnsi="Arial"/>
          <w:sz w:val="18"/>
          <w:szCs w:val="18"/>
          <w:b w:val="1"/>
          <w:bCs w:val="1"/>
          <w:color w:val="005CB9"/>
        </w:rPr>
        <w:t xml:space="preserve"> C</w:t>
      </w:r>
      <w:r>
        <w:rPr>
          <w:rFonts w:ascii="Arial" w:cs="Arial" w:eastAsia="Arial" w:hAnsi="Arial"/>
          <w:sz w:val="14"/>
          <w:szCs w:val="14"/>
          <w:b w:val="1"/>
          <w:bCs w:val="1"/>
          <w:color w:val="005CB9"/>
        </w:rPr>
        <w:t>ONLEY</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40" w:type="dxa"/>
            <w:vAlign w:val="bottom"/>
            <w:shd w:val="clear" w:color="auto" w:fill="005CB9"/>
          </w:tcPr>
          <w:p>
            <w:pPr>
              <w:spacing w:after="0"/>
              <w:rPr>
                <w:sz w:val="15"/>
                <w:szCs w:val="15"/>
                <w:color w:val="auto"/>
              </w:rPr>
            </w:pPr>
          </w:p>
        </w:tc>
        <w:tc>
          <w:tcPr>
            <w:tcW w:w="4240" w:type="dxa"/>
            <w:vAlign w:val="bottom"/>
            <w:shd w:val="clear" w:color="auto" w:fill="005CB9"/>
          </w:tcPr>
          <w:p>
            <w:pPr>
              <w:spacing w:after="0"/>
              <w:rPr>
                <w:sz w:val="15"/>
                <w:szCs w:val="15"/>
                <w:color w:val="auto"/>
              </w:rPr>
            </w:pPr>
          </w:p>
        </w:tc>
        <w:tc>
          <w:tcPr>
            <w:tcW w:w="1960" w:type="dxa"/>
            <w:vAlign w:val="bottom"/>
            <w:shd w:val="clear" w:color="auto" w:fill="005CB9"/>
          </w:tcPr>
          <w:p>
            <w:pPr>
              <w:spacing w:after="0"/>
              <w:rPr>
                <w:sz w:val="15"/>
                <w:szCs w:val="15"/>
                <w:color w:val="auto"/>
              </w:rPr>
            </w:pPr>
          </w:p>
        </w:tc>
        <w:tc>
          <w:tcPr>
            <w:tcW w:w="400" w:type="dxa"/>
            <w:vAlign w:val="bottom"/>
            <w:shd w:val="clear" w:color="auto" w:fill="005CB9"/>
          </w:tcPr>
          <w:p>
            <w:pPr>
              <w:spacing w:after="0"/>
              <w:rPr>
                <w:sz w:val="15"/>
                <w:szCs w:val="15"/>
                <w:color w:val="auto"/>
              </w:rPr>
            </w:pPr>
          </w:p>
        </w:tc>
        <w:tc>
          <w:tcPr>
            <w:tcW w:w="2080" w:type="dxa"/>
            <w:vAlign w:val="bottom"/>
            <w:gridSpan w:val="2"/>
            <w:shd w:val="clear" w:color="auto" w:fill="005CB9"/>
          </w:tcPr>
          <w:p>
            <w:pPr>
              <w:jc w:val="right"/>
              <w:ind w:right="355"/>
              <w:spacing w:after="0"/>
              <w:rPr>
                <w:sz w:val="20"/>
                <w:szCs w:val="20"/>
                <w:color w:val="auto"/>
              </w:rPr>
            </w:pPr>
            <w:r>
              <w:rPr>
                <w:rFonts w:ascii="Arial" w:cs="Arial" w:eastAsia="Arial" w:hAnsi="Arial"/>
                <w:sz w:val="14"/>
                <w:szCs w:val="14"/>
                <w:color w:val="FFFFFF"/>
              </w:rPr>
              <w:t>Termination Scenario</w:t>
            </w:r>
          </w:p>
        </w:tc>
        <w:tc>
          <w:tcPr>
            <w:tcW w:w="540" w:type="dxa"/>
            <w:vAlign w:val="bottom"/>
            <w:shd w:val="clear" w:color="auto" w:fill="005CB9"/>
          </w:tcPr>
          <w:p>
            <w:pPr>
              <w:spacing w:after="0"/>
              <w:rPr>
                <w:sz w:val="15"/>
                <w:szCs w:val="15"/>
                <w:color w:val="auto"/>
              </w:rPr>
            </w:pPr>
          </w:p>
        </w:tc>
        <w:tc>
          <w:tcPr>
            <w:tcW w:w="960" w:type="dxa"/>
            <w:vAlign w:val="bottom"/>
            <w:shd w:val="clear" w:color="auto" w:fill="005CB9"/>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40" w:type="dxa"/>
            <w:vAlign w:val="bottom"/>
            <w:shd w:val="clear" w:color="auto" w:fill="005CB9"/>
          </w:tcPr>
          <w:p>
            <w:pPr>
              <w:spacing w:after="0"/>
              <w:rPr>
                <w:sz w:val="13"/>
                <w:szCs w:val="13"/>
                <w:color w:val="auto"/>
              </w:rPr>
            </w:pPr>
          </w:p>
        </w:tc>
        <w:tc>
          <w:tcPr>
            <w:tcW w:w="4240" w:type="dxa"/>
            <w:vAlign w:val="bottom"/>
            <w:shd w:val="clear" w:color="auto" w:fill="005CB9"/>
          </w:tcPr>
          <w:p>
            <w:pPr>
              <w:spacing w:after="0"/>
              <w:rPr>
                <w:sz w:val="13"/>
                <w:szCs w:val="13"/>
                <w:color w:val="auto"/>
              </w:rPr>
            </w:pPr>
          </w:p>
        </w:tc>
        <w:tc>
          <w:tcPr>
            <w:tcW w:w="2360" w:type="dxa"/>
            <w:vAlign w:val="bottom"/>
            <w:gridSpan w:val="2"/>
            <w:shd w:val="clear" w:color="auto" w:fill="005CB9"/>
          </w:tcPr>
          <w:p>
            <w:pPr>
              <w:jc w:val="right"/>
              <w:ind w:right="195"/>
              <w:spacing w:after="0"/>
              <w:rPr>
                <w:sz w:val="20"/>
                <w:szCs w:val="20"/>
                <w:color w:val="auto"/>
              </w:rPr>
            </w:pPr>
            <w:r>
              <w:rPr>
                <w:rFonts w:ascii="Arial" w:cs="Arial" w:eastAsia="Arial" w:hAnsi="Arial"/>
                <w:sz w:val="14"/>
                <w:szCs w:val="14"/>
                <w:color w:val="FFFFFF"/>
              </w:rPr>
              <w:t>By Employee</w:t>
            </w:r>
          </w:p>
        </w:tc>
        <w:tc>
          <w:tcPr>
            <w:tcW w:w="2080" w:type="dxa"/>
            <w:vAlign w:val="bottom"/>
            <w:gridSpan w:val="2"/>
            <w:shd w:val="clear" w:color="auto" w:fill="005CB9"/>
          </w:tcPr>
          <w:p>
            <w:pPr>
              <w:jc w:val="right"/>
              <w:ind w:right="535"/>
              <w:spacing w:after="0"/>
              <w:rPr>
                <w:sz w:val="20"/>
                <w:szCs w:val="20"/>
                <w:color w:val="auto"/>
              </w:rPr>
            </w:pPr>
            <w:r>
              <w:rPr>
                <w:rFonts w:ascii="Arial" w:cs="Arial" w:eastAsia="Arial" w:hAnsi="Arial"/>
                <w:sz w:val="14"/>
                <w:szCs w:val="14"/>
                <w:color w:val="FFFFFF"/>
              </w:rPr>
              <w:t>By Company</w:t>
            </w:r>
          </w:p>
        </w:tc>
        <w:tc>
          <w:tcPr>
            <w:tcW w:w="540" w:type="dxa"/>
            <w:vAlign w:val="bottom"/>
            <w:shd w:val="clear" w:color="auto" w:fill="005CB9"/>
          </w:tcPr>
          <w:p>
            <w:pPr>
              <w:spacing w:after="0"/>
              <w:rPr>
                <w:sz w:val="13"/>
                <w:szCs w:val="13"/>
                <w:color w:val="auto"/>
              </w:rPr>
            </w:pPr>
          </w:p>
        </w:tc>
        <w:tc>
          <w:tcPr>
            <w:tcW w:w="960" w:type="dxa"/>
            <w:vAlign w:val="bottom"/>
            <w:shd w:val="clear" w:color="auto" w:fill="005CB9"/>
          </w:tcPr>
          <w:p>
            <w:pPr>
              <w:jc w:val="right"/>
              <w:ind w:right="117"/>
              <w:spacing w:after="0"/>
              <w:rPr>
                <w:sz w:val="20"/>
                <w:szCs w:val="20"/>
                <w:color w:val="auto"/>
              </w:rPr>
            </w:pPr>
            <w:r>
              <w:rPr>
                <w:rFonts w:ascii="Arial" w:cs="Arial" w:eastAsia="Arial" w:hAnsi="Arial"/>
                <w:sz w:val="14"/>
                <w:szCs w:val="14"/>
                <w:color w:val="FFFFFF"/>
              </w:rPr>
              <w:t>Change in</w:t>
            </w:r>
          </w:p>
        </w:tc>
        <w:tc>
          <w:tcPr>
            <w:tcW w:w="0" w:type="dxa"/>
            <w:vAlign w:val="bottom"/>
          </w:tcPr>
          <w:p>
            <w:pPr>
              <w:spacing w:after="0"/>
              <w:rPr>
                <w:sz w:val="1"/>
                <w:szCs w:val="1"/>
                <w:color w:val="auto"/>
              </w:rPr>
            </w:pPr>
          </w:p>
        </w:tc>
      </w:tr>
      <w:tr>
        <w:trPr>
          <w:trHeight w:val="204"/>
        </w:trPr>
        <w:tc>
          <w:tcPr>
            <w:tcW w:w="5080" w:type="dxa"/>
            <w:vAlign w:val="bottom"/>
            <w:gridSpan w:val="2"/>
            <w:shd w:val="clear" w:color="auto" w:fill="005CB9"/>
          </w:tcPr>
          <w:p>
            <w:pPr>
              <w:ind w:left="100"/>
              <w:spacing w:after="0"/>
              <w:rPr>
                <w:sz w:val="20"/>
                <w:szCs w:val="20"/>
                <w:color w:val="auto"/>
              </w:rPr>
            </w:pPr>
            <w:r>
              <w:rPr>
                <w:rFonts w:ascii="Arial" w:cs="Arial" w:eastAsia="Arial" w:hAnsi="Arial"/>
                <w:sz w:val="14"/>
                <w:szCs w:val="14"/>
                <w:color w:val="FFFFFF"/>
              </w:rPr>
              <w:t>Potential Payments Upon Termination or Change in Control</w:t>
            </w:r>
          </w:p>
        </w:tc>
        <w:tc>
          <w:tcPr>
            <w:tcW w:w="2360" w:type="dxa"/>
            <w:vAlign w:val="bottom"/>
            <w:gridSpan w:val="2"/>
            <w:shd w:val="clear" w:color="auto" w:fill="005CB9"/>
          </w:tcPr>
          <w:p>
            <w:pPr>
              <w:jc w:val="right"/>
              <w:ind w:right="195"/>
              <w:spacing w:after="0"/>
              <w:rPr>
                <w:sz w:val="20"/>
                <w:szCs w:val="20"/>
                <w:color w:val="auto"/>
              </w:rPr>
            </w:pPr>
            <w:r>
              <w:rPr>
                <w:rFonts w:ascii="Arial" w:cs="Arial" w:eastAsia="Arial" w:hAnsi="Arial"/>
                <w:sz w:val="14"/>
                <w:szCs w:val="14"/>
                <w:color w:val="FFFFFF"/>
              </w:rPr>
              <w:t>For Good Reason</w:t>
            </w:r>
          </w:p>
        </w:tc>
        <w:tc>
          <w:tcPr>
            <w:tcW w:w="2080" w:type="dxa"/>
            <w:vAlign w:val="bottom"/>
            <w:gridSpan w:val="2"/>
            <w:shd w:val="clear" w:color="auto" w:fill="005CB9"/>
          </w:tcPr>
          <w:p>
            <w:pPr>
              <w:jc w:val="right"/>
              <w:ind w:right="535"/>
              <w:spacing w:after="0"/>
              <w:rPr>
                <w:sz w:val="20"/>
                <w:szCs w:val="20"/>
                <w:color w:val="auto"/>
              </w:rPr>
            </w:pPr>
            <w:r>
              <w:rPr>
                <w:rFonts w:ascii="Arial" w:cs="Arial" w:eastAsia="Arial" w:hAnsi="Arial"/>
                <w:sz w:val="14"/>
                <w:szCs w:val="14"/>
                <w:color w:val="FFFFFF"/>
              </w:rPr>
              <w:t>Without Cause</w:t>
            </w:r>
          </w:p>
        </w:tc>
        <w:tc>
          <w:tcPr>
            <w:tcW w:w="540" w:type="dxa"/>
            <w:vAlign w:val="bottom"/>
            <w:shd w:val="clear" w:color="auto" w:fill="005CB9"/>
          </w:tcPr>
          <w:p>
            <w:pPr>
              <w:spacing w:after="0"/>
              <w:rPr>
                <w:sz w:val="17"/>
                <w:szCs w:val="17"/>
                <w:color w:val="auto"/>
              </w:rPr>
            </w:pPr>
          </w:p>
        </w:tc>
        <w:tc>
          <w:tcPr>
            <w:tcW w:w="960" w:type="dxa"/>
            <w:vAlign w:val="bottom"/>
            <w:shd w:val="clear" w:color="auto" w:fill="005CB9"/>
          </w:tcPr>
          <w:p>
            <w:pPr>
              <w:jc w:val="right"/>
              <w:ind w:right="117"/>
              <w:spacing w:after="0"/>
              <w:rPr>
                <w:sz w:val="20"/>
                <w:szCs w:val="20"/>
                <w:color w:val="auto"/>
              </w:rPr>
            </w:pPr>
            <w:r>
              <w:rPr>
                <w:rFonts w:ascii="Arial" w:cs="Arial" w:eastAsia="Arial" w:hAnsi="Arial"/>
                <w:sz w:val="14"/>
                <w:szCs w:val="14"/>
                <w:color w:val="FFFFFF"/>
              </w:rPr>
              <w:t>Control</w:t>
            </w:r>
            <w:r>
              <w:rPr>
                <w:rFonts w:ascii="Arial" w:cs="Arial" w:eastAsia="Arial" w:hAnsi="Arial"/>
                <w:sz w:val="14"/>
                <w:szCs w:val="14"/>
                <w:color w:val="FFFFFF"/>
                <w:vertAlign w:val="superscript"/>
              </w:rPr>
              <w:t>(1)</w:t>
            </w:r>
          </w:p>
        </w:tc>
        <w:tc>
          <w:tcPr>
            <w:tcW w:w="0" w:type="dxa"/>
            <w:vAlign w:val="bottom"/>
          </w:tcPr>
          <w:p>
            <w:pPr>
              <w:spacing w:after="0"/>
              <w:rPr>
                <w:sz w:val="1"/>
                <w:szCs w:val="1"/>
                <w:color w:val="auto"/>
              </w:rPr>
            </w:pPr>
          </w:p>
        </w:tc>
      </w:tr>
      <w:tr>
        <w:trPr>
          <w:trHeight w:val="266"/>
        </w:trPr>
        <w:tc>
          <w:tcPr>
            <w:tcW w:w="5080" w:type="dxa"/>
            <w:vAlign w:val="bottom"/>
            <w:gridSpan w:val="2"/>
            <w:shd w:val="clear" w:color="auto" w:fill="E5EEF8"/>
          </w:tcPr>
          <w:p>
            <w:pPr>
              <w:ind w:left="100"/>
              <w:spacing w:after="0"/>
              <w:rPr>
                <w:sz w:val="20"/>
                <w:szCs w:val="20"/>
                <w:color w:val="auto"/>
              </w:rPr>
            </w:pPr>
            <w:r>
              <w:rPr>
                <w:rFonts w:ascii="Arial" w:cs="Arial" w:eastAsia="Arial" w:hAnsi="Arial"/>
                <w:sz w:val="17"/>
                <w:szCs w:val="17"/>
                <w:color w:val="auto"/>
              </w:rPr>
              <w:t>Cash payments</w:t>
            </w:r>
          </w:p>
        </w:tc>
        <w:tc>
          <w:tcPr>
            <w:tcW w:w="1960" w:type="dxa"/>
            <w:vAlign w:val="bottom"/>
            <w:shd w:val="clear" w:color="auto" w:fill="E5EEF8"/>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E5EEF8"/>
          </w:tcPr>
          <w:p>
            <w:pPr>
              <w:jc w:val="right"/>
              <w:ind w:right="195"/>
              <w:spacing w:after="0"/>
              <w:rPr>
                <w:sz w:val="20"/>
                <w:szCs w:val="20"/>
                <w:color w:val="auto"/>
              </w:rPr>
            </w:pPr>
            <w:r>
              <w:rPr>
                <w:rFonts w:ascii="Arial" w:cs="Arial" w:eastAsia="Arial" w:hAnsi="Arial"/>
                <w:sz w:val="17"/>
                <w:szCs w:val="17"/>
                <w:color w:val="auto"/>
              </w:rPr>
              <w:t>-</w:t>
            </w:r>
          </w:p>
        </w:tc>
        <w:tc>
          <w:tcPr>
            <w:tcW w:w="1360" w:type="dxa"/>
            <w:vAlign w:val="bottom"/>
            <w:shd w:val="clear" w:color="auto" w:fill="E5EEF8"/>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E5EEF8"/>
          </w:tcPr>
          <w:p>
            <w:pPr>
              <w:jc w:val="right"/>
              <w:ind w:right="535"/>
              <w:spacing w:after="0"/>
              <w:rPr>
                <w:sz w:val="20"/>
                <w:szCs w:val="20"/>
                <w:color w:val="auto"/>
              </w:rPr>
            </w:pPr>
            <w:r>
              <w:rPr>
                <w:rFonts w:ascii="Arial" w:cs="Arial" w:eastAsia="Arial" w:hAnsi="Arial"/>
                <w:sz w:val="17"/>
                <w:szCs w:val="17"/>
                <w:color w:val="auto"/>
              </w:rPr>
              <w:t>-</w:t>
            </w:r>
          </w:p>
        </w:tc>
        <w:tc>
          <w:tcPr>
            <w:tcW w:w="540" w:type="dxa"/>
            <w:vAlign w:val="bottom"/>
            <w:shd w:val="clear" w:color="auto" w:fill="E5EEF8"/>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5EEF8"/>
          </w:tcPr>
          <w:p>
            <w:pPr>
              <w:jc w:val="right"/>
              <w:ind w:right="1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72"/>
        </w:trPr>
        <w:tc>
          <w:tcPr>
            <w:tcW w:w="5080" w:type="dxa"/>
            <w:vAlign w:val="bottom"/>
            <w:gridSpan w:val="2"/>
            <w:shd w:val="clear" w:color="auto" w:fill="E5EEF8"/>
          </w:tcPr>
          <w:p>
            <w:pPr>
              <w:spacing w:after="0"/>
              <w:rPr>
                <w:sz w:val="6"/>
                <w:szCs w:val="6"/>
                <w:color w:val="auto"/>
              </w:rPr>
            </w:pPr>
          </w:p>
        </w:tc>
        <w:tc>
          <w:tcPr>
            <w:tcW w:w="1960" w:type="dxa"/>
            <w:vAlign w:val="bottom"/>
            <w:shd w:val="clear" w:color="auto" w:fill="E5EEF8"/>
          </w:tcPr>
          <w:p>
            <w:pPr>
              <w:spacing w:after="0"/>
              <w:rPr>
                <w:sz w:val="6"/>
                <w:szCs w:val="6"/>
                <w:color w:val="auto"/>
              </w:rPr>
            </w:pPr>
          </w:p>
        </w:tc>
        <w:tc>
          <w:tcPr>
            <w:tcW w:w="400" w:type="dxa"/>
            <w:vAlign w:val="bottom"/>
            <w:shd w:val="clear" w:color="auto" w:fill="E5EEF8"/>
          </w:tcPr>
          <w:p>
            <w:pPr>
              <w:spacing w:after="0"/>
              <w:rPr>
                <w:sz w:val="6"/>
                <w:szCs w:val="6"/>
                <w:color w:val="auto"/>
              </w:rPr>
            </w:pPr>
          </w:p>
        </w:tc>
        <w:tc>
          <w:tcPr>
            <w:tcW w:w="1360" w:type="dxa"/>
            <w:vAlign w:val="bottom"/>
            <w:shd w:val="clear" w:color="auto" w:fill="E5EEF8"/>
          </w:tcPr>
          <w:p>
            <w:pPr>
              <w:spacing w:after="0"/>
              <w:rPr>
                <w:sz w:val="6"/>
                <w:szCs w:val="6"/>
                <w:color w:val="auto"/>
              </w:rPr>
            </w:pPr>
          </w:p>
        </w:tc>
        <w:tc>
          <w:tcPr>
            <w:tcW w:w="720" w:type="dxa"/>
            <w:vAlign w:val="bottom"/>
            <w:shd w:val="clear" w:color="auto" w:fill="E5EEF8"/>
          </w:tcPr>
          <w:p>
            <w:pPr>
              <w:spacing w:after="0"/>
              <w:rPr>
                <w:sz w:val="6"/>
                <w:szCs w:val="6"/>
                <w:color w:val="auto"/>
              </w:rPr>
            </w:pPr>
          </w:p>
        </w:tc>
        <w:tc>
          <w:tcPr>
            <w:tcW w:w="540" w:type="dxa"/>
            <w:vAlign w:val="bottom"/>
            <w:shd w:val="clear" w:color="auto" w:fill="E5EEF8"/>
          </w:tcPr>
          <w:p>
            <w:pPr>
              <w:spacing w:after="0"/>
              <w:rPr>
                <w:sz w:val="6"/>
                <w:szCs w:val="6"/>
                <w:color w:val="auto"/>
              </w:rPr>
            </w:pPr>
          </w:p>
        </w:tc>
        <w:tc>
          <w:tcPr>
            <w:tcW w:w="960" w:type="dxa"/>
            <w:vAlign w:val="bottom"/>
            <w:shd w:val="clear" w:color="auto" w:fill="E5EEF8"/>
          </w:tcPr>
          <w:p>
            <w:pPr>
              <w:spacing w:after="0"/>
              <w:rPr>
                <w:sz w:val="6"/>
                <w:szCs w:val="6"/>
                <w:color w:val="auto"/>
              </w:rPr>
            </w:pPr>
          </w:p>
        </w:tc>
        <w:tc>
          <w:tcPr>
            <w:tcW w:w="0" w:type="dxa"/>
            <w:vAlign w:val="bottom"/>
          </w:tcPr>
          <w:p>
            <w:pPr>
              <w:spacing w:after="0"/>
              <w:rPr>
                <w:sz w:val="1"/>
                <w:szCs w:val="1"/>
                <w:color w:val="auto"/>
              </w:rPr>
            </w:pPr>
          </w:p>
        </w:tc>
      </w:tr>
      <w:tr>
        <w:trPr>
          <w:trHeight w:val="338"/>
        </w:trPr>
        <w:tc>
          <w:tcPr>
            <w:tcW w:w="5080" w:type="dxa"/>
            <w:vAlign w:val="bottom"/>
            <w:gridSpan w:val="2"/>
          </w:tcPr>
          <w:p>
            <w:pPr>
              <w:ind w:left="80"/>
              <w:spacing w:after="0"/>
              <w:rPr>
                <w:sz w:val="20"/>
                <w:szCs w:val="20"/>
                <w:color w:val="auto"/>
              </w:rPr>
            </w:pPr>
            <w:r>
              <w:rPr>
                <w:rFonts w:ascii="Arial" w:cs="Arial" w:eastAsia="Arial" w:hAnsi="Arial"/>
                <w:sz w:val="17"/>
                <w:szCs w:val="17"/>
                <w:color w:val="auto"/>
              </w:rPr>
              <w:t>Accelerated Equity Awards</w:t>
            </w:r>
            <w:r>
              <w:rPr>
                <w:rFonts w:ascii="Arial" w:cs="Arial" w:eastAsia="Arial" w:hAnsi="Arial"/>
                <w:sz w:val="29"/>
                <w:szCs w:val="29"/>
                <w:color w:val="auto"/>
                <w:vertAlign w:val="superscript"/>
              </w:rPr>
              <w:t>(3)(4)</w:t>
            </w:r>
          </w:p>
        </w:tc>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shd w:val="clear" w:color="auto" w:fill="E5EEF8"/>
          </w:tcPr>
          <w:p>
            <w:pPr>
              <w:jc w:val="right"/>
              <w:spacing w:after="0"/>
              <w:rPr>
                <w:sz w:val="20"/>
                <w:szCs w:val="20"/>
                <w:color w:val="auto"/>
              </w:rPr>
            </w:pPr>
            <w:r>
              <w:rPr>
                <w:rFonts w:ascii="Arial" w:cs="Arial" w:eastAsia="Arial" w:hAnsi="Arial"/>
                <w:sz w:val="17"/>
                <w:szCs w:val="17"/>
                <w:color w:val="auto"/>
              </w:rPr>
              <w:t>2019</w:t>
            </w:r>
          </w:p>
        </w:tc>
        <w:tc>
          <w:tcPr>
            <w:tcW w:w="4240" w:type="dxa"/>
            <w:vAlign w:val="bottom"/>
            <w:shd w:val="clear" w:color="auto" w:fill="E5EEF8"/>
          </w:tcPr>
          <w:p>
            <w:pPr>
              <w:ind w:left="20"/>
              <w:spacing w:after="0"/>
              <w:rPr>
                <w:sz w:val="20"/>
                <w:szCs w:val="20"/>
                <w:color w:val="auto"/>
              </w:rPr>
            </w:pPr>
            <w:r>
              <w:rPr>
                <w:rFonts w:ascii="Arial" w:cs="Arial" w:eastAsia="Arial" w:hAnsi="Arial"/>
                <w:sz w:val="17"/>
                <w:szCs w:val="17"/>
                <w:color w:val="auto"/>
              </w:rPr>
              <w:t>Stock Option Grant</w:t>
            </w:r>
          </w:p>
        </w:tc>
        <w:tc>
          <w:tcPr>
            <w:tcW w:w="1960" w:type="dxa"/>
            <w:vAlign w:val="bottom"/>
            <w:shd w:val="clear" w:color="auto" w:fill="E5EEF8"/>
          </w:tcPr>
          <w:p>
            <w:pPr>
              <w:spacing w:after="0"/>
              <w:rPr>
                <w:sz w:val="23"/>
                <w:szCs w:val="23"/>
                <w:color w:val="auto"/>
              </w:rPr>
            </w:pPr>
          </w:p>
        </w:tc>
        <w:tc>
          <w:tcPr>
            <w:tcW w:w="400" w:type="dxa"/>
            <w:vAlign w:val="bottom"/>
            <w:shd w:val="clear" w:color="auto" w:fill="E5EEF8"/>
          </w:tcPr>
          <w:p>
            <w:pPr>
              <w:jc w:val="right"/>
              <w:ind w:right="195"/>
              <w:spacing w:after="0"/>
              <w:rPr>
                <w:sz w:val="20"/>
                <w:szCs w:val="20"/>
                <w:color w:val="auto"/>
              </w:rPr>
            </w:pPr>
            <w:r>
              <w:rPr>
                <w:rFonts w:ascii="Arial" w:cs="Arial" w:eastAsia="Arial" w:hAnsi="Arial"/>
                <w:sz w:val="17"/>
                <w:szCs w:val="17"/>
                <w:color w:val="auto"/>
              </w:rPr>
              <w:t>-</w:t>
            </w:r>
          </w:p>
        </w:tc>
        <w:tc>
          <w:tcPr>
            <w:tcW w:w="1360" w:type="dxa"/>
            <w:vAlign w:val="bottom"/>
            <w:shd w:val="clear" w:color="auto" w:fill="E5EEF8"/>
          </w:tcPr>
          <w:p>
            <w:pPr>
              <w:spacing w:after="0"/>
              <w:rPr>
                <w:sz w:val="23"/>
                <w:szCs w:val="23"/>
                <w:color w:val="auto"/>
              </w:rPr>
            </w:pPr>
          </w:p>
        </w:tc>
        <w:tc>
          <w:tcPr>
            <w:tcW w:w="720" w:type="dxa"/>
            <w:vAlign w:val="bottom"/>
            <w:shd w:val="clear" w:color="auto" w:fill="E5EEF8"/>
          </w:tcPr>
          <w:p>
            <w:pPr>
              <w:jc w:val="right"/>
              <w:ind w:right="535"/>
              <w:spacing w:after="0"/>
              <w:rPr>
                <w:sz w:val="20"/>
                <w:szCs w:val="20"/>
                <w:color w:val="auto"/>
              </w:rPr>
            </w:pPr>
            <w:r>
              <w:rPr>
                <w:rFonts w:ascii="Arial" w:cs="Arial" w:eastAsia="Arial" w:hAnsi="Arial"/>
                <w:sz w:val="17"/>
                <w:szCs w:val="17"/>
                <w:color w:val="auto"/>
              </w:rPr>
              <w:t>-</w:t>
            </w:r>
          </w:p>
        </w:tc>
        <w:tc>
          <w:tcPr>
            <w:tcW w:w="540" w:type="dxa"/>
            <w:vAlign w:val="bottom"/>
            <w:shd w:val="clear" w:color="auto" w:fill="E5EEF8"/>
          </w:tcPr>
          <w:p>
            <w:pPr>
              <w:spacing w:after="0"/>
              <w:rPr>
                <w:sz w:val="23"/>
                <w:szCs w:val="23"/>
                <w:color w:val="auto"/>
              </w:rPr>
            </w:pPr>
          </w:p>
        </w:tc>
        <w:tc>
          <w:tcPr>
            <w:tcW w:w="960" w:type="dxa"/>
            <w:vAlign w:val="bottom"/>
            <w:shd w:val="clear" w:color="auto" w:fill="E5EEF8"/>
          </w:tcPr>
          <w:p>
            <w:pPr>
              <w:jc w:val="right"/>
              <w:ind w:right="117"/>
              <w:spacing w:after="0"/>
              <w:rPr>
                <w:sz w:val="20"/>
                <w:szCs w:val="20"/>
                <w:color w:val="auto"/>
              </w:rPr>
            </w:pPr>
            <w:r>
              <w:rPr>
                <w:rFonts w:ascii="Arial" w:cs="Arial" w:eastAsia="Arial" w:hAnsi="Arial"/>
                <w:sz w:val="17"/>
                <w:szCs w:val="17"/>
                <w:color w:val="auto"/>
                <w:w w:val="97"/>
              </w:rPr>
              <w:t>1,584,154</w:t>
            </w:r>
          </w:p>
        </w:tc>
        <w:tc>
          <w:tcPr>
            <w:tcW w:w="0" w:type="dxa"/>
            <w:vAlign w:val="bottom"/>
          </w:tcPr>
          <w:p>
            <w:pPr>
              <w:spacing w:after="0"/>
              <w:rPr>
                <w:sz w:val="1"/>
                <w:szCs w:val="1"/>
                <w:color w:val="auto"/>
              </w:rPr>
            </w:pPr>
          </w:p>
        </w:tc>
      </w:tr>
      <w:tr>
        <w:trPr>
          <w:trHeight w:val="72"/>
        </w:trPr>
        <w:tc>
          <w:tcPr>
            <w:tcW w:w="840" w:type="dxa"/>
            <w:vAlign w:val="bottom"/>
            <w:shd w:val="clear" w:color="auto" w:fill="E5EEF8"/>
          </w:tcPr>
          <w:p>
            <w:pPr>
              <w:spacing w:after="0"/>
              <w:rPr>
                <w:sz w:val="6"/>
                <w:szCs w:val="6"/>
                <w:color w:val="auto"/>
              </w:rPr>
            </w:pPr>
          </w:p>
        </w:tc>
        <w:tc>
          <w:tcPr>
            <w:tcW w:w="4240" w:type="dxa"/>
            <w:vAlign w:val="bottom"/>
            <w:shd w:val="clear" w:color="auto" w:fill="E5EEF8"/>
          </w:tcPr>
          <w:p>
            <w:pPr>
              <w:spacing w:after="0"/>
              <w:rPr>
                <w:sz w:val="6"/>
                <w:szCs w:val="6"/>
                <w:color w:val="auto"/>
              </w:rPr>
            </w:pPr>
          </w:p>
        </w:tc>
        <w:tc>
          <w:tcPr>
            <w:tcW w:w="1960" w:type="dxa"/>
            <w:vAlign w:val="bottom"/>
            <w:shd w:val="clear" w:color="auto" w:fill="E5EEF8"/>
          </w:tcPr>
          <w:p>
            <w:pPr>
              <w:spacing w:after="0"/>
              <w:rPr>
                <w:sz w:val="6"/>
                <w:szCs w:val="6"/>
                <w:color w:val="auto"/>
              </w:rPr>
            </w:pPr>
          </w:p>
        </w:tc>
        <w:tc>
          <w:tcPr>
            <w:tcW w:w="400" w:type="dxa"/>
            <w:vAlign w:val="bottom"/>
            <w:shd w:val="clear" w:color="auto" w:fill="E5EEF8"/>
          </w:tcPr>
          <w:p>
            <w:pPr>
              <w:spacing w:after="0"/>
              <w:rPr>
                <w:sz w:val="6"/>
                <w:szCs w:val="6"/>
                <w:color w:val="auto"/>
              </w:rPr>
            </w:pPr>
          </w:p>
        </w:tc>
        <w:tc>
          <w:tcPr>
            <w:tcW w:w="1360" w:type="dxa"/>
            <w:vAlign w:val="bottom"/>
            <w:shd w:val="clear" w:color="auto" w:fill="E5EEF8"/>
          </w:tcPr>
          <w:p>
            <w:pPr>
              <w:spacing w:after="0"/>
              <w:rPr>
                <w:sz w:val="6"/>
                <w:szCs w:val="6"/>
                <w:color w:val="auto"/>
              </w:rPr>
            </w:pPr>
          </w:p>
        </w:tc>
        <w:tc>
          <w:tcPr>
            <w:tcW w:w="720" w:type="dxa"/>
            <w:vAlign w:val="bottom"/>
            <w:shd w:val="clear" w:color="auto" w:fill="E5EEF8"/>
          </w:tcPr>
          <w:p>
            <w:pPr>
              <w:spacing w:after="0"/>
              <w:rPr>
                <w:sz w:val="6"/>
                <w:szCs w:val="6"/>
                <w:color w:val="auto"/>
              </w:rPr>
            </w:pPr>
          </w:p>
        </w:tc>
        <w:tc>
          <w:tcPr>
            <w:tcW w:w="540" w:type="dxa"/>
            <w:vAlign w:val="bottom"/>
            <w:shd w:val="clear" w:color="auto" w:fill="E5EEF8"/>
          </w:tcPr>
          <w:p>
            <w:pPr>
              <w:spacing w:after="0"/>
              <w:rPr>
                <w:sz w:val="6"/>
                <w:szCs w:val="6"/>
                <w:color w:val="auto"/>
              </w:rPr>
            </w:pPr>
          </w:p>
        </w:tc>
        <w:tc>
          <w:tcPr>
            <w:tcW w:w="960" w:type="dxa"/>
            <w:vAlign w:val="bottom"/>
            <w:shd w:val="clear" w:color="auto" w:fill="E5EEF8"/>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840" w:type="dxa"/>
            <w:vAlign w:val="bottom"/>
          </w:tcPr>
          <w:p>
            <w:pPr>
              <w:jc w:val="right"/>
              <w:spacing w:after="0"/>
              <w:rPr>
                <w:sz w:val="20"/>
                <w:szCs w:val="20"/>
                <w:color w:val="auto"/>
              </w:rPr>
            </w:pPr>
            <w:r>
              <w:rPr>
                <w:rFonts w:ascii="Arial" w:cs="Arial" w:eastAsia="Arial" w:hAnsi="Arial"/>
                <w:sz w:val="17"/>
                <w:szCs w:val="17"/>
                <w:color w:val="auto"/>
              </w:rPr>
              <w:t>2020</w:t>
            </w:r>
          </w:p>
        </w:tc>
        <w:tc>
          <w:tcPr>
            <w:tcW w:w="4240" w:type="dxa"/>
            <w:vAlign w:val="bottom"/>
          </w:tcPr>
          <w:p>
            <w:pPr>
              <w:ind w:left="20"/>
              <w:spacing w:after="0"/>
              <w:rPr>
                <w:sz w:val="20"/>
                <w:szCs w:val="20"/>
                <w:color w:val="auto"/>
              </w:rPr>
            </w:pPr>
            <w:r>
              <w:rPr>
                <w:rFonts w:ascii="Arial" w:cs="Arial" w:eastAsia="Arial" w:hAnsi="Arial"/>
                <w:sz w:val="17"/>
                <w:szCs w:val="17"/>
                <w:color w:val="auto"/>
              </w:rPr>
              <w:t>Stock Option Grant</w:t>
            </w:r>
          </w:p>
        </w:tc>
        <w:tc>
          <w:tcPr>
            <w:tcW w:w="1960" w:type="dxa"/>
            <w:vAlign w:val="bottom"/>
          </w:tcPr>
          <w:p>
            <w:pPr>
              <w:spacing w:after="0"/>
              <w:rPr>
                <w:sz w:val="23"/>
                <w:szCs w:val="23"/>
                <w:color w:val="auto"/>
              </w:rPr>
            </w:pPr>
          </w:p>
        </w:tc>
        <w:tc>
          <w:tcPr>
            <w:tcW w:w="4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360" w:type="dxa"/>
            <w:vAlign w:val="bottom"/>
          </w:tcPr>
          <w:p>
            <w:pPr>
              <w:spacing w:after="0"/>
              <w:rPr>
                <w:sz w:val="23"/>
                <w:szCs w:val="23"/>
                <w:color w:val="auto"/>
              </w:rPr>
            </w:pPr>
          </w:p>
        </w:tc>
        <w:tc>
          <w:tcPr>
            <w:tcW w:w="720" w:type="dxa"/>
            <w:vAlign w:val="bottom"/>
          </w:tcPr>
          <w:p>
            <w:pPr>
              <w:jc w:val="right"/>
              <w:ind w:right="535"/>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3"/>
                <w:szCs w:val="23"/>
                <w:color w:val="auto"/>
              </w:rPr>
            </w:pPr>
          </w:p>
        </w:tc>
        <w:tc>
          <w:tcPr>
            <w:tcW w:w="960" w:type="dxa"/>
            <w:vAlign w:val="bottom"/>
          </w:tcPr>
          <w:p>
            <w:pPr>
              <w:jc w:val="right"/>
              <w:ind w:right="117"/>
              <w:spacing w:after="0"/>
              <w:rPr>
                <w:sz w:val="20"/>
                <w:szCs w:val="20"/>
                <w:color w:val="auto"/>
              </w:rPr>
            </w:pPr>
            <w:r>
              <w:rPr>
                <w:rFonts w:ascii="Arial" w:cs="Arial" w:eastAsia="Arial" w:hAnsi="Arial"/>
                <w:sz w:val="17"/>
                <w:szCs w:val="17"/>
                <w:color w:val="auto"/>
                <w:w w:val="97"/>
              </w:rPr>
              <w:t>1,321,162</w:t>
            </w:r>
          </w:p>
        </w:tc>
        <w:tc>
          <w:tcPr>
            <w:tcW w:w="0" w:type="dxa"/>
            <w:vAlign w:val="bottom"/>
          </w:tcPr>
          <w:p>
            <w:pPr>
              <w:spacing w:after="0"/>
              <w:rPr>
                <w:sz w:val="1"/>
                <w:szCs w:val="1"/>
                <w:color w:val="auto"/>
              </w:rPr>
            </w:pPr>
          </w:p>
        </w:tc>
      </w:tr>
      <w:tr>
        <w:trPr>
          <w:trHeight w:val="72"/>
        </w:trPr>
        <w:tc>
          <w:tcPr>
            <w:tcW w:w="840" w:type="dxa"/>
            <w:vAlign w:val="bottom"/>
          </w:tcPr>
          <w:p>
            <w:pPr>
              <w:spacing w:after="0"/>
              <w:rPr>
                <w:sz w:val="6"/>
                <w:szCs w:val="6"/>
                <w:color w:val="auto"/>
              </w:rPr>
            </w:pPr>
          </w:p>
        </w:tc>
        <w:tc>
          <w:tcPr>
            <w:tcW w:w="42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840" w:type="dxa"/>
            <w:vAlign w:val="bottom"/>
            <w:shd w:val="clear" w:color="auto" w:fill="E5EEF8"/>
          </w:tcPr>
          <w:p>
            <w:pPr>
              <w:jc w:val="right"/>
              <w:spacing w:after="0"/>
              <w:rPr>
                <w:sz w:val="20"/>
                <w:szCs w:val="20"/>
                <w:color w:val="auto"/>
              </w:rPr>
            </w:pPr>
            <w:r>
              <w:rPr>
                <w:rFonts w:ascii="Arial" w:cs="Arial" w:eastAsia="Arial" w:hAnsi="Arial"/>
                <w:sz w:val="17"/>
                <w:szCs w:val="17"/>
                <w:color w:val="auto"/>
              </w:rPr>
              <w:t>2021</w:t>
            </w:r>
          </w:p>
        </w:tc>
        <w:tc>
          <w:tcPr>
            <w:tcW w:w="4240" w:type="dxa"/>
            <w:vAlign w:val="bottom"/>
            <w:shd w:val="clear" w:color="auto" w:fill="E5EEF8"/>
          </w:tcPr>
          <w:p>
            <w:pPr>
              <w:ind w:left="20"/>
              <w:spacing w:after="0"/>
              <w:rPr>
                <w:sz w:val="20"/>
                <w:szCs w:val="20"/>
                <w:color w:val="auto"/>
              </w:rPr>
            </w:pPr>
            <w:r>
              <w:rPr>
                <w:rFonts w:ascii="Arial" w:cs="Arial" w:eastAsia="Arial" w:hAnsi="Arial"/>
                <w:sz w:val="17"/>
                <w:szCs w:val="17"/>
                <w:color w:val="auto"/>
              </w:rPr>
              <w:t>Stock Option Grant</w:t>
            </w:r>
          </w:p>
        </w:tc>
        <w:tc>
          <w:tcPr>
            <w:tcW w:w="1960" w:type="dxa"/>
            <w:vAlign w:val="bottom"/>
            <w:shd w:val="clear" w:color="auto" w:fill="E5EEF8"/>
          </w:tcPr>
          <w:p>
            <w:pPr>
              <w:spacing w:after="0"/>
              <w:rPr>
                <w:sz w:val="23"/>
                <w:szCs w:val="23"/>
                <w:color w:val="auto"/>
              </w:rPr>
            </w:pPr>
          </w:p>
        </w:tc>
        <w:tc>
          <w:tcPr>
            <w:tcW w:w="400" w:type="dxa"/>
            <w:vAlign w:val="bottom"/>
            <w:shd w:val="clear" w:color="auto" w:fill="E5EEF8"/>
          </w:tcPr>
          <w:p>
            <w:pPr>
              <w:jc w:val="right"/>
              <w:ind w:right="195"/>
              <w:spacing w:after="0"/>
              <w:rPr>
                <w:sz w:val="20"/>
                <w:szCs w:val="20"/>
                <w:color w:val="auto"/>
              </w:rPr>
            </w:pPr>
            <w:r>
              <w:rPr>
                <w:rFonts w:ascii="Arial" w:cs="Arial" w:eastAsia="Arial" w:hAnsi="Arial"/>
                <w:sz w:val="17"/>
                <w:szCs w:val="17"/>
                <w:color w:val="auto"/>
              </w:rPr>
              <w:t>-</w:t>
            </w:r>
          </w:p>
        </w:tc>
        <w:tc>
          <w:tcPr>
            <w:tcW w:w="1360" w:type="dxa"/>
            <w:vAlign w:val="bottom"/>
            <w:shd w:val="clear" w:color="auto" w:fill="E5EEF8"/>
          </w:tcPr>
          <w:p>
            <w:pPr>
              <w:spacing w:after="0"/>
              <w:rPr>
                <w:sz w:val="23"/>
                <w:szCs w:val="23"/>
                <w:color w:val="auto"/>
              </w:rPr>
            </w:pPr>
          </w:p>
        </w:tc>
        <w:tc>
          <w:tcPr>
            <w:tcW w:w="720" w:type="dxa"/>
            <w:vAlign w:val="bottom"/>
            <w:shd w:val="clear" w:color="auto" w:fill="E5EEF8"/>
          </w:tcPr>
          <w:p>
            <w:pPr>
              <w:jc w:val="right"/>
              <w:ind w:right="535"/>
              <w:spacing w:after="0"/>
              <w:rPr>
                <w:sz w:val="20"/>
                <w:szCs w:val="20"/>
                <w:color w:val="auto"/>
              </w:rPr>
            </w:pPr>
            <w:r>
              <w:rPr>
                <w:rFonts w:ascii="Arial" w:cs="Arial" w:eastAsia="Arial" w:hAnsi="Arial"/>
                <w:sz w:val="17"/>
                <w:szCs w:val="17"/>
                <w:color w:val="auto"/>
              </w:rPr>
              <w:t>-</w:t>
            </w:r>
          </w:p>
        </w:tc>
        <w:tc>
          <w:tcPr>
            <w:tcW w:w="540" w:type="dxa"/>
            <w:vAlign w:val="bottom"/>
            <w:shd w:val="clear" w:color="auto" w:fill="E5EEF8"/>
          </w:tcPr>
          <w:p>
            <w:pPr>
              <w:spacing w:after="0"/>
              <w:rPr>
                <w:sz w:val="23"/>
                <w:szCs w:val="23"/>
                <w:color w:val="auto"/>
              </w:rPr>
            </w:pPr>
          </w:p>
        </w:tc>
        <w:tc>
          <w:tcPr>
            <w:tcW w:w="960" w:type="dxa"/>
            <w:vAlign w:val="bottom"/>
            <w:shd w:val="clear" w:color="auto" w:fill="E5EEF8"/>
          </w:tcPr>
          <w:p>
            <w:pPr>
              <w:jc w:val="right"/>
              <w:ind w:right="117"/>
              <w:spacing w:after="0"/>
              <w:rPr>
                <w:sz w:val="20"/>
                <w:szCs w:val="20"/>
                <w:color w:val="auto"/>
              </w:rPr>
            </w:pPr>
            <w:r>
              <w:rPr>
                <w:rFonts w:ascii="Arial" w:cs="Arial" w:eastAsia="Arial" w:hAnsi="Arial"/>
                <w:sz w:val="17"/>
                <w:szCs w:val="17"/>
                <w:color w:val="auto"/>
              </w:rPr>
              <w:t>717,127</w:t>
            </w:r>
          </w:p>
        </w:tc>
        <w:tc>
          <w:tcPr>
            <w:tcW w:w="0" w:type="dxa"/>
            <w:vAlign w:val="bottom"/>
          </w:tcPr>
          <w:p>
            <w:pPr>
              <w:spacing w:after="0"/>
              <w:rPr>
                <w:sz w:val="1"/>
                <w:szCs w:val="1"/>
                <w:color w:val="auto"/>
              </w:rPr>
            </w:pPr>
          </w:p>
        </w:tc>
      </w:tr>
      <w:tr>
        <w:trPr>
          <w:trHeight w:val="72"/>
        </w:trPr>
        <w:tc>
          <w:tcPr>
            <w:tcW w:w="840" w:type="dxa"/>
            <w:vAlign w:val="bottom"/>
            <w:shd w:val="clear" w:color="auto" w:fill="E5EEF8"/>
          </w:tcPr>
          <w:p>
            <w:pPr>
              <w:spacing w:after="0"/>
              <w:rPr>
                <w:sz w:val="6"/>
                <w:szCs w:val="6"/>
                <w:color w:val="auto"/>
              </w:rPr>
            </w:pPr>
          </w:p>
        </w:tc>
        <w:tc>
          <w:tcPr>
            <w:tcW w:w="4240" w:type="dxa"/>
            <w:vAlign w:val="bottom"/>
            <w:shd w:val="clear" w:color="auto" w:fill="E5EEF8"/>
          </w:tcPr>
          <w:p>
            <w:pPr>
              <w:spacing w:after="0"/>
              <w:rPr>
                <w:sz w:val="6"/>
                <w:szCs w:val="6"/>
                <w:color w:val="auto"/>
              </w:rPr>
            </w:pPr>
          </w:p>
        </w:tc>
        <w:tc>
          <w:tcPr>
            <w:tcW w:w="1960" w:type="dxa"/>
            <w:vAlign w:val="bottom"/>
            <w:shd w:val="clear" w:color="auto" w:fill="E5EEF8"/>
          </w:tcPr>
          <w:p>
            <w:pPr>
              <w:spacing w:after="0"/>
              <w:rPr>
                <w:sz w:val="6"/>
                <w:szCs w:val="6"/>
                <w:color w:val="auto"/>
              </w:rPr>
            </w:pPr>
          </w:p>
        </w:tc>
        <w:tc>
          <w:tcPr>
            <w:tcW w:w="400" w:type="dxa"/>
            <w:vAlign w:val="bottom"/>
            <w:shd w:val="clear" w:color="auto" w:fill="E5EEF8"/>
          </w:tcPr>
          <w:p>
            <w:pPr>
              <w:spacing w:after="0"/>
              <w:rPr>
                <w:sz w:val="6"/>
                <w:szCs w:val="6"/>
                <w:color w:val="auto"/>
              </w:rPr>
            </w:pPr>
          </w:p>
        </w:tc>
        <w:tc>
          <w:tcPr>
            <w:tcW w:w="1360" w:type="dxa"/>
            <w:vAlign w:val="bottom"/>
            <w:shd w:val="clear" w:color="auto" w:fill="E5EEF8"/>
          </w:tcPr>
          <w:p>
            <w:pPr>
              <w:spacing w:after="0"/>
              <w:rPr>
                <w:sz w:val="6"/>
                <w:szCs w:val="6"/>
                <w:color w:val="auto"/>
              </w:rPr>
            </w:pPr>
          </w:p>
        </w:tc>
        <w:tc>
          <w:tcPr>
            <w:tcW w:w="720" w:type="dxa"/>
            <w:vAlign w:val="bottom"/>
            <w:shd w:val="clear" w:color="auto" w:fill="E5EEF8"/>
          </w:tcPr>
          <w:p>
            <w:pPr>
              <w:spacing w:after="0"/>
              <w:rPr>
                <w:sz w:val="6"/>
                <w:szCs w:val="6"/>
                <w:color w:val="auto"/>
              </w:rPr>
            </w:pPr>
          </w:p>
        </w:tc>
        <w:tc>
          <w:tcPr>
            <w:tcW w:w="540" w:type="dxa"/>
            <w:vAlign w:val="bottom"/>
            <w:shd w:val="clear" w:color="auto" w:fill="E5EEF8"/>
          </w:tcPr>
          <w:p>
            <w:pPr>
              <w:spacing w:after="0"/>
              <w:rPr>
                <w:sz w:val="6"/>
                <w:szCs w:val="6"/>
                <w:color w:val="auto"/>
              </w:rPr>
            </w:pPr>
          </w:p>
        </w:tc>
        <w:tc>
          <w:tcPr>
            <w:tcW w:w="960" w:type="dxa"/>
            <w:vAlign w:val="bottom"/>
            <w:shd w:val="clear" w:color="auto" w:fill="E5EEF8"/>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840" w:type="dxa"/>
            <w:vAlign w:val="bottom"/>
          </w:tcPr>
          <w:p>
            <w:pPr>
              <w:jc w:val="right"/>
              <w:spacing w:after="0"/>
              <w:rPr>
                <w:sz w:val="20"/>
                <w:szCs w:val="20"/>
                <w:color w:val="auto"/>
              </w:rPr>
            </w:pPr>
            <w:r>
              <w:rPr>
                <w:rFonts w:ascii="Arial" w:cs="Arial" w:eastAsia="Arial" w:hAnsi="Arial"/>
                <w:sz w:val="17"/>
                <w:szCs w:val="17"/>
                <w:color w:val="auto"/>
              </w:rPr>
              <w:t>2020</w:t>
            </w:r>
          </w:p>
        </w:tc>
        <w:tc>
          <w:tcPr>
            <w:tcW w:w="4240" w:type="dxa"/>
            <w:vAlign w:val="bottom"/>
          </w:tcPr>
          <w:p>
            <w:pPr>
              <w:ind w:left="20"/>
              <w:spacing w:after="0"/>
              <w:rPr>
                <w:sz w:val="20"/>
                <w:szCs w:val="20"/>
                <w:color w:val="auto"/>
              </w:rPr>
            </w:pPr>
            <w:r>
              <w:rPr>
                <w:rFonts w:ascii="Arial" w:cs="Arial" w:eastAsia="Arial" w:hAnsi="Arial"/>
                <w:sz w:val="17"/>
                <w:szCs w:val="17"/>
                <w:color w:val="auto"/>
              </w:rPr>
              <w:t>Restricted Stock Grant</w:t>
            </w:r>
          </w:p>
        </w:tc>
        <w:tc>
          <w:tcPr>
            <w:tcW w:w="1960" w:type="dxa"/>
            <w:vAlign w:val="bottom"/>
          </w:tcPr>
          <w:p>
            <w:pPr>
              <w:spacing w:after="0"/>
              <w:rPr>
                <w:sz w:val="23"/>
                <w:szCs w:val="23"/>
                <w:color w:val="auto"/>
              </w:rPr>
            </w:pPr>
          </w:p>
        </w:tc>
        <w:tc>
          <w:tcPr>
            <w:tcW w:w="4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360" w:type="dxa"/>
            <w:vAlign w:val="bottom"/>
          </w:tcPr>
          <w:p>
            <w:pPr>
              <w:spacing w:after="0"/>
              <w:rPr>
                <w:sz w:val="23"/>
                <w:szCs w:val="23"/>
                <w:color w:val="auto"/>
              </w:rPr>
            </w:pPr>
          </w:p>
        </w:tc>
        <w:tc>
          <w:tcPr>
            <w:tcW w:w="720" w:type="dxa"/>
            <w:vAlign w:val="bottom"/>
          </w:tcPr>
          <w:p>
            <w:pPr>
              <w:jc w:val="right"/>
              <w:ind w:right="535"/>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3"/>
                <w:szCs w:val="23"/>
                <w:color w:val="auto"/>
              </w:rPr>
            </w:pPr>
          </w:p>
        </w:tc>
        <w:tc>
          <w:tcPr>
            <w:tcW w:w="960" w:type="dxa"/>
            <w:vAlign w:val="bottom"/>
          </w:tcPr>
          <w:p>
            <w:pPr>
              <w:jc w:val="right"/>
              <w:ind w:right="117"/>
              <w:spacing w:after="0"/>
              <w:rPr>
                <w:sz w:val="20"/>
                <w:szCs w:val="20"/>
                <w:color w:val="auto"/>
              </w:rPr>
            </w:pPr>
            <w:r>
              <w:rPr>
                <w:rFonts w:ascii="Arial" w:cs="Arial" w:eastAsia="Arial" w:hAnsi="Arial"/>
                <w:sz w:val="17"/>
                <w:szCs w:val="17"/>
                <w:color w:val="auto"/>
                <w:w w:val="97"/>
              </w:rPr>
              <w:t>1,626,581</w:t>
            </w:r>
          </w:p>
        </w:tc>
        <w:tc>
          <w:tcPr>
            <w:tcW w:w="0" w:type="dxa"/>
            <w:vAlign w:val="bottom"/>
          </w:tcPr>
          <w:p>
            <w:pPr>
              <w:spacing w:after="0"/>
              <w:rPr>
                <w:sz w:val="1"/>
                <w:szCs w:val="1"/>
                <w:color w:val="auto"/>
              </w:rPr>
            </w:pPr>
          </w:p>
        </w:tc>
      </w:tr>
      <w:tr>
        <w:trPr>
          <w:trHeight w:val="72"/>
        </w:trPr>
        <w:tc>
          <w:tcPr>
            <w:tcW w:w="840" w:type="dxa"/>
            <w:vAlign w:val="bottom"/>
          </w:tcPr>
          <w:p>
            <w:pPr>
              <w:spacing w:after="0"/>
              <w:rPr>
                <w:sz w:val="6"/>
                <w:szCs w:val="6"/>
                <w:color w:val="auto"/>
              </w:rPr>
            </w:pPr>
          </w:p>
        </w:tc>
        <w:tc>
          <w:tcPr>
            <w:tcW w:w="42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840" w:type="dxa"/>
            <w:vAlign w:val="bottom"/>
            <w:shd w:val="clear" w:color="auto" w:fill="E5EEF8"/>
          </w:tcPr>
          <w:p>
            <w:pPr>
              <w:jc w:val="right"/>
              <w:spacing w:after="0"/>
              <w:rPr>
                <w:sz w:val="20"/>
                <w:szCs w:val="20"/>
                <w:color w:val="auto"/>
              </w:rPr>
            </w:pPr>
            <w:r>
              <w:rPr>
                <w:rFonts w:ascii="Arial" w:cs="Arial" w:eastAsia="Arial" w:hAnsi="Arial"/>
                <w:sz w:val="17"/>
                <w:szCs w:val="17"/>
                <w:color w:val="auto"/>
              </w:rPr>
              <w:t>2021</w:t>
            </w:r>
          </w:p>
        </w:tc>
        <w:tc>
          <w:tcPr>
            <w:tcW w:w="4240" w:type="dxa"/>
            <w:vAlign w:val="bottom"/>
            <w:shd w:val="clear" w:color="auto" w:fill="E5EEF8"/>
          </w:tcPr>
          <w:p>
            <w:pPr>
              <w:ind w:left="20"/>
              <w:spacing w:after="0"/>
              <w:rPr>
                <w:sz w:val="20"/>
                <w:szCs w:val="20"/>
                <w:color w:val="auto"/>
              </w:rPr>
            </w:pPr>
            <w:r>
              <w:rPr>
                <w:rFonts w:ascii="Arial" w:cs="Arial" w:eastAsia="Arial" w:hAnsi="Arial"/>
                <w:sz w:val="17"/>
                <w:szCs w:val="17"/>
                <w:color w:val="auto"/>
              </w:rPr>
              <w:t>Restricted Stock Grant</w:t>
            </w:r>
          </w:p>
        </w:tc>
        <w:tc>
          <w:tcPr>
            <w:tcW w:w="1960" w:type="dxa"/>
            <w:vAlign w:val="bottom"/>
            <w:shd w:val="clear" w:color="auto" w:fill="E5EEF8"/>
          </w:tcPr>
          <w:p>
            <w:pPr>
              <w:spacing w:after="0"/>
              <w:rPr>
                <w:sz w:val="23"/>
                <w:szCs w:val="23"/>
                <w:color w:val="auto"/>
              </w:rPr>
            </w:pPr>
          </w:p>
        </w:tc>
        <w:tc>
          <w:tcPr>
            <w:tcW w:w="400" w:type="dxa"/>
            <w:vAlign w:val="bottom"/>
            <w:shd w:val="clear" w:color="auto" w:fill="E5EEF8"/>
          </w:tcPr>
          <w:p>
            <w:pPr>
              <w:jc w:val="right"/>
              <w:ind w:right="195"/>
              <w:spacing w:after="0"/>
              <w:rPr>
                <w:sz w:val="20"/>
                <w:szCs w:val="20"/>
                <w:color w:val="auto"/>
              </w:rPr>
            </w:pPr>
            <w:r>
              <w:rPr>
                <w:rFonts w:ascii="Arial" w:cs="Arial" w:eastAsia="Arial" w:hAnsi="Arial"/>
                <w:sz w:val="17"/>
                <w:szCs w:val="17"/>
                <w:color w:val="auto"/>
              </w:rPr>
              <w:t>-</w:t>
            </w:r>
          </w:p>
        </w:tc>
        <w:tc>
          <w:tcPr>
            <w:tcW w:w="1360" w:type="dxa"/>
            <w:vAlign w:val="bottom"/>
            <w:shd w:val="clear" w:color="auto" w:fill="E5EEF8"/>
          </w:tcPr>
          <w:p>
            <w:pPr>
              <w:spacing w:after="0"/>
              <w:rPr>
                <w:sz w:val="23"/>
                <w:szCs w:val="23"/>
                <w:color w:val="auto"/>
              </w:rPr>
            </w:pPr>
          </w:p>
        </w:tc>
        <w:tc>
          <w:tcPr>
            <w:tcW w:w="720" w:type="dxa"/>
            <w:vAlign w:val="bottom"/>
            <w:shd w:val="clear" w:color="auto" w:fill="E5EEF8"/>
          </w:tcPr>
          <w:p>
            <w:pPr>
              <w:jc w:val="right"/>
              <w:ind w:right="535"/>
              <w:spacing w:after="0"/>
              <w:rPr>
                <w:sz w:val="20"/>
                <w:szCs w:val="20"/>
                <w:color w:val="auto"/>
              </w:rPr>
            </w:pPr>
            <w:r>
              <w:rPr>
                <w:rFonts w:ascii="Arial" w:cs="Arial" w:eastAsia="Arial" w:hAnsi="Arial"/>
                <w:sz w:val="17"/>
                <w:szCs w:val="17"/>
                <w:color w:val="auto"/>
              </w:rPr>
              <w:t>-</w:t>
            </w:r>
          </w:p>
        </w:tc>
        <w:tc>
          <w:tcPr>
            <w:tcW w:w="540" w:type="dxa"/>
            <w:vAlign w:val="bottom"/>
            <w:shd w:val="clear" w:color="auto" w:fill="E5EEF8"/>
          </w:tcPr>
          <w:p>
            <w:pPr>
              <w:spacing w:after="0"/>
              <w:rPr>
                <w:sz w:val="23"/>
                <w:szCs w:val="23"/>
                <w:color w:val="auto"/>
              </w:rPr>
            </w:pPr>
          </w:p>
        </w:tc>
        <w:tc>
          <w:tcPr>
            <w:tcW w:w="960" w:type="dxa"/>
            <w:vAlign w:val="bottom"/>
            <w:shd w:val="clear" w:color="auto" w:fill="E5EEF8"/>
          </w:tcPr>
          <w:p>
            <w:pPr>
              <w:jc w:val="right"/>
              <w:ind w:right="117"/>
              <w:spacing w:after="0"/>
              <w:rPr>
                <w:sz w:val="20"/>
                <w:szCs w:val="20"/>
                <w:color w:val="auto"/>
              </w:rPr>
            </w:pPr>
            <w:r>
              <w:rPr>
                <w:rFonts w:ascii="Arial" w:cs="Arial" w:eastAsia="Arial" w:hAnsi="Arial"/>
                <w:sz w:val="17"/>
                <w:szCs w:val="17"/>
                <w:color w:val="auto"/>
                <w:w w:val="97"/>
              </w:rPr>
              <w:t>2,931,486</w:t>
            </w:r>
          </w:p>
        </w:tc>
        <w:tc>
          <w:tcPr>
            <w:tcW w:w="0" w:type="dxa"/>
            <w:vAlign w:val="bottom"/>
          </w:tcPr>
          <w:p>
            <w:pPr>
              <w:spacing w:after="0"/>
              <w:rPr>
                <w:sz w:val="1"/>
                <w:szCs w:val="1"/>
                <w:color w:val="auto"/>
              </w:rPr>
            </w:pPr>
          </w:p>
        </w:tc>
      </w:tr>
      <w:tr>
        <w:trPr>
          <w:trHeight w:val="72"/>
        </w:trPr>
        <w:tc>
          <w:tcPr>
            <w:tcW w:w="5080" w:type="dxa"/>
            <w:vAlign w:val="bottom"/>
            <w:gridSpan w:val="2"/>
            <w:shd w:val="clear" w:color="auto" w:fill="E5EEF8"/>
          </w:tcPr>
          <w:p>
            <w:pPr>
              <w:spacing w:after="0"/>
              <w:rPr>
                <w:sz w:val="6"/>
                <w:szCs w:val="6"/>
                <w:color w:val="auto"/>
              </w:rPr>
            </w:pPr>
          </w:p>
        </w:tc>
        <w:tc>
          <w:tcPr>
            <w:tcW w:w="1960" w:type="dxa"/>
            <w:vAlign w:val="bottom"/>
            <w:shd w:val="clear" w:color="auto" w:fill="E5EEF8"/>
          </w:tcPr>
          <w:p>
            <w:pPr>
              <w:spacing w:after="0"/>
              <w:rPr>
                <w:sz w:val="6"/>
                <w:szCs w:val="6"/>
                <w:color w:val="auto"/>
              </w:rPr>
            </w:pPr>
          </w:p>
        </w:tc>
        <w:tc>
          <w:tcPr>
            <w:tcW w:w="400" w:type="dxa"/>
            <w:vAlign w:val="bottom"/>
            <w:shd w:val="clear" w:color="auto" w:fill="E5EEF8"/>
          </w:tcPr>
          <w:p>
            <w:pPr>
              <w:spacing w:after="0"/>
              <w:rPr>
                <w:sz w:val="6"/>
                <w:szCs w:val="6"/>
                <w:color w:val="auto"/>
              </w:rPr>
            </w:pPr>
          </w:p>
        </w:tc>
        <w:tc>
          <w:tcPr>
            <w:tcW w:w="1360" w:type="dxa"/>
            <w:vAlign w:val="bottom"/>
            <w:shd w:val="clear" w:color="auto" w:fill="E5EEF8"/>
          </w:tcPr>
          <w:p>
            <w:pPr>
              <w:spacing w:after="0"/>
              <w:rPr>
                <w:sz w:val="6"/>
                <w:szCs w:val="6"/>
                <w:color w:val="auto"/>
              </w:rPr>
            </w:pPr>
          </w:p>
        </w:tc>
        <w:tc>
          <w:tcPr>
            <w:tcW w:w="720" w:type="dxa"/>
            <w:vAlign w:val="bottom"/>
            <w:shd w:val="clear" w:color="auto" w:fill="E5EEF8"/>
          </w:tcPr>
          <w:p>
            <w:pPr>
              <w:spacing w:after="0"/>
              <w:rPr>
                <w:sz w:val="6"/>
                <w:szCs w:val="6"/>
                <w:color w:val="auto"/>
              </w:rPr>
            </w:pPr>
          </w:p>
        </w:tc>
        <w:tc>
          <w:tcPr>
            <w:tcW w:w="540" w:type="dxa"/>
            <w:vAlign w:val="bottom"/>
            <w:shd w:val="clear" w:color="auto" w:fill="E5EEF8"/>
          </w:tcPr>
          <w:p>
            <w:pPr>
              <w:spacing w:after="0"/>
              <w:rPr>
                <w:sz w:val="6"/>
                <w:szCs w:val="6"/>
                <w:color w:val="auto"/>
              </w:rPr>
            </w:pPr>
          </w:p>
        </w:tc>
        <w:tc>
          <w:tcPr>
            <w:tcW w:w="960" w:type="dxa"/>
            <w:vAlign w:val="bottom"/>
            <w:shd w:val="clear" w:color="auto" w:fill="E5EEF8"/>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5080" w:type="dxa"/>
            <w:vAlign w:val="bottom"/>
            <w:gridSpan w:val="2"/>
          </w:tcPr>
          <w:p>
            <w:pPr>
              <w:ind w:left="100"/>
              <w:spacing w:after="0"/>
              <w:rPr>
                <w:sz w:val="20"/>
                <w:szCs w:val="20"/>
                <w:color w:val="auto"/>
              </w:rPr>
            </w:pPr>
            <w:r>
              <w:rPr>
                <w:rFonts w:ascii="Arial" w:cs="Arial" w:eastAsia="Arial" w:hAnsi="Arial"/>
                <w:sz w:val="17"/>
                <w:szCs w:val="17"/>
                <w:color w:val="auto"/>
              </w:rPr>
              <w:t>Continued Medical Benefits</w:t>
            </w:r>
          </w:p>
        </w:tc>
        <w:tc>
          <w:tcPr>
            <w:tcW w:w="1960" w:type="dxa"/>
            <w:vAlign w:val="bottom"/>
          </w:tcPr>
          <w:p>
            <w:pPr>
              <w:spacing w:after="0"/>
              <w:rPr>
                <w:sz w:val="23"/>
                <w:szCs w:val="23"/>
                <w:color w:val="auto"/>
              </w:rPr>
            </w:pPr>
          </w:p>
        </w:tc>
        <w:tc>
          <w:tcPr>
            <w:tcW w:w="4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360" w:type="dxa"/>
            <w:vAlign w:val="bottom"/>
          </w:tcPr>
          <w:p>
            <w:pPr>
              <w:spacing w:after="0"/>
              <w:rPr>
                <w:sz w:val="23"/>
                <w:szCs w:val="23"/>
                <w:color w:val="auto"/>
              </w:rPr>
            </w:pPr>
          </w:p>
        </w:tc>
        <w:tc>
          <w:tcPr>
            <w:tcW w:w="720" w:type="dxa"/>
            <w:vAlign w:val="bottom"/>
          </w:tcPr>
          <w:p>
            <w:pPr>
              <w:jc w:val="right"/>
              <w:ind w:right="535"/>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3"/>
                <w:szCs w:val="23"/>
                <w:color w:val="auto"/>
              </w:rPr>
            </w:pPr>
          </w:p>
        </w:tc>
        <w:tc>
          <w:tcPr>
            <w:tcW w:w="96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6"/>
        </w:trPr>
        <w:tc>
          <w:tcPr>
            <w:tcW w:w="840" w:type="dxa"/>
            <w:vAlign w:val="bottom"/>
            <w:vMerge w:val="restart"/>
          </w:tcPr>
          <w:p>
            <w:pPr>
              <w:ind w:left="80"/>
              <w:spacing w:after="0"/>
              <w:rPr>
                <w:sz w:val="20"/>
                <w:szCs w:val="20"/>
                <w:color w:val="auto"/>
              </w:rPr>
            </w:pPr>
            <w:r>
              <w:rPr>
                <w:rFonts w:ascii="Arial" w:cs="Arial" w:eastAsia="Arial" w:hAnsi="Arial"/>
                <w:sz w:val="17"/>
                <w:szCs w:val="17"/>
                <w:color w:val="auto"/>
              </w:rPr>
              <w:t>Total</w:t>
            </w:r>
          </w:p>
        </w:tc>
        <w:tc>
          <w:tcPr>
            <w:tcW w:w="4240" w:type="dxa"/>
            <w:vAlign w:val="bottom"/>
          </w:tcPr>
          <w:p>
            <w:pPr>
              <w:spacing w:after="0"/>
              <w:rPr>
                <w:sz w:val="9"/>
                <w:szCs w:val="9"/>
                <w:color w:val="auto"/>
              </w:rPr>
            </w:pPr>
          </w:p>
        </w:tc>
        <w:tc>
          <w:tcPr>
            <w:tcW w:w="1960" w:type="dxa"/>
            <w:vAlign w:val="bottom"/>
            <w:tcBorders>
              <w:bottom w:val="single" w:sz="8" w:color="E5EEF8"/>
            </w:tcBorders>
          </w:tcPr>
          <w:p>
            <w:pPr>
              <w:spacing w:after="0"/>
              <w:rPr>
                <w:sz w:val="9"/>
                <w:szCs w:val="9"/>
                <w:color w:val="auto"/>
              </w:rPr>
            </w:pPr>
          </w:p>
        </w:tc>
        <w:tc>
          <w:tcPr>
            <w:tcW w:w="400" w:type="dxa"/>
            <w:vAlign w:val="bottom"/>
            <w:tcBorders>
              <w:bottom w:val="single" w:sz="8" w:color="E5EEF8"/>
            </w:tcBorders>
          </w:tcPr>
          <w:p>
            <w:pPr>
              <w:spacing w:after="0"/>
              <w:rPr>
                <w:sz w:val="9"/>
                <w:szCs w:val="9"/>
                <w:color w:val="auto"/>
              </w:rPr>
            </w:pPr>
          </w:p>
        </w:tc>
        <w:tc>
          <w:tcPr>
            <w:tcW w:w="1360" w:type="dxa"/>
            <w:vAlign w:val="bottom"/>
            <w:tcBorders>
              <w:bottom w:val="single" w:sz="8" w:color="E5EEF8"/>
            </w:tcBorders>
          </w:tcPr>
          <w:p>
            <w:pPr>
              <w:spacing w:after="0"/>
              <w:rPr>
                <w:sz w:val="9"/>
                <w:szCs w:val="9"/>
                <w:color w:val="auto"/>
              </w:rPr>
            </w:pPr>
          </w:p>
        </w:tc>
        <w:tc>
          <w:tcPr>
            <w:tcW w:w="720" w:type="dxa"/>
            <w:vAlign w:val="bottom"/>
            <w:tcBorders>
              <w:bottom w:val="single" w:sz="8" w:color="E5EEF8"/>
            </w:tcBorders>
          </w:tcPr>
          <w:p>
            <w:pPr>
              <w:spacing w:after="0"/>
              <w:rPr>
                <w:sz w:val="9"/>
                <w:szCs w:val="9"/>
                <w:color w:val="auto"/>
              </w:rPr>
            </w:pPr>
          </w:p>
        </w:tc>
        <w:tc>
          <w:tcPr>
            <w:tcW w:w="540" w:type="dxa"/>
            <w:vAlign w:val="bottom"/>
            <w:tcBorders>
              <w:bottom w:val="single" w:sz="8" w:color="E5EEF8"/>
            </w:tcBorders>
          </w:tcPr>
          <w:p>
            <w:pPr>
              <w:spacing w:after="0"/>
              <w:rPr>
                <w:sz w:val="9"/>
                <w:szCs w:val="9"/>
                <w:color w:val="auto"/>
              </w:rPr>
            </w:pPr>
          </w:p>
        </w:tc>
        <w:tc>
          <w:tcPr>
            <w:tcW w:w="960" w:type="dxa"/>
            <w:vAlign w:val="bottom"/>
            <w:tcBorders>
              <w:bottom w:val="single" w:sz="8" w:color="E5EEF8"/>
            </w:tcBorders>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840" w:type="dxa"/>
            <w:vAlign w:val="bottom"/>
            <w:vMerge w:val="continue"/>
          </w:tcPr>
          <w:p>
            <w:pPr>
              <w:spacing w:after="0"/>
              <w:rPr>
                <w:sz w:val="18"/>
                <w:szCs w:val="18"/>
                <w:color w:val="auto"/>
              </w:rPr>
            </w:pPr>
          </w:p>
        </w:tc>
        <w:tc>
          <w:tcPr>
            <w:tcW w:w="4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35"/>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17"/>
              <w:spacing w:after="0"/>
              <w:rPr>
                <w:sz w:val="20"/>
                <w:szCs w:val="20"/>
                <w:color w:val="auto"/>
              </w:rPr>
            </w:pPr>
            <w:r>
              <w:rPr>
                <w:rFonts w:ascii="Arial" w:cs="Arial" w:eastAsia="Arial" w:hAnsi="Arial"/>
                <w:sz w:val="17"/>
                <w:szCs w:val="17"/>
                <w:color w:val="auto"/>
                <w:w w:val="97"/>
              </w:rPr>
              <w:t>8,180,510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-168275</wp:posOffset>
            </wp:positionV>
            <wp:extent cx="6995160" cy="2146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21463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-2122805</wp:posOffset>
            </wp:positionV>
            <wp:extent cx="30607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060700" cy="8255"/>
                    </a:xfrm>
                    <a:prstGeom prst="rect">
                      <a:avLst/>
                    </a:prstGeom>
                    <a:noFill/>
                  </pic:spPr>
                </pic:pic>
              </a:graphicData>
            </a:graphic>
          </wp:anchor>
        </w:drawing>
      </w:r>
    </w:p>
    <w:p>
      <w:pPr>
        <w:ind w:left="540" w:hanging="424"/>
        <w:spacing w:after="0" w:line="216" w:lineRule="auto"/>
        <w:tabs>
          <w:tab w:leader="none" w:pos="540" w:val="left"/>
        </w:tabs>
        <w:numPr>
          <w:ilvl w:val="0"/>
          <w:numId w:val="91"/>
        </w:numPr>
        <w:rPr>
          <w:rFonts w:ascii="Arial" w:cs="Arial" w:eastAsia="Arial" w:hAnsi="Arial"/>
          <w:sz w:val="24"/>
          <w:szCs w:val="24"/>
          <w:color w:val="auto"/>
          <w:vertAlign w:val="superscript"/>
        </w:rPr>
      </w:pPr>
      <w:r>
        <w:rPr>
          <w:rFonts w:ascii="Arial" w:cs="Arial" w:eastAsia="Arial" w:hAnsi="Arial"/>
          <w:sz w:val="14"/>
          <w:szCs w:val="14"/>
          <w:color w:val="auto"/>
        </w:rPr>
        <w:t>Assumes employment is terminated involuntarily without cause.</w:t>
      </w:r>
    </w:p>
    <w:p>
      <w:pPr>
        <w:spacing w:after="0" w:line="70" w:lineRule="exact"/>
        <w:rPr>
          <w:rFonts w:ascii="Arial" w:cs="Arial" w:eastAsia="Arial" w:hAnsi="Arial"/>
          <w:sz w:val="24"/>
          <w:szCs w:val="24"/>
          <w:color w:val="auto"/>
          <w:vertAlign w:val="superscript"/>
        </w:rPr>
      </w:pPr>
    </w:p>
    <w:p>
      <w:pPr>
        <w:ind w:left="540" w:right="20" w:hanging="424"/>
        <w:spacing w:after="0" w:line="195" w:lineRule="auto"/>
        <w:tabs>
          <w:tab w:leader="none" w:pos="540" w:val="left"/>
        </w:tabs>
        <w:numPr>
          <w:ilvl w:val="0"/>
          <w:numId w:val="91"/>
        </w:numPr>
        <w:rPr>
          <w:rFonts w:ascii="Arial" w:cs="Arial" w:eastAsia="Arial" w:hAnsi="Arial"/>
          <w:sz w:val="24"/>
          <w:szCs w:val="24"/>
          <w:color w:val="auto"/>
          <w:vertAlign w:val="superscript"/>
        </w:rPr>
      </w:pPr>
      <w:r>
        <w:rPr>
          <w:rFonts w:ascii="Arial" w:cs="Arial" w:eastAsia="Arial" w:hAnsi="Arial"/>
          <w:sz w:val="14"/>
          <w:szCs w:val="14"/>
          <w:color w:val="auto"/>
        </w:rPr>
        <w:t>The amounts in this row represent the maximum amounts to be paid pursuant to the terms of Mr. Hunn’s Special Long-Term Cash Incentive Award under the above scenarios. The maximum amount to be paid under the Special Long-Term Cash Incentive Award is $18,605,000. To the extent Mr. Hunn elects not to defer payment of the incentive amount or is unable to defer such amount, the incentive amount that is not deferred shall be increased by 7.5%. In general, under each scenario,</w:t>
      </w:r>
    </w:p>
    <w:p>
      <w:pPr>
        <w:ind w:left="540" w:right="160"/>
        <w:spacing w:after="0" w:line="249" w:lineRule="auto"/>
        <w:rPr>
          <w:rFonts w:ascii="Arial" w:cs="Arial" w:eastAsia="Arial" w:hAnsi="Arial"/>
          <w:sz w:val="24"/>
          <w:szCs w:val="24"/>
          <w:color w:val="auto"/>
          <w:vertAlign w:val="superscript"/>
        </w:rPr>
      </w:pPr>
      <w:r>
        <w:rPr>
          <w:rFonts w:ascii="Arial" w:cs="Arial" w:eastAsia="Arial" w:hAnsi="Arial"/>
          <w:sz w:val="14"/>
          <w:szCs w:val="14"/>
          <w:color w:val="auto"/>
        </w:rPr>
        <w:t>Mr. Hunn is entitled to a pro-rated portion of the five-year award, which at December 31, 2021, is 60% of the award. In the event of Mr. Hunn’s death or disability, the award remains outstanding, and upon the certification of the performance criteria by the Compensation Committee at the conclusion of the performance period, the amount earned would be paid to Mr. Hunn’s estate.</w:t>
      </w:r>
    </w:p>
    <w:p>
      <w:pPr>
        <w:ind w:left="540" w:hanging="424"/>
        <w:spacing w:after="0" w:line="211" w:lineRule="auto"/>
        <w:tabs>
          <w:tab w:leader="none" w:pos="540" w:val="left"/>
        </w:tabs>
        <w:numPr>
          <w:ilvl w:val="0"/>
          <w:numId w:val="91"/>
        </w:numPr>
        <w:rPr>
          <w:rFonts w:ascii="Arial" w:cs="Arial" w:eastAsia="Arial" w:hAnsi="Arial"/>
          <w:sz w:val="24"/>
          <w:szCs w:val="24"/>
          <w:color w:val="auto"/>
          <w:vertAlign w:val="superscript"/>
        </w:rPr>
      </w:pPr>
      <w:r>
        <w:rPr>
          <w:rFonts w:ascii="Arial" w:cs="Arial" w:eastAsia="Arial" w:hAnsi="Arial"/>
          <w:sz w:val="14"/>
          <w:szCs w:val="14"/>
          <w:color w:val="auto"/>
        </w:rPr>
        <w:t>Based on closing market price of our common stock on December 31, 2021 of $491.86 per share.</w:t>
      </w:r>
    </w:p>
    <w:p>
      <w:pPr>
        <w:spacing w:after="0" w:line="71" w:lineRule="exact"/>
        <w:rPr>
          <w:rFonts w:ascii="Arial" w:cs="Arial" w:eastAsia="Arial" w:hAnsi="Arial"/>
          <w:sz w:val="24"/>
          <w:szCs w:val="24"/>
          <w:color w:val="auto"/>
          <w:vertAlign w:val="superscript"/>
        </w:rPr>
      </w:pPr>
    </w:p>
    <w:p>
      <w:pPr>
        <w:ind w:left="540" w:right="20" w:hanging="424"/>
        <w:spacing w:after="0" w:line="208" w:lineRule="auto"/>
        <w:tabs>
          <w:tab w:leader="none" w:pos="540" w:val="left"/>
        </w:tabs>
        <w:numPr>
          <w:ilvl w:val="0"/>
          <w:numId w:val="91"/>
        </w:numPr>
        <w:rPr>
          <w:rFonts w:ascii="Arial" w:cs="Arial" w:eastAsia="Arial" w:hAnsi="Arial"/>
          <w:sz w:val="24"/>
          <w:szCs w:val="24"/>
          <w:color w:val="auto"/>
          <w:vertAlign w:val="superscript"/>
        </w:rPr>
      </w:pPr>
      <w:r>
        <w:rPr>
          <w:rFonts w:ascii="Arial" w:cs="Arial" w:eastAsia="Arial" w:hAnsi="Arial"/>
          <w:sz w:val="14"/>
          <w:szCs w:val="14"/>
          <w:color w:val="auto"/>
        </w:rPr>
        <w:t>Under the terms of our 2016 Incentive Plan, if within two years after a change in control, employment is terminated by the employee for good reason or by the acquirer without cause, or if the acquirer does not assume the awards upon a change in control, (i) outstanding stock options become fully exercisable, (ii) time-based vesting restrictions on outstanding restricted stock awards lapse, and (iii) the target payout opportunities on outstanding performance-based restricted stock awards shall be deemed to have been fully earned (subject to the conditions provided in the 2016 Incentive Plan).</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CEO Pay Ratio</w:t>
      </w:r>
    </w:p>
    <w:p>
      <w:pPr>
        <w:spacing w:after="0" w:line="120"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As required by SEC rules, we compared the total compensation of our CEO in 2021 to that of our median employee for the same period. Through our core human capital management system with supplementation from manual inputs, we collected information for our global workforce of 19,554 employees, including our full-time, part-time and temporary workers, and excluded our employees in Germany (250) and France (678) under the de minimis exemption.</w:t>
      </w:r>
    </w:p>
    <w:p>
      <w:pPr>
        <w:spacing w:after="0" w:line="95" w:lineRule="exact"/>
        <w:rPr>
          <w:sz w:val="20"/>
          <w:szCs w:val="20"/>
          <w:color w:val="auto"/>
        </w:rPr>
      </w:pPr>
    </w:p>
    <w:p>
      <w:pPr>
        <w:ind w:left="120" w:right="380"/>
        <w:spacing w:after="0" w:line="235" w:lineRule="auto"/>
        <w:rPr>
          <w:sz w:val="20"/>
          <w:szCs w:val="20"/>
          <w:color w:val="auto"/>
        </w:rPr>
      </w:pPr>
      <w:r>
        <w:rPr>
          <w:rFonts w:ascii="Arial" w:cs="Arial" w:eastAsia="Arial" w:hAnsi="Arial"/>
          <w:sz w:val="17"/>
          <w:szCs w:val="17"/>
          <w:color w:val="auto"/>
        </w:rPr>
        <w:t>We identified our median employee as of December 31, 2021 by applying a consistent compensation measure for the period from January 1, 2021 to December 31, 2021 across our global employee population—annual salary or hourly pay, bonus and commissions (excluding equity compensation because inclusion of such would have had no impact on the determination of the median employee). We annualized the compensation for our full-time and part-time employees who were newly-hired in 2021. Our median employee’s total 2021 compensation was $98,550 and our CEO’s was $21,557,738 ($25,683 more than as reported in the Summary Compensation Table above due to the inclusion of certain employee benefits). Accordingly, our 2021 CEO to Median Employee Pay Ratio was 219:1.</w:t>
      </w:r>
    </w:p>
    <w:p>
      <w:pPr>
        <w:spacing w:after="0" w:line="94"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SEC rules for identifying the median employee permit companies to adopt a variety of methodologies, to apply certain exclusions, and to make reasonable estimates and assumptions that reflect their employee populations and compensation practices. Consequently, the pay ratios reported by other companies may not be comparable to the pay ratio reported by Roper.</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440" w:type="dxa"/>
            <w:vAlign w:val="bottom"/>
            <w:tcBorders>
              <w:right w:val="single" w:sz="8" w:color="005CB9"/>
            </w:tcBorders>
          </w:tcPr>
          <w:p>
            <w:pPr>
              <w:jc w:val="right"/>
              <w:ind w:right="179"/>
              <w:spacing w:after="0"/>
              <w:rPr>
                <w:sz w:val="20"/>
                <w:szCs w:val="20"/>
                <w:color w:val="auto"/>
              </w:rPr>
            </w:pPr>
            <w:r>
              <w:rPr>
                <w:rFonts w:ascii="Arial" w:cs="Arial" w:eastAsia="Arial" w:hAnsi="Arial"/>
                <w:sz w:val="16"/>
                <w:szCs w:val="16"/>
                <w:b w:val="1"/>
                <w:bCs w:val="1"/>
                <w:color w:val="005CB9"/>
                <w:w w:val="89"/>
              </w:rPr>
              <w:t>48</w:t>
            </w:r>
          </w:p>
        </w:tc>
        <w:tc>
          <w:tcPr>
            <w:tcW w:w="4700" w:type="dxa"/>
            <w:vAlign w:val="bottom"/>
          </w:tcPr>
          <w:p>
            <w:pPr>
              <w:ind w:left="106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0"/>
        </w:trPr>
        <w:tc>
          <w:tcPr>
            <w:tcW w:w="440" w:type="dxa"/>
            <w:vAlign w:val="bottom"/>
            <w:tcBorders>
              <w:right w:val="single" w:sz="8" w:color="005CB9"/>
            </w:tcBorders>
          </w:tcPr>
          <w:p>
            <w:pPr>
              <w:spacing w:after="0"/>
              <w:rPr>
                <w:sz w:val="8"/>
                <w:szCs w:val="8"/>
                <w:color w:val="auto"/>
              </w:rPr>
            </w:pPr>
          </w:p>
        </w:tc>
        <w:tc>
          <w:tcPr>
            <w:tcW w:w="47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-205105</wp:posOffset>
            </wp:positionV>
            <wp:extent cx="428625"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right="220"/>
        <w:spacing w:after="0" w:line="252" w:lineRule="auto"/>
        <w:rPr>
          <w:sz w:val="20"/>
          <w:szCs w:val="20"/>
          <w:color w:val="auto"/>
        </w:rPr>
      </w:pPr>
      <w:r>
        <w:rPr>
          <w:rFonts w:ascii="Arial" w:cs="Arial" w:eastAsia="Arial" w:hAnsi="Arial"/>
          <w:sz w:val="29"/>
          <w:szCs w:val="29"/>
          <w:color w:val="005CB9"/>
        </w:rPr>
        <w:t>PROPOSAL 2: ADVISORY VOTE ON THE COMPENSATION OF THE COMPANY’S NAMED EXECUTIVE OFFICERS</w:t>
      </w:r>
    </w:p>
    <w:p>
      <w:pPr>
        <w:spacing w:after="0" w:line="297"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We are seeking your advisory vote approving the compensation of our named executive officers as disclosed in this Proxy Statement. We believe that our executive compensation program is structured in the best manner possible to support our business objectives, evidenced by the superior long-term returns we continue to deliver to our shareholders. Over the past 5 and 10 years, our compound annual return to shareholders was 22.6% and 19.6%, respectively, compared to the S&amp;P 500’s return over the same periods of 18.5% and 16.6%, respectively.</w:t>
      </w:r>
    </w:p>
    <w:p>
      <w:pPr>
        <w:spacing w:after="0" w:line="95" w:lineRule="exact"/>
        <w:rPr>
          <w:sz w:val="20"/>
          <w:szCs w:val="20"/>
          <w:color w:val="auto"/>
        </w:rPr>
      </w:pPr>
    </w:p>
    <w:p>
      <w:pPr>
        <w:ind w:left="120" w:right="620"/>
        <w:spacing w:after="0" w:line="238" w:lineRule="auto"/>
        <w:rPr>
          <w:sz w:val="20"/>
          <w:szCs w:val="20"/>
          <w:color w:val="auto"/>
        </w:rPr>
      </w:pPr>
      <w:r>
        <w:rPr>
          <w:rFonts w:ascii="Arial" w:cs="Arial" w:eastAsia="Arial" w:hAnsi="Arial"/>
          <w:sz w:val="17"/>
          <w:szCs w:val="17"/>
          <w:color w:val="auto"/>
        </w:rPr>
        <w:t>Our executive compensation program is designed to provide competitive total compensation that is tied to the achievement of Company performance objectives and to attract, motivate and retain individuals who will build long-term value for our shareholders. See the “Proxy Statement Summary” and “Compensation Discussion and Analysis” above for key characteristics of our executive compensation program.</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are seeking shareholder approval of the following resolution:</w:t>
      </w:r>
    </w:p>
    <w:p>
      <w:pPr>
        <w:spacing w:after="0" w:line="102" w:lineRule="exact"/>
        <w:rPr>
          <w:sz w:val="20"/>
          <w:szCs w:val="20"/>
          <w:color w:val="auto"/>
        </w:rPr>
      </w:pPr>
    </w:p>
    <w:p>
      <w:pPr>
        <w:ind w:left="660" w:right="520"/>
        <w:spacing w:after="0" w:line="238" w:lineRule="auto"/>
        <w:rPr>
          <w:sz w:val="20"/>
          <w:szCs w:val="20"/>
          <w:color w:val="auto"/>
        </w:rPr>
      </w:pPr>
      <w:r>
        <w:rPr>
          <w:rFonts w:ascii="Arial" w:cs="Arial" w:eastAsia="Arial" w:hAnsi="Arial"/>
          <w:sz w:val="17"/>
          <w:szCs w:val="17"/>
          <w:color w:val="auto"/>
        </w:rPr>
        <w:t>RESOLVED, that the compensation paid to the Company’s named executive officers as disclosed pursuant to the compensation disclosure rules of the SEC, including the Compensation Discussion and Analysis, the compensation tables and the related material disclosed in this Proxy Statement is hereby APPROVED.</w:t>
      </w:r>
    </w:p>
    <w:p>
      <w:pPr>
        <w:spacing w:after="0" w:line="93"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The vote on this proposal is advisory and non-binding; however, the Compensation Committee and our Board will review the results of the vote and consider them when making future determinations regarding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133985</wp:posOffset>
            </wp:positionV>
            <wp:extent cx="7020560" cy="3429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20560" cy="342900"/>
                    </a:xfrm>
                    <a:prstGeom prst="rect">
                      <a:avLst/>
                    </a:prstGeom>
                    <a:noFill/>
                  </pic:spPr>
                </pic:pic>
              </a:graphicData>
            </a:graphic>
          </wp:anchor>
        </w:drawing>
      </w:r>
    </w:p>
    <w:p>
      <w:pPr>
        <w:spacing w:after="0" w:line="229" w:lineRule="exact"/>
        <w:rPr>
          <w:sz w:val="20"/>
          <w:szCs w:val="20"/>
          <w:color w:val="auto"/>
        </w:rPr>
      </w:pPr>
    </w:p>
    <w:p>
      <w:pPr>
        <w:ind w:left="560" w:right="1040"/>
        <w:spacing w:after="0" w:line="271" w:lineRule="auto"/>
        <w:rPr>
          <w:sz w:val="20"/>
          <w:szCs w:val="20"/>
          <w:color w:val="auto"/>
        </w:rPr>
      </w:pPr>
      <w:r>
        <w:rPr>
          <w:rFonts w:ascii="Arial" w:cs="Arial" w:eastAsia="Arial" w:hAnsi="Arial"/>
          <w:sz w:val="18"/>
          <w:szCs w:val="18"/>
          <w:b w:val="1"/>
          <w:bCs w:val="1"/>
          <w:color w:val="auto"/>
        </w:rPr>
        <w:t>The Board recommends a vote “FOR” the resolution providing an advisory approval of the compensation of the Company’s named executive officers.</w:t>
      </w:r>
    </w:p>
    <w:p>
      <w:pPr>
        <w:spacing w:after="0" w:line="163" w:lineRule="exact"/>
        <w:rPr>
          <w:sz w:val="20"/>
          <w:szCs w:val="20"/>
          <w:color w:val="auto"/>
        </w:rPr>
      </w:pPr>
    </w:p>
    <w:tbl>
      <w:tblPr>
        <w:tblLayout w:type="fixed"/>
        <w:tblInd w:w="6920" w:type="dxa"/>
        <w:tblCellMar>
          <w:top w:w="0" w:type="dxa"/>
          <w:left w:w="0" w:type="dxa"/>
          <w:bottom w:w="0" w:type="dxa"/>
          <w:right w:w="0" w:type="dxa"/>
        </w:tblCellMar>
      </w:tblPr>
      <w:tr>
        <w:trPr>
          <w:trHeight w:val="29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005CB9"/>
              </w:rPr>
              <w:t>49</w:t>
            </w:r>
          </w:p>
        </w:tc>
      </w:tr>
      <w:tr>
        <w:trPr>
          <w:trHeight w:val="100"/>
        </w:trPr>
        <w:tc>
          <w:tcPr>
            <w:tcW w:w="3900" w:type="dxa"/>
            <w:vAlign w:val="bottom"/>
            <w:tcBorders>
              <w:right w:val="single" w:sz="8" w:color="005CB9"/>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-205105</wp:posOffset>
            </wp:positionV>
            <wp:extent cx="428625"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AUDIT COMMITTEE REPORT</w:t>
      </w:r>
    </w:p>
    <w:p>
      <w:pPr>
        <w:spacing w:after="0" w:line="326"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The Audit Committee of the Board of Directors is comprised of five non-employee directors, each of whom has been determined by the Board of Directors to be independent under the NYSE and SEC rules. The Audit Committee’s responsibilities are set forth in its charter.</w:t>
      </w:r>
    </w:p>
    <w:p>
      <w:pPr>
        <w:spacing w:after="0" w:line="9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Audit Committee oversees and reviews with the full Board of Directors any issues with respect to the Company’s financial statements, the structure of the Company’s legal and regulatory compliance, the performance and independence of the Company’s independent registered public accounting firm and the performance of the Company’s internal audit function. The Committee retains the Company’s independent registered public accounting firm to undertake appropriate reviews and audits of the Company’s financial statements, determines the compensation of the independent registered public accounting firm, and pre-approves all of their services. The Committee also periodically reviews the work performed by other public accounting firms retained by the Company to provide various financial and information technology services. The Company’s management is primarily responsible for the Company’s financial reporting process and for the preparation of the Company’s financial statements in accordance with GAAP. The Audit Committee maintains oversight of the independent registered public accounting firm by discussing the overall scope and specific plans for their audits, the results of their examinations, their evaluations of the Company’s internal accounting controls and the overall quality of the Company’s financial reporting. The Audit Committee may delegate its duties and responsibilities to a sub-committee of the Committee.</w:t>
      </w:r>
    </w:p>
    <w:p>
      <w:pPr>
        <w:spacing w:after="0" w:line="100"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Audit Committee maintains oversight of the Company’s internal audit function by evaluating the appointment and performance of the Company’s Vice President of internal audit and periodically meeting with this individual to receive and review reports of the work of the Company’s internal audit department. The Audit Committee meets with management on a regular basis to discuss any significant matters, internal audit recommendations, policy or procedural changes and risks or exposures, if any, that may have a material effect on the Company’s financial statements.</w:t>
      </w:r>
    </w:p>
    <w:p>
      <w:pPr>
        <w:spacing w:after="0" w:line="96"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The Audit Committee: (i) appointed and retained PricewaterhouseCoopers LLP (“PwC”) as the Company’s independent registered public accounting firm for the fiscal year ended December 31, 2021; (ii) reviewed and discussed with the Company’s management the Company’s audited financial statements for the fiscal year ended December 31, 2021; (iii) discussed with PwC the matters required to be discussed by the Auditing Standard No. 1301, “</w:t>
      </w:r>
      <w:r>
        <w:rPr>
          <w:rFonts w:ascii="Arial" w:cs="Arial" w:eastAsia="Arial" w:hAnsi="Arial"/>
          <w:sz w:val="17"/>
          <w:szCs w:val="17"/>
          <w:i w:val="1"/>
          <w:iCs w:val="1"/>
          <w:color w:val="auto"/>
        </w:rPr>
        <w:t>Communication with Audit Committees</w:t>
      </w:r>
      <w:r>
        <w:rPr>
          <w:rFonts w:ascii="Arial" w:cs="Arial" w:eastAsia="Arial" w:hAnsi="Arial"/>
          <w:sz w:val="17"/>
          <w:szCs w:val="17"/>
          <w:color w:val="auto"/>
        </w:rPr>
        <w:t>,” issued by the Public Company Accounting Oversight Board (the “PCAOB”);</w:t>
      </w:r>
    </w:p>
    <w:p>
      <w:pPr>
        <w:ind w:left="120" w:right="40" w:hanging="4"/>
        <w:spacing w:after="0" w:line="235" w:lineRule="auto"/>
        <w:tabs>
          <w:tab w:leader="none" w:pos="405"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received the written disclosures and the letter from PwC required by PCAOB Ethics and Independence Rule 3526, “</w:t>
      </w:r>
      <w:r>
        <w:rPr>
          <w:rFonts w:ascii="Arial" w:cs="Arial" w:eastAsia="Arial" w:hAnsi="Arial"/>
          <w:sz w:val="17"/>
          <w:szCs w:val="17"/>
          <w:i w:val="1"/>
          <w:iCs w:val="1"/>
          <w:color w:val="auto"/>
        </w:rPr>
        <w:t>Communication with Audit</w:t>
      </w:r>
      <w:r>
        <w:rPr>
          <w:rFonts w:ascii="Arial" w:cs="Arial" w:eastAsia="Arial" w:hAnsi="Arial"/>
          <w:sz w:val="17"/>
          <w:szCs w:val="17"/>
          <w:color w:val="auto"/>
        </w:rPr>
        <w:t xml:space="preserve"> </w:t>
      </w:r>
      <w:r>
        <w:rPr>
          <w:rFonts w:ascii="Arial" w:cs="Arial" w:eastAsia="Arial" w:hAnsi="Arial"/>
          <w:sz w:val="17"/>
          <w:szCs w:val="17"/>
          <w:i w:val="1"/>
          <w:iCs w:val="1"/>
          <w:color w:val="auto"/>
        </w:rPr>
        <w:t>Committees Concerning Independence</w:t>
      </w:r>
      <w:r>
        <w:rPr>
          <w:rFonts w:ascii="Arial" w:cs="Arial" w:eastAsia="Arial" w:hAnsi="Arial"/>
          <w:sz w:val="17"/>
          <w:szCs w:val="17"/>
          <w:color w:val="auto"/>
        </w:rPr>
        <w:t>,” and has discussed with PwC its independence from the Company and its management; (v) discussed</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with PwC outside the presence of management; (vi) reviewed internal audit recommendations; (vii) discussed with PwC the quality of the Company’s financial reporting; and (viii) reviewed and discussed with PwC the results of the audit of the effectiveness of internal control over financial reporting in accordance with Section 404 of the Sarbanes-Oxley Act of 2002 (the “Sarbanes-Oxley Act”).</w:t>
      </w:r>
    </w:p>
    <w:p>
      <w:pPr>
        <w:spacing w:after="0" w:line="96" w:lineRule="exact"/>
        <w:rPr>
          <w:sz w:val="20"/>
          <w:szCs w:val="20"/>
          <w:color w:val="auto"/>
        </w:rPr>
      </w:pPr>
    </w:p>
    <w:p>
      <w:pPr>
        <w:ind w:left="120" w:right="240"/>
        <w:spacing w:after="0" w:line="238" w:lineRule="auto"/>
        <w:rPr>
          <w:sz w:val="20"/>
          <w:szCs w:val="20"/>
          <w:color w:val="auto"/>
        </w:rPr>
      </w:pPr>
      <w:r>
        <w:rPr>
          <w:rFonts w:ascii="Arial" w:cs="Arial" w:eastAsia="Arial" w:hAnsi="Arial"/>
          <w:sz w:val="17"/>
          <w:szCs w:val="17"/>
          <w:color w:val="auto"/>
        </w:rPr>
        <w:t>In reliance on the reviews, reports and discussions referred to above, the Audit Committee recommended to the Board of Directors, and the Board of Directors has approved, that the audited financial statements be included in the Company’s Annual Report on Form 10-K for the fiscal year ended December 31, 2021, for filing with the SEC.</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AUDIT COMMITTEE</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Richard F. Wallman, Chair</w:t>
      </w:r>
    </w:p>
    <w:p>
      <w:pPr>
        <w:ind w:left="560"/>
        <w:spacing w:after="0" w:line="232" w:lineRule="auto"/>
        <w:rPr>
          <w:sz w:val="20"/>
          <w:szCs w:val="20"/>
          <w:color w:val="auto"/>
        </w:rPr>
      </w:pPr>
      <w:r>
        <w:rPr>
          <w:rFonts w:ascii="Arial" w:cs="Arial" w:eastAsia="Arial" w:hAnsi="Arial"/>
          <w:sz w:val="17"/>
          <w:szCs w:val="17"/>
          <w:color w:val="auto"/>
        </w:rPr>
        <w:t>Irene M. Esteves</w:t>
      </w:r>
    </w:p>
    <w:p>
      <w:pPr>
        <w:ind w:left="560"/>
        <w:spacing w:after="0" w:line="232" w:lineRule="auto"/>
        <w:rPr>
          <w:sz w:val="20"/>
          <w:szCs w:val="20"/>
          <w:color w:val="auto"/>
        </w:rPr>
      </w:pPr>
      <w:r>
        <w:rPr>
          <w:rFonts w:ascii="Arial" w:cs="Arial" w:eastAsia="Arial" w:hAnsi="Arial"/>
          <w:sz w:val="17"/>
          <w:szCs w:val="17"/>
          <w:color w:val="auto"/>
        </w:rPr>
        <w:t>John F. Fort III</w:t>
      </w:r>
    </w:p>
    <w:p>
      <w:pPr>
        <w:ind w:left="560"/>
        <w:spacing w:after="0" w:line="232" w:lineRule="auto"/>
        <w:rPr>
          <w:sz w:val="20"/>
          <w:szCs w:val="20"/>
          <w:color w:val="auto"/>
        </w:rPr>
      </w:pPr>
      <w:r>
        <w:rPr>
          <w:rFonts w:ascii="Arial" w:cs="Arial" w:eastAsia="Arial" w:hAnsi="Arial"/>
          <w:sz w:val="17"/>
          <w:szCs w:val="17"/>
          <w:color w:val="auto"/>
        </w:rPr>
        <w:t>Thomas P. Joyce, Jr.</w:t>
      </w:r>
    </w:p>
    <w:p>
      <w:pPr>
        <w:ind w:left="560"/>
        <w:spacing w:after="0"/>
        <w:rPr>
          <w:sz w:val="20"/>
          <w:szCs w:val="20"/>
          <w:color w:val="auto"/>
        </w:rPr>
      </w:pPr>
      <w:r>
        <w:rPr>
          <w:rFonts w:ascii="Arial" w:cs="Arial" w:eastAsia="Arial" w:hAnsi="Arial"/>
          <w:sz w:val="17"/>
          <w:szCs w:val="17"/>
          <w:color w:val="auto"/>
        </w:rPr>
        <w:t>Christopher Wright</w:t>
      </w:r>
    </w:p>
    <w:p>
      <w:pPr>
        <w:spacing w:after="0" w:line="200" w:lineRule="exact"/>
        <w:rPr>
          <w:sz w:val="20"/>
          <w:szCs w:val="20"/>
          <w:color w:val="auto"/>
        </w:rPr>
      </w:pPr>
    </w:p>
    <w:p>
      <w:pPr>
        <w:spacing w:after="0" w:line="208"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i w:val="1"/>
          <w:iCs w:val="1"/>
          <w:color w:val="005CB9"/>
        </w:rPr>
        <w:t>The foregoing report and other information provided above regarding the Audit Committee should not be deemed incorporated by reference by any general statement incorporating by reference this Proxy Statement into any filing under the Securities Act or the Exchange Act, except to the extent that Roper specifically incorporates this information by reference, and shall not otherwise be deemed filed under either the Securities Act or the Exchange Act.</w:t>
      </w:r>
    </w:p>
    <w:p>
      <w:pPr>
        <w:spacing w:after="0" w:line="137"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440" w:type="dxa"/>
            <w:vAlign w:val="bottom"/>
            <w:tcBorders>
              <w:right w:val="single" w:sz="8" w:color="005CB9"/>
            </w:tcBorders>
          </w:tcPr>
          <w:p>
            <w:pPr>
              <w:jc w:val="right"/>
              <w:ind w:right="179"/>
              <w:spacing w:after="0"/>
              <w:rPr>
                <w:sz w:val="20"/>
                <w:szCs w:val="20"/>
                <w:color w:val="auto"/>
              </w:rPr>
            </w:pPr>
            <w:r>
              <w:rPr>
                <w:rFonts w:ascii="Arial" w:cs="Arial" w:eastAsia="Arial" w:hAnsi="Arial"/>
                <w:sz w:val="16"/>
                <w:szCs w:val="16"/>
                <w:b w:val="1"/>
                <w:bCs w:val="1"/>
                <w:color w:val="005CB9"/>
                <w:w w:val="89"/>
              </w:rPr>
              <w:t>50</w:t>
            </w:r>
          </w:p>
        </w:tc>
        <w:tc>
          <w:tcPr>
            <w:tcW w:w="4700" w:type="dxa"/>
            <w:vAlign w:val="bottom"/>
          </w:tcPr>
          <w:p>
            <w:pPr>
              <w:ind w:left="106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1"/>
        </w:trPr>
        <w:tc>
          <w:tcPr>
            <w:tcW w:w="440" w:type="dxa"/>
            <w:vAlign w:val="bottom"/>
            <w:tcBorders>
              <w:right w:val="single" w:sz="8" w:color="005CB9"/>
            </w:tcBorders>
          </w:tcPr>
          <w:p>
            <w:pPr>
              <w:spacing w:after="0"/>
              <w:rPr>
                <w:sz w:val="8"/>
                <w:szCs w:val="8"/>
                <w:color w:val="auto"/>
              </w:rPr>
            </w:pPr>
          </w:p>
        </w:tc>
        <w:tc>
          <w:tcPr>
            <w:tcW w:w="47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-205105</wp:posOffset>
            </wp:positionV>
            <wp:extent cx="428625"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INDEPENDENT PUBLIC ACCOUNTANT’S FEES</w:t>
      </w:r>
    </w:p>
    <w:p>
      <w:pPr>
        <w:spacing w:after="0" w:line="326"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7"/>
          <w:szCs w:val="17"/>
          <w:color w:val="auto"/>
        </w:rPr>
        <w:t>Set forth below are the professional fees billed by PwC for the fiscal years ended December 31, 2021 and 2020. It is the Audit Committee’s policy that all services performed by and all fees paid to the independent registered public accounting firm require the Audit Committee’s prior approval. As such, all audit, audit-related tax and other fees were pre-approved by the Audit Committee.</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color w:val="auto"/>
              </w:rPr>
              <w:t>Dollars in 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Fees</w:t>
            </w:r>
          </w:p>
        </w:tc>
        <w:tc>
          <w:tcPr>
            <w:tcW w:w="76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FY 2021</w:t>
            </w:r>
          </w:p>
        </w:tc>
        <w:tc>
          <w:tcPr>
            <w:tcW w:w="860" w:type="dxa"/>
            <w:vAlign w:val="bottom"/>
            <w:tcBorders>
              <w:bottom w:val="single" w:sz="8" w:color="auto"/>
            </w:tcBorders>
            <w:gridSpan w:val="2"/>
          </w:tcPr>
          <w:p>
            <w:pPr>
              <w:ind w:left="220"/>
              <w:spacing w:after="0" w:line="155" w:lineRule="exact"/>
              <w:rPr>
                <w:sz w:val="20"/>
                <w:szCs w:val="20"/>
                <w:color w:val="auto"/>
              </w:rPr>
            </w:pPr>
            <w:r>
              <w:rPr>
                <w:rFonts w:ascii="Arial" w:cs="Arial" w:eastAsia="Arial" w:hAnsi="Arial"/>
                <w:sz w:val="14"/>
                <w:szCs w:val="14"/>
                <w:color w:val="auto"/>
              </w:rPr>
              <w:t>FY 2020</w:t>
            </w:r>
          </w:p>
        </w:tc>
        <w:tc>
          <w:tcPr>
            <w:tcW w:w="0" w:type="dxa"/>
            <w:vAlign w:val="bottom"/>
          </w:tcPr>
          <w:p>
            <w:pPr>
              <w:spacing w:after="0"/>
              <w:rPr>
                <w:sz w:val="1"/>
                <w:szCs w:val="1"/>
                <w:color w:val="auto"/>
              </w:rPr>
            </w:pPr>
          </w:p>
        </w:tc>
      </w:tr>
      <w:tr>
        <w:trPr>
          <w:trHeight w:val="246"/>
        </w:trPr>
        <w:tc>
          <w:tcPr>
            <w:tcW w:w="1460" w:type="dxa"/>
            <w:vAlign w:val="bottom"/>
          </w:tcPr>
          <w:p>
            <w:pPr>
              <w:spacing w:after="0"/>
              <w:rPr>
                <w:sz w:val="20"/>
                <w:szCs w:val="20"/>
                <w:color w:val="auto"/>
              </w:rPr>
            </w:pPr>
            <w:r>
              <w:rPr>
                <w:rFonts w:ascii="Arial" w:cs="Arial" w:eastAsia="Arial" w:hAnsi="Arial"/>
                <w:sz w:val="17"/>
                <w:szCs w:val="17"/>
                <w:color w:val="auto"/>
              </w:rPr>
              <w:t>Audit Fees</w:t>
            </w:r>
            <w:r>
              <w:rPr>
                <w:rFonts w:ascii="Arial" w:cs="Arial" w:eastAsia="Arial" w:hAnsi="Arial"/>
                <w:sz w:val="14"/>
                <w:szCs w:val="14"/>
                <w:color w:val="auto"/>
              </w:rPr>
              <w:t>(1)</w:t>
            </w:r>
          </w:p>
        </w:tc>
        <w:tc>
          <w:tcPr>
            <w:tcW w:w="7600" w:type="dxa"/>
            <w:vAlign w:val="bottom"/>
          </w:tcPr>
          <w:p>
            <w:pPr>
              <w:spacing w:after="0"/>
              <w:rPr>
                <w:sz w:val="21"/>
                <w:szCs w:val="21"/>
                <w:color w:val="auto"/>
              </w:rPr>
            </w:pPr>
          </w:p>
        </w:tc>
        <w:tc>
          <w:tcPr>
            <w:tcW w:w="1100" w:type="dxa"/>
            <w:vAlign w:val="bottom"/>
            <w:gridSpan w:val="2"/>
          </w:tcPr>
          <w:p>
            <w:pPr>
              <w:jc w:val="right"/>
              <w:ind w:right="108"/>
              <w:spacing w:after="0"/>
              <w:rPr>
                <w:sz w:val="20"/>
                <w:szCs w:val="20"/>
                <w:color w:val="auto"/>
              </w:rPr>
            </w:pPr>
            <w:r>
              <w:rPr>
                <w:rFonts w:ascii="Arial" w:cs="Arial" w:eastAsia="Arial" w:hAnsi="Arial"/>
                <w:sz w:val="17"/>
                <w:szCs w:val="17"/>
                <w:color w:val="auto"/>
              </w:rPr>
              <w:t>$ 5,358</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$ 6,093</w:t>
            </w:r>
          </w:p>
        </w:tc>
        <w:tc>
          <w:tcPr>
            <w:tcW w:w="0" w:type="dxa"/>
            <w:vAlign w:val="bottom"/>
          </w:tcPr>
          <w:p>
            <w:pPr>
              <w:spacing w:after="0"/>
              <w:rPr>
                <w:sz w:val="1"/>
                <w:szCs w:val="1"/>
                <w:color w:val="auto"/>
              </w:rPr>
            </w:pPr>
          </w:p>
        </w:tc>
      </w:tr>
      <w:tr>
        <w:trPr>
          <w:trHeight w:val="261"/>
        </w:trPr>
        <w:tc>
          <w:tcPr>
            <w:tcW w:w="1460" w:type="dxa"/>
            <w:vAlign w:val="bottom"/>
          </w:tcPr>
          <w:p>
            <w:pPr>
              <w:spacing w:after="0"/>
              <w:rPr>
                <w:sz w:val="20"/>
                <w:szCs w:val="20"/>
                <w:color w:val="auto"/>
              </w:rPr>
            </w:pPr>
            <w:r>
              <w:rPr>
                <w:rFonts w:ascii="Arial" w:cs="Arial" w:eastAsia="Arial" w:hAnsi="Arial"/>
                <w:sz w:val="17"/>
                <w:szCs w:val="17"/>
                <w:color w:val="auto"/>
                <w:w w:val="98"/>
              </w:rPr>
              <w:t>Audit-Related Fees</w:t>
            </w:r>
          </w:p>
        </w:tc>
        <w:tc>
          <w:tcPr>
            <w:tcW w:w="7600" w:type="dxa"/>
            <w:vAlign w:val="bottom"/>
            <w:vMerge w:val="restart"/>
          </w:tcPr>
          <w:p>
            <w:pPr>
              <w:jc w:val="right"/>
              <w:ind w:right="7347"/>
              <w:spacing w:after="0"/>
              <w:rPr>
                <w:sz w:val="20"/>
                <w:szCs w:val="20"/>
                <w:color w:val="auto"/>
              </w:rPr>
            </w:pPr>
            <w:r>
              <w:rPr>
                <w:rFonts w:ascii="Arial" w:cs="Arial" w:eastAsia="Arial" w:hAnsi="Arial"/>
                <w:sz w:val="15"/>
                <w:szCs w:val="15"/>
                <w:color w:val="auto"/>
                <w:w w:val="87"/>
              </w:rPr>
              <w:t>(2)</w:t>
            </w:r>
          </w:p>
        </w:tc>
        <w:tc>
          <w:tcPr>
            <w:tcW w:w="1100" w:type="dxa"/>
            <w:vAlign w:val="bottom"/>
            <w:gridSpan w:val="2"/>
          </w:tcPr>
          <w:p>
            <w:pPr>
              <w:jc w:val="right"/>
              <w:ind w:right="108"/>
              <w:spacing w:after="0"/>
              <w:rPr>
                <w:sz w:val="20"/>
                <w:szCs w:val="20"/>
                <w:color w:val="auto"/>
              </w:rPr>
            </w:pPr>
            <w:r>
              <w:rPr>
                <w:rFonts w:ascii="Arial" w:cs="Arial" w:eastAsia="Arial" w:hAnsi="Arial"/>
                <w:sz w:val="17"/>
                <w:szCs w:val="17"/>
                <w:color w:val="auto"/>
              </w:rPr>
              <w:t>595</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477</w:t>
            </w:r>
          </w:p>
        </w:tc>
        <w:tc>
          <w:tcPr>
            <w:tcW w:w="0" w:type="dxa"/>
            <w:vAlign w:val="bottom"/>
          </w:tcPr>
          <w:p>
            <w:pPr>
              <w:spacing w:after="0"/>
              <w:rPr>
                <w:sz w:val="1"/>
                <w:szCs w:val="1"/>
                <w:color w:val="auto"/>
              </w:rPr>
            </w:pPr>
          </w:p>
        </w:tc>
      </w:tr>
      <w:tr>
        <w:trPr>
          <w:trHeight w:val="42"/>
        </w:trPr>
        <w:tc>
          <w:tcPr>
            <w:tcW w:w="1460" w:type="dxa"/>
            <w:vAlign w:val="bottom"/>
          </w:tcPr>
          <w:p>
            <w:pPr>
              <w:spacing w:after="0"/>
              <w:rPr>
                <w:sz w:val="3"/>
                <w:szCs w:val="3"/>
                <w:color w:val="auto"/>
              </w:rPr>
            </w:pPr>
          </w:p>
        </w:tc>
        <w:tc>
          <w:tcPr>
            <w:tcW w:w="76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6"/>
        </w:trPr>
        <w:tc>
          <w:tcPr>
            <w:tcW w:w="1460" w:type="dxa"/>
            <w:vAlign w:val="bottom"/>
          </w:tcPr>
          <w:p>
            <w:pPr>
              <w:spacing w:after="0"/>
              <w:rPr>
                <w:sz w:val="20"/>
                <w:szCs w:val="20"/>
                <w:color w:val="auto"/>
              </w:rPr>
            </w:pPr>
            <w:r>
              <w:rPr>
                <w:rFonts w:ascii="Arial" w:cs="Arial" w:eastAsia="Arial" w:hAnsi="Arial"/>
                <w:sz w:val="17"/>
                <w:szCs w:val="17"/>
                <w:color w:val="auto"/>
              </w:rPr>
              <w:t>Tax Fees</w:t>
            </w:r>
            <w:r>
              <w:rPr>
                <w:rFonts w:ascii="Arial" w:cs="Arial" w:eastAsia="Arial" w:hAnsi="Arial"/>
                <w:sz w:val="14"/>
                <w:szCs w:val="14"/>
                <w:color w:val="auto"/>
              </w:rPr>
              <w:t>(3)</w:t>
            </w:r>
          </w:p>
        </w:tc>
        <w:tc>
          <w:tcPr>
            <w:tcW w:w="7600" w:type="dxa"/>
            <w:vAlign w:val="bottom"/>
          </w:tcPr>
          <w:p>
            <w:pPr>
              <w:spacing w:after="0"/>
              <w:rPr>
                <w:sz w:val="24"/>
                <w:szCs w:val="24"/>
                <w:color w:val="auto"/>
              </w:rPr>
            </w:pPr>
          </w:p>
        </w:tc>
        <w:tc>
          <w:tcPr>
            <w:tcW w:w="1100" w:type="dxa"/>
            <w:vAlign w:val="bottom"/>
            <w:gridSpan w:val="2"/>
          </w:tcPr>
          <w:p>
            <w:pPr>
              <w:jc w:val="right"/>
              <w:ind w:right="108"/>
              <w:spacing w:after="0"/>
              <w:rPr>
                <w:sz w:val="20"/>
                <w:szCs w:val="20"/>
                <w:color w:val="auto"/>
              </w:rPr>
            </w:pPr>
            <w:r>
              <w:rPr>
                <w:rFonts w:ascii="Arial" w:cs="Arial" w:eastAsia="Arial" w:hAnsi="Arial"/>
                <w:sz w:val="17"/>
                <w:szCs w:val="17"/>
                <w:color w:val="auto"/>
              </w:rPr>
              <w:t>618</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129"/>
        </w:trPr>
        <w:tc>
          <w:tcPr>
            <w:tcW w:w="1460" w:type="dxa"/>
            <w:vAlign w:val="bottom"/>
          </w:tcPr>
          <w:p>
            <w:pPr>
              <w:spacing w:after="0" w:line="129" w:lineRule="exact"/>
              <w:rPr>
                <w:sz w:val="20"/>
                <w:szCs w:val="20"/>
                <w:color w:val="auto"/>
              </w:rPr>
            </w:pPr>
            <w:r>
              <w:rPr>
                <w:rFonts w:ascii="Arial" w:cs="Arial" w:eastAsia="Arial" w:hAnsi="Arial"/>
                <w:sz w:val="14"/>
                <w:szCs w:val="14"/>
                <w:color w:val="auto"/>
              </w:rPr>
              <w:t>All Other Fees</w:t>
            </w:r>
          </w:p>
        </w:tc>
        <w:tc>
          <w:tcPr>
            <w:tcW w:w="7600" w:type="dxa"/>
            <w:vAlign w:val="bottom"/>
          </w:tcPr>
          <w:p>
            <w:pPr>
              <w:spacing w:after="0"/>
              <w:rPr>
                <w:sz w:val="11"/>
                <w:szCs w:val="11"/>
                <w:color w:val="auto"/>
              </w:rPr>
            </w:pPr>
          </w:p>
        </w:tc>
        <w:tc>
          <w:tcPr>
            <w:tcW w:w="1100" w:type="dxa"/>
            <w:vAlign w:val="bottom"/>
            <w:gridSpan w:val="2"/>
          </w:tcPr>
          <w:p>
            <w:pPr>
              <w:jc w:val="right"/>
              <w:ind w:right="108"/>
              <w:spacing w:after="0" w:line="129" w:lineRule="exact"/>
              <w:rPr>
                <w:sz w:val="20"/>
                <w:szCs w:val="20"/>
                <w:color w:val="auto"/>
              </w:rPr>
            </w:pPr>
            <w:r>
              <w:rPr>
                <w:rFonts w:ascii="Arial" w:cs="Arial" w:eastAsia="Arial" w:hAnsi="Arial"/>
                <w:sz w:val="14"/>
                <w:szCs w:val="14"/>
                <w:color w:val="auto"/>
              </w:rPr>
              <w:t>850</w:t>
            </w:r>
          </w:p>
        </w:tc>
        <w:tc>
          <w:tcPr>
            <w:tcW w:w="860" w:type="dxa"/>
            <w:vAlign w:val="bottom"/>
            <w:gridSpan w:val="2"/>
          </w:tcPr>
          <w:p>
            <w:pPr>
              <w:jc w:val="right"/>
              <w:ind w:right="60"/>
              <w:spacing w:after="0" w:line="12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73"/>
        </w:trPr>
        <w:tc>
          <w:tcPr>
            <w:tcW w:w="1460" w:type="dxa"/>
            <w:vAlign w:val="bottom"/>
          </w:tcPr>
          <w:p>
            <w:pPr>
              <w:ind w:left="1080"/>
              <w:spacing w:after="0"/>
              <w:rPr>
                <w:sz w:val="20"/>
                <w:szCs w:val="20"/>
                <w:color w:val="auto"/>
              </w:rPr>
            </w:pPr>
            <w:r>
              <w:rPr>
                <w:rFonts w:ascii="Arial" w:cs="Arial" w:eastAsia="Arial" w:hAnsi="Arial"/>
                <w:sz w:val="15"/>
                <w:szCs w:val="15"/>
                <w:color w:val="auto"/>
              </w:rPr>
              <w:t>(4)</w:t>
            </w:r>
          </w:p>
        </w:tc>
        <w:tc>
          <w:tcPr>
            <w:tcW w:w="7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460" w:type="dxa"/>
            <w:vAlign w:val="bottom"/>
          </w:tcPr>
          <w:p>
            <w:pPr>
              <w:spacing w:after="0"/>
              <w:rPr>
                <w:sz w:val="6"/>
                <w:szCs w:val="6"/>
                <w:color w:val="auto"/>
              </w:rPr>
            </w:pPr>
          </w:p>
        </w:tc>
        <w:tc>
          <w:tcPr>
            <w:tcW w:w="76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60" w:type="dxa"/>
            <w:vAlign w:val="bottom"/>
          </w:tcPr>
          <w:p>
            <w:pPr>
              <w:spacing w:after="0"/>
              <w:rPr>
                <w:sz w:val="20"/>
                <w:szCs w:val="20"/>
                <w:color w:val="auto"/>
              </w:rPr>
            </w:pPr>
            <w:r>
              <w:rPr>
                <w:rFonts w:ascii="Arial" w:cs="Arial" w:eastAsia="Arial" w:hAnsi="Arial"/>
                <w:sz w:val="17"/>
                <w:szCs w:val="17"/>
                <w:color w:val="auto"/>
              </w:rPr>
              <w:t>Total Fees</w:t>
            </w:r>
          </w:p>
        </w:tc>
        <w:tc>
          <w:tcPr>
            <w:tcW w:w="7600" w:type="dxa"/>
            <w:vAlign w:val="bottom"/>
          </w:tcPr>
          <w:p>
            <w:pPr>
              <w:spacing w:after="0"/>
              <w:rPr>
                <w:sz w:val="21"/>
                <w:szCs w:val="21"/>
                <w:color w:val="auto"/>
              </w:rPr>
            </w:pPr>
          </w:p>
        </w:tc>
        <w:tc>
          <w:tcPr>
            <w:tcW w:w="1100" w:type="dxa"/>
            <w:vAlign w:val="bottom"/>
            <w:gridSpan w:val="2"/>
          </w:tcPr>
          <w:p>
            <w:pPr>
              <w:jc w:val="right"/>
              <w:ind w:right="108"/>
              <w:spacing w:after="0"/>
              <w:rPr>
                <w:sz w:val="20"/>
                <w:szCs w:val="20"/>
                <w:color w:val="auto"/>
              </w:rPr>
            </w:pPr>
            <w:r>
              <w:rPr>
                <w:rFonts w:ascii="Arial" w:cs="Arial" w:eastAsia="Arial" w:hAnsi="Arial"/>
                <w:sz w:val="17"/>
                <w:szCs w:val="17"/>
                <w:color w:val="auto"/>
              </w:rPr>
              <w:t>$ 7,422</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$ 6,854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36830</wp:posOffset>
            </wp:positionV>
            <wp:extent cx="6995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6" w:lineRule="exact"/>
        <w:rPr>
          <w:sz w:val="20"/>
          <w:szCs w:val="20"/>
          <w:color w:val="auto"/>
        </w:rPr>
      </w:pPr>
    </w:p>
    <w:p>
      <w:pPr>
        <w:ind w:left="540" w:right="260" w:hanging="424"/>
        <w:spacing w:after="0" w:line="183" w:lineRule="auto"/>
        <w:tabs>
          <w:tab w:leader="none" w:pos="540" w:val="left"/>
        </w:tabs>
        <w:numPr>
          <w:ilvl w:val="0"/>
          <w:numId w:val="93"/>
        </w:numPr>
        <w:rPr>
          <w:rFonts w:ascii="Arial" w:cs="Arial" w:eastAsia="Arial" w:hAnsi="Arial"/>
          <w:sz w:val="24"/>
          <w:szCs w:val="24"/>
          <w:color w:val="auto"/>
          <w:vertAlign w:val="superscript"/>
        </w:rPr>
      </w:pPr>
      <w:r>
        <w:rPr>
          <w:rFonts w:ascii="Arial" w:cs="Arial" w:eastAsia="Arial" w:hAnsi="Arial"/>
          <w:sz w:val="14"/>
          <w:szCs w:val="14"/>
          <w:color w:val="auto"/>
        </w:rPr>
        <w:t>Aggregate fees from PwC for audit or review services in accordance with the standards of the PCAOB and fees for services, such as statutory audits and review of documents filed with the SEC. Audit fees also include fees paid in connection with services required for compliance with Section 404 of the Sarbanes-Oxley Act.</w:t>
      </w:r>
    </w:p>
    <w:p>
      <w:pPr>
        <w:spacing w:after="0" w:line="71" w:lineRule="exact"/>
        <w:rPr>
          <w:rFonts w:ascii="Arial" w:cs="Arial" w:eastAsia="Arial" w:hAnsi="Arial"/>
          <w:sz w:val="24"/>
          <w:szCs w:val="24"/>
          <w:color w:val="auto"/>
          <w:vertAlign w:val="superscript"/>
        </w:rPr>
      </w:pPr>
    </w:p>
    <w:p>
      <w:pPr>
        <w:ind w:left="540" w:right="340" w:hanging="424"/>
        <w:spacing w:after="0" w:line="183" w:lineRule="auto"/>
        <w:tabs>
          <w:tab w:leader="none" w:pos="540" w:val="left"/>
        </w:tabs>
        <w:numPr>
          <w:ilvl w:val="0"/>
          <w:numId w:val="93"/>
        </w:numPr>
        <w:rPr>
          <w:rFonts w:ascii="Arial" w:cs="Arial" w:eastAsia="Arial" w:hAnsi="Arial"/>
          <w:sz w:val="24"/>
          <w:szCs w:val="24"/>
          <w:color w:val="auto"/>
          <w:vertAlign w:val="superscript"/>
        </w:rPr>
      </w:pPr>
      <w:r>
        <w:rPr>
          <w:rFonts w:ascii="Arial" w:cs="Arial" w:eastAsia="Arial" w:hAnsi="Arial"/>
          <w:sz w:val="14"/>
          <w:szCs w:val="14"/>
          <w:color w:val="auto"/>
        </w:rPr>
        <w:t>Aggregate fees from PwC for assurance and related services which primarily include due diligence on acquisition targets and services related to the divestiture of TransCore.</w:t>
      </w:r>
    </w:p>
    <w:p>
      <w:pPr>
        <w:spacing w:after="0" w:line="1" w:lineRule="exact"/>
        <w:rPr>
          <w:rFonts w:ascii="Arial" w:cs="Arial" w:eastAsia="Arial" w:hAnsi="Arial"/>
          <w:sz w:val="24"/>
          <w:szCs w:val="24"/>
          <w:color w:val="auto"/>
          <w:vertAlign w:val="superscript"/>
        </w:rPr>
      </w:pPr>
    </w:p>
    <w:p>
      <w:pPr>
        <w:ind w:left="540" w:hanging="424"/>
        <w:spacing w:after="0" w:line="211" w:lineRule="auto"/>
        <w:tabs>
          <w:tab w:leader="none" w:pos="540" w:val="left"/>
        </w:tabs>
        <w:numPr>
          <w:ilvl w:val="0"/>
          <w:numId w:val="93"/>
        </w:numPr>
        <w:rPr>
          <w:rFonts w:ascii="Arial" w:cs="Arial" w:eastAsia="Arial" w:hAnsi="Arial"/>
          <w:sz w:val="24"/>
          <w:szCs w:val="24"/>
          <w:color w:val="auto"/>
          <w:vertAlign w:val="superscript"/>
        </w:rPr>
      </w:pPr>
      <w:r>
        <w:rPr>
          <w:rFonts w:ascii="Arial" w:cs="Arial" w:eastAsia="Arial" w:hAnsi="Arial"/>
          <w:sz w:val="14"/>
          <w:szCs w:val="14"/>
          <w:color w:val="auto"/>
        </w:rPr>
        <w:t>Tax fees include tax compliance, assistance with tax audits, tax advice and tax planning data.</w:t>
      </w:r>
    </w:p>
    <w:p>
      <w:pPr>
        <w:spacing w:after="0" w:line="71" w:lineRule="exact"/>
        <w:rPr>
          <w:rFonts w:ascii="Arial" w:cs="Arial" w:eastAsia="Arial" w:hAnsi="Arial"/>
          <w:sz w:val="24"/>
          <w:szCs w:val="24"/>
          <w:color w:val="auto"/>
          <w:vertAlign w:val="superscript"/>
        </w:rPr>
      </w:pPr>
    </w:p>
    <w:p>
      <w:pPr>
        <w:ind w:left="540" w:hanging="424"/>
        <w:spacing w:after="0" w:line="189" w:lineRule="auto"/>
        <w:tabs>
          <w:tab w:leader="none" w:pos="540" w:val="left"/>
        </w:tabs>
        <w:numPr>
          <w:ilvl w:val="0"/>
          <w:numId w:val="93"/>
        </w:numPr>
        <w:rPr>
          <w:rFonts w:ascii="Arial" w:cs="Arial" w:eastAsia="Arial" w:hAnsi="Arial"/>
          <w:sz w:val="19"/>
          <w:szCs w:val="19"/>
          <w:color w:val="auto"/>
          <w:vertAlign w:val="superscript"/>
        </w:rPr>
      </w:pPr>
      <w:r>
        <w:rPr>
          <w:rFonts w:ascii="Arial" w:cs="Arial" w:eastAsia="Arial" w:hAnsi="Arial"/>
          <w:sz w:val="12"/>
          <w:szCs w:val="12"/>
          <w:color w:val="auto"/>
        </w:rPr>
        <w:t>All other fees include XBRL tagging services and transaction support.</w:t>
      </w:r>
    </w:p>
    <w:p>
      <w:pPr>
        <w:spacing w:after="0" w:line="16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As required by Section 10A(i)(1) of the Exchange Act, all audit and non-audit services to be performed by our independent registered public accounting firm must be approved in advance by the Audit Committee, subject to certain exceptions relating to non-audit services accounting for less than five percent of the total fees paid to our independent registered public accounting firm which are subsequently ratified by the Audit Committee. In addition, pursuant to Section 10A(i)(3) of the Exchange Act, as amended, the Audit Committee has established procedures by which the Chair of the Audit Committee may pre-approve such services, provided the Chair subsequently reports the details of the services to the full Audit Committee. All audit-related fees, tax fees and all other fees, as described in the table above, were approved by the Audit Committee.</w:t>
      </w:r>
    </w:p>
    <w:p>
      <w:pPr>
        <w:spacing w:after="0" w:line="200" w:lineRule="exact"/>
        <w:rPr>
          <w:sz w:val="20"/>
          <w:szCs w:val="20"/>
          <w:color w:val="auto"/>
        </w:rPr>
      </w:pPr>
    </w:p>
    <w:p>
      <w:pPr>
        <w:spacing w:after="0" w:line="220" w:lineRule="exact"/>
        <w:rPr>
          <w:sz w:val="20"/>
          <w:szCs w:val="20"/>
          <w:color w:val="auto"/>
        </w:rPr>
      </w:pPr>
    </w:p>
    <w:p>
      <w:pPr>
        <w:ind w:left="120" w:right="800"/>
        <w:spacing w:after="0" w:line="260" w:lineRule="auto"/>
        <w:rPr>
          <w:sz w:val="20"/>
          <w:szCs w:val="20"/>
          <w:color w:val="auto"/>
        </w:rPr>
      </w:pPr>
      <w:r>
        <w:rPr>
          <w:rFonts w:ascii="Arial" w:cs="Arial" w:eastAsia="Arial" w:hAnsi="Arial"/>
          <w:sz w:val="28"/>
          <w:szCs w:val="28"/>
          <w:color w:val="005CB9"/>
        </w:rPr>
        <w:t>PROPOSAL 3: RATIFICATION OF THE APPOINTMENT OF PRICEWATERHOUSECOOPERS LLP AS OUR INDEPENDENT REGISTERED PUBLIC ACCOUNTING FIRM FOR THE YEAR ENDING DECEMBER 31, 2022</w:t>
      </w:r>
    </w:p>
    <w:p>
      <w:pPr>
        <w:spacing w:after="0" w:line="288"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The Audit Committee has appointed PwC as our independent registered public accounting firm for the year ending December 31, 2022. Our Board of Directors recommends that the shareholders ratify this appointment. PwC has been our Company’s independent registered public accounting firm since May 2002. One or more representatives of PwC are expected to be present at the Annual Meeting and will be given the opportunity to make a statement if they so desire and respond to appropriate questions of shareholders in attendance. If this proposal does not pass, the selection of our independent registered public accounting firm will be reconsidered by the Audit Committee and the Board of Directors. Even if the proposal passes, the Audit Committee may decide to select another firm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136525</wp:posOffset>
            </wp:positionV>
            <wp:extent cx="7020560" cy="4622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020560" cy="462280"/>
                    </a:xfrm>
                    <a:prstGeom prst="rect">
                      <a:avLst/>
                    </a:prstGeom>
                    <a:noFill/>
                  </pic:spPr>
                </pic:pic>
              </a:graphicData>
            </a:graphic>
          </wp:anchor>
        </w:drawing>
      </w:r>
    </w:p>
    <w:p>
      <w:pPr>
        <w:spacing w:after="0" w:line="219" w:lineRule="exact"/>
        <w:rPr>
          <w:sz w:val="20"/>
          <w:szCs w:val="20"/>
          <w:color w:val="auto"/>
        </w:rPr>
      </w:pPr>
    </w:p>
    <w:p>
      <w:pPr>
        <w:ind w:left="560" w:right="520"/>
        <w:spacing w:after="0" w:line="253" w:lineRule="auto"/>
        <w:rPr>
          <w:sz w:val="20"/>
          <w:szCs w:val="20"/>
          <w:color w:val="auto"/>
        </w:rPr>
      </w:pPr>
      <w:r>
        <w:rPr>
          <w:rFonts w:ascii="Arial" w:cs="Arial" w:eastAsia="Arial" w:hAnsi="Arial"/>
          <w:sz w:val="18"/>
          <w:szCs w:val="18"/>
          <w:b w:val="1"/>
          <w:bCs w:val="1"/>
          <w:color w:val="auto"/>
        </w:rPr>
        <w:t>The Board of Directors recommends a vote “FOR” the approval of the ratification of the appointment of PricewaterhouseCoopers LLP as our independent registered public accounting firm for the year ending December 31, 2022.</w:t>
      </w:r>
    </w:p>
    <w:p>
      <w:pPr>
        <w:spacing w:after="0" w:line="178" w:lineRule="exact"/>
        <w:rPr>
          <w:sz w:val="20"/>
          <w:szCs w:val="20"/>
          <w:color w:val="auto"/>
        </w:rPr>
      </w:pPr>
    </w:p>
    <w:tbl>
      <w:tblPr>
        <w:tblLayout w:type="fixed"/>
        <w:tblInd w:w="6920" w:type="dxa"/>
        <w:tblCellMar>
          <w:top w:w="0" w:type="dxa"/>
          <w:left w:w="0" w:type="dxa"/>
          <w:bottom w:w="0" w:type="dxa"/>
          <w:right w:w="0" w:type="dxa"/>
        </w:tblCellMar>
      </w:tblPr>
      <w:tr>
        <w:trPr>
          <w:trHeight w:val="29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005CB9"/>
              </w:rPr>
              <w:t>51</w:t>
            </w:r>
          </w:p>
        </w:tc>
      </w:tr>
      <w:tr>
        <w:trPr>
          <w:trHeight w:val="101"/>
        </w:trPr>
        <w:tc>
          <w:tcPr>
            <w:tcW w:w="3900" w:type="dxa"/>
            <w:vAlign w:val="bottom"/>
            <w:tcBorders>
              <w:right w:val="single" w:sz="8" w:color="005CB9"/>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-205105</wp:posOffset>
            </wp:positionV>
            <wp:extent cx="428625"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ANNUAL MEETING AND VOTING INFORMATION</w:t>
      </w:r>
    </w:p>
    <w:p>
      <w:pPr>
        <w:spacing w:after="0" w:line="326"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Our Company is soliciting the enclosed proxy for use at the 2022 Annual Meeting of Shareholders. This Proxy Statement and the enclosed proxy card are being mailed or otherwise made available to shareholders on or about April 29, 2022.</w:t>
      </w:r>
    </w:p>
    <w:p>
      <w:pPr>
        <w:spacing w:after="0" w:line="198" w:lineRule="exact"/>
        <w:rPr>
          <w:sz w:val="20"/>
          <w:szCs w:val="20"/>
          <w:color w:val="auto"/>
        </w:rPr>
      </w:pPr>
    </w:p>
    <w:p>
      <w:pPr>
        <w:ind w:left="120" w:right="360"/>
        <w:spacing w:after="0" w:line="238" w:lineRule="auto"/>
        <w:rPr>
          <w:sz w:val="20"/>
          <w:szCs w:val="20"/>
          <w:color w:val="auto"/>
        </w:rPr>
      </w:pPr>
      <w:r>
        <w:rPr>
          <w:rFonts w:ascii="Arial" w:cs="Arial" w:eastAsia="Arial" w:hAnsi="Arial"/>
          <w:sz w:val="17"/>
          <w:szCs w:val="17"/>
          <w:color w:val="auto"/>
        </w:rPr>
        <w:t>We are concurrently mailing or making available to shareholders a copy of our 2021 Annual Report, which includes our Annual Report on Form 10-K for the fiscal year ended December 31, 2021. Our Annual Report on Form 10-K and its exhibits are available at www.sec.gov. Our 2021 Annual Report and Annual Report on Form 10-K are not part of these proxy soliciting materials.</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Proxy Statement contains important information for you to consider when deciding how to vote. Please read this information carefully.</w:t>
      </w:r>
    </w:p>
    <w:p>
      <w:pPr>
        <w:sectPr>
          <w:pgSz w:w="11900" w:h="16838" w:orient="portrait"/>
          <w:cols w:equalWidth="0" w:num="1">
            <w:col w:w="11100"/>
          </w:cols>
          <w:pgMar w:left="320" w:top="459" w:right="479" w:bottom="1440" w:gutter="0" w:footer="0" w:header="0"/>
        </w:sectPr>
      </w:pPr>
    </w:p>
    <w:p>
      <w:pPr>
        <w:ind w:left="120"/>
        <w:spacing w:after="0" w:line="234" w:lineRule="auto"/>
        <w:rPr>
          <w:sz w:val="20"/>
          <w:szCs w:val="20"/>
          <w:color w:val="auto"/>
        </w:rPr>
      </w:pPr>
      <w:r>
        <w:rPr>
          <w:rFonts w:ascii="Arial" w:cs="Arial" w:eastAsia="Arial" w:hAnsi="Arial"/>
          <w:sz w:val="57"/>
          <w:szCs w:val="57"/>
          <w:b w:val="1"/>
          <w:bCs w:val="1"/>
          <w:color w:val="005CB9"/>
          <w:vertAlign w:val="subscript"/>
        </w:rPr>
        <w:t>Q:</w:t>
      </w:r>
      <w:r>
        <w:rPr>
          <w:rFonts w:ascii="Arial" w:cs="Arial" w:eastAsia="Arial" w:hAnsi="Arial"/>
          <w:sz w:val="22"/>
          <w:szCs w:val="22"/>
          <w:b w:val="1"/>
          <w:bCs w:val="1"/>
          <w:color w:val="005CB9"/>
        </w:rPr>
        <w:t xml:space="preserve"> When is the Annual Meeting?</w:t>
      </w:r>
    </w:p>
    <w:p>
      <w:pPr>
        <w:ind w:left="120"/>
        <w:spacing w:after="0"/>
        <w:tabs>
          <w:tab w:leader="none" w:pos="480" w:val="left"/>
        </w:tabs>
        <w:rPr>
          <w:sz w:val="20"/>
          <w:szCs w:val="20"/>
          <w:color w:val="auto"/>
        </w:rPr>
      </w:pPr>
      <w:r>
        <w:rPr>
          <w:rFonts w:ascii="Arial" w:cs="Arial" w:eastAsia="Arial" w:hAnsi="Arial"/>
          <w:sz w:val="47"/>
          <w:szCs w:val="47"/>
          <w:color w:val="005CB9"/>
          <w:vertAlign w:val="subscript"/>
        </w:rPr>
        <w:t>A:</w:t>
      </w:r>
      <w:r>
        <w:rPr>
          <w:sz w:val="20"/>
          <w:szCs w:val="20"/>
          <w:color w:val="auto"/>
        </w:rPr>
        <w:tab/>
      </w:r>
      <w:r>
        <w:rPr>
          <w:rFonts w:ascii="Arial" w:cs="Arial" w:eastAsia="Arial" w:hAnsi="Arial"/>
          <w:sz w:val="17"/>
          <w:szCs w:val="17"/>
          <w:b w:val="1"/>
          <w:bCs w:val="1"/>
          <w:i w:val="1"/>
          <w:iCs w:val="1"/>
          <w:color w:val="auto"/>
        </w:rPr>
        <w:t>Date &amp; Time:</w:t>
      </w:r>
    </w:p>
    <w:p>
      <w:pPr>
        <w:spacing w:after="0" w:line="2" w:lineRule="exact"/>
        <w:rPr>
          <w:sz w:val="20"/>
          <w:szCs w:val="20"/>
          <w:color w:val="auto"/>
        </w:rPr>
      </w:pPr>
    </w:p>
    <w:p>
      <w:pPr>
        <w:ind w:left="520" w:right="380"/>
        <w:spacing w:after="0" w:line="243" w:lineRule="auto"/>
        <w:rPr>
          <w:sz w:val="20"/>
          <w:szCs w:val="20"/>
          <w:color w:val="auto"/>
        </w:rPr>
      </w:pPr>
      <w:r>
        <w:rPr>
          <w:rFonts w:ascii="Arial" w:cs="Arial" w:eastAsia="Arial" w:hAnsi="Arial"/>
          <w:sz w:val="17"/>
          <w:szCs w:val="17"/>
          <w:color w:val="auto"/>
        </w:rPr>
        <w:t>Monday, June 15, 2022 at 9:00 a.m. (local time) (and at any postponement or adjournments thereof)</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Place:</w:t>
      </w:r>
    </w:p>
    <w:p>
      <w:pPr>
        <w:ind w:left="520"/>
        <w:spacing w:after="0" w:line="232" w:lineRule="auto"/>
        <w:rPr>
          <w:sz w:val="20"/>
          <w:szCs w:val="20"/>
          <w:color w:val="auto"/>
        </w:rPr>
      </w:pPr>
      <w:r>
        <w:rPr>
          <w:rFonts w:ascii="Arial" w:cs="Arial" w:eastAsia="Arial" w:hAnsi="Arial"/>
          <w:sz w:val="17"/>
          <w:szCs w:val="17"/>
          <w:color w:val="auto"/>
        </w:rPr>
        <w:t>DoubleTree by Hilton Hotel Chicago -</w:t>
      </w:r>
    </w:p>
    <w:p>
      <w:pPr>
        <w:ind w:left="520"/>
        <w:spacing w:after="0" w:line="232" w:lineRule="auto"/>
        <w:rPr>
          <w:sz w:val="20"/>
          <w:szCs w:val="20"/>
          <w:color w:val="auto"/>
        </w:rPr>
      </w:pPr>
      <w:r>
        <w:rPr>
          <w:rFonts w:ascii="Arial" w:cs="Arial" w:eastAsia="Arial" w:hAnsi="Arial"/>
          <w:sz w:val="17"/>
          <w:szCs w:val="17"/>
          <w:color w:val="auto"/>
        </w:rPr>
        <w:t>Magnificent Mile</w:t>
      </w:r>
    </w:p>
    <w:p>
      <w:pPr>
        <w:ind w:left="520"/>
        <w:spacing w:after="0" w:line="232" w:lineRule="auto"/>
        <w:rPr>
          <w:sz w:val="20"/>
          <w:szCs w:val="20"/>
          <w:color w:val="auto"/>
        </w:rPr>
      </w:pPr>
      <w:r>
        <w:rPr>
          <w:rFonts w:ascii="Arial" w:cs="Arial" w:eastAsia="Arial" w:hAnsi="Arial"/>
          <w:sz w:val="17"/>
          <w:szCs w:val="17"/>
          <w:color w:val="auto"/>
        </w:rPr>
        <w:t>300 E. Ohio St.</w:t>
      </w:r>
    </w:p>
    <w:p>
      <w:pPr>
        <w:ind w:left="520"/>
        <w:spacing w:after="0"/>
        <w:rPr>
          <w:sz w:val="20"/>
          <w:szCs w:val="20"/>
          <w:color w:val="auto"/>
        </w:rPr>
      </w:pPr>
      <w:r>
        <w:rPr>
          <w:rFonts w:ascii="Arial" w:cs="Arial" w:eastAsia="Arial" w:hAnsi="Arial"/>
          <w:sz w:val="17"/>
          <w:szCs w:val="17"/>
          <w:color w:val="auto"/>
        </w:rPr>
        <w:t>Chicago, Illinois 60611</w:t>
      </w:r>
    </w:p>
    <w:p>
      <w:pPr>
        <w:ind w:left="120"/>
        <w:spacing w:after="0" w:line="214" w:lineRule="auto"/>
        <w:rPr>
          <w:sz w:val="20"/>
          <w:szCs w:val="20"/>
          <w:color w:val="auto"/>
        </w:rPr>
      </w:pPr>
      <w:r>
        <w:rPr>
          <w:rFonts w:ascii="Arial" w:cs="Arial" w:eastAsia="Arial" w:hAnsi="Arial"/>
          <w:sz w:val="57"/>
          <w:szCs w:val="57"/>
          <w:b w:val="1"/>
          <w:bCs w:val="1"/>
          <w:color w:val="005CB9"/>
          <w:vertAlign w:val="subscript"/>
        </w:rPr>
        <w:t>Q:</w:t>
      </w:r>
      <w:r>
        <w:rPr>
          <w:rFonts w:ascii="Arial" w:cs="Arial" w:eastAsia="Arial" w:hAnsi="Arial"/>
          <w:sz w:val="22"/>
          <w:szCs w:val="22"/>
          <w:b w:val="1"/>
          <w:bCs w:val="1"/>
          <w:color w:val="005CB9"/>
        </w:rPr>
        <w:t xml:space="preserve"> What is the purpose of this meeting?</w:t>
      </w:r>
    </w:p>
    <w:p>
      <w:pPr>
        <w:spacing w:after="0" w:line="111" w:lineRule="exact"/>
        <w:rPr>
          <w:sz w:val="20"/>
          <w:szCs w:val="20"/>
          <w:color w:val="auto"/>
        </w:rPr>
      </w:pPr>
    </w:p>
    <w:p>
      <w:pPr>
        <w:ind w:left="500" w:right="80" w:hanging="379"/>
        <w:spacing w:after="0" w:line="195" w:lineRule="auto"/>
        <w:tabs>
          <w:tab w:leader="none" w:pos="480" w:val="left"/>
        </w:tabs>
        <w:rPr>
          <w:sz w:val="20"/>
          <w:szCs w:val="20"/>
          <w:color w:val="auto"/>
        </w:rPr>
      </w:pPr>
      <w:r>
        <w:rPr>
          <w:rFonts w:ascii="Arial" w:cs="Arial" w:eastAsia="Arial" w:hAnsi="Arial"/>
          <w:sz w:val="25"/>
          <w:szCs w:val="25"/>
          <w:color w:val="005CB9"/>
        </w:rPr>
        <w:t>A:</w:t>
      </w:r>
      <w:r>
        <w:rPr>
          <w:sz w:val="20"/>
          <w:szCs w:val="20"/>
          <w:color w:val="auto"/>
        </w:rPr>
        <w:tab/>
      </w:r>
      <w:r>
        <w:rPr>
          <w:rFonts w:ascii="Arial" w:cs="Arial" w:eastAsia="Arial" w:hAnsi="Arial"/>
          <w:sz w:val="17"/>
          <w:szCs w:val="17"/>
          <w:color w:val="auto"/>
        </w:rPr>
        <w:t>This is the Annual Meeting of our shareholders. At this meeting, we will be voting on the following matters:</w:t>
      </w:r>
    </w:p>
    <w:p>
      <w:pPr>
        <w:spacing w:after="0" w:line="107" w:lineRule="exact"/>
        <w:rPr>
          <w:sz w:val="20"/>
          <w:szCs w:val="20"/>
          <w:color w:val="auto"/>
        </w:rPr>
      </w:pPr>
    </w:p>
    <w:p>
      <w:pPr>
        <w:ind w:left="880" w:hanging="373"/>
        <w:spacing w:after="0"/>
        <w:tabs>
          <w:tab w:leader="none" w:pos="8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election of nine directors;</w:t>
      </w:r>
    </w:p>
    <w:p>
      <w:pPr>
        <w:spacing w:after="0" w:line="115" w:lineRule="exact"/>
        <w:rPr>
          <w:rFonts w:ascii="Arial" w:cs="Arial" w:eastAsia="Arial" w:hAnsi="Arial"/>
          <w:sz w:val="17"/>
          <w:szCs w:val="17"/>
          <w:color w:val="auto"/>
        </w:rPr>
      </w:pPr>
    </w:p>
    <w:p>
      <w:pPr>
        <w:ind w:left="880" w:right="660" w:hanging="373"/>
        <w:spacing w:after="0" w:line="243" w:lineRule="auto"/>
        <w:tabs>
          <w:tab w:leader="none" w:pos="8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Approval of, on a non-binding advisory basis, the compensation of our named executive officers; and</w:t>
      </w:r>
    </w:p>
    <w:p>
      <w:pPr>
        <w:spacing w:after="0" w:line="103" w:lineRule="exact"/>
        <w:rPr>
          <w:rFonts w:ascii="Arial" w:cs="Arial" w:eastAsia="Arial" w:hAnsi="Arial"/>
          <w:sz w:val="17"/>
          <w:szCs w:val="17"/>
          <w:color w:val="auto"/>
        </w:rPr>
      </w:pPr>
    </w:p>
    <w:p>
      <w:pPr>
        <w:ind w:left="880" w:right="60" w:hanging="373"/>
        <w:spacing w:after="0" w:line="238" w:lineRule="auto"/>
        <w:tabs>
          <w:tab w:leader="none" w:pos="8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Ratification of the appointment of PricewaterhouseCoopers LLP as our independent registered public accounting firm for 2022.</w:t>
      </w:r>
    </w:p>
    <w:p>
      <w:pPr>
        <w:spacing w:after="0" w:line="93" w:lineRule="exact"/>
        <w:rPr>
          <w:sz w:val="20"/>
          <w:szCs w:val="20"/>
          <w:color w:val="auto"/>
        </w:rPr>
      </w:pPr>
    </w:p>
    <w:p>
      <w:pPr>
        <w:ind w:left="520" w:right="20"/>
        <w:spacing w:after="0" w:line="235" w:lineRule="auto"/>
        <w:rPr>
          <w:sz w:val="20"/>
          <w:szCs w:val="20"/>
          <w:color w:val="auto"/>
        </w:rPr>
      </w:pPr>
      <w:r>
        <w:rPr>
          <w:rFonts w:ascii="Arial" w:cs="Arial" w:eastAsia="Arial" w:hAnsi="Arial"/>
          <w:sz w:val="17"/>
          <w:szCs w:val="17"/>
          <w:color w:val="auto"/>
        </w:rPr>
        <w:t>Our Board of Directors strongly encourages you to exercise your right to vote on these matters. Your vote is important. Voting early by Internet, telephone or mailing proxy or voting instruction card helps ensure that we receive a quorum of shares necessary to hold the meeting.</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right="1000" w:hanging="391"/>
        <w:spacing w:after="0" w:line="192" w:lineRule="auto"/>
        <w:rPr>
          <w:sz w:val="20"/>
          <w:szCs w:val="20"/>
          <w:color w:val="auto"/>
        </w:rPr>
      </w:pPr>
      <w:r>
        <w:rPr>
          <w:rFonts w:ascii="Arial" w:cs="Arial" w:eastAsia="Arial" w:hAnsi="Arial"/>
          <w:sz w:val="29"/>
          <w:szCs w:val="29"/>
          <w:b w:val="1"/>
          <w:bCs w:val="1"/>
          <w:color w:val="005CB9"/>
        </w:rPr>
        <w:t xml:space="preserve">Q: </w:t>
      </w:r>
      <w:r>
        <w:rPr>
          <w:rFonts w:ascii="Arial" w:cs="Arial" w:eastAsia="Arial" w:hAnsi="Arial"/>
          <w:sz w:val="21"/>
          <w:szCs w:val="21"/>
          <w:b w:val="1"/>
          <w:bCs w:val="1"/>
          <w:color w:val="005CB9"/>
        </w:rPr>
        <w:t>What happens if additional matters are</w:t>
      </w:r>
      <w:r>
        <w:rPr>
          <w:rFonts w:ascii="Arial" w:cs="Arial" w:eastAsia="Arial" w:hAnsi="Arial"/>
          <w:sz w:val="29"/>
          <w:szCs w:val="29"/>
          <w:b w:val="1"/>
          <w:bCs w:val="1"/>
          <w:color w:val="005CB9"/>
        </w:rPr>
        <w:t xml:space="preserve"> </w:t>
      </w:r>
      <w:r>
        <w:rPr>
          <w:rFonts w:ascii="Arial" w:cs="Arial" w:eastAsia="Arial" w:hAnsi="Arial"/>
          <w:sz w:val="21"/>
          <w:szCs w:val="21"/>
          <w:b w:val="1"/>
          <w:bCs w:val="1"/>
          <w:color w:val="005CB9"/>
        </w:rPr>
        <w:t>presented at the Annual Meeting?</w:t>
      </w:r>
    </w:p>
    <w:p>
      <w:pPr>
        <w:spacing w:after="0" w:line="108" w:lineRule="exact"/>
        <w:rPr>
          <w:sz w:val="20"/>
          <w:szCs w:val="20"/>
          <w:color w:val="auto"/>
        </w:rPr>
      </w:pPr>
    </w:p>
    <w:p>
      <w:pPr>
        <w:ind w:hanging="379"/>
        <w:spacing w:after="0" w:line="221" w:lineRule="auto"/>
        <w:rPr>
          <w:sz w:val="20"/>
          <w:szCs w:val="20"/>
          <w:color w:val="auto"/>
        </w:rPr>
      </w:pPr>
      <w:r>
        <w:rPr>
          <w:rFonts w:ascii="Arial" w:cs="Arial" w:eastAsia="Arial" w:hAnsi="Arial"/>
          <w:sz w:val="25"/>
          <w:szCs w:val="25"/>
          <w:color w:val="005CB9"/>
        </w:rPr>
        <w:t>A.</w:t>
      </w:r>
      <w:r>
        <w:rPr>
          <w:sz w:val="20"/>
          <w:szCs w:val="20"/>
          <w:color w:val="auto"/>
        </w:rPr>
        <w:t xml:space="preserve"> </w:t>
      </w:r>
      <w:r>
        <w:rPr>
          <w:rFonts w:ascii="Arial" w:cs="Arial" w:eastAsia="Arial" w:hAnsi="Arial"/>
          <w:sz w:val="17"/>
          <w:szCs w:val="17"/>
          <w:color w:val="auto"/>
        </w:rPr>
        <w:t>We are not aware of any matters to be acted upon at the Annual Meeting other than the proposals described in this Proxy Statement. The Board of Directors has named Michael R. Peterson and John K. Stipancich as proxy holders for this Annual Meeting. If for any reason a director nominee is not available as a candidate, the proxy holders may vote your shares for another candidate who may be nominated by the Board, or the Board may reduce its size.</w:t>
      </w:r>
    </w:p>
    <w:p>
      <w:pPr>
        <w:spacing w:after="0" w:line="95"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All shares of our common stock represented by properly executed and unrevoked proxies will be voted by the person named as proxy holder in accordance with the instruction given. If no instructions are indicated on a proxy, properly executed proxies will be voted as follows: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FOR </w:t>
      </w:r>
      <w:r>
        <w:rPr>
          <w:rFonts w:ascii="Arial" w:cs="Arial" w:eastAsia="Arial" w:hAnsi="Arial"/>
          <w:sz w:val="17"/>
          <w:szCs w:val="17"/>
          <w:color w:val="auto"/>
        </w:rPr>
        <w:t>each director nominee;</w:t>
      </w:r>
    </w:p>
    <w:p>
      <w:pPr>
        <w:spacing w:after="0" w:line="102"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b w:val="1"/>
          <w:bCs w:val="1"/>
          <w:i w:val="1"/>
          <w:iCs w:val="1"/>
          <w:color w:val="auto"/>
        </w:rPr>
        <w:t xml:space="preserve">FOR </w:t>
      </w:r>
      <w:r>
        <w:rPr>
          <w:rFonts w:ascii="Arial" w:cs="Arial" w:eastAsia="Arial" w:hAnsi="Arial"/>
          <w:sz w:val="17"/>
          <w:szCs w:val="17"/>
          <w:color w:val="auto"/>
        </w:rPr>
        <w:t>the approval of the compensation of our named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and</w:t>
      </w:r>
    </w:p>
    <w:p>
      <w:pPr>
        <w:spacing w:after="0" w:line="51"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b w:val="1"/>
          <w:bCs w:val="1"/>
          <w:i w:val="1"/>
          <w:iCs w:val="1"/>
          <w:color w:val="auto"/>
        </w:rPr>
        <w:t xml:space="preserve">FOR </w:t>
      </w:r>
      <w:r>
        <w:rPr>
          <w:rFonts w:ascii="Arial" w:cs="Arial" w:eastAsia="Arial" w:hAnsi="Arial"/>
          <w:sz w:val="17"/>
          <w:szCs w:val="17"/>
          <w:color w:val="auto"/>
        </w:rPr>
        <w:t>the appointment of PricewaterhouseCoopers LLP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registered public accounting firm for 2022.</w:t>
      </w:r>
    </w:p>
    <w:p>
      <w:pPr>
        <w:spacing w:after="0" w:line="1552" w:lineRule="exact"/>
        <w:rPr>
          <w:sz w:val="20"/>
          <w:szCs w:val="20"/>
          <w:color w:val="auto"/>
        </w:rPr>
      </w:pPr>
    </w:p>
    <w:p>
      <w:pPr>
        <w:sectPr>
          <w:pgSz w:w="11900" w:h="16838" w:orient="portrait"/>
          <w:cols w:equalWidth="0" w:num="2">
            <w:col w:w="5400" w:space="720"/>
            <w:col w:w="4980"/>
          </w:cols>
          <w:pgMar w:left="320" w:top="459" w:right="479" w:bottom="1440" w:gutter="0" w:footer="0" w:header="0"/>
          <w:type w:val="continuous"/>
        </w:sectPr>
      </w:pPr>
    </w:p>
    <w:p>
      <w:pPr>
        <w:spacing w:after="0" w:line="91"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440" w:type="dxa"/>
            <w:vAlign w:val="bottom"/>
            <w:tcBorders>
              <w:right w:val="single" w:sz="8" w:color="005CB9"/>
            </w:tcBorders>
          </w:tcPr>
          <w:p>
            <w:pPr>
              <w:jc w:val="right"/>
              <w:ind w:right="179"/>
              <w:spacing w:after="0"/>
              <w:rPr>
                <w:sz w:val="20"/>
                <w:szCs w:val="20"/>
                <w:color w:val="auto"/>
              </w:rPr>
            </w:pPr>
            <w:r>
              <w:rPr>
                <w:rFonts w:ascii="Arial" w:cs="Arial" w:eastAsia="Arial" w:hAnsi="Arial"/>
                <w:sz w:val="16"/>
                <w:szCs w:val="16"/>
                <w:b w:val="1"/>
                <w:bCs w:val="1"/>
                <w:color w:val="005CB9"/>
                <w:w w:val="89"/>
              </w:rPr>
              <w:t>52</w:t>
            </w:r>
          </w:p>
        </w:tc>
        <w:tc>
          <w:tcPr>
            <w:tcW w:w="4700" w:type="dxa"/>
            <w:vAlign w:val="bottom"/>
          </w:tcPr>
          <w:p>
            <w:pPr>
              <w:ind w:left="106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0"/>
        </w:trPr>
        <w:tc>
          <w:tcPr>
            <w:tcW w:w="440" w:type="dxa"/>
            <w:vAlign w:val="bottom"/>
            <w:tcBorders>
              <w:right w:val="single" w:sz="8" w:color="005CB9"/>
            </w:tcBorders>
          </w:tcPr>
          <w:p>
            <w:pPr>
              <w:spacing w:after="0"/>
              <w:rPr>
                <w:sz w:val="8"/>
                <w:szCs w:val="8"/>
                <w:color w:val="auto"/>
              </w:rPr>
            </w:pPr>
          </w:p>
        </w:tc>
        <w:tc>
          <w:tcPr>
            <w:tcW w:w="47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-205105</wp:posOffset>
            </wp:positionV>
            <wp:extent cx="428625" cy="171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120"/>
        <w:spacing w:after="0"/>
        <w:rPr>
          <w:sz w:val="20"/>
          <w:szCs w:val="20"/>
          <w:color w:val="auto"/>
        </w:rPr>
      </w:pPr>
      <w:r>
        <w:rPr>
          <w:rFonts w:ascii="Arial" w:cs="Arial" w:eastAsia="Arial" w:hAnsi="Arial"/>
          <w:sz w:val="57"/>
          <w:szCs w:val="57"/>
          <w:b w:val="1"/>
          <w:bCs w:val="1"/>
          <w:color w:val="005CB9"/>
          <w:vertAlign w:val="subscript"/>
        </w:rPr>
        <w:t>Q:</w:t>
      </w:r>
      <w:r>
        <w:rPr>
          <w:rFonts w:ascii="Arial" w:cs="Arial" w:eastAsia="Arial" w:hAnsi="Arial"/>
          <w:sz w:val="22"/>
          <w:szCs w:val="22"/>
          <w:b w:val="1"/>
          <w:bCs w:val="1"/>
          <w:color w:val="005CB9"/>
        </w:rPr>
        <w:t xml:space="preserve"> Who may vote at the Annual Meeting?</w:t>
      </w:r>
    </w:p>
    <w:p>
      <w:pPr>
        <w:spacing w:after="0" w:line="148" w:lineRule="exact"/>
        <w:rPr>
          <w:sz w:val="20"/>
          <w:szCs w:val="20"/>
          <w:color w:val="auto"/>
        </w:rPr>
      </w:pPr>
    </w:p>
    <w:p>
      <w:pPr>
        <w:ind w:left="500" w:right="20" w:hanging="379"/>
        <w:spacing w:after="0" w:line="215" w:lineRule="auto"/>
        <w:tabs>
          <w:tab w:leader="none" w:pos="480" w:val="left"/>
        </w:tabs>
        <w:rPr>
          <w:sz w:val="20"/>
          <w:szCs w:val="20"/>
          <w:color w:val="auto"/>
        </w:rPr>
      </w:pPr>
      <w:r>
        <w:rPr>
          <w:rFonts w:ascii="Arial" w:cs="Arial" w:eastAsia="Arial" w:hAnsi="Arial"/>
          <w:sz w:val="25"/>
          <w:szCs w:val="25"/>
          <w:color w:val="005CB9"/>
        </w:rPr>
        <w:t>A:</w:t>
      </w:r>
      <w:r>
        <w:rPr>
          <w:sz w:val="20"/>
          <w:szCs w:val="20"/>
          <w:color w:val="auto"/>
        </w:rPr>
        <w:tab/>
      </w:r>
      <w:r>
        <w:rPr>
          <w:rFonts w:ascii="Arial" w:cs="Arial" w:eastAsia="Arial" w:hAnsi="Arial"/>
          <w:sz w:val="17"/>
          <w:szCs w:val="17"/>
          <w:color w:val="auto"/>
        </w:rPr>
        <w:t>Only shareholders of record at the close of business on the record date will be entitled to vote at the Annual Meeting or any postponed or adjourned meeting, and these shareholders will be entitled to vote whether or not they have transferred any of their shares of Roper common stock since that date.</w:t>
      </w:r>
    </w:p>
    <w:p>
      <w:pPr>
        <w:ind w:left="120"/>
        <w:spacing w:after="0" w:line="211" w:lineRule="auto"/>
        <w:rPr>
          <w:sz w:val="20"/>
          <w:szCs w:val="20"/>
          <w:color w:val="auto"/>
        </w:rPr>
      </w:pPr>
      <w:r>
        <w:rPr>
          <w:rFonts w:ascii="Arial" w:cs="Arial" w:eastAsia="Arial" w:hAnsi="Arial"/>
          <w:sz w:val="57"/>
          <w:szCs w:val="57"/>
          <w:b w:val="1"/>
          <w:bCs w:val="1"/>
          <w:color w:val="005CB9"/>
          <w:vertAlign w:val="subscript"/>
        </w:rPr>
        <w:t>Q:</w:t>
      </w:r>
      <w:r>
        <w:rPr>
          <w:rFonts w:ascii="Arial" w:cs="Arial" w:eastAsia="Arial" w:hAnsi="Arial"/>
          <w:sz w:val="22"/>
          <w:szCs w:val="22"/>
          <w:b w:val="1"/>
          <w:bCs w:val="1"/>
          <w:color w:val="005CB9"/>
        </w:rPr>
        <w:t xml:space="preserve"> What is the record date?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25"/>
          <w:szCs w:val="25"/>
          <w:color w:val="005CB9"/>
        </w:rPr>
        <w:t xml:space="preserve">A: </w:t>
      </w:r>
      <w:r>
        <w:rPr>
          <w:rFonts w:ascii="Arial" w:cs="Arial" w:eastAsia="Arial" w:hAnsi="Arial"/>
          <w:sz w:val="17"/>
          <w:szCs w:val="17"/>
          <w:color w:val="000000"/>
        </w:rPr>
        <w:t>Our Board has established the close of business on April 20,</w:t>
      </w:r>
    </w:p>
    <w:p>
      <w:pPr>
        <w:ind w:left="500"/>
        <w:spacing w:after="0" w:line="232" w:lineRule="auto"/>
        <w:rPr>
          <w:sz w:val="20"/>
          <w:szCs w:val="20"/>
          <w:color w:val="auto"/>
        </w:rPr>
      </w:pPr>
      <w:r>
        <w:rPr>
          <w:rFonts w:ascii="Arial" w:cs="Arial" w:eastAsia="Arial" w:hAnsi="Arial"/>
          <w:sz w:val="17"/>
          <w:szCs w:val="17"/>
          <w:color w:val="auto"/>
        </w:rPr>
        <w:t>2022 as the record date to determine the shareholders of record</w:t>
      </w:r>
    </w:p>
    <w:p>
      <w:pPr>
        <w:ind w:left="500"/>
        <w:spacing w:after="0" w:line="232" w:lineRule="auto"/>
        <w:rPr>
          <w:sz w:val="20"/>
          <w:szCs w:val="20"/>
          <w:color w:val="auto"/>
        </w:rPr>
      </w:pPr>
      <w:r>
        <w:rPr>
          <w:rFonts w:ascii="Arial" w:cs="Arial" w:eastAsia="Arial" w:hAnsi="Arial"/>
          <w:sz w:val="17"/>
          <w:szCs w:val="17"/>
          <w:color w:val="auto"/>
        </w:rPr>
        <w:t>entitled to receive a notice of, and to vote at, our Annual Meeting</w:t>
      </w:r>
    </w:p>
    <w:p>
      <w:pPr>
        <w:ind w:left="500"/>
        <w:spacing w:after="0" w:line="232" w:lineRule="auto"/>
        <w:rPr>
          <w:sz w:val="20"/>
          <w:szCs w:val="20"/>
          <w:color w:val="auto"/>
        </w:rPr>
      </w:pPr>
      <w:r>
        <w:rPr>
          <w:rFonts w:ascii="Arial" w:cs="Arial" w:eastAsia="Arial" w:hAnsi="Arial"/>
          <w:sz w:val="17"/>
          <w:szCs w:val="17"/>
          <w:color w:val="auto"/>
        </w:rPr>
        <w:t>or any postponement or adjournment thereof. On the record</w:t>
      </w:r>
    </w:p>
    <w:p>
      <w:pPr>
        <w:ind w:left="500"/>
        <w:spacing w:after="0" w:line="232" w:lineRule="auto"/>
        <w:rPr>
          <w:sz w:val="20"/>
          <w:szCs w:val="20"/>
          <w:color w:val="auto"/>
        </w:rPr>
      </w:pPr>
      <w:r>
        <w:rPr>
          <w:rFonts w:ascii="Arial" w:cs="Arial" w:eastAsia="Arial" w:hAnsi="Arial"/>
          <w:sz w:val="17"/>
          <w:szCs w:val="17"/>
          <w:color w:val="auto"/>
        </w:rPr>
        <w:t>date, there were 105,884,841 shares of our common stock,</w:t>
      </w:r>
    </w:p>
    <w:p>
      <w:pPr>
        <w:ind w:left="500"/>
        <w:spacing w:after="0" w:line="232" w:lineRule="auto"/>
        <w:rPr>
          <w:sz w:val="20"/>
          <w:szCs w:val="20"/>
          <w:color w:val="auto"/>
        </w:rPr>
      </w:pPr>
      <w:r>
        <w:rPr>
          <w:rFonts w:ascii="Arial" w:cs="Arial" w:eastAsia="Arial" w:hAnsi="Arial"/>
          <w:sz w:val="17"/>
          <w:szCs w:val="17"/>
          <w:color w:val="auto"/>
        </w:rPr>
        <w:t>$0.01 par value, outstanding and entitled to vote. Each share of</w:t>
      </w:r>
    </w:p>
    <w:p>
      <w:pPr>
        <w:ind w:left="500"/>
        <w:spacing w:after="0" w:line="232" w:lineRule="auto"/>
        <w:rPr>
          <w:sz w:val="20"/>
          <w:szCs w:val="20"/>
          <w:color w:val="auto"/>
        </w:rPr>
      </w:pPr>
      <w:r>
        <w:rPr>
          <w:rFonts w:ascii="Arial" w:cs="Arial" w:eastAsia="Arial" w:hAnsi="Arial"/>
          <w:sz w:val="17"/>
          <w:szCs w:val="17"/>
          <w:color w:val="auto"/>
        </w:rPr>
        <w:t>our common stock is entitled to one vote that may be voted on</w:t>
      </w:r>
    </w:p>
    <w:p>
      <w:pPr>
        <w:ind w:left="500"/>
        <w:spacing w:after="0"/>
        <w:rPr>
          <w:sz w:val="20"/>
          <w:szCs w:val="20"/>
          <w:color w:val="auto"/>
        </w:rPr>
      </w:pPr>
      <w:r>
        <w:rPr>
          <w:rFonts w:ascii="Arial" w:cs="Arial" w:eastAsia="Arial" w:hAnsi="Arial"/>
          <w:sz w:val="17"/>
          <w:szCs w:val="17"/>
          <w:color w:val="auto"/>
        </w:rPr>
        <w:t>each matter to be acted upon at this Annual Meeting.</w:t>
      </w:r>
    </w:p>
    <w:p>
      <w:pPr>
        <w:ind w:left="120"/>
        <w:spacing w:after="0" w:line="214" w:lineRule="auto"/>
        <w:rPr>
          <w:sz w:val="20"/>
          <w:szCs w:val="20"/>
          <w:color w:val="auto"/>
        </w:rPr>
      </w:pPr>
      <w:r>
        <w:rPr>
          <w:rFonts w:ascii="Arial" w:cs="Arial" w:eastAsia="Arial" w:hAnsi="Arial"/>
          <w:sz w:val="57"/>
          <w:szCs w:val="57"/>
          <w:b w:val="1"/>
          <w:bCs w:val="1"/>
          <w:color w:val="005CB9"/>
          <w:vertAlign w:val="subscript"/>
        </w:rPr>
        <w:t>Q:</w:t>
      </w:r>
      <w:r>
        <w:rPr>
          <w:rFonts w:ascii="Arial" w:cs="Arial" w:eastAsia="Arial" w:hAnsi="Arial"/>
          <w:sz w:val="22"/>
          <w:szCs w:val="22"/>
          <w:b w:val="1"/>
          <w:bCs w:val="1"/>
          <w:color w:val="005CB9"/>
        </w:rPr>
        <w:t xml:space="preserve"> What is a shareholder of record?</w:t>
      </w:r>
    </w:p>
    <w:p>
      <w:pPr>
        <w:spacing w:after="0" w:line="111" w:lineRule="exact"/>
        <w:rPr>
          <w:sz w:val="20"/>
          <w:szCs w:val="20"/>
          <w:color w:val="auto"/>
        </w:rPr>
      </w:pPr>
    </w:p>
    <w:p>
      <w:pPr>
        <w:ind w:left="500" w:right="160" w:hanging="379"/>
        <w:spacing w:after="0" w:line="218" w:lineRule="auto"/>
        <w:tabs>
          <w:tab w:leader="none" w:pos="480" w:val="left"/>
        </w:tabs>
        <w:rPr>
          <w:sz w:val="20"/>
          <w:szCs w:val="20"/>
          <w:color w:val="auto"/>
        </w:rPr>
      </w:pPr>
      <w:r>
        <w:rPr>
          <w:rFonts w:ascii="Arial" w:cs="Arial" w:eastAsia="Arial" w:hAnsi="Arial"/>
          <w:sz w:val="25"/>
          <w:szCs w:val="25"/>
          <w:color w:val="005CB9"/>
        </w:rPr>
        <w:t>A:</w:t>
      </w:r>
      <w:r>
        <w:rPr>
          <w:sz w:val="20"/>
          <w:szCs w:val="20"/>
          <w:color w:val="auto"/>
        </w:rPr>
        <w:tab/>
      </w:r>
      <w:r>
        <w:rPr>
          <w:rFonts w:ascii="Arial" w:cs="Arial" w:eastAsia="Arial" w:hAnsi="Arial"/>
          <w:sz w:val="17"/>
          <w:szCs w:val="17"/>
          <w:color w:val="auto"/>
        </w:rPr>
        <w:t>A shareholder of record or a registered shareholder is a shareholder whose ownership of Roper Technologies, Inc. common stock is reflected directly on the books and records of our transfer agent, Computershare Trust Company, N.A. If you are a shareholder of record, we are providing these materials directly to you.</w:t>
      </w:r>
    </w:p>
    <w:p>
      <w:pPr>
        <w:spacing w:after="0" w:line="93" w:lineRule="exact"/>
        <w:rPr>
          <w:sz w:val="20"/>
          <w:szCs w:val="20"/>
          <w:color w:val="auto"/>
        </w:rPr>
      </w:pPr>
    </w:p>
    <w:p>
      <w:pPr>
        <w:ind w:left="520"/>
        <w:spacing w:after="0" w:line="234" w:lineRule="auto"/>
        <w:rPr>
          <w:sz w:val="20"/>
          <w:szCs w:val="20"/>
          <w:color w:val="auto"/>
        </w:rPr>
      </w:pPr>
      <w:r>
        <w:rPr>
          <w:rFonts w:ascii="Arial" w:cs="Arial" w:eastAsia="Arial" w:hAnsi="Arial"/>
          <w:sz w:val="17"/>
          <w:szCs w:val="17"/>
          <w:color w:val="auto"/>
        </w:rPr>
        <w:t>If you hold your shares of common stock through a bank, broker, or other intermediary, you are considered the “beneficial owner” of those shares held in “street name,” and you are not a shareholder of record. The shareholder of record of the shares is your bank, broker, or other intermediary. If your shares are held in street name, these proxy materials have been forwarded to you by your bank, broker, or other intermediary. As the beneficial owner, you have the right to instruct that institution on how to vote the shares you beneficially own.</w:t>
      </w:r>
    </w:p>
    <w:p>
      <w:pPr>
        <w:ind w:left="120"/>
        <w:spacing w:after="0" w:line="211" w:lineRule="auto"/>
        <w:rPr>
          <w:sz w:val="20"/>
          <w:szCs w:val="20"/>
          <w:color w:val="auto"/>
        </w:rPr>
      </w:pPr>
      <w:r>
        <w:rPr>
          <w:rFonts w:ascii="Arial" w:cs="Arial" w:eastAsia="Arial" w:hAnsi="Arial"/>
          <w:sz w:val="57"/>
          <w:szCs w:val="57"/>
          <w:b w:val="1"/>
          <w:bCs w:val="1"/>
          <w:color w:val="005CB9"/>
          <w:vertAlign w:val="subscript"/>
        </w:rPr>
        <w:t>Q:</w:t>
      </w:r>
      <w:r>
        <w:rPr>
          <w:rFonts w:ascii="Arial" w:cs="Arial" w:eastAsia="Arial" w:hAnsi="Arial"/>
          <w:sz w:val="22"/>
          <w:szCs w:val="22"/>
          <w:b w:val="1"/>
          <w:bCs w:val="1"/>
          <w:color w:val="005CB9"/>
        </w:rPr>
        <w:t xml:space="preserve"> How can I submit my vote?</w:t>
      </w:r>
    </w:p>
    <w:p>
      <w:pPr>
        <w:spacing w:after="0" w:line="111" w:lineRule="exact"/>
        <w:rPr>
          <w:sz w:val="20"/>
          <w:szCs w:val="20"/>
          <w:color w:val="auto"/>
        </w:rPr>
      </w:pPr>
    </w:p>
    <w:p>
      <w:pPr>
        <w:ind w:left="500" w:right="200" w:hanging="379"/>
        <w:spacing w:after="0" w:line="206" w:lineRule="auto"/>
        <w:tabs>
          <w:tab w:leader="none" w:pos="480" w:val="left"/>
        </w:tabs>
        <w:rPr>
          <w:sz w:val="20"/>
          <w:szCs w:val="20"/>
          <w:color w:val="auto"/>
        </w:rPr>
      </w:pPr>
      <w:r>
        <w:rPr>
          <w:rFonts w:ascii="Arial" w:cs="Arial" w:eastAsia="Arial" w:hAnsi="Arial"/>
          <w:sz w:val="25"/>
          <w:szCs w:val="25"/>
          <w:color w:val="005CB9"/>
        </w:rPr>
        <w:t>A:</w:t>
      </w:r>
      <w:r>
        <w:rPr>
          <w:sz w:val="20"/>
          <w:szCs w:val="20"/>
          <w:color w:val="auto"/>
        </w:rPr>
        <w:tab/>
      </w:r>
      <w:r>
        <w:rPr>
          <w:rFonts w:ascii="Arial" w:cs="Arial" w:eastAsia="Arial" w:hAnsi="Arial"/>
          <w:sz w:val="17"/>
          <w:szCs w:val="17"/>
          <w:color w:val="auto"/>
        </w:rPr>
        <w:t>There are four ways to vote: by Internet, by telephone, by mail or in person. Submitting your proxy by Internet, telephone or mail will not affect your right to attend the Annual Meeting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ind w:left="380" w:right="160"/>
        <w:spacing w:after="0" w:line="243" w:lineRule="auto"/>
        <w:rPr>
          <w:sz w:val="20"/>
          <w:szCs w:val="20"/>
          <w:color w:val="auto"/>
        </w:rPr>
      </w:pPr>
      <w:r>
        <w:rPr>
          <w:rFonts w:ascii="Arial" w:cs="Arial" w:eastAsia="Arial" w:hAnsi="Arial"/>
          <w:sz w:val="17"/>
          <w:szCs w:val="17"/>
          <w:color w:val="auto"/>
        </w:rPr>
        <w:t>change your vote. Unless you are voting in person, your vote must be received by 11:59 p.m. Eastern Time on June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-821055</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3" w:lineRule="exact"/>
        <w:rPr>
          <w:sz w:val="20"/>
          <w:szCs w:val="20"/>
          <w:color w:val="auto"/>
        </w:rPr>
      </w:pPr>
    </w:p>
    <w:p>
      <w:pPr>
        <w:ind w:left="720" w:right="300" w:hanging="294"/>
        <w:spacing w:after="0" w:line="267" w:lineRule="auto"/>
        <w:tabs>
          <w:tab w:leader="none" w:pos="720"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 xml:space="preserve">By Internet. </w:t>
      </w:r>
      <w:r>
        <w:rPr>
          <w:rFonts w:ascii="Arial" w:cs="Arial" w:eastAsia="Arial" w:hAnsi="Arial"/>
          <w:sz w:val="17"/>
          <w:szCs w:val="17"/>
          <w:color w:val="auto"/>
        </w:rPr>
        <w:t>Have your proxy card available and log on to</w:t>
      </w:r>
      <w:r>
        <w:rPr>
          <w:rFonts w:ascii="Arial" w:cs="Arial" w:eastAsia="Arial" w:hAnsi="Arial"/>
          <w:sz w:val="17"/>
          <w:szCs w:val="17"/>
          <w:b w:val="1"/>
          <w:bCs w:val="1"/>
          <w:color w:val="auto"/>
        </w:rPr>
        <w:t xml:space="preserve"> </w:t>
      </w:r>
      <w:r>
        <w:rPr>
          <w:rFonts w:ascii="Arial" w:cs="Arial" w:eastAsia="Arial" w:hAnsi="Arial"/>
          <w:sz w:val="17"/>
          <w:szCs w:val="17"/>
          <w:color w:val="auto"/>
        </w:rPr>
        <w:t>www.proxypush.com/ROP.</w:t>
      </w:r>
    </w:p>
    <w:p>
      <w:pPr>
        <w:spacing w:after="0" w:line="24" w:lineRule="exact"/>
        <w:rPr>
          <w:rFonts w:ascii="Arial" w:cs="Arial" w:eastAsia="Arial" w:hAnsi="Arial"/>
          <w:sz w:val="17"/>
          <w:szCs w:val="17"/>
          <w:color w:val="auto"/>
        </w:rPr>
      </w:pPr>
    </w:p>
    <w:p>
      <w:pPr>
        <w:ind w:left="720" w:hanging="294"/>
        <w:spacing w:after="0"/>
        <w:tabs>
          <w:tab w:leader="none" w:pos="720"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 xml:space="preserve">By Telephone. </w:t>
      </w:r>
      <w:r>
        <w:rPr>
          <w:rFonts w:ascii="Arial" w:cs="Arial" w:eastAsia="Arial" w:hAnsi="Arial"/>
          <w:sz w:val="17"/>
          <w:szCs w:val="17"/>
          <w:color w:val="auto"/>
        </w:rPr>
        <w:t>Have your proxy card available and call</w:t>
      </w:r>
    </w:p>
    <w:p>
      <w:pPr>
        <w:spacing w:after="0" w:line="13" w:lineRule="exact"/>
        <w:rPr>
          <w:rFonts w:ascii="Arial" w:cs="Arial" w:eastAsia="Arial" w:hAnsi="Arial"/>
          <w:sz w:val="17"/>
          <w:szCs w:val="17"/>
          <w:color w:val="auto"/>
        </w:rPr>
      </w:pPr>
    </w:p>
    <w:p>
      <w:pPr>
        <w:ind w:left="720"/>
        <w:spacing w:after="0"/>
        <w:rPr>
          <w:rFonts w:ascii="Arial" w:cs="Arial" w:eastAsia="Arial" w:hAnsi="Arial"/>
          <w:sz w:val="17"/>
          <w:szCs w:val="17"/>
          <w:color w:val="auto"/>
        </w:rPr>
      </w:pPr>
      <w:r>
        <w:rPr>
          <w:rFonts w:ascii="Arial" w:cs="Arial" w:eastAsia="Arial" w:hAnsi="Arial"/>
          <w:sz w:val="17"/>
          <w:szCs w:val="17"/>
          <w:color w:val="auto"/>
        </w:rPr>
        <w:t>866-829-5176 toll free (US only) from a touchtone telephone.</w:t>
      </w:r>
    </w:p>
    <w:p>
      <w:pPr>
        <w:spacing w:after="0" w:line="54" w:lineRule="exact"/>
        <w:rPr>
          <w:rFonts w:ascii="Arial" w:cs="Arial" w:eastAsia="Arial" w:hAnsi="Arial"/>
          <w:sz w:val="17"/>
          <w:szCs w:val="17"/>
          <w:color w:val="auto"/>
        </w:rPr>
      </w:pPr>
    </w:p>
    <w:p>
      <w:pPr>
        <w:ind w:left="720" w:right="100" w:hanging="294"/>
        <w:spacing w:after="0" w:line="249" w:lineRule="auto"/>
        <w:tabs>
          <w:tab w:leader="none" w:pos="720"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 xml:space="preserve">By Mail. </w:t>
      </w:r>
      <w:r>
        <w:rPr>
          <w:rFonts w:ascii="Arial" w:cs="Arial" w:eastAsia="Arial" w:hAnsi="Arial"/>
          <w:sz w:val="17"/>
          <w:szCs w:val="17"/>
          <w:color w:val="auto"/>
        </w:rPr>
        <w:t>Mark, date, sign, and promptly mail the enclosed</w:t>
      </w:r>
      <w:r>
        <w:rPr>
          <w:rFonts w:ascii="Arial" w:cs="Arial" w:eastAsia="Arial" w:hAnsi="Arial"/>
          <w:sz w:val="17"/>
          <w:szCs w:val="17"/>
          <w:b w:val="1"/>
          <w:bCs w:val="1"/>
          <w:color w:val="auto"/>
        </w:rPr>
        <w:t xml:space="preserve"> </w:t>
      </w:r>
      <w:r>
        <w:rPr>
          <w:rFonts w:ascii="Arial" w:cs="Arial" w:eastAsia="Arial" w:hAnsi="Arial"/>
          <w:sz w:val="17"/>
          <w:szCs w:val="17"/>
          <w:color w:val="auto"/>
        </w:rPr>
        <w:t>proxy card in the postage-paid envelope provided for mailing in the United States.</w:t>
      </w:r>
    </w:p>
    <w:p>
      <w:pPr>
        <w:spacing w:after="0" w:line="39" w:lineRule="exact"/>
        <w:rPr>
          <w:rFonts w:ascii="Arial" w:cs="Arial" w:eastAsia="Arial" w:hAnsi="Arial"/>
          <w:sz w:val="17"/>
          <w:szCs w:val="17"/>
          <w:color w:val="auto"/>
        </w:rPr>
      </w:pPr>
    </w:p>
    <w:p>
      <w:pPr>
        <w:jc w:val="both"/>
        <w:ind w:left="720" w:right="240" w:hanging="294"/>
        <w:spacing w:after="0" w:line="244" w:lineRule="auto"/>
        <w:tabs>
          <w:tab w:leader="none" w:pos="720"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 xml:space="preserve">In Person. </w:t>
      </w:r>
      <w:r>
        <w:rPr>
          <w:rFonts w:ascii="Arial" w:cs="Arial" w:eastAsia="Arial" w:hAnsi="Arial"/>
          <w:sz w:val="17"/>
          <w:szCs w:val="17"/>
          <w:color w:val="auto"/>
        </w:rPr>
        <w:t>You may vote by ballot in person at the Annual</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Bring your proxy card if you received one by mail, otherwise we will provide shareholders of record a ballot at the Annual Meeting.</w:t>
      </w:r>
    </w:p>
    <w:p>
      <w:pPr>
        <w:spacing w:after="0" w:line="89" w:lineRule="exact"/>
        <w:rPr>
          <w:sz w:val="20"/>
          <w:szCs w:val="20"/>
          <w:color w:val="auto"/>
        </w:rPr>
      </w:pPr>
    </w:p>
    <w:p>
      <w:pPr>
        <w:ind w:left="380" w:right="20"/>
        <w:spacing w:after="0" w:line="234" w:lineRule="auto"/>
        <w:rPr>
          <w:sz w:val="20"/>
          <w:szCs w:val="20"/>
          <w:color w:val="auto"/>
        </w:rPr>
      </w:pPr>
      <w:r>
        <w:rPr>
          <w:rFonts w:ascii="Arial" w:cs="Arial" w:eastAsia="Arial" w:hAnsi="Arial"/>
          <w:sz w:val="17"/>
          <w:szCs w:val="17"/>
          <w:color w:val="auto"/>
        </w:rPr>
        <w:t>If your shares are held by a bank, broker, or other intermediary, that institution will provide voting instructions with the proxy materials. Please follow the voting instructions that you receive from that institution. Additionally, if you plan to vote in person at the Annual Meeting and your shares are held by a bank, broker, or other intermediary, you must obtain proof of stock ownership as of the record date and have a valid legal proxy from the institution that holds your shares.</w:t>
      </w:r>
    </w:p>
    <w:p>
      <w:pPr>
        <w:spacing w:after="0" w:line="211" w:lineRule="auto"/>
        <w:rPr>
          <w:sz w:val="20"/>
          <w:szCs w:val="20"/>
          <w:color w:val="auto"/>
        </w:rPr>
      </w:pPr>
      <w:r>
        <w:rPr>
          <w:rFonts w:ascii="Arial" w:cs="Arial" w:eastAsia="Arial" w:hAnsi="Arial"/>
          <w:sz w:val="57"/>
          <w:szCs w:val="57"/>
          <w:b w:val="1"/>
          <w:bCs w:val="1"/>
          <w:color w:val="005CB9"/>
          <w:vertAlign w:val="subscript"/>
        </w:rPr>
        <w:t>Q:</w:t>
      </w:r>
      <w:r>
        <w:rPr>
          <w:rFonts w:ascii="Arial" w:cs="Arial" w:eastAsia="Arial" w:hAnsi="Arial"/>
          <w:sz w:val="22"/>
          <w:szCs w:val="22"/>
          <w:b w:val="1"/>
          <w:bCs w:val="1"/>
          <w:color w:val="005CB9"/>
        </w:rPr>
        <w:t xml:space="preserve"> What is a broker non-vote?</w:t>
      </w:r>
    </w:p>
    <w:p>
      <w:pPr>
        <w:spacing w:after="0" w:line="113" w:lineRule="exact"/>
        <w:rPr>
          <w:sz w:val="20"/>
          <w:szCs w:val="20"/>
          <w:color w:val="auto"/>
        </w:rPr>
      </w:pPr>
    </w:p>
    <w:p>
      <w:pPr>
        <w:ind w:left="380" w:right="160" w:hanging="379"/>
        <w:spacing w:after="0" w:line="218" w:lineRule="auto"/>
        <w:tabs>
          <w:tab w:leader="none" w:pos="360" w:val="left"/>
        </w:tabs>
        <w:rPr>
          <w:sz w:val="20"/>
          <w:szCs w:val="20"/>
          <w:color w:val="auto"/>
        </w:rPr>
      </w:pPr>
      <w:r>
        <w:rPr>
          <w:rFonts w:ascii="Arial" w:cs="Arial" w:eastAsia="Arial" w:hAnsi="Arial"/>
          <w:sz w:val="25"/>
          <w:szCs w:val="25"/>
          <w:color w:val="005CB9"/>
        </w:rPr>
        <w:t>A:</w:t>
      </w:r>
      <w:r>
        <w:rPr>
          <w:sz w:val="20"/>
          <w:szCs w:val="20"/>
          <w:color w:val="auto"/>
        </w:rPr>
        <w:tab/>
      </w:r>
      <w:r>
        <w:rPr>
          <w:rFonts w:ascii="Arial" w:cs="Arial" w:eastAsia="Arial" w:hAnsi="Arial"/>
          <w:sz w:val="17"/>
          <w:szCs w:val="17"/>
          <w:color w:val="auto"/>
        </w:rPr>
        <w:t>If your shares are held in street name through a bank, broker, or other intermediary, you must provide voting instructions to that institution. Under the rules of the NYSE, if you do not provide voting instructions, the institution may vote in its discretion on routine proposals, but not on non-routine proposals, or leave the shares unvoted, which is called a “broker non-vote.”</w:t>
      </w:r>
    </w:p>
    <w:p>
      <w:pPr>
        <w:spacing w:after="0" w:line="93" w:lineRule="exact"/>
        <w:rPr>
          <w:sz w:val="20"/>
          <w:szCs w:val="20"/>
          <w:color w:val="auto"/>
        </w:rPr>
      </w:pPr>
    </w:p>
    <w:p>
      <w:pPr>
        <w:ind w:left="380" w:right="40"/>
        <w:spacing w:after="0" w:line="234" w:lineRule="auto"/>
        <w:rPr>
          <w:sz w:val="20"/>
          <w:szCs w:val="20"/>
          <w:color w:val="auto"/>
        </w:rPr>
      </w:pPr>
      <w:r>
        <w:rPr>
          <w:rFonts w:ascii="Arial" w:cs="Arial" w:eastAsia="Arial" w:hAnsi="Arial"/>
          <w:sz w:val="17"/>
          <w:szCs w:val="17"/>
          <w:color w:val="auto"/>
        </w:rPr>
        <w:t>The following proposals are not considered routine proposals, so banks, brokers, and other intermediaries do not have discretionary authority to vote on these matters if they have not received voting instructions from you: (i) the election of directors; and (ii) the advisory vote on the approval of the compensation of our named executive officers. The ratification of the appointment of the independent registered public accounting firm is considered a routine proposal, so if you do not provide voting instructions, the institution holding your shares may either leave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180" w:type="dxa"/>
        <w:tblCellMar>
          <w:top w:w="0" w:type="dxa"/>
          <w:left w:w="0" w:type="dxa"/>
          <w:bottom w:w="0" w:type="dxa"/>
          <w:right w:w="0" w:type="dxa"/>
        </w:tblCellMar>
      </w:tblPr>
      <w:tr>
        <w:trPr>
          <w:trHeight w:val="29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005CB9"/>
              </w:rPr>
              <w:t>53</w:t>
            </w:r>
          </w:p>
        </w:tc>
      </w:tr>
      <w:tr>
        <w:trPr>
          <w:trHeight w:val="100"/>
        </w:trPr>
        <w:tc>
          <w:tcPr>
            <w:tcW w:w="3900" w:type="dxa"/>
            <w:vAlign w:val="bottom"/>
            <w:tcBorders>
              <w:right w:val="single" w:sz="8" w:color="005CB9"/>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-205105</wp:posOffset>
            </wp:positionV>
            <wp:extent cx="428625"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2">
            <w:col w:w="5400" w:space="340"/>
            <w:col w:w="540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72" w:lineRule="exact"/>
        <w:rPr>
          <w:sz w:val="20"/>
          <w:szCs w:val="20"/>
          <w:color w:val="auto"/>
        </w:rPr>
      </w:pPr>
    </w:p>
    <w:p>
      <w:pPr>
        <w:ind w:left="520" w:right="40"/>
        <w:spacing w:after="0" w:line="235" w:lineRule="auto"/>
        <w:rPr>
          <w:sz w:val="20"/>
          <w:szCs w:val="20"/>
          <w:color w:val="auto"/>
        </w:rPr>
      </w:pPr>
      <w:r>
        <w:rPr>
          <w:rFonts w:ascii="Arial" w:cs="Arial" w:eastAsia="Arial" w:hAnsi="Arial"/>
          <w:sz w:val="17"/>
          <w:szCs w:val="17"/>
          <w:color w:val="auto"/>
        </w:rPr>
        <w:t>the shares unvoted or vote the shares in its discretion. If your shares are held through a bank, broker, or other intermediary, please follow the voting instructions that you receive from that institution. The institution will not be able to vote your shares on any of the proposals except the appointment of PwC unless you have provided voting instructions.</w:t>
      </w:r>
    </w:p>
    <w:p>
      <w:pPr>
        <w:spacing w:after="0" w:line="195" w:lineRule="exact"/>
        <w:rPr>
          <w:sz w:val="20"/>
          <w:szCs w:val="20"/>
          <w:color w:val="auto"/>
        </w:rPr>
      </w:pPr>
    </w:p>
    <w:p>
      <w:pPr>
        <w:ind w:left="500" w:right="500" w:hanging="390"/>
        <w:spacing w:after="0" w:line="192" w:lineRule="auto"/>
        <w:rPr>
          <w:sz w:val="20"/>
          <w:szCs w:val="20"/>
          <w:color w:val="auto"/>
        </w:rPr>
      </w:pPr>
      <w:r>
        <w:rPr>
          <w:rFonts w:ascii="Arial" w:cs="Arial" w:eastAsia="Arial" w:hAnsi="Arial"/>
          <w:sz w:val="29"/>
          <w:szCs w:val="29"/>
          <w:b w:val="1"/>
          <w:bCs w:val="1"/>
          <w:color w:val="005CB9"/>
        </w:rPr>
        <w:t xml:space="preserve">Q: </w:t>
      </w:r>
      <w:r>
        <w:rPr>
          <w:rFonts w:ascii="Arial" w:cs="Arial" w:eastAsia="Arial" w:hAnsi="Arial"/>
          <w:sz w:val="21"/>
          <w:szCs w:val="21"/>
          <w:b w:val="1"/>
          <w:bCs w:val="1"/>
          <w:color w:val="005CB9"/>
        </w:rPr>
        <w:t>How are broker non-votes and abstentions</w:t>
      </w:r>
      <w:r>
        <w:rPr>
          <w:rFonts w:ascii="Arial" w:cs="Arial" w:eastAsia="Arial" w:hAnsi="Arial"/>
          <w:sz w:val="29"/>
          <w:szCs w:val="29"/>
          <w:b w:val="1"/>
          <w:bCs w:val="1"/>
          <w:color w:val="005CB9"/>
        </w:rPr>
        <w:t xml:space="preserve"> </w:t>
      </w:r>
      <w:r>
        <w:rPr>
          <w:rFonts w:ascii="Arial" w:cs="Arial" w:eastAsia="Arial" w:hAnsi="Arial"/>
          <w:sz w:val="21"/>
          <w:szCs w:val="21"/>
          <w:b w:val="1"/>
          <w:bCs w:val="1"/>
          <w:color w:val="005CB9"/>
        </w:rPr>
        <w:t>treated?</w:t>
      </w:r>
    </w:p>
    <w:p>
      <w:pPr>
        <w:spacing w:after="0" w:line="108" w:lineRule="exact"/>
        <w:rPr>
          <w:sz w:val="20"/>
          <w:szCs w:val="20"/>
          <w:color w:val="auto"/>
        </w:rPr>
      </w:pPr>
    </w:p>
    <w:p>
      <w:pPr>
        <w:ind w:left="500" w:hanging="379"/>
        <w:spacing w:after="0" w:line="223" w:lineRule="auto"/>
        <w:tabs>
          <w:tab w:leader="none" w:pos="480" w:val="left"/>
        </w:tabs>
        <w:rPr>
          <w:sz w:val="20"/>
          <w:szCs w:val="20"/>
          <w:color w:val="auto"/>
        </w:rPr>
      </w:pPr>
      <w:r>
        <w:rPr>
          <w:rFonts w:ascii="Arial" w:cs="Arial" w:eastAsia="Arial" w:hAnsi="Arial"/>
          <w:sz w:val="25"/>
          <w:szCs w:val="25"/>
          <w:color w:val="005CB9"/>
        </w:rPr>
        <w:t>A:</w:t>
      </w:r>
      <w:r>
        <w:rPr>
          <w:sz w:val="20"/>
          <w:szCs w:val="20"/>
          <w:color w:val="auto"/>
        </w:rPr>
        <w:tab/>
      </w:r>
      <w:r>
        <w:rPr>
          <w:rFonts w:ascii="Arial" w:cs="Arial" w:eastAsia="Arial" w:hAnsi="Arial"/>
          <w:sz w:val="17"/>
          <w:szCs w:val="17"/>
          <w:color w:val="auto"/>
        </w:rPr>
        <w:t>Broker non-votes are not treated as votes cast for purposes of the election of directors, so they will have no effect on the election of directors. Broker non-votes are not treated as entitled to vote for all other matters proposed for a vote at the meeting, so they will have no effect on those matters. Abstentions are not treated as votes cast for purposes of the election of directors, so they will have no effect on the election of directors. Abstentions are treated as present and entitled to vote so they will have the effect of a vote cast against the approval for all other matters proposed for a vote at the meeting.</w:t>
      </w:r>
    </w:p>
    <w:p>
      <w:pPr>
        <w:ind w:left="120"/>
        <w:spacing w:after="0" w:line="212" w:lineRule="auto"/>
        <w:rPr>
          <w:sz w:val="20"/>
          <w:szCs w:val="20"/>
          <w:color w:val="auto"/>
        </w:rPr>
      </w:pPr>
      <w:r>
        <w:rPr>
          <w:rFonts w:ascii="Arial" w:cs="Arial" w:eastAsia="Arial" w:hAnsi="Arial"/>
          <w:sz w:val="57"/>
          <w:szCs w:val="57"/>
          <w:b w:val="1"/>
          <w:bCs w:val="1"/>
          <w:color w:val="005CB9"/>
          <w:vertAlign w:val="subscript"/>
        </w:rPr>
        <w:t>Q:</w:t>
      </w:r>
      <w:r>
        <w:rPr>
          <w:rFonts w:ascii="Arial" w:cs="Arial" w:eastAsia="Arial" w:hAnsi="Arial"/>
          <w:sz w:val="22"/>
          <w:szCs w:val="22"/>
          <w:b w:val="1"/>
          <w:bCs w:val="1"/>
          <w:color w:val="005CB9"/>
        </w:rPr>
        <w:t xml:space="preserve"> What constitutes a quorum?</w:t>
      </w:r>
    </w:p>
    <w:p>
      <w:pPr>
        <w:spacing w:after="0" w:line="111" w:lineRule="exact"/>
        <w:rPr>
          <w:sz w:val="20"/>
          <w:szCs w:val="20"/>
          <w:color w:val="auto"/>
        </w:rPr>
      </w:pPr>
    </w:p>
    <w:p>
      <w:pPr>
        <w:ind w:left="500" w:right="20" w:hanging="379"/>
        <w:spacing w:after="0" w:line="222" w:lineRule="auto"/>
        <w:tabs>
          <w:tab w:leader="none" w:pos="480" w:val="left"/>
        </w:tabs>
        <w:rPr>
          <w:sz w:val="20"/>
          <w:szCs w:val="20"/>
          <w:color w:val="auto"/>
        </w:rPr>
      </w:pPr>
      <w:r>
        <w:rPr>
          <w:rFonts w:ascii="Arial" w:cs="Arial" w:eastAsia="Arial" w:hAnsi="Arial"/>
          <w:sz w:val="25"/>
          <w:szCs w:val="25"/>
          <w:color w:val="005CB9"/>
        </w:rPr>
        <w:t>A:</w:t>
      </w:r>
      <w:r>
        <w:rPr>
          <w:sz w:val="20"/>
          <w:szCs w:val="20"/>
          <w:color w:val="auto"/>
        </w:rPr>
        <w:tab/>
      </w:r>
      <w:r>
        <w:rPr>
          <w:rFonts w:ascii="Arial" w:cs="Arial" w:eastAsia="Arial" w:hAnsi="Arial"/>
          <w:sz w:val="17"/>
          <w:szCs w:val="17"/>
          <w:color w:val="auto"/>
        </w:rPr>
        <w:t>To conduct business at our Annual Meeting, we must have a quorum of shareholders present. A quorum is present when a majority of the outstanding shares of stock entitled to vote as of the record date are represented in person or by proxy. Broker non-votes and abstentions will be counted toward the establishment of the quorum. If there is an insufficient number of shares represented for a quorum or to approve any proposal at the Annual Meeting, the Annual Meeting may be postponed or adjourned to permit the further solicitation of proxies.</w:t>
      </w:r>
    </w:p>
    <w:p>
      <w:pPr>
        <w:spacing w:after="0" w:line="198" w:lineRule="exact"/>
        <w:rPr>
          <w:sz w:val="20"/>
          <w:szCs w:val="20"/>
          <w:color w:val="auto"/>
        </w:rPr>
      </w:pPr>
    </w:p>
    <w:p>
      <w:pPr>
        <w:ind w:left="500" w:right="1060" w:hanging="390"/>
        <w:spacing w:after="0" w:line="192" w:lineRule="auto"/>
        <w:rPr>
          <w:sz w:val="20"/>
          <w:szCs w:val="20"/>
          <w:color w:val="auto"/>
        </w:rPr>
      </w:pPr>
      <w:r>
        <w:rPr>
          <w:rFonts w:ascii="Arial" w:cs="Arial" w:eastAsia="Arial" w:hAnsi="Arial"/>
          <w:sz w:val="29"/>
          <w:szCs w:val="29"/>
          <w:b w:val="1"/>
          <w:bCs w:val="1"/>
          <w:color w:val="005CB9"/>
        </w:rPr>
        <w:t xml:space="preserve">Q: </w:t>
      </w:r>
      <w:r>
        <w:rPr>
          <w:rFonts w:ascii="Arial" w:cs="Arial" w:eastAsia="Arial" w:hAnsi="Arial"/>
          <w:sz w:val="21"/>
          <w:szCs w:val="21"/>
          <w:b w:val="1"/>
          <w:bCs w:val="1"/>
          <w:color w:val="005CB9"/>
        </w:rPr>
        <w:t>How many votes are needed for each</w:t>
      </w:r>
      <w:r>
        <w:rPr>
          <w:rFonts w:ascii="Arial" w:cs="Arial" w:eastAsia="Arial" w:hAnsi="Arial"/>
          <w:sz w:val="29"/>
          <w:szCs w:val="29"/>
          <w:b w:val="1"/>
          <w:bCs w:val="1"/>
          <w:color w:val="005CB9"/>
        </w:rPr>
        <w:t xml:space="preserve"> </w:t>
      </w:r>
      <w:r>
        <w:rPr>
          <w:rFonts w:ascii="Arial" w:cs="Arial" w:eastAsia="Arial" w:hAnsi="Arial"/>
          <w:sz w:val="21"/>
          <w:szCs w:val="21"/>
          <w:b w:val="1"/>
          <w:bCs w:val="1"/>
          <w:color w:val="005CB9"/>
        </w:rPr>
        <w:t>proposal?</w:t>
      </w:r>
    </w:p>
    <w:p>
      <w:pPr>
        <w:spacing w:after="0" w:line="108" w:lineRule="exact"/>
        <w:rPr>
          <w:sz w:val="20"/>
          <w:szCs w:val="20"/>
          <w:color w:val="auto"/>
        </w:rPr>
      </w:pPr>
    </w:p>
    <w:p>
      <w:pPr>
        <w:ind w:left="500" w:hanging="379"/>
        <w:spacing w:after="0" w:line="223" w:lineRule="auto"/>
        <w:tabs>
          <w:tab w:leader="none" w:pos="480" w:val="left"/>
        </w:tabs>
        <w:rPr>
          <w:sz w:val="20"/>
          <w:szCs w:val="20"/>
          <w:color w:val="auto"/>
        </w:rPr>
      </w:pPr>
      <w:r>
        <w:rPr>
          <w:rFonts w:ascii="Arial" w:cs="Arial" w:eastAsia="Arial" w:hAnsi="Arial"/>
          <w:sz w:val="25"/>
          <w:szCs w:val="25"/>
          <w:color w:val="005CB9"/>
        </w:rPr>
        <w:t>A:</w:t>
      </w:r>
      <w:r>
        <w:rPr>
          <w:sz w:val="20"/>
          <w:szCs w:val="20"/>
          <w:color w:val="auto"/>
        </w:rPr>
        <w:tab/>
      </w:r>
      <w:r>
        <w:rPr>
          <w:rFonts w:ascii="Arial" w:cs="Arial" w:eastAsia="Arial" w:hAnsi="Arial"/>
          <w:sz w:val="17"/>
          <w:szCs w:val="17"/>
          <w:color w:val="auto"/>
        </w:rPr>
        <w:t>Our By-laws provide that each director will be elected by a majority of the votes cast with respect to such director (except in the case of contested elections, in which case directors are elected by a plurality). A “majority of the votes cast” means that the number of votes cast “for” a director exceeds the number of votes cast “against” that director. Broker non-votes and abstentions will have no impact as they are not counted as votes cast for the election of directors. If an incumbent director fails to receive a majority of the votes cast, the director will tender his or her resignation to the Board. The</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440" w:type="dxa"/>
            <w:vAlign w:val="bottom"/>
            <w:tcBorders>
              <w:right w:val="single" w:sz="8" w:color="005CB9"/>
            </w:tcBorders>
          </w:tcPr>
          <w:p>
            <w:pPr>
              <w:jc w:val="right"/>
              <w:ind w:right="179"/>
              <w:spacing w:after="0"/>
              <w:rPr>
                <w:sz w:val="20"/>
                <w:szCs w:val="20"/>
                <w:color w:val="auto"/>
              </w:rPr>
            </w:pPr>
            <w:r>
              <w:rPr>
                <w:rFonts w:ascii="Arial" w:cs="Arial" w:eastAsia="Arial" w:hAnsi="Arial"/>
                <w:sz w:val="16"/>
                <w:szCs w:val="16"/>
                <w:b w:val="1"/>
                <w:bCs w:val="1"/>
                <w:color w:val="005CB9"/>
                <w:w w:val="89"/>
              </w:rPr>
              <w:t>54</w:t>
            </w:r>
          </w:p>
        </w:tc>
        <w:tc>
          <w:tcPr>
            <w:tcW w:w="4700" w:type="dxa"/>
            <w:vAlign w:val="bottom"/>
          </w:tcPr>
          <w:p>
            <w:pPr>
              <w:ind w:left="106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0"/>
        </w:trPr>
        <w:tc>
          <w:tcPr>
            <w:tcW w:w="440" w:type="dxa"/>
            <w:vAlign w:val="bottom"/>
            <w:tcBorders>
              <w:right w:val="single" w:sz="8" w:color="005CB9"/>
            </w:tcBorders>
          </w:tcPr>
          <w:p>
            <w:pPr>
              <w:spacing w:after="0"/>
              <w:rPr>
                <w:sz w:val="8"/>
                <w:szCs w:val="8"/>
                <w:color w:val="auto"/>
              </w:rPr>
            </w:pPr>
          </w:p>
        </w:tc>
        <w:tc>
          <w:tcPr>
            <w:tcW w:w="47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-205105</wp:posOffset>
            </wp:positionV>
            <wp:extent cx="428625"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ind w:left="380"/>
        <w:spacing w:after="0" w:line="235" w:lineRule="auto"/>
        <w:rPr>
          <w:sz w:val="20"/>
          <w:szCs w:val="20"/>
          <w:color w:val="auto"/>
        </w:rPr>
      </w:pPr>
      <w:r>
        <w:rPr>
          <w:rFonts w:ascii="Arial" w:cs="Arial" w:eastAsia="Arial" w:hAnsi="Arial"/>
          <w:sz w:val="17"/>
          <w:szCs w:val="17"/>
          <w:color w:val="auto"/>
        </w:rPr>
        <w:t>Nominating and Governance Committee or another committee will consider the director’s resignation and recommend to the Board whether to accept or reject the resignation. The Board will publicly disclose its decision regarding the resignation within 90 days after the election results are certified.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-1177290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6" w:lineRule="exact"/>
        <w:rPr>
          <w:sz w:val="20"/>
          <w:szCs w:val="20"/>
          <w:color w:val="auto"/>
        </w:rPr>
      </w:pPr>
    </w:p>
    <w:p>
      <w:pPr>
        <w:ind w:left="380" w:right="160"/>
        <w:spacing w:after="0" w:line="234" w:lineRule="auto"/>
        <w:rPr>
          <w:sz w:val="20"/>
          <w:szCs w:val="20"/>
          <w:color w:val="auto"/>
        </w:rPr>
      </w:pPr>
      <w:r>
        <w:rPr>
          <w:rFonts w:ascii="Arial" w:cs="Arial" w:eastAsia="Arial" w:hAnsi="Arial"/>
          <w:sz w:val="17"/>
          <w:szCs w:val="17"/>
          <w:color w:val="auto"/>
        </w:rPr>
        <w:t>The vote on the approval of compensation of our named executive officers is an advisory vote and non-binding on the Company. If the majority of the shares present in person or represented by proxy and entitled to vote are cast in favor of the proposal, then it will be deemed to be the approval of the shareholders. Abstentions will have the effect of a vote against the proposal. Broker non-votes will be excluded from the calculation and will have no effect on the outcome of the voting.</w:t>
      </w:r>
    </w:p>
    <w:p>
      <w:pPr>
        <w:spacing w:after="0" w:line="95" w:lineRule="exact"/>
        <w:rPr>
          <w:sz w:val="20"/>
          <w:szCs w:val="20"/>
          <w:color w:val="auto"/>
        </w:rPr>
      </w:pPr>
    </w:p>
    <w:p>
      <w:pPr>
        <w:ind w:left="380"/>
        <w:spacing w:after="0" w:line="233" w:lineRule="auto"/>
        <w:rPr>
          <w:sz w:val="20"/>
          <w:szCs w:val="20"/>
          <w:color w:val="auto"/>
        </w:rPr>
      </w:pPr>
      <w:r>
        <w:rPr>
          <w:rFonts w:ascii="Arial" w:cs="Arial" w:eastAsia="Arial" w:hAnsi="Arial"/>
          <w:sz w:val="17"/>
          <w:szCs w:val="17"/>
          <w:color w:val="auto"/>
        </w:rPr>
        <w:t>The affirmative vote of a majority of the shares present in person or represented by proxy and entitled to vote is required to approve the ratification of the appointment of PricewaterhouseCoopers LLP as the independent registered accounting firm of the Company. Abstentions will have the effect of a vote against these proposals. This proposal is considered a routine matter on which the broker will have discretionary authority to vote on the proposal should a beneficial owner not provide voting instructions. For that reason, if you are a beneficial owner and you wish to vote “for,” “against” or “abstain” on this proposal, you will have to provide your broker with such instruction. Otherwise, your broker will vote in its discretion.</w:t>
      </w:r>
    </w:p>
    <w:p>
      <w:pPr>
        <w:spacing w:after="0" w:line="213" w:lineRule="auto"/>
        <w:rPr>
          <w:sz w:val="20"/>
          <w:szCs w:val="20"/>
          <w:color w:val="auto"/>
        </w:rPr>
      </w:pPr>
      <w:r>
        <w:rPr>
          <w:rFonts w:ascii="Arial" w:cs="Arial" w:eastAsia="Arial" w:hAnsi="Arial"/>
          <w:sz w:val="57"/>
          <w:szCs w:val="57"/>
          <w:b w:val="1"/>
          <w:bCs w:val="1"/>
          <w:color w:val="005CB9"/>
          <w:vertAlign w:val="subscript"/>
        </w:rPr>
        <w:t>Q:</w:t>
      </w:r>
      <w:r>
        <w:rPr>
          <w:rFonts w:ascii="Arial" w:cs="Arial" w:eastAsia="Arial" w:hAnsi="Arial"/>
          <w:sz w:val="22"/>
          <w:szCs w:val="22"/>
          <w:b w:val="1"/>
          <w:bCs w:val="1"/>
          <w:color w:val="005CB9"/>
        </w:rPr>
        <w:t xml:space="preserve"> Is my proxy revocable?</w:t>
      </w:r>
    </w:p>
    <w:p>
      <w:pPr>
        <w:spacing w:after="0" w:line="111" w:lineRule="exact"/>
        <w:rPr>
          <w:sz w:val="20"/>
          <w:szCs w:val="20"/>
          <w:color w:val="auto"/>
        </w:rPr>
      </w:pPr>
    </w:p>
    <w:p>
      <w:pPr>
        <w:ind w:left="380" w:right="140" w:hanging="379"/>
        <w:spacing w:after="0" w:line="215" w:lineRule="auto"/>
        <w:tabs>
          <w:tab w:leader="none" w:pos="360" w:val="left"/>
        </w:tabs>
        <w:rPr>
          <w:sz w:val="20"/>
          <w:szCs w:val="20"/>
          <w:color w:val="auto"/>
        </w:rPr>
      </w:pPr>
      <w:r>
        <w:rPr>
          <w:rFonts w:ascii="Arial" w:cs="Arial" w:eastAsia="Arial" w:hAnsi="Arial"/>
          <w:sz w:val="25"/>
          <w:szCs w:val="25"/>
          <w:color w:val="005CB9"/>
        </w:rPr>
        <w:t>A:</w:t>
      </w:r>
      <w:r>
        <w:rPr>
          <w:sz w:val="20"/>
          <w:szCs w:val="20"/>
          <w:color w:val="auto"/>
        </w:rPr>
        <w:tab/>
      </w:r>
      <w:r>
        <w:rPr>
          <w:rFonts w:ascii="Arial" w:cs="Arial" w:eastAsia="Arial" w:hAnsi="Arial"/>
          <w:sz w:val="17"/>
          <w:szCs w:val="17"/>
          <w:color w:val="auto"/>
        </w:rPr>
        <w:t>You may revoke your proxy before it is exercised by voting in person at the Annual Meeting, by timely delivering a subsequent proxy or by notifying us in writing of such revocation to the attention of the Corporate Secretary, Roper Technologies, Inc., 6901 Professional Parkway, Suite 200, Sarasota, Florida 34240.</w:t>
      </w:r>
    </w:p>
    <w:p>
      <w:pPr>
        <w:spacing w:after="0" w:line="95" w:lineRule="exact"/>
        <w:rPr>
          <w:sz w:val="20"/>
          <w:szCs w:val="20"/>
          <w:color w:val="auto"/>
        </w:rPr>
      </w:pPr>
    </w:p>
    <w:p>
      <w:pPr>
        <w:ind w:left="380" w:right="100"/>
        <w:spacing w:after="0" w:line="236" w:lineRule="auto"/>
        <w:rPr>
          <w:sz w:val="20"/>
          <w:szCs w:val="20"/>
          <w:color w:val="auto"/>
        </w:rPr>
      </w:pPr>
      <w:r>
        <w:rPr>
          <w:rFonts w:ascii="Arial" w:cs="Arial" w:eastAsia="Arial" w:hAnsi="Arial"/>
          <w:sz w:val="17"/>
          <w:szCs w:val="17"/>
          <w:color w:val="auto"/>
        </w:rPr>
        <w:t>If you are not the shareholder of record, you will need documentation from your record holder stating your ownership to vote personally at the Annual Meeting. See “What is a shareholder of record?” above.</w:t>
      </w:r>
    </w:p>
    <w:p>
      <w:pPr>
        <w:spacing w:after="0" w:line="3" w:lineRule="exact"/>
        <w:rPr>
          <w:sz w:val="20"/>
          <w:szCs w:val="20"/>
          <w:color w:val="auto"/>
        </w:rPr>
      </w:pPr>
    </w:p>
    <w:p>
      <w:pPr>
        <w:spacing w:after="0"/>
        <w:rPr>
          <w:sz w:val="20"/>
          <w:szCs w:val="20"/>
          <w:color w:val="auto"/>
        </w:rPr>
      </w:pPr>
      <w:r>
        <w:rPr>
          <w:rFonts w:ascii="Arial" w:cs="Arial" w:eastAsia="Arial" w:hAnsi="Arial"/>
          <w:sz w:val="49"/>
          <w:szCs w:val="49"/>
          <w:b w:val="1"/>
          <w:bCs w:val="1"/>
          <w:color w:val="005CB9"/>
          <w:vertAlign w:val="subscript"/>
        </w:rPr>
        <w:t>Q:</w:t>
      </w:r>
      <w:r>
        <w:rPr>
          <w:rFonts w:ascii="Arial" w:cs="Arial" w:eastAsia="Arial" w:hAnsi="Arial"/>
          <w:sz w:val="20"/>
          <w:szCs w:val="20"/>
          <w:b w:val="1"/>
          <w:bCs w:val="1"/>
          <w:color w:val="005CB9"/>
        </w:rPr>
        <w:t xml:space="preserve"> What</w:t>
      </w:r>
      <w:r>
        <w:rPr>
          <w:rFonts w:ascii="Arial" w:cs="Arial" w:eastAsia="Arial" w:hAnsi="Arial"/>
          <w:sz w:val="37"/>
          <w:szCs w:val="37"/>
          <w:b w:val="1"/>
          <w:bCs w:val="1"/>
          <w:color w:val="005CB9"/>
          <w:vertAlign w:val="subscript"/>
        </w:rPr>
        <w:t>me?</w:t>
      </w:r>
      <w:r>
        <w:rPr>
          <w:rFonts w:ascii="Arial" w:cs="Arial" w:eastAsia="Arial" w:hAnsi="Arial"/>
          <w:sz w:val="20"/>
          <w:szCs w:val="20"/>
          <w:b w:val="1"/>
          <w:bCs w:val="1"/>
          <w:color w:val="005CB9"/>
        </w:rPr>
        <w:t xml:space="preserve"> is “householding” and how does it affect</w:t>
      </w:r>
    </w:p>
    <w:p>
      <w:pPr>
        <w:spacing w:after="0" w:line="271" w:lineRule="exact"/>
        <w:rPr>
          <w:sz w:val="20"/>
          <w:szCs w:val="20"/>
          <w:color w:val="auto"/>
        </w:rPr>
      </w:pPr>
    </w:p>
    <w:p>
      <w:pPr>
        <w:ind w:left="380" w:right="40" w:hanging="379"/>
        <w:spacing w:after="0" w:line="206" w:lineRule="auto"/>
        <w:tabs>
          <w:tab w:leader="none" w:pos="360" w:val="left"/>
        </w:tabs>
        <w:rPr>
          <w:sz w:val="20"/>
          <w:szCs w:val="20"/>
          <w:color w:val="auto"/>
        </w:rPr>
      </w:pPr>
      <w:r>
        <w:rPr>
          <w:rFonts w:ascii="Arial" w:cs="Arial" w:eastAsia="Arial" w:hAnsi="Arial"/>
          <w:sz w:val="25"/>
          <w:szCs w:val="25"/>
          <w:color w:val="005CB9"/>
        </w:rPr>
        <w:t>A.</w:t>
      </w:r>
      <w:r>
        <w:rPr>
          <w:sz w:val="20"/>
          <w:szCs w:val="20"/>
          <w:color w:val="auto"/>
        </w:rPr>
        <w:tab/>
      </w:r>
      <w:r>
        <w:rPr>
          <w:rFonts w:ascii="Arial" w:cs="Arial" w:eastAsia="Arial" w:hAnsi="Arial"/>
          <w:sz w:val="17"/>
          <w:szCs w:val="17"/>
          <w:color w:val="auto"/>
        </w:rPr>
        <w:t>The proxy rules of the SEC permit companies and intermediaries, such as brokers and banks, to satisfy Proxy Statement delivery requirements</w:t>
      </w:r>
    </w:p>
    <w:p>
      <w:pPr>
        <w:sectPr>
          <w:pgSz w:w="11900" w:h="16838" w:orient="portrait"/>
          <w:cols w:equalWidth="0" w:num="2">
            <w:col w:w="5380" w:space="360"/>
            <w:col w:w="538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72" w:lineRule="exact"/>
        <w:rPr>
          <w:sz w:val="20"/>
          <w:szCs w:val="20"/>
          <w:color w:val="auto"/>
        </w:rPr>
      </w:pPr>
    </w:p>
    <w:p>
      <w:pPr>
        <w:ind w:left="500" w:right="180"/>
        <w:spacing w:after="0" w:line="235" w:lineRule="auto"/>
        <w:rPr>
          <w:sz w:val="20"/>
          <w:szCs w:val="20"/>
          <w:color w:val="auto"/>
        </w:rPr>
      </w:pPr>
      <w:r>
        <w:rPr>
          <w:rFonts w:ascii="Arial" w:cs="Arial" w:eastAsia="Arial" w:hAnsi="Arial"/>
          <w:sz w:val="17"/>
          <w:szCs w:val="17"/>
          <w:color w:val="auto"/>
        </w:rPr>
        <w:t>for two or more shareholders sharing an address by delivering one set of proxy materials to those shareholders. This procedure, known as “householding,” reduces the amount of duplicate information that shareholders receive and lowers our printing and mailing costs.</w:t>
      </w:r>
    </w:p>
    <w:p>
      <w:pPr>
        <w:spacing w:after="0" w:line="96" w:lineRule="exact"/>
        <w:rPr>
          <w:sz w:val="20"/>
          <w:szCs w:val="20"/>
          <w:color w:val="auto"/>
        </w:rPr>
      </w:pPr>
    </w:p>
    <w:p>
      <w:pPr>
        <w:ind w:left="520"/>
        <w:spacing w:after="0" w:line="233" w:lineRule="auto"/>
        <w:rPr>
          <w:sz w:val="20"/>
          <w:szCs w:val="20"/>
          <w:color w:val="auto"/>
        </w:rPr>
      </w:pPr>
      <w:r>
        <w:rPr>
          <w:rFonts w:ascii="Arial" w:cs="Arial" w:eastAsia="Arial" w:hAnsi="Arial"/>
          <w:sz w:val="17"/>
          <w:szCs w:val="17"/>
          <w:color w:val="auto"/>
        </w:rPr>
        <w:t>Certain intermediaries use householding for our proxy materials and our 2021 Annual Report. Therefore, only one set of materials may have been delivered to your address if multiple shareholders share the same address. If you share an address with another shareholder and wish to receive a separate set of materials in the future, or if you would like to receive only one set of materials, you should contact your bank, broker, or other intermediary or us at the address and telephone number below. We will promptly send a separate copy of this Proxy Statement or the 2021 Annual Report if you call us at 941-556-2601 or direct your request in writing to the attention of the Corporate Secretary, Roper Technologies, Inc., 6901 Professional Parkway, Suite 200, Sarasota, Florida 34240.</w:t>
      </w:r>
    </w:p>
    <w:p>
      <w:pPr>
        <w:spacing w:after="0" w:line="199" w:lineRule="exact"/>
        <w:rPr>
          <w:sz w:val="20"/>
          <w:szCs w:val="20"/>
          <w:color w:val="auto"/>
        </w:rPr>
      </w:pPr>
    </w:p>
    <w:p>
      <w:pPr>
        <w:ind w:left="500" w:right="120" w:hanging="390"/>
        <w:spacing w:after="0" w:line="192" w:lineRule="auto"/>
        <w:rPr>
          <w:sz w:val="20"/>
          <w:szCs w:val="20"/>
          <w:color w:val="auto"/>
        </w:rPr>
      </w:pPr>
      <w:r>
        <w:rPr>
          <w:rFonts w:ascii="Arial" w:cs="Arial" w:eastAsia="Arial" w:hAnsi="Arial"/>
          <w:sz w:val="29"/>
          <w:szCs w:val="29"/>
          <w:b w:val="1"/>
          <w:bCs w:val="1"/>
          <w:color w:val="005CB9"/>
        </w:rPr>
        <w:t xml:space="preserve">Q: </w:t>
      </w:r>
      <w:r>
        <w:rPr>
          <w:rFonts w:ascii="Arial" w:cs="Arial" w:eastAsia="Arial" w:hAnsi="Arial"/>
          <w:sz w:val="21"/>
          <w:szCs w:val="21"/>
          <w:b w:val="1"/>
          <w:bCs w:val="1"/>
          <w:color w:val="005CB9"/>
        </w:rPr>
        <w:t>How can I find the voting results of the Annual</w:t>
      </w:r>
      <w:r>
        <w:rPr>
          <w:rFonts w:ascii="Arial" w:cs="Arial" w:eastAsia="Arial" w:hAnsi="Arial"/>
          <w:sz w:val="29"/>
          <w:szCs w:val="29"/>
          <w:b w:val="1"/>
          <w:bCs w:val="1"/>
          <w:color w:val="005CB9"/>
        </w:rPr>
        <w:t xml:space="preserve"> </w:t>
      </w:r>
      <w:r>
        <w:rPr>
          <w:rFonts w:ascii="Arial" w:cs="Arial" w:eastAsia="Arial" w:hAnsi="Arial"/>
          <w:sz w:val="21"/>
          <w:szCs w:val="21"/>
          <w:b w:val="1"/>
          <w:bCs w:val="1"/>
          <w:color w:val="005CB9"/>
        </w:rPr>
        <w:t>Meeting?</w:t>
      </w:r>
    </w:p>
    <w:p>
      <w:pPr>
        <w:spacing w:after="0" w:line="108" w:lineRule="exact"/>
        <w:rPr>
          <w:sz w:val="20"/>
          <w:szCs w:val="20"/>
          <w:color w:val="auto"/>
        </w:rPr>
      </w:pPr>
    </w:p>
    <w:p>
      <w:pPr>
        <w:ind w:left="500" w:right="20" w:hanging="379"/>
        <w:spacing w:after="0" w:line="220" w:lineRule="auto"/>
        <w:tabs>
          <w:tab w:leader="none" w:pos="480" w:val="left"/>
        </w:tabs>
        <w:rPr>
          <w:sz w:val="20"/>
          <w:szCs w:val="20"/>
          <w:color w:val="auto"/>
        </w:rPr>
      </w:pPr>
      <w:r>
        <w:rPr>
          <w:rFonts w:ascii="Arial" w:cs="Arial" w:eastAsia="Arial" w:hAnsi="Arial"/>
          <w:sz w:val="25"/>
          <w:szCs w:val="25"/>
          <w:color w:val="005CB9"/>
        </w:rPr>
        <w:t>A.</w:t>
      </w:r>
      <w:r>
        <w:rPr>
          <w:sz w:val="20"/>
          <w:szCs w:val="20"/>
          <w:color w:val="auto"/>
        </w:rPr>
        <w:tab/>
      </w:r>
      <w:r>
        <w:rPr>
          <w:rFonts w:ascii="Arial" w:cs="Arial" w:eastAsia="Arial" w:hAnsi="Arial"/>
          <w:sz w:val="17"/>
          <w:szCs w:val="17"/>
          <w:color w:val="auto"/>
        </w:rPr>
        <w:t>The Board of Directors has designated an inspector of election who will tabulate the votes submitted by proxy and by ballot. Preliminary voting results will be announced at the Annual Meeting. Final voting results will be published in a Current Report on Form 8-K to be filed with the SEC within four business days after the Annual Meeting. If the official voting results are not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jc w:val="both"/>
        <w:ind w:left="380" w:right="120"/>
        <w:spacing w:after="0" w:line="236" w:lineRule="auto"/>
        <w:rPr>
          <w:sz w:val="20"/>
          <w:szCs w:val="20"/>
          <w:color w:val="auto"/>
        </w:rPr>
      </w:pPr>
      <w:r>
        <w:rPr>
          <w:rFonts w:ascii="Arial" w:cs="Arial" w:eastAsia="Arial" w:hAnsi="Arial"/>
          <w:sz w:val="17"/>
          <w:szCs w:val="17"/>
          <w:color w:val="auto"/>
        </w:rPr>
        <w:t>available at that time, we will provide preliminary voting results in the Current Report on Form 8-K and will provide the final results in an amendment to the Current Report on Form 8-K as soon as they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-1057910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76" w:lineRule="exact"/>
        <w:rPr>
          <w:sz w:val="20"/>
          <w:szCs w:val="20"/>
          <w:color w:val="auto"/>
        </w:rPr>
      </w:pPr>
    </w:p>
    <w:p>
      <w:pPr>
        <w:ind w:left="380" w:right="420" w:hanging="391"/>
        <w:spacing w:after="0" w:line="192" w:lineRule="auto"/>
        <w:rPr>
          <w:sz w:val="20"/>
          <w:szCs w:val="20"/>
          <w:color w:val="auto"/>
        </w:rPr>
      </w:pPr>
      <w:r>
        <w:rPr>
          <w:rFonts w:ascii="Arial" w:cs="Arial" w:eastAsia="Arial" w:hAnsi="Arial"/>
          <w:sz w:val="29"/>
          <w:szCs w:val="29"/>
          <w:b w:val="1"/>
          <w:bCs w:val="1"/>
          <w:color w:val="005CB9"/>
        </w:rPr>
        <w:t xml:space="preserve">Q: </w:t>
      </w:r>
      <w:r>
        <w:rPr>
          <w:rFonts w:ascii="Arial" w:cs="Arial" w:eastAsia="Arial" w:hAnsi="Arial"/>
          <w:sz w:val="21"/>
          <w:szCs w:val="21"/>
          <w:b w:val="1"/>
          <w:bCs w:val="1"/>
          <w:color w:val="005CB9"/>
        </w:rPr>
        <w:t>Who is paying for the expenses involved in</w:t>
      </w:r>
      <w:r>
        <w:rPr>
          <w:rFonts w:ascii="Arial" w:cs="Arial" w:eastAsia="Arial" w:hAnsi="Arial"/>
          <w:sz w:val="29"/>
          <w:szCs w:val="29"/>
          <w:b w:val="1"/>
          <w:bCs w:val="1"/>
          <w:color w:val="005CB9"/>
        </w:rPr>
        <w:t xml:space="preserve"> </w:t>
      </w:r>
      <w:r>
        <w:rPr>
          <w:rFonts w:ascii="Arial" w:cs="Arial" w:eastAsia="Arial" w:hAnsi="Arial"/>
          <w:sz w:val="21"/>
          <w:szCs w:val="21"/>
          <w:b w:val="1"/>
          <w:bCs w:val="1"/>
          <w:color w:val="005CB9"/>
        </w:rPr>
        <w:t>preparing and mailing this Proxy Statement?</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25"/>
          <w:szCs w:val="25"/>
          <w:color w:val="005CB9"/>
        </w:rPr>
        <w:t xml:space="preserve">A: </w:t>
      </w:r>
      <w:r>
        <w:rPr>
          <w:rFonts w:ascii="Arial" w:cs="Arial" w:eastAsia="Arial" w:hAnsi="Arial"/>
          <w:sz w:val="17"/>
          <w:szCs w:val="17"/>
          <w:color w:val="000000"/>
        </w:rPr>
        <w:t>Roper is paying the expenses involved in preparing, assembling</w:t>
      </w:r>
    </w:p>
    <w:p>
      <w:pPr>
        <w:ind w:left="380" w:right="20"/>
        <w:spacing w:after="0" w:line="233" w:lineRule="auto"/>
        <w:rPr>
          <w:sz w:val="20"/>
          <w:szCs w:val="20"/>
          <w:color w:val="auto"/>
        </w:rPr>
      </w:pPr>
      <w:r>
        <w:rPr>
          <w:rFonts w:ascii="Arial" w:cs="Arial" w:eastAsia="Arial" w:hAnsi="Arial"/>
          <w:sz w:val="17"/>
          <w:szCs w:val="17"/>
          <w:color w:val="auto"/>
        </w:rPr>
        <w:t>and mailing these proxy materials and all costs of soliciting proxies. Our directors, executive officers and other employees may solicit proxies, without additional compensation, personally or by telephone, email or other means of communication. We have also engaged MacKenzie Partners as the proxy solicitor for this Annual Meeting for a fee of approximately $12,500 plus reasonable expenses. We will reimburse banks, brokers, and other intermediaries, such as custodians, nominees and fiduciaries, that hold our common stock in their names or in the names of their nominees for their reasonable expenses in forwarding proxy materials to beneficial owners.</w:t>
      </w:r>
    </w:p>
    <w:p>
      <w:pPr>
        <w:spacing w:after="0" w:line="217" w:lineRule="auto"/>
        <w:rPr>
          <w:sz w:val="20"/>
          <w:szCs w:val="20"/>
          <w:color w:val="auto"/>
        </w:rPr>
      </w:pPr>
      <w:r>
        <w:rPr>
          <w:rFonts w:ascii="Arial" w:cs="Arial" w:eastAsia="Arial" w:hAnsi="Arial"/>
          <w:sz w:val="56"/>
          <w:szCs w:val="56"/>
          <w:b w:val="1"/>
          <w:bCs w:val="1"/>
          <w:color w:val="005CB9"/>
          <w:vertAlign w:val="subscript"/>
        </w:rPr>
        <w:t>Q:</w:t>
      </w:r>
      <w:r>
        <w:rPr>
          <w:rFonts w:ascii="Arial" w:cs="Arial" w:eastAsia="Arial" w:hAnsi="Arial"/>
          <w:sz w:val="21"/>
          <w:szCs w:val="21"/>
          <w:b w:val="1"/>
          <w:bCs w:val="1"/>
          <w:color w:val="005CB9"/>
        </w:rPr>
        <w:t xml:space="preserve"> What is your website for additional information?</w:t>
      </w:r>
    </w:p>
    <w:p>
      <w:pPr>
        <w:spacing w:after="0" w:line="111" w:lineRule="exact"/>
        <w:rPr>
          <w:sz w:val="20"/>
          <w:szCs w:val="20"/>
          <w:color w:val="auto"/>
        </w:rPr>
      </w:pPr>
    </w:p>
    <w:p>
      <w:pPr>
        <w:ind w:left="380" w:right="40" w:hanging="379"/>
        <w:spacing w:after="0" w:line="206" w:lineRule="auto"/>
        <w:tabs>
          <w:tab w:leader="none" w:pos="360" w:val="left"/>
        </w:tabs>
        <w:rPr>
          <w:sz w:val="20"/>
          <w:szCs w:val="20"/>
          <w:color w:val="auto"/>
        </w:rPr>
      </w:pPr>
      <w:r>
        <w:rPr>
          <w:rFonts w:ascii="Arial" w:cs="Arial" w:eastAsia="Arial" w:hAnsi="Arial"/>
          <w:sz w:val="25"/>
          <w:szCs w:val="25"/>
          <w:color w:val="005CB9"/>
        </w:rPr>
        <w:t>A:</w:t>
      </w:r>
      <w:r>
        <w:rPr>
          <w:sz w:val="20"/>
          <w:szCs w:val="20"/>
          <w:color w:val="auto"/>
        </w:rPr>
        <w:tab/>
      </w:r>
      <w:r>
        <w:rPr>
          <w:rFonts w:ascii="Arial" w:cs="Arial" w:eastAsia="Arial" w:hAnsi="Arial"/>
          <w:sz w:val="17"/>
          <w:szCs w:val="17"/>
          <w:color w:val="auto"/>
        </w:rPr>
        <w:t>We maintain a website at www.ropertech.com. The information on our website is not part of this Proxy Statement, and it is not incorporated into any other filings we make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180" w:type="dxa"/>
        <w:tblCellMar>
          <w:top w:w="0" w:type="dxa"/>
          <w:left w:w="0" w:type="dxa"/>
          <w:bottom w:w="0" w:type="dxa"/>
          <w:right w:w="0" w:type="dxa"/>
        </w:tblCellMar>
      </w:tblPr>
      <w:tr>
        <w:trPr>
          <w:trHeight w:val="29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005CB9"/>
              </w:rPr>
              <w:t>55</w:t>
            </w:r>
          </w:p>
        </w:tc>
      </w:tr>
      <w:tr>
        <w:trPr>
          <w:trHeight w:val="100"/>
        </w:trPr>
        <w:tc>
          <w:tcPr>
            <w:tcW w:w="3900" w:type="dxa"/>
            <w:vAlign w:val="bottom"/>
            <w:tcBorders>
              <w:right w:val="single" w:sz="8" w:color="005CB9"/>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-205105</wp:posOffset>
            </wp:positionV>
            <wp:extent cx="428625"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2">
            <w:col w:w="5400" w:space="340"/>
            <w:col w:w="540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INFORMATION REGARDING THE 2023 ANNUAL MEETING OF SHAREHOLDERS</w:t>
      </w:r>
    </w:p>
    <w:p>
      <w:pPr>
        <w:spacing w:after="0" w:line="326"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If you wish to submit a matter to be considered at the 2023 Annual Meeting of Shareholders, you must comply with the procedures set forth below. Any proposal or nomination to be made to the Company should be sent to:</w:t>
      </w:r>
    </w:p>
    <w:p>
      <w:pPr>
        <w:spacing w:after="0" w:line="84"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Roper Technologies, Inc.</w:t>
      </w:r>
    </w:p>
    <w:p>
      <w:pPr>
        <w:ind w:left="1400"/>
        <w:spacing w:after="0" w:line="232" w:lineRule="auto"/>
        <w:rPr>
          <w:sz w:val="20"/>
          <w:szCs w:val="20"/>
          <w:color w:val="auto"/>
        </w:rPr>
      </w:pPr>
      <w:r>
        <w:rPr>
          <w:rFonts w:ascii="Arial" w:cs="Arial" w:eastAsia="Arial" w:hAnsi="Arial"/>
          <w:sz w:val="17"/>
          <w:szCs w:val="17"/>
          <w:color w:val="auto"/>
        </w:rPr>
        <w:t>6901 Professional Parkway</w:t>
      </w:r>
    </w:p>
    <w:p>
      <w:pPr>
        <w:ind w:left="1400"/>
        <w:spacing w:after="0" w:line="232" w:lineRule="auto"/>
        <w:rPr>
          <w:sz w:val="20"/>
          <w:szCs w:val="20"/>
          <w:color w:val="auto"/>
        </w:rPr>
      </w:pPr>
      <w:r>
        <w:rPr>
          <w:rFonts w:ascii="Arial" w:cs="Arial" w:eastAsia="Arial" w:hAnsi="Arial"/>
          <w:sz w:val="17"/>
          <w:szCs w:val="17"/>
          <w:color w:val="auto"/>
        </w:rPr>
        <w:t>Suite 200</w:t>
      </w:r>
    </w:p>
    <w:p>
      <w:pPr>
        <w:ind w:left="1400"/>
        <w:spacing w:after="0" w:line="232" w:lineRule="auto"/>
        <w:rPr>
          <w:sz w:val="20"/>
          <w:szCs w:val="20"/>
          <w:color w:val="auto"/>
        </w:rPr>
      </w:pPr>
      <w:r>
        <w:rPr>
          <w:rFonts w:ascii="Arial" w:cs="Arial" w:eastAsia="Arial" w:hAnsi="Arial"/>
          <w:sz w:val="17"/>
          <w:szCs w:val="17"/>
          <w:color w:val="auto"/>
        </w:rPr>
        <w:t>Sarasota, Florida 34240</w:t>
      </w:r>
    </w:p>
    <w:p>
      <w:pPr>
        <w:ind w:left="1400"/>
        <w:spacing w:after="0"/>
        <w:rPr>
          <w:sz w:val="20"/>
          <w:szCs w:val="20"/>
          <w:color w:val="auto"/>
        </w:rPr>
      </w:pPr>
      <w:r>
        <w:rPr>
          <w:rFonts w:ascii="Arial" w:cs="Arial" w:eastAsia="Arial" w:hAnsi="Arial"/>
          <w:sz w:val="17"/>
          <w:szCs w:val="17"/>
          <w:color w:val="auto"/>
        </w:rPr>
        <w:t>Attention: Secretary</w:t>
      </w:r>
    </w:p>
    <w:p>
      <w:pPr>
        <w:spacing w:after="0" w:line="95" w:lineRule="exact"/>
        <w:rPr>
          <w:sz w:val="20"/>
          <w:szCs w:val="20"/>
          <w:color w:val="auto"/>
        </w:rPr>
      </w:pPr>
    </w:p>
    <w:p>
      <w:pPr>
        <w:ind w:left="340" w:right="340" w:hanging="224"/>
        <w:spacing w:after="0" w:line="249" w:lineRule="auto"/>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 xml:space="preserve">Proxy Statement Proposals. </w:t>
      </w:r>
      <w:r>
        <w:rPr>
          <w:rFonts w:ascii="Arial" w:cs="Arial" w:eastAsia="Arial" w:hAnsi="Arial"/>
          <w:sz w:val="17"/>
          <w:szCs w:val="17"/>
          <w:color w:val="auto"/>
        </w:rPr>
        <w:t>If you intend to submit a proposal to be included in the Proxy Statement for the 2023 Annual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we must receive your proposal no later than December 30, 2022. All proposals must comply with the SEC regulations under Rule 14a-8 for including shareholder proposals in a company’s proxy material.</w:t>
      </w:r>
    </w:p>
    <w:p>
      <w:pPr>
        <w:spacing w:after="0" w:line="80" w:lineRule="exact"/>
        <w:rPr>
          <w:rFonts w:ascii="Arial" w:cs="Arial" w:eastAsia="Arial" w:hAnsi="Arial"/>
          <w:sz w:val="17"/>
          <w:szCs w:val="17"/>
          <w:color w:val="auto"/>
        </w:rPr>
      </w:pPr>
    </w:p>
    <w:p>
      <w:pPr>
        <w:ind w:left="340" w:right="660" w:hanging="224"/>
        <w:spacing w:after="0" w:line="267" w:lineRule="auto"/>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 xml:space="preserve">Director Candidate Nomination. </w:t>
      </w:r>
      <w:r>
        <w:rPr>
          <w:rFonts w:ascii="Arial" w:cs="Arial" w:eastAsia="Arial" w:hAnsi="Arial"/>
          <w:sz w:val="17"/>
          <w:szCs w:val="17"/>
          <w:color w:val="auto"/>
        </w:rPr>
        <w:t>Our By-laws set forth the procedures you must follow if you wish to nominate a director candidate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2023 Annual Meeting of Shareholders.</w:t>
      </w:r>
    </w:p>
    <w:p>
      <w:pPr>
        <w:spacing w:after="0" w:line="53" w:lineRule="exact"/>
        <w:rPr>
          <w:sz w:val="20"/>
          <w:szCs w:val="20"/>
          <w:color w:val="auto"/>
        </w:rPr>
      </w:pPr>
    </w:p>
    <w:p>
      <w:pPr>
        <w:ind w:left="660" w:right="20"/>
        <w:spacing w:after="0" w:line="237" w:lineRule="auto"/>
        <w:rPr>
          <w:sz w:val="20"/>
          <w:szCs w:val="20"/>
          <w:color w:val="auto"/>
        </w:rPr>
      </w:pPr>
      <w:r>
        <w:rPr>
          <w:rFonts w:ascii="Arial" w:cs="Arial" w:eastAsia="Arial" w:hAnsi="Arial"/>
          <w:sz w:val="17"/>
          <w:szCs w:val="17"/>
          <w:i w:val="1"/>
          <w:iCs w:val="1"/>
          <w:color w:val="auto"/>
        </w:rPr>
        <w:t xml:space="preserve">Proxy Access to Include Nominees in our 2023 Proxy Statement. </w:t>
      </w:r>
      <w:r>
        <w:rPr>
          <w:rFonts w:ascii="Arial" w:cs="Arial" w:eastAsia="Arial" w:hAnsi="Arial"/>
          <w:sz w:val="17"/>
          <w:szCs w:val="17"/>
          <w:color w:val="auto"/>
        </w:rPr>
        <w:t>If you are a shareholder, or a group of up to 20 shareholders, owning 3%</w:t>
      </w:r>
      <w:r>
        <w:rPr>
          <w:rFonts w:ascii="Arial" w:cs="Arial" w:eastAsia="Arial" w:hAnsi="Arial"/>
          <w:sz w:val="17"/>
          <w:szCs w:val="17"/>
          <w:i w:val="1"/>
          <w:iCs w:val="1"/>
          <w:color w:val="auto"/>
        </w:rPr>
        <w:t xml:space="preserve"> </w:t>
      </w:r>
      <w:r>
        <w:rPr>
          <w:rFonts w:ascii="Arial" w:cs="Arial" w:eastAsia="Arial" w:hAnsi="Arial"/>
          <w:sz w:val="17"/>
          <w:szCs w:val="17"/>
          <w:color w:val="auto"/>
        </w:rPr>
        <w:t>or more of our outstanding common stock continuously for at least three years and wish to nominate a director candidate and require us to include such nominee in our Proxy Statement and form of proxy, you must submit your request so it is received by the Company between November 30, 2022 and December 30, 2022, in accordance with our By-laws. The number of candidates that may be so nominated is limited to the greater of two or the largest whole number that does not exceed 20% of our Board, provided that the shareholder(s) and nominee(s) satisfy the requirements set forth in our By-laws. All proxy access nominations must be accompanied by information about the nominating shareholders as well as the nominees and meet the requirements specified in our By-laws, including the information specified under “Nominees Not for Inclusion in our 2023 Proxy Statement” below.</w:t>
      </w:r>
    </w:p>
    <w:p>
      <w:pPr>
        <w:spacing w:after="0" w:line="76" w:lineRule="exact"/>
        <w:rPr>
          <w:sz w:val="20"/>
          <w:szCs w:val="20"/>
          <w:color w:val="auto"/>
        </w:rPr>
      </w:pPr>
    </w:p>
    <w:p>
      <w:pPr>
        <w:ind w:left="660"/>
        <w:spacing w:after="0" w:line="235" w:lineRule="auto"/>
        <w:rPr>
          <w:sz w:val="20"/>
          <w:szCs w:val="20"/>
          <w:color w:val="auto"/>
        </w:rPr>
      </w:pPr>
      <w:r>
        <w:rPr>
          <w:rFonts w:ascii="Arial" w:cs="Arial" w:eastAsia="Arial" w:hAnsi="Arial"/>
          <w:sz w:val="17"/>
          <w:szCs w:val="17"/>
          <w:i w:val="1"/>
          <w:iCs w:val="1"/>
          <w:color w:val="auto"/>
        </w:rPr>
        <w:t xml:space="preserve">Nominees Not for Inclusion in our 2023 Proxy Statement. </w:t>
      </w:r>
      <w:r>
        <w:rPr>
          <w:rFonts w:ascii="Arial" w:cs="Arial" w:eastAsia="Arial" w:hAnsi="Arial"/>
          <w:sz w:val="17"/>
          <w:szCs w:val="17"/>
          <w:color w:val="auto"/>
        </w:rPr>
        <w:t>If you wish to nominate a director candidate in connection with the 2023 Annual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of Shareholders and are not requiring that the nominee be included in our Proxy Statement, you must submit the nomination so it is received by the Company between February 15, 2023 and March 17, 2023, in accordance with our By-laws</w:t>
      </w:r>
      <w:r>
        <w:rPr>
          <w:rFonts w:ascii="Arial" w:cs="Arial" w:eastAsia="Arial" w:hAnsi="Arial"/>
          <w:sz w:val="17"/>
          <w:szCs w:val="17"/>
          <w:i w:val="1"/>
          <w:iCs w:val="1"/>
          <w:color w:val="auto"/>
        </w:rPr>
        <w:t>.</w:t>
      </w:r>
      <w:r>
        <w:rPr>
          <w:rFonts w:ascii="Arial" w:cs="Arial" w:eastAsia="Arial" w:hAnsi="Arial"/>
          <w:sz w:val="17"/>
          <w:szCs w:val="17"/>
          <w:color w:val="auto"/>
        </w:rPr>
        <w:t xml:space="preserve"> The notice to nominate a person for election as a Company director must include a written statement setting forth (i) the name of the person to be nominated; (ii) the number and class of all shares of each class of Company stock owned of record and beneficially by such person, as reported by such person to you; (iii) such other information regarding each nominee proposed by you as would have been required to be included in a Proxy Statement filed pursuant to the proxy rules of the SEC if the nominee had been nominated by the Board of Directors; (iv) such person’s signed consent to serve as a director of our Company if elected; (v) your name and address; (vi) the number and class of all shares of each class of Company stock owned of record and beneficially by such shareholder (and any beneficial owner on whose behalf the nomination is made); and (vii) a description of any agreement, arrangement or understanding (including any derivative or short positions, profit interests, options, warrants, stock appreciation or similar rights, hedging transactions and borrowed or loaned shares) that has been entered into by or on behalf of, or any other agreement, arrangement or understanding that has been made, the effect or intent of which is to mitigate loss to, manage risk or benefit of share price changes for, or increase or decrease the voting power of, you (and any beneficial owner on whose behalf the proposal is made) with respect to Roper’s securities.</w:t>
      </w:r>
    </w:p>
    <w:p>
      <w:pPr>
        <w:spacing w:after="0" w:line="74" w:lineRule="exact"/>
        <w:rPr>
          <w:sz w:val="20"/>
          <w:szCs w:val="20"/>
          <w:color w:val="auto"/>
        </w:rPr>
      </w:pPr>
    </w:p>
    <w:p>
      <w:pPr>
        <w:ind w:left="660"/>
        <w:spacing w:after="0" w:line="237" w:lineRule="auto"/>
        <w:rPr>
          <w:sz w:val="20"/>
          <w:szCs w:val="20"/>
          <w:color w:val="auto"/>
        </w:rPr>
      </w:pPr>
      <w:r>
        <w:rPr>
          <w:rFonts w:ascii="Arial" w:cs="Arial" w:eastAsia="Arial" w:hAnsi="Arial"/>
          <w:sz w:val="17"/>
          <w:szCs w:val="17"/>
          <w:i w:val="1"/>
          <w:iCs w:val="1"/>
          <w:color w:val="auto"/>
        </w:rPr>
        <w:t xml:space="preserve">Universal Proxy Rules for Nominees. </w:t>
      </w:r>
      <w:r>
        <w:rPr>
          <w:rFonts w:ascii="Arial" w:cs="Arial" w:eastAsia="Arial" w:hAnsi="Arial"/>
          <w:sz w:val="17"/>
          <w:szCs w:val="17"/>
          <w:color w:val="auto"/>
        </w:rPr>
        <w:t>For all nominees, whether included in our Proxy Statement or otherwise, in addition to satisfying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under our By-laws, if a shareholder intends to comply with the SEC’s universal proxy rules and to solicit proxies in support of director nominees other than the Company nominees, the shareholder must provide notice that sets forth the information required by Rule 14a-19 under the Exchange Act, which notice must be postmarked or transmitted electronically to us at our principal executive office no later than 60 calendar days prior to the one-year anniversary date of the Annual Meeting (for the 2023 Annual Meeting of Shareholders, no later than April 16, 2023). If the date of the Annual Meeting is changed by more than 30 calendar days from such anniversary date, however, then the</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440" w:type="dxa"/>
            <w:vAlign w:val="bottom"/>
            <w:tcBorders>
              <w:right w:val="single" w:sz="8" w:color="005CB9"/>
            </w:tcBorders>
          </w:tcPr>
          <w:p>
            <w:pPr>
              <w:jc w:val="right"/>
              <w:ind w:right="179"/>
              <w:spacing w:after="0"/>
              <w:rPr>
                <w:sz w:val="20"/>
                <w:szCs w:val="20"/>
                <w:color w:val="auto"/>
              </w:rPr>
            </w:pPr>
            <w:r>
              <w:rPr>
                <w:rFonts w:ascii="Arial" w:cs="Arial" w:eastAsia="Arial" w:hAnsi="Arial"/>
                <w:sz w:val="16"/>
                <w:szCs w:val="16"/>
                <w:b w:val="1"/>
                <w:bCs w:val="1"/>
                <w:color w:val="005CB9"/>
                <w:w w:val="89"/>
              </w:rPr>
              <w:t>56</w:t>
            </w:r>
          </w:p>
        </w:tc>
        <w:tc>
          <w:tcPr>
            <w:tcW w:w="4700" w:type="dxa"/>
            <w:vAlign w:val="bottom"/>
          </w:tcPr>
          <w:p>
            <w:pPr>
              <w:ind w:left="1060"/>
              <w:spacing w:after="0"/>
              <w:rPr>
                <w:sz w:val="20"/>
                <w:szCs w:val="20"/>
                <w:color w:val="auto"/>
              </w:rPr>
            </w:pPr>
            <w:r>
              <w:rPr>
                <w:rFonts w:ascii="Arial" w:cs="Arial" w:eastAsia="Arial" w:hAnsi="Arial"/>
                <w:sz w:val="16"/>
                <w:szCs w:val="16"/>
                <w:b w:val="1"/>
                <w:bCs w:val="1"/>
                <w:color w:val="005CB9"/>
              </w:rPr>
              <w:t>Roper Technologies, Inc. 2022 Proxy Statement</w:t>
            </w:r>
          </w:p>
        </w:tc>
      </w:tr>
      <w:tr>
        <w:trPr>
          <w:trHeight w:val="101"/>
        </w:trPr>
        <w:tc>
          <w:tcPr>
            <w:tcW w:w="440" w:type="dxa"/>
            <w:vAlign w:val="bottom"/>
            <w:tcBorders>
              <w:right w:val="single" w:sz="8" w:color="005CB9"/>
            </w:tcBorders>
          </w:tcPr>
          <w:p>
            <w:pPr>
              <w:spacing w:after="0"/>
              <w:rPr>
                <w:sz w:val="8"/>
                <w:szCs w:val="8"/>
                <w:color w:val="auto"/>
              </w:rPr>
            </w:pPr>
          </w:p>
        </w:tc>
        <w:tc>
          <w:tcPr>
            <w:tcW w:w="47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-205105</wp:posOffset>
            </wp:positionV>
            <wp:extent cx="428625"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660" w:right="220"/>
        <w:spacing w:after="0" w:line="243" w:lineRule="auto"/>
        <w:rPr>
          <w:sz w:val="20"/>
          <w:szCs w:val="20"/>
          <w:color w:val="auto"/>
        </w:rPr>
      </w:pPr>
      <w:r>
        <w:rPr>
          <w:rFonts w:ascii="Arial" w:cs="Arial" w:eastAsia="Arial" w:hAnsi="Arial"/>
          <w:sz w:val="17"/>
          <w:szCs w:val="17"/>
          <w:color w:val="auto"/>
        </w:rPr>
        <w:t>shareholder must provide notice by the later of 60 calendar days prior to the date of the 2023 Annual Meeting and the 10</w:t>
      </w:r>
      <w:r>
        <w:rPr>
          <w:rFonts w:ascii="Arial" w:cs="Arial" w:eastAsia="Arial" w:hAnsi="Arial"/>
          <w:sz w:val="14"/>
          <w:szCs w:val="14"/>
          <w:color w:val="auto"/>
        </w:rPr>
        <w:t>th</w:t>
      </w:r>
      <w:r>
        <w:rPr>
          <w:rFonts w:ascii="Arial" w:cs="Arial" w:eastAsia="Arial" w:hAnsi="Arial"/>
          <w:sz w:val="17"/>
          <w:szCs w:val="17"/>
          <w:color w:val="auto"/>
        </w:rPr>
        <w:t xml:space="preserve"> calendar day following the date on which public announcement of the date of the 2023 Annual Meeting is first made.</w:t>
      </w:r>
    </w:p>
    <w:p>
      <w:pPr>
        <w:spacing w:after="0" w:line="84" w:lineRule="exact"/>
        <w:rPr>
          <w:sz w:val="20"/>
          <w:szCs w:val="20"/>
          <w:color w:val="auto"/>
        </w:rPr>
      </w:pPr>
    </w:p>
    <w:p>
      <w:pPr>
        <w:ind w:left="340" w:right="20" w:hanging="224"/>
        <w:spacing w:after="0" w:line="236" w:lineRule="auto"/>
        <w:tabs>
          <w:tab w:leader="none" w:pos="340"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 xml:space="preserve">Matters for Annual Meeting Agenda. </w:t>
      </w:r>
      <w:r>
        <w:rPr>
          <w:rFonts w:ascii="Arial" w:cs="Arial" w:eastAsia="Arial" w:hAnsi="Arial"/>
          <w:sz w:val="17"/>
          <w:szCs w:val="17"/>
          <w:color w:val="auto"/>
        </w:rPr>
        <w:t>If you wish to have other business (not the nomination of a director candidate) brought before the 2023</w:t>
      </w:r>
      <w:r>
        <w:rPr>
          <w:rFonts w:ascii="Arial" w:cs="Arial" w:eastAsia="Arial" w:hAnsi="Arial"/>
          <w:sz w:val="17"/>
          <w:szCs w:val="17"/>
          <w:b w:val="1"/>
          <w:bCs w:val="1"/>
          <w:color w:val="auto"/>
        </w:rPr>
        <w:t xml:space="preserve"> </w:t>
      </w:r>
      <w:r>
        <w:rPr>
          <w:rFonts w:ascii="Arial" w:cs="Arial" w:eastAsia="Arial" w:hAnsi="Arial"/>
          <w:sz w:val="17"/>
          <w:szCs w:val="17"/>
          <w:color w:val="auto"/>
        </w:rPr>
        <w:t>Annual Meeting of Shareholders, you must submit the proposal between February 15, 2023 and March 17, 2023, in accordance with our By-laws. If you intend to present the matter directly at the 2023 Annual Meeting of Shareholders, the notice must include (a) the text of the proposal; (b) a brief statement of the reasons why you favor the proposal; (c) your name and address; (d) the number and class of all shares of each class of Company stock owned of record and beneficially by you (and any beneficial owner on whose behalf the proposal is made); (e) a description of any agreement, arrangement or understanding (including any derivative or short positions, profit interests, options, warrants, stock appreciation or similar rights, hedging transactions and borrowed or loaned shares) that has been entered into by or on behalf of, or any other agreement, arrangement or understanding that has been made, the effect or intent of which is to mitigate loss to, manage risk or benefit of share price changes for, or increase or decrease the voting power of, you (and any beneficial owner on whose behalf the proposal is made) with respect to the Roper’s securities; and (f) if applicable, any material interest of you and such beneficial owner in the matter proposed (other than as a shareholder).</w:t>
      </w:r>
    </w:p>
    <w:p>
      <w:pPr>
        <w:spacing w:after="0" w:line="93"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With respect to matters not included in the Proxy Statement but properly presented at the 2023 Annual Meeting of Shareholders, management generally will be able to vote proxies in its discretion if it receives notice of the proposal during the period specified above and advises shareholders in the Proxy Statement for the 2023 Annual Meeting of Shareholders about the nature of the matter and how management intends to vote on the matter, unless the proponent of the shareholder proposal (a) provides us with a timely written statement that the proponent intends to deliver a Proxy Statement to at least the percentage of our voting shares required to carry the proposal; (b) includes the same statement in the proponent’s own proxy materials; and (c) provides us with a statement from a solicitor confirming that the necessary steps have been taken to deliver the Proxy Statement to at least the percentage of our voting shares required to carry the proposal.</w:t>
      </w: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OTHER MATTERS</w:t>
      </w:r>
    </w:p>
    <w:p>
      <w:pPr>
        <w:spacing w:after="0" w:line="326"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As of the date of this Proxy Statement, the Board of Directors knows of no other business which will be or is intended to be presented at the Annual Meeting.</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the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1508760" cy="3429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Amy Woods Brinkley</w:t>
      </w:r>
    </w:p>
    <w:p>
      <w:pPr>
        <w:ind w:left="120"/>
        <w:spacing w:after="0"/>
        <w:rPr>
          <w:sz w:val="20"/>
          <w:szCs w:val="20"/>
          <w:color w:val="auto"/>
        </w:rPr>
      </w:pPr>
      <w:r>
        <w:rPr>
          <w:rFonts w:ascii="Arial" w:cs="Arial" w:eastAsia="Arial" w:hAnsi="Arial"/>
          <w:sz w:val="18"/>
          <w:szCs w:val="18"/>
          <w:color w:val="auto"/>
        </w:rPr>
        <w:t>Chair of the Board of Directors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April 29, 2022</w:t>
      </w:r>
    </w:p>
    <w:p>
      <w:pPr>
        <w:spacing w:after="0" w:line="145" w:lineRule="exact"/>
        <w:rPr>
          <w:sz w:val="20"/>
          <w:szCs w:val="20"/>
          <w:color w:val="auto"/>
        </w:rPr>
      </w:pPr>
    </w:p>
    <w:tbl>
      <w:tblPr>
        <w:tblLayout w:type="fixed"/>
        <w:tblInd w:w="6920" w:type="dxa"/>
        <w:tblCellMar>
          <w:top w:w="0" w:type="dxa"/>
          <w:left w:w="0" w:type="dxa"/>
          <w:bottom w:w="0" w:type="dxa"/>
          <w:right w:w="0" w:type="dxa"/>
        </w:tblCellMar>
      </w:tblPr>
      <w:tr>
        <w:trPr>
          <w:trHeight w:val="291"/>
        </w:trPr>
        <w:tc>
          <w:tcPr>
            <w:tcW w:w="3900" w:type="dxa"/>
            <w:vAlign w:val="bottom"/>
            <w:tcBorders>
              <w:right w:val="single" w:sz="8" w:color="005CB9"/>
            </w:tcBorders>
          </w:tcPr>
          <w:p>
            <w:pPr>
              <w:spacing w:after="0"/>
              <w:rPr>
                <w:sz w:val="20"/>
                <w:szCs w:val="20"/>
                <w:color w:val="auto"/>
              </w:rPr>
            </w:pPr>
            <w:r>
              <w:rPr>
                <w:rFonts w:ascii="Arial" w:cs="Arial" w:eastAsia="Arial" w:hAnsi="Arial"/>
                <w:sz w:val="16"/>
                <w:szCs w:val="16"/>
                <w:b w:val="1"/>
                <w:bCs w:val="1"/>
                <w:color w:val="005CB9"/>
              </w:rPr>
              <w:t>Roper Technologies, Inc. 2022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005CB9"/>
              </w:rPr>
              <w:t>57</w:t>
            </w:r>
          </w:p>
        </w:tc>
      </w:tr>
      <w:tr>
        <w:trPr>
          <w:trHeight w:val="101"/>
        </w:trPr>
        <w:tc>
          <w:tcPr>
            <w:tcW w:w="3900" w:type="dxa"/>
            <w:vAlign w:val="bottom"/>
            <w:tcBorders>
              <w:right w:val="single" w:sz="8" w:color="005CB9"/>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-205105</wp:posOffset>
            </wp:positionV>
            <wp:extent cx="428625"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APPENDIX A—RECONCILIATIONS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Table 1: 2021 EBITDA and EBITDA Margin Reconciliation ($M)</w:t>
      </w:r>
    </w:p>
    <w:p>
      <w:pPr>
        <w:ind w:left="120"/>
        <w:spacing w:after="0"/>
        <w:rPr>
          <w:sz w:val="20"/>
          <w:szCs w:val="20"/>
          <w:color w:val="auto"/>
        </w:rPr>
      </w:pPr>
      <w:r>
        <w:rPr>
          <w:rFonts w:ascii="Arial" w:cs="Arial" w:eastAsia="Arial" w:hAnsi="Arial"/>
          <w:sz w:val="17"/>
          <w:szCs w:val="17"/>
          <w:color w:val="auto"/>
        </w:rPr>
        <w:t>(From Continuing Operations)</w:t>
      </w: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Borders>
              <w:bottom w:val="single" w:sz="8" w:color="CCDEF1"/>
            </w:tcBorders>
          </w:tcPr>
          <w:p>
            <w:pPr>
              <w:spacing w:after="0"/>
              <w:rPr>
                <w:sz w:val="14"/>
                <w:szCs w:val="14"/>
                <w:color w:val="auto"/>
              </w:rPr>
            </w:pPr>
          </w:p>
        </w:tc>
        <w:tc>
          <w:tcPr>
            <w:tcW w:w="180" w:type="dxa"/>
            <w:vAlign w:val="bottom"/>
            <w:tcBorders>
              <w:bottom w:val="single" w:sz="8" w:color="CCDEF1"/>
            </w:tcBorders>
          </w:tcPr>
          <w:p>
            <w:pPr>
              <w:spacing w:after="0"/>
              <w:rPr>
                <w:sz w:val="14"/>
                <w:szCs w:val="14"/>
                <w:color w:val="auto"/>
              </w:rPr>
            </w:pPr>
          </w:p>
        </w:tc>
        <w:tc>
          <w:tcPr>
            <w:tcW w:w="8440" w:type="dxa"/>
            <w:vAlign w:val="bottom"/>
            <w:tcBorders>
              <w:bottom w:val="single" w:sz="8" w:color="CCDEF1"/>
            </w:tcBorders>
          </w:tcPr>
          <w:p>
            <w:pPr>
              <w:spacing w:after="0"/>
              <w:rPr>
                <w:sz w:val="14"/>
                <w:szCs w:val="14"/>
                <w:color w:val="auto"/>
              </w:rPr>
            </w:pPr>
          </w:p>
        </w:tc>
        <w:tc>
          <w:tcPr>
            <w:tcW w:w="12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2020</w:t>
            </w:r>
          </w:p>
        </w:tc>
        <w:tc>
          <w:tcPr>
            <w:tcW w:w="9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57"/>
        </w:trPr>
        <w:tc>
          <w:tcPr>
            <w:tcW w:w="8880" w:type="dxa"/>
            <w:vAlign w:val="bottom"/>
            <w:tcBorders>
              <w:bottom w:val="single" w:sz="8" w:color="CCDEF1"/>
            </w:tcBorders>
            <w:gridSpan w:val="3"/>
            <w:shd w:val="clear" w:color="auto" w:fill="CCDEF1"/>
          </w:tcPr>
          <w:p>
            <w:pPr>
              <w:spacing w:after="0"/>
              <w:rPr>
                <w:sz w:val="20"/>
                <w:szCs w:val="20"/>
                <w:color w:val="auto"/>
              </w:rPr>
            </w:pPr>
            <w:r>
              <w:rPr>
                <w:rFonts w:ascii="Arial" w:cs="Arial" w:eastAsia="Arial" w:hAnsi="Arial"/>
                <w:sz w:val="17"/>
                <w:szCs w:val="17"/>
                <w:color w:val="auto"/>
              </w:rPr>
              <w:t>GAAP Revenue</w:t>
            </w:r>
          </w:p>
        </w:tc>
        <w:tc>
          <w:tcPr>
            <w:tcW w:w="1240" w:type="dxa"/>
            <w:vAlign w:val="bottom"/>
            <w:tcBorders>
              <w:bottom w:val="single" w:sz="8" w:color="CCDEF1"/>
            </w:tcBorders>
            <w:shd w:val="clear" w:color="auto" w:fill="CCDEF1"/>
          </w:tcPr>
          <w:p>
            <w:pPr>
              <w:jc w:val="right"/>
              <w:ind w:right="195"/>
              <w:spacing w:after="0"/>
              <w:rPr>
                <w:sz w:val="20"/>
                <w:szCs w:val="20"/>
                <w:color w:val="auto"/>
              </w:rPr>
            </w:pPr>
            <w:r>
              <w:rPr>
                <w:rFonts w:ascii="Arial" w:cs="Arial" w:eastAsia="Arial" w:hAnsi="Arial"/>
                <w:sz w:val="17"/>
                <w:szCs w:val="17"/>
                <w:color w:val="auto"/>
              </w:rPr>
              <w:t>$4,854</w:t>
            </w:r>
          </w:p>
        </w:tc>
        <w:tc>
          <w:tcPr>
            <w:tcW w:w="900" w:type="dxa"/>
            <w:vAlign w:val="bottom"/>
            <w:tcBorders>
              <w:bottom w:val="single" w:sz="8" w:color="CCDEF1"/>
            </w:tcBorders>
            <w:shd w:val="clear" w:color="auto" w:fill="CCDEF1"/>
          </w:tcPr>
          <w:p>
            <w:pPr>
              <w:jc w:val="right"/>
              <w:ind w:right="135"/>
              <w:spacing w:after="0"/>
              <w:rPr>
                <w:sz w:val="20"/>
                <w:szCs w:val="20"/>
                <w:color w:val="auto"/>
              </w:rPr>
            </w:pPr>
            <w:r>
              <w:rPr>
                <w:rFonts w:ascii="Arial" w:cs="Arial" w:eastAsia="Arial" w:hAnsi="Arial"/>
                <w:sz w:val="17"/>
                <w:szCs w:val="17"/>
                <w:color w:val="auto"/>
              </w:rPr>
              <w:t>$5,778</w:t>
            </w:r>
          </w:p>
        </w:tc>
        <w:tc>
          <w:tcPr>
            <w:tcW w:w="0" w:type="dxa"/>
            <w:vAlign w:val="bottom"/>
          </w:tcPr>
          <w:p>
            <w:pPr>
              <w:spacing w:after="0"/>
              <w:rPr>
                <w:sz w:val="1"/>
                <w:szCs w:val="1"/>
                <w:color w:val="auto"/>
              </w:rPr>
            </w:pPr>
          </w:p>
        </w:tc>
      </w:tr>
      <w:tr>
        <w:trPr>
          <w:trHeight w:val="253"/>
        </w:trPr>
        <w:tc>
          <w:tcPr>
            <w:tcW w:w="260" w:type="dxa"/>
            <w:vAlign w:val="bottom"/>
          </w:tcPr>
          <w:p>
            <w:pPr>
              <w:spacing w:after="0"/>
              <w:rPr>
                <w:sz w:val="21"/>
                <w:szCs w:val="21"/>
                <w:color w:val="auto"/>
              </w:rPr>
            </w:pPr>
          </w:p>
        </w:tc>
        <w:tc>
          <w:tcPr>
            <w:tcW w:w="8620" w:type="dxa"/>
            <w:vAlign w:val="bottom"/>
            <w:gridSpan w:val="2"/>
          </w:tcPr>
          <w:p>
            <w:pPr>
              <w:ind w:left="80"/>
              <w:spacing w:after="0"/>
              <w:rPr>
                <w:sz w:val="20"/>
                <w:szCs w:val="20"/>
                <w:color w:val="auto"/>
              </w:rPr>
            </w:pPr>
            <w:r>
              <w:rPr>
                <w:rFonts w:ascii="Arial" w:cs="Arial" w:eastAsia="Arial" w:hAnsi="Arial"/>
                <w:sz w:val="17"/>
                <w:szCs w:val="17"/>
                <w:color w:val="auto"/>
              </w:rPr>
              <w:t>Purchase accounting adjustment to acquired deferred revenue</w:t>
            </w:r>
          </w:p>
        </w:tc>
        <w:tc>
          <w:tcPr>
            <w:tcW w:w="1240" w:type="dxa"/>
            <w:vAlign w:val="bottom"/>
          </w:tcPr>
          <w:p>
            <w:pPr>
              <w:jc w:val="right"/>
              <w:ind w:right="195"/>
              <w:spacing w:after="0"/>
              <w:rPr>
                <w:sz w:val="20"/>
                <w:szCs w:val="20"/>
                <w:color w:val="auto"/>
              </w:rPr>
            </w:pPr>
            <w:r>
              <w:rPr>
                <w:rFonts w:ascii="Arial" w:cs="Arial" w:eastAsia="Arial" w:hAnsi="Arial"/>
                <w:sz w:val="17"/>
                <w:szCs w:val="17"/>
                <w:color w:val="auto"/>
              </w:rPr>
              <w:t>12</w:t>
            </w: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44"/>
        </w:trPr>
        <w:tc>
          <w:tcPr>
            <w:tcW w:w="440" w:type="dxa"/>
            <w:vAlign w:val="bottom"/>
            <w:gridSpan w:val="2"/>
          </w:tcPr>
          <w:p>
            <w:pPr>
              <w:spacing w:after="0"/>
              <w:rPr>
                <w:sz w:val="3"/>
                <w:szCs w:val="3"/>
                <w:color w:val="auto"/>
              </w:rPr>
            </w:pPr>
          </w:p>
        </w:tc>
        <w:tc>
          <w:tcPr>
            <w:tcW w:w="8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8880" w:type="dxa"/>
            <w:vAlign w:val="bottom"/>
            <w:tcBorders>
              <w:bottom w:val="single" w:sz="8" w:color="CCDEF1"/>
            </w:tcBorders>
            <w:gridSpan w:val="3"/>
            <w:shd w:val="clear" w:color="auto" w:fill="CCDEF1"/>
          </w:tcPr>
          <w:p>
            <w:pPr>
              <w:spacing w:after="0"/>
              <w:rPr>
                <w:sz w:val="20"/>
                <w:szCs w:val="20"/>
                <w:color w:val="auto"/>
              </w:rPr>
            </w:pPr>
            <w:r>
              <w:rPr>
                <w:rFonts w:ascii="Arial" w:cs="Arial" w:eastAsia="Arial" w:hAnsi="Arial"/>
                <w:sz w:val="17"/>
                <w:szCs w:val="17"/>
                <w:color w:val="auto"/>
              </w:rPr>
              <w:t>Adjusted Revenue (A)</w:t>
            </w:r>
          </w:p>
        </w:tc>
        <w:tc>
          <w:tcPr>
            <w:tcW w:w="1240" w:type="dxa"/>
            <w:vAlign w:val="bottom"/>
            <w:tcBorders>
              <w:bottom w:val="single" w:sz="8" w:color="CCDEF1"/>
            </w:tcBorders>
            <w:shd w:val="clear" w:color="auto" w:fill="CCDEF1"/>
          </w:tcPr>
          <w:p>
            <w:pPr>
              <w:jc w:val="right"/>
              <w:ind w:right="195"/>
              <w:spacing w:after="0"/>
              <w:rPr>
                <w:sz w:val="20"/>
                <w:szCs w:val="20"/>
                <w:color w:val="auto"/>
              </w:rPr>
            </w:pPr>
            <w:r>
              <w:rPr>
                <w:rFonts w:ascii="Arial" w:cs="Arial" w:eastAsia="Arial" w:hAnsi="Arial"/>
                <w:sz w:val="17"/>
                <w:szCs w:val="17"/>
                <w:color w:val="auto"/>
              </w:rPr>
              <w:t>$4,866</w:t>
            </w:r>
          </w:p>
        </w:tc>
        <w:tc>
          <w:tcPr>
            <w:tcW w:w="900" w:type="dxa"/>
            <w:vAlign w:val="bottom"/>
            <w:tcBorders>
              <w:bottom w:val="single" w:sz="8" w:color="CCDEF1"/>
            </w:tcBorders>
            <w:shd w:val="clear" w:color="auto" w:fill="CCDEF1"/>
          </w:tcPr>
          <w:p>
            <w:pPr>
              <w:jc w:val="right"/>
              <w:ind w:right="135"/>
              <w:spacing w:after="0"/>
              <w:rPr>
                <w:sz w:val="20"/>
                <w:szCs w:val="20"/>
                <w:color w:val="auto"/>
              </w:rPr>
            </w:pPr>
            <w:r>
              <w:rPr>
                <w:rFonts w:ascii="Arial" w:cs="Arial" w:eastAsia="Arial" w:hAnsi="Arial"/>
                <w:sz w:val="17"/>
                <w:szCs w:val="17"/>
                <w:color w:val="auto"/>
              </w:rPr>
              <w:t>$5,779</w:t>
            </w:r>
          </w:p>
        </w:tc>
        <w:tc>
          <w:tcPr>
            <w:tcW w:w="0" w:type="dxa"/>
            <w:vAlign w:val="bottom"/>
          </w:tcPr>
          <w:p>
            <w:pPr>
              <w:spacing w:after="0"/>
              <w:rPr>
                <w:sz w:val="1"/>
                <w:szCs w:val="1"/>
                <w:color w:val="auto"/>
              </w:rPr>
            </w:pPr>
          </w:p>
        </w:tc>
      </w:tr>
      <w:tr>
        <w:trPr>
          <w:trHeight w:val="233"/>
        </w:trPr>
        <w:tc>
          <w:tcPr>
            <w:tcW w:w="8880" w:type="dxa"/>
            <w:vAlign w:val="bottom"/>
            <w:gridSpan w:val="3"/>
          </w:tcPr>
          <w:p>
            <w:pPr>
              <w:spacing w:after="0"/>
              <w:rPr>
                <w:sz w:val="20"/>
                <w:szCs w:val="20"/>
                <w:color w:val="auto"/>
              </w:rPr>
            </w:pPr>
            <w:r>
              <w:rPr>
                <w:rFonts w:ascii="Arial" w:cs="Arial" w:eastAsia="Arial" w:hAnsi="Arial"/>
                <w:sz w:val="17"/>
                <w:szCs w:val="17"/>
                <w:color w:val="auto"/>
              </w:rPr>
              <w:t>GAAP Net Earnings</w:t>
            </w:r>
          </w:p>
        </w:tc>
        <w:tc>
          <w:tcPr>
            <w:tcW w:w="124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rPr>
              <w:t>825</w:t>
            </w:r>
          </w:p>
        </w:tc>
        <w:tc>
          <w:tcPr>
            <w:tcW w:w="90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983</w:t>
            </w:r>
          </w:p>
        </w:tc>
        <w:tc>
          <w:tcPr>
            <w:tcW w:w="0" w:type="dxa"/>
            <w:vAlign w:val="bottom"/>
          </w:tcPr>
          <w:p>
            <w:pPr>
              <w:spacing w:after="0"/>
              <w:rPr>
                <w:sz w:val="1"/>
                <w:szCs w:val="1"/>
                <w:color w:val="auto"/>
              </w:rPr>
            </w:pPr>
          </w:p>
        </w:tc>
      </w:tr>
      <w:tr>
        <w:trPr>
          <w:trHeight w:val="45"/>
        </w:trPr>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60" w:type="dxa"/>
            <w:vAlign w:val="bottom"/>
            <w:tcBorders>
              <w:bottom w:val="single" w:sz="8" w:color="CCDEF1"/>
            </w:tcBorders>
            <w:shd w:val="clear" w:color="auto" w:fill="CCDEF1"/>
          </w:tcPr>
          <w:p>
            <w:pPr>
              <w:spacing w:after="0"/>
              <w:rPr>
                <w:sz w:val="24"/>
                <w:szCs w:val="24"/>
                <w:color w:val="auto"/>
              </w:rPr>
            </w:pPr>
          </w:p>
        </w:tc>
        <w:tc>
          <w:tcPr>
            <w:tcW w:w="8620" w:type="dxa"/>
            <w:vAlign w:val="bottom"/>
            <w:tcBorders>
              <w:bottom w:val="single" w:sz="8" w:color="CCDEF1"/>
            </w:tcBorders>
            <w:gridSpan w:val="2"/>
            <w:shd w:val="clear" w:color="auto" w:fill="CCDEF1"/>
          </w:tcPr>
          <w:p>
            <w:pPr>
              <w:ind w:left="80"/>
              <w:spacing w:after="0"/>
              <w:rPr>
                <w:sz w:val="20"/>
                <w:szCs w:val="20"/>
                <w:color w:val="auto"/>
              </w:rPr>
            </w:pPr>
            <w:r>
              <w:rPr>
                <w:rFonts w:ascii="Arial" w:cs="Arial" w:eastAsia="Arial" w:hAnsi="Arial"/>
                <w:sz w:val="17"/>
                <w:szCs w:val="17"/>
                <w:color w:val="auto"/>
              </w:rPr>
              <w:t>Taxes</w:t>
            </w:r>
          </w:p>
        </w:tc>
        <w:tc>
          <w:tcPr>
            <w:tcW w:w="1240" w:type="dxa"/>
            <w:vAlign w:val="bottom"/>
            <w:tcBorders>
              <w:bottom w:val="single" w:sz="8" w:color="CCDEF1"/>
            </w:tcBorders>
            <w:shd w:val="clear" w:color="auto" w:fill="CCDEF1"/>
          </w:tcPr>
          <w:p>
            <w:pPr>
              <w:jc w:val="right"/>
              <w:ind w:right="195"/>
              <w:spacing w:after="0"/>
              <w:rPr>
                <w:sz w:val="20"/>
                <w:szCs w:val="20"/>
                <w:color w:val="auto"/>
              </w:rPr>
            </w:pPr>
            <w:r>
              <w:rPr>
                <w:rFonts w:ascii="Arial" w:cs="Arial" w:eastAsia="Arial" w:hAnsi="Arial"/>
                <w:sz w:val="17"/>
                <w:szCs w:val="17"/>
                <w:color w:val="auto"/>
              </w:rPr>
              <w:t>226</w:t>
            </w:r>
          </w:p>
        </w:tc>
        <w:tc>
          <w:tcPr>
            <w:tcW w:w="900" w:type="dxa"/>
            <w:vAlign w:val="bottom"/>
            <w:tcBorders>
              <w:bottom w:val="single" w:sz="8" w:color="CCDEF1"/>
            </w:tcBorders>
            <w:shd w:val="clear" w:color="auto" w:fill="CCDEF1"/>
          </w:tcPr>
          <w:p>
            <w:pPr>
              <w:jc w:val="right"/>
              <w:ind w:right="135"/>
              <w:spacing w:after="0"/>
              <w:rPr>
                <w:sz w:val="20"/>
                <w:szCs w:val="20"/>
                <w:color w:val="auto"/>
              </w:rPr>
            </w:pPr>
            <w:r>
              <w:rPr>
                <w:rFonts w:ascii="Arial" w:cs="Arial" w:eastAsia="Arial" w:hAnsi="Arial"/>
                <w:sz w:val="17"/>
                <w:szCs w:val="17"/>
                <w:color w:val="auto"/>
              </w:rPr>
              <w:t>288</w:t>
            </w:r>
          </w:p>
        </w:tc>
        <w:tc>
          <w:tcPr>
            <w:tcW w:w="0" w:type="dxa"/>
            <w:vAlign w:val="bottom"/>
          </w:tcPr>
          <w:p>
            <w:pPr>
              <w:spacing w:after="0"/>
              <w:rPr>
                <w:sz w:val="1"/>
                <w:szCs w:val="1"/>
                <w:color w:val="auto"/>
              </w:rPr>
            </w:pPr>
          </w:p>
        </w:tc>
      </w:tr>
      <w:tr>
        <w:trPr>
          <w:trHeight w:val="253"/>
        </w:trPr>
        <w:tc>
          <w:tcPr>
            <w:tcW w:w="260" w:type="dxa"/>
            <w:vAlign w:val="bottom"/>
          </w:tcPr>
          <w:p>
            <w:pPr>
              <w:spacing w:after="0"/>
              <w:rPr>
                <w:sz w:val="21"/>
                <w:szCs w:val="21"/>
                <w:color w:val="auto"/>
              </w:rPr>
            </w:pPr>
          </w:p>
        </w:tc>
        <w:tc>
          <w:tcPr>
            <w:tcW w:w="8620" w:type="dxa"/>
            <w:vAlign w:val="bottom"/>
            <w:gridSpan w:val="2"/>
          </w:tcPr>
          <w:p>
            <w:pPr>
              <w:ind w:left="80"/>
              <w:spacing w:after="0"/>
              <w:rPr>
                <w:sz w:val="20"/>
                <w:szCs w:val="20"/>
                <w:color w:val="auto"/>
              </w:rPr>
            </w:pPr>
            <w:r>
              <w:rPr>
                <w:rFonts w:ascii="Arial" w:cs="Arial" w:eastAsia="Arial" w:hAnsi="Arial"/>
                <w:sz w:val="17"/>
                <w:szCs w:val="17"/>
                <w:color w:val="auto"/>
              </w:rPr>
              <w:t>Interest Expense</w:t>
            </w:r>
          </w:p>
        </w:tc>
        <w:tc>
          <w:tcPr>
            <w:tcW w:w="1240" w:type="dxa"/>
            <w:vAlign w:val="bottom"/>
          </w:tcPr>
          <w:p>
            <w:pPr>
              <w:jc w:val="right"/>
              <w:ind w:right="195"/>
              <w:spacing w:after="0"/>
              <w:rPr>
                <w:sz w:val="20"/>
                <w:szCs w:val="20"/>
                <w:color w:val="auto"/>
              </w:rPr>
            </w:pPr>
            <w:r>
              <w:rPr>
                <w:rFonts w:ascii="Arial" w:cs="Arial" w:eastAsia="Arial" w:hAnsi="Arial"/>
                <w:sz w:val="17"/>
                <w:szCs w:val="17"/>
                <w:color w:val="auto"/>
              </w:rPr>
              <w:t>218</w:t>
            </w: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45"/>
        </w:trPr>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60" w:type="dxa"/>
            <w:vAlign w:val="bottom"/>
            <w:tcBorders>
              <w:bottom w:val="single" w:sz="8" w:color="CCDEF1"/>
            </w:tcBorders>
            <w:shd w:val="clear" w:color="auto" w:fill="CCDEF1"/>
          </w:tcPr>
          <w:p>
            <w:pPr>
              <w:spacing w:after="0"/>
              <w:rPr>
                <w:sz w:val="24"/>
                <w:szCs w:val="24"/>
                <w:color w:val="auto"/>
              </w:rPr>
            </w:pPr>
          </w:p>
        </w:tc>
        <w:tc>
          <w:tcPr>
            <w:tcW w:w="8620" w:type="dxa"/>
            <w:vAlign w:val="bottom"/>
            <w:tcBorders>
              <w:bottom w:val="single" w:sz="8" w:color="CCDEF1"/>
            </w:tcBorders>
            <w:gridSpan w:val="2"/>
            <w:shd w:val="clear" w:color="auto" w:fill="CCDEF1"/>
          </w:tcPr>
          <w:p>
            <w:pPr>
              <w:ind w:left="80"/>
              <w:spacing w:after="0"/>
              <w:rPr>
                <w:sz w:val="20"/>
                <w:szCs w:val="20"/>
                <w:color w:val="auto"/>
              </w:rPr>
            </w:pPr>
            <w:r>
              <w:rPr>
                <w:rFonts w:ascii="Arial" w:cs="Arial" w:eastAsia="Arial" w:hAnsi="Arial"/>
                <w:sz w:val="17"/>
                <w:szCs w:val="17"/>
                <w:color w:val="auto"/>
              </w:rPr>
              <w:t>Depreciation</w:t>
            </w:r>
          </w:p>
        </w:tc>
        <w:tc>
          <w:tcPr>
            <w:tcW w:w="1240" w:type="dxa"/>
            <w:vAlign w:val="bottom"/>
            <w:tcBorders>
              <w:bottom w:val="single" w:sz="8" w:color="CCDEF1"/>
            </w:tcBorders>
            <w:shd w:val="clear" w:color="auto" w:fill="CCDEF1"/>
          </w:tcPr>
          <w:p>
            <w:pPr>
              <w:jc w:val="right"/>
              <w:ind w:right="195"/>
              <w:spacing w:after="0"/>
              <w:rPr>
                <w:sz w:val="20"/>
                <w:szCs w:val="20"/>
                <w:color w:val="auto"/>
              </w:rPr>
            </w:pPr>
            <w:r>
              <w:rPr>
                <w:rFonts w:ascii="Arial" w:cs="Arial" w:eastAsia="Arial" w:hAnsi="Arial"/>
                <w:sz w:val="17"/>
                <w:szCs w:val="17"/>
                <w:color w:val="auto"/>
              </w:rPr>
              <w:t>47</w:t>
            </w:r>
          </w:p>
        </w:tc>
        <w:tc>
          <w:tcPr>
            <w:tcW w:w="900" w:type="dxa"/>
            <w:vAlign w:val="bottom"/>
            <w:tcBorders>
              <w:bottom w:val="single" w:sz="8" w:color="CCDEF1"/>
            </w:tcBorders>
            <w:shd w:val="clear" w:color="auto" w:fill="CCDEF1"/>
          </w:tcPr>
          <w:p>
            <w:pPr>
              <w:jc w:val="right"/>
              <w:ind w:right="135"/>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53"/>
        </w:trPr>
        <w:tc>
          <w:tcPr>
            <w:tcW w:w="260" w:type="dxa"/>
            <w:vAlign w:val="bottom"/>
          </w:tcPr>
          <w:p>
            <w:pPr>
              <w:spacing w:after="0"/>
              <w:rPr>
                <w:sz w:val="21"/>
                <w:szCs w:val="21"/>
                <w:color w:val="auto"/>
              </w:rPr>
            </w:pPr>
          </w:p>
        </w:tc>
        <w:tc>
          <w:tcPr>
            <w:tcW w:w="8620" w:type="dxa"/>
            <w:vAlign w:val="bottom"/>
            <w:gridSpan w:val="2"/>
          </w:tcPr>
          <w:p>
            <w:pPr>
              <w:ind w:left="80"/>
              <w:spacing w:after="0"/>
              <w:rPr>
                <w:sz w:val="20"/>
                <w:szCs w:val="20"/>
                <w:color w:val="auto"/>
              </w:rPr>
            </w:pPr>
            <w:r>
              <w:rPr>
                <w:rFonts w:ascii="Arial" w:cs="Arial" w:eastAsia="Arial" w:hAnsi="Arial"/>
                <w:sz w:val="17"/>
                <w:szCs w:val="17"/>
                <w:color w:val="auto"/>
              </w:rPr>
              <w:t>Amortization</w:t>
            </w:r>
          </w:p>
        </w:tc>
        <w:tc>
          <w:tcPr>
            <w:tcW w:w="1240" w:type="dxa"/>
            <w:vAlign w:val="bottom"/>
          </w:tcPr>
          <w:p>
            <w:pPr>
              <w:jc w:val="right"/>
              <w:ind w:right="195"/>
              <w:spacing w:after="0"/>
              <w:rPr>
                <w:sz w:val="20"/>
                <w:szCs w:val="20"/>
                <w:color w:val="auto"/>
              </w:rPr>
            </w:pPr>
            <w:r>
              <w:rPr>
                <w:rFonts w:ascii="Arial" w:cs="Arial" w:eastAsia="Arial" w:hAnsi="Arial"/>
                <w:sz w:val="17"/>
                <w:szCs w:val="17"/>
                <w:color w:val="auto"/>
              </w:rPr>
              <w:t>466</w:t>
            </w: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584</w:t>
            </w:r>
          </w:p>
        </w:tc>
        <w:tc>
          <w:tcPr>
            <w:tcW w:w="0" w:type="dxa"/>
            <w:vAlign w:val="bottom"/>
          </w:tcPr>
          <w:p>
            <w:pPr>
              <w:spacing w:after="0"/>
              <w:rPr>
                <w:sz w:val="1"/>
                <w:szCs w:val="1"/>
                <w:color w:val="auto"/>
              </w:rPr>
            </w:pPr>
          </w:p>
        </w:tc>
      </w:tr>
      <w:tr>
        <w:trPr>
          <w:trHeight w:val="44"/>
        </w:trPr>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60" w:type="dxa"/>
            <w:vAlign w:val="bottom"/>
            <w:tcBorders>
              <w:bottom w:val="single" w:sz="8" w:color="CCDEF1"/>
            </w:tcBorders>
            <w:shd w:val="clear" w:color="auto" w:fill="CCDEF1"/>
          </w:tcPr>
          <w:p>
            <w:pPr>
              <w:spacing w:after="0"/>
              <w:rPr>
                <w:sz w:val="24"/>
                <w:szCs w:val="24"/>
                <w:color w:val="auto"/>
              </w:rPr>
            </w:pPr>
          </w:p>
        </w:tc>
        <w:tc>
          <w:tcPr>
            <w:tcW w:w="8620" w:type="dxa"/>
            <w:vAlign w:val="bottom"/>
            <w:tcBorders>
              <w:bottom w:val="single" w:sz="8" w:color="CCDEF1"/>
            </w:tcBorders>
            <w:gridSpan w:val="2"/>
            <w:shd w:val="clear" w:color="auto" w:fill="CCDEF1"/>
          </w:tcPr>
          <w:p>
            <w:pPr>
              <w:ind w:left="80"/>
              <w:spacing w:after="0"/>
              <w:rPr>
                <w:sz w:val="20"/>
                <w:szCs w:val="20"/>
                <w:color w:val="auto"/>
              </w:rPr>
            </w:pPr>
            <w:r>
              <w:rPr>
                <w:rFonts w:ascii="Arial" w:cs="Arial" w:eastAsia="Arial" w:hAnsi="Arial"/>
                <w:sz w:val="17"/>
                <w:szCs w:val="17"/>
                <w:color w:val="auto"/>
              </w:rPr>
              <w:t>Purchase accounting adjustment to acquired deferred revenue and commission expense</w:t>
            </w:r>
          </w:p>
        </w:tc>
        <w:tc>
          <w:tcPr>
            <w:tcW w:w="1240" w:type="dxa"/>
            <w:vAlign w:val="bottom"/>
            <w:tcBorders>
              <w:bottom w:val="single" w:sz="8" w:color="CCDEF1"/>
            </w:tcBorders>
            <w:shd w:val="clear" w:color="auto" w:fill="CCDEF1"/>
          </w:tcPr>
          <w:p>
            <w:pPr>
              <w:jc w:val="right"/>
              <w:ind w:right="195"/>
              <w:spacing w:after="0"/>
              <w:rPr>
                <w:sz w:val="20"/>
                <w:szCs w:val="20"/>
                <w:color w:val="auto"/>
              </w:rPr>
            </w:pPr>
            <w:r>
              <w:rPr>
                <w:rFonts w:ascii="Arial" w:cs="Arial" w:eastAsia="Arial" w:hAnsi="Arial"/>
                <w:sz w:val="17"/>
                <w:szCs w:val="17"/>
                <w:color w:val="auto"/>
              </w:rPr>
              <w:t>10</w:t>
            </w:r>
          </w:p>
        </w:tc>
        <w:tc>
          <w:tcPr>
            <w:tcW w:w="900" w:type="dxa"/>
            <w:vAlign w:val="bottom"/>
            <w:tcBorders>
              <w:bottom w:val="single" w:sz="8" w:color="CCDEF1"/>
            </w:tcBorders>
            <w:shd w:val="clear" w:color="auto" w:fill="CCDEF1"/>
          </w:tcPr>
          <w:p>
            <w:pPr>
              <w:jc w:val="right"/>
              <w:ind w:right="75"/>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53"/>
        </w:trPr>
        <w:tc>
          <w:tcPr>
            <w:tcW w:w="260" w:type="dxa"/>
            <w:vAlign w:val="bottom"/>
          </w:tcPr>
          <w:p>
            <w:pPr>
              <w:spacing w:after="0"/>
              <w:rPr>
                <w:sz w:val="21"/>
                <w:szCs w:val="21"/>
                <w:color w:val="auto"/>
              </w:rPr>
            </w:pPr>
          </w:p>
        </w:tc>
        <w:tc>
          <w:tcPr>
            <w:tcW w:w="8620" w:type="dxa"/>
            <w:vAlign w:val="bottom"/>
            <w:gridSpan w:val="2"/>
          </w:tcPr>
          <w:p>
            <w:pPr>
              <w:ind w:left="80"/>
              <w:spacing w:after="0"/>
              <w:rPr>
                <w:sz w:val="20"/>
                <w:szCs w:val="20"/>
                <w:color w:val="auto"/>
              </w:rPr>
            </w:pPr>
            <w:r>
              <w:rPr>
                <w:rFonts w:ascii="Arial" w:cs="Arial" w:eastAsia="Arial" w:hAnsi="Arial"/>
                <w:sz w:val="17"/>
                <w:szCs w:val="17"/>
                <w:color w:val="auto"/>
              </w:rPr>
              <w:t>Impairment charge</w:t>
            </w:r>
          </w:p>
        </w:tc>
        <w:tc>
          <w:tcPr>
            <w:tcW w:w="124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44"/>
        </w:trPr>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60" w:type="dxa"/>
            <w:vAlign w:val="bottom"/>
            <w:tcBorders>
              <w:bottom w:val="single" w:sz="8" w:color="CCDEF1"/>
            </w:tcBorders>
            <w:shd w:val="clear" w:color="auto" w:fill="CCDEF1"/>
          </w:tcPr>
          <w:p>
            <w:pPr>
              <w:spacing w:after="0"/>
              <w:rPr>
                <w:sz w:val="24"/>
                <w:szCs w:val="24"/>
                <w:color w:val="auto"/>
              </w:rPr>
            </w:pPr>
          </w:p>
        </w:tc>
        <w:tc>
          <w:tcPr>
            <w:tcW w:w="8620" w:type="dxa"/>
            <w:vAlign w:val="bottom"/>
            <w:tcBorders>
              <w:bottom w:val="single" w:sz="8" w:color="CCDEF1"/>
            </w:tcBorders>
            <w:gridSpan w:val="2"/>
            <w:shd w:val="clear" w:color="auto" w:fill="CCDEF1"/>
          </w:tcPr>
          <w:p>
            <w:pPr>
              <w:ind w:left="80"/>
              <w:spacing w:after="0"/>
              <w:rPr>
                <w:sz w:val="20"/>
                <w:szCs w:val="20"/>
                <w:color w:val="auto"/>
              </w:rPr>
            </w:pPr>
            <w:r>
              <w:rPr>
                <w:rFonts w:ascii="Arial" w:cs="Arial" w:eastAsia="Arial" w:hAnsi="Arial"/>
                <w:sz w:val="17"/>
                <w:szCs w:val="17"/>
                <w:color w:val="auto"/>
              </w:rPr>
              <w:t>Restructuring charge</w:t>
            </w:r>
          </w:p>
        </w:tc>
        <w:tc>
          <w:tcPr>
            <w:tcW w:w="1240" w:type="dxa"/>
            <w:vAlign w:val="bottom"/>
            <w:tcBorders>
              <w:bottom w:val="single" w:sz="8" w:color="CCDEF1"/>
            </w:tcBorders>
            <w:shd w:val="clear" w:color="auto" w:fill="CCDEF1"/>
          </w:tcPr>
          <w:p>
            <w:pPr>
              <w:jc w:val="right"/>
              <w:ind w:right="195"/>
              <w:spacing w:after="0"/>
              <w:rPr>
                <w:sz w:val="20"/>
                <w:szCs w:val="20"/>
                <w:color w:val="auto"/>
              </w:rPr>
            </w:pPr>
            <w:r>
              <w:rPr>
                <w:rFonts w:ascii="Arial" w:cs="Arial" w:eastAsia="Arial" w:hAnsi="Arial"/>
                <w:sz w:val="17"/>
                <w:szCs w:val="17"/>
                <w:color w:val="auto"/>
              </w:rPr>
              <w:t>14</w:t>
            </w:r>
          </w:p>
        </w:tc>
        <w:tc>
          <w:tcPr>
            <w:tcW w:w="900" w:type="dxa"/>
            <w:vAlign w:val="bottom"/>
            <w:tcBorders>
              <w:bottom w:val="single" w:sz="8" w:color="CCDEF1"/>
            </w:tcBorders>
            <w:shd w:val="clear" w:color="auto" w:fill="CCDEF1"/>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260" w:type="dxa"/>
            <w:vAlign w:val="bottom"/>
          </w:tcPr>
          <w:p>
            <w:pPr>
              <w:spacing w:after="0"/>
              <w:rPr>
                <w:sz w:val="21"/>
                <w:szCs w:val="21"/>
                <w:color w:val="auto"/>
              </w:rPr>
            </w:pPr>
          </w:p>
        </w:tc>
        <w:tc>
          <w:tcPr>
            <w:tcW w:w="8620" w:type="dxa"/>
            <w:vAlign w:val="bottom"/>
            <w:gridSpan w:val="2"/>
          </w:tcPr>
          <w:p>
            <w:pPr>
              <w:ind w:left="80"/>
              <w:spacing w:after="0"/>
              <w:rPr>
                <w:sz w:val="20"/>
                <w:szCs w:val="20"/>
                <w:color w:val="auto"/>
              </w:rPr>
            </w:pPr>
            <w:r>
              <w:rPr>
                <w:rFonts w:ascii="Arial" w:cs="Arial" w:eastAsia="Arial" w:hAnsi="Arial"/>
                <w:sz w:val="17"/>
                <w:szCs w:val="17"/>
                <w:color w:val="auto"/>
              </w:rPr>
              <w:t>Transaction-related expenses for completed acquisitions and divestitures</w:t>
            </w:r>
          </w:p>
        </w:tc>
        <w:tc>
          <w:tcPr>
            <w:tcW w:w="1240" w:type="dxa"/>
            <w:vAlign w:val="bottom"/>
          </w:tcPr>
          <w:p>
            <w:pPr>
              <w:jc w:val="right"/>
              <w:ind w:right="195"/>
              <w:spacing w:after="0"/>
              <w:rPr>
                <w:sz w:val="20"/>
                <w:szCs w:val="20"/>
                <w:color w:val="auto"/>
              </w:rPr>
            </w:pPr>
            <w:r>
              <w:rPr>
                <w:rFonts w:ascii="Arial" w:cs="Arial" w:eastAsia="Arial" w:hAnsi="Arial"/>
                <w:sz w:val="17"/>
                <w:szCs w:val="17"/>
                <w:color w:val="auto"/>
              </w:rPr>
              <w:t>9</w:t>
            </w: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5"/>
        </w:trPr>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260" w:type="dxa"/>
            <w:vAlign w:val="bottom"/>
            <w:tcBorders>
              <w:bottom w:val="single" w:sz="8" w:color="CCDEF1"/>
            </w:tcBorders>
            <w:shd w:val="clear" w:color="auto" w:fill="CCDEF1"/>
          </w:tcPr>
          <w:p>
            <w:pPr>
              <w:spacing w:after="0"/>
              <w:rPr>
                <w:sz w:val="24"/>
                <w:szCs w:val="24"/>
                <w:color w:val="auto"/>
              </w:rPr>
            </w:pPr>
          </w:p>
        </w:tc>
        <w:tc>
          <w:tcPr>
            <w:tcW w:w="8620" w:type="dxa"/>
            <w:vAlign w:val="bottom"/>
            <w:tcBorders>
              <w:bottom w:val="single" w:sz="8" w:color="CCDEF1"/>
            </w:tcBorders>
            <w:gridSpan w:val="2"/>
            <w:shd w:val="clear" w:color="auto" w:fill="CCDEF1"/>
          </w:tcPr>
          <w:p>
            <w:pPr>
              <w:ind w:left="80"/>
              <w:spacing w:after="0"/>
              <w:rPr>
                <w:sz w:val="20"/>
                <w:szCs w:val="20"/>
                <w:color w:val="auto"/>
              </w:rPr>
            </w:pPr>
            <w:r>
              <w:rPr>
                <w:rFonts w:ascii="Arial" w:cs="Arial" w:eastAsia="Arial" w:hAnsi="Arial"/>
                <w:sz w:val="17"/>
                <w:szCs w:val="17"/>
                <w:color w:val="auto"/>
              </w:rPr>
              <w:t>Gain on sale of minority interest</w:t>
            </w:r>
          </w:p>
        </w:tc>
        <w:tc>
          <w:tcPr>
            <w:tcW w:w="1240" w:type="dxa"/>
            <w:vAlign w:val="bottom"/>
            <w:tcBorders>
              <w:bottom w:val="single" w:sz="8" w:color="CCDEF1"/>
            </w:tcBorders>
            <w:shd w:val="clear" w:color="auto" w:fill="CCDEF1"/>
          </w:tcPr>
          <w:p>
            <w:pPr>
              <w:jc w:val="right"/>
              <w:ind w:right="19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DEF1"/>
            </w:tcBorders>
            <w:shd w:val="clear" w:color="auto" w:fill="CCDEF1"/>
          </w:tcPr>
          <w:p>
            <w:pPr>
              <w:jc w:val="right"/>
              <w:ind w:right="75"/>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33"/>
        </w:trPr>
        <w:tc>
          <w:tcPr>
            <w:tcW w:w="8880" w:type="dxa"/>
            <w:vAlign w:val="bottom"/>
            <w:gridSpan w:val="3"/>
          </w:tcPr>
          <w:p>
            <w:pPr>
              <w:spacing w:after="0"/>
              <w:rPr>
                <w:sz w:val="20"/>
                <w:szCs w:val="20"/>
                <w:color w:val="auto"/>
              </w:rPr>
            </w:pPr>
            <w:r>
              <w:rPr>
                <w:rFonts w:ascii="Arial" w:cs="Arial" w:eastAsia="Arial" w:hAnsi="Arial"/>
                <w:sz w:val="17"/>
                <w:szCs w:val="17"/>
                <w:color w:val="auto"/>
              </w:rPr>
              <w:t>Adjusted EBITDA (B)</w:t>
            </w:r>
          </w:p>
        </w:tc>
        <w:tc>
          <w:tcPr>
            <w:tcW w:w="124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rPr>
              <w:t>$1,815</w:t>
            </w:r>
          </w:p>
        </w:tc>
        <w:tc>
          <w:tcPr>
            <w:tcW w:w="90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$2,206</w:t>
            </w:r>
          </w:p>
        </w:tc>
        <w:tc>
          <w:tcPr>
            <w:tcW w:w="0" w:type="dxa"/>
            <w:vAlign w:val="bottom"/>
          </w:tcPr>
          <w:p>
            <w:pPr>
              <w:spacing w:after="0"/>
              <w:rPr>
                <w:sz w:val="1"/>
                <w:szCs w:val="1"/>
                <w:color w:val="auto"/>
              </w:rPr>
            </w:pPr>
          </w:p>
        </w:tc>
      </w:tr>
      <w:tr>
        <w:trPr>
          <w:trHeight w:val="45"/>
        </w:trPr>
        <w:tc>
          <w:tcPr>
            <w:tcW w:w="440" w:type="dxa"/>
            <w:vAlign w:val="bottom"/>
            <w:tcBorders>
              <w:bottom w:val="single" w:sz="8" w:color="CCDEF1"/>
            </w:tcBorders>
            <w:gridSpan w:val="2"/>
          </w:tcPr>
          <w:p>
            <w:pPr>
              <w:spacing w:after="0"/>
              <w:rPr>
                <w:sz w:val="3"/>
                <w:szCs w:val="3"/>
                <w:color w:val="auto"/>
              </w:rPr>
            </w:pPr>
          </w:p>
        </w:tc>
        <w:tc>
          <w:tcPr>
            <w:tcW w:w="8440" w:type="dxa"/>
            <w:vAlign w:val="bottom"/>
            <w:tcBorders>
              <w:bottom w:val="single" w:sz="8" w:color="CCDEF1"/>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8880" w:type="dxa"/>
            <w:vAlign w:val="bottom"/>
            <w:tcBorders>
              <w:bottom w:val="single" w:sz="8" w:color="CCDEF1"/>
            </w:tcBorders>
            <w:gridSpan w:val="3"/>
            <w:shd w:val="clear" w:color="auto" w:fill="CCDEF1"/>
          </w:tcPr>
          <w:p>
            <w:pPr>
              <w:spacing w:after="0"/>
              <w:rPr>
                <w:sz w:val="20"/>
                <w:szCs w:val="20"/>
                <w:color w:val="auto"/>
              </w:rPr>
            </w:pPr>
            <w:r>
              <w:rPr>
                <w:rFonts w:ascii="Arial" w:cs="Arial" w:eastAsia="Arial" w:hAnsi="Arial"/>
                <w:sz w:val="17"/>
                <w:szCs w:val="17"/>
                <w:color w:val="auto"/>
              </w:rPr>
              <w:t>Adjusted EBITDA Margin (B) / (A)</w:t>
            </w:r>
          </w:p>
        </w:tc>
        <w:tc>
          <w:tcPr>
            <w:tcW w:w="1240" w:type="dxa"/>
            <w:vAlign w:val="bottom"/>
            <w:tcBorders>
              <w:bottom w:val="single" w:sz="8" w:color="CCDEF1"/>
            </w:tcBorders>
            <w:shd w:val="clear" w:color="auto" w:fill="CCDEF1"/>
          </w:tcPr>
          <w:p>
            <w:pPr>
              <w:jc w:val="right"/>
              <w:ind w:right="55"/>
              <w:spacing w:after="0"/>
              <w:rPr>
                <w:sz w:val="20"/>
                <w:szCs w:val="20"/>
                <w:color w:val="auto"/>
              </w:rPr>
            </w:pPr>
            <w:r>
              <w:rPr>
                <w:rFonts w:ascii="Arial" w:cs="Arial" w:eastAsia="Arial" w:hAnsi="Arial"/>
                <w:sz w:val="17"/>
                <w:szCs w:val="17"/>
                <w:color w:val="auto"/>
              </w:rPr>
              <w:t>37.3%</w:t>
            </w:r>
          </w:p>
        </w:tc>
        <w:tc>
          <w:tcPr>
            <w:tcW w:w="90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7"/>
                <w:szCs w:val="17"/>
                <w:color w:val="auto"/>
              </w:rPr>
              <w:t>38.2%</w:t>
            </w:r>
          </w:p>
        </w:tc>
        <w:tc>
          <w:tcPr>
            <w:tcW w:w="0" w:type="dxa"/>
            <w:vAlign w:val="bottom"/>
          </w:tcPr>
          <w:p>
            <w:pPr>
              <w:spacing w:after="0"/>
              <w:rPr>
                <w:sz w:val="1"/>
                <w:szCs w:val="1"/>
                <w:color w:val="auto"/>
              </w:rPr>
            </w:pPr>
          </w:p>
        </w:tc>
      </w:tr>
      <w:tr>
        <w:trPr>
          <w:trHeight w:val="415"/>
        </w:trPr>
        <w:tc>
          <w:tcPr>
            <w:tcW w:w="8880" w:type="dxa"/>
            <w:vAlign w:val="bottom"/>
            <w:gridSpan w:val="3"/>
          </w:tcPr>
          <w:p>
            <w:pPr>
              <w:spacing w:after="0"/>
              <w:rPr>
                <w:sz w:val="20"/>
                <w:szCs w:val="20"/>
                <w:color w:val="auto"/>
              </w:rPr>
            </w:pPr>
            <w:r>
              <w:rPr>
                <w:rFonts w:ascii="Arial" w:cs="Arial" w:eastAsia="Arial" w:hAnsi="Arial"/>
                <w:sz w:val="17"/>
                <w:szCs w:val="17"/>
                <w:color w:val="auto"/>
              </w:rPr>
              <w:t>Table 2: 2020 EBITDA and EBITDA Margin Reconciliation ($M)</w:t>
            </w: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260" w:type="dxa"/>
            <w:vAlign w:val="bottom"/>
            <w:tcBorders>
              <w:bottom w:val="single" w:sz="8" w:color="CCDEF1"/>
            </w:tcBorders>
          </w:tcPr>
          <w:p>
            <w:pPr>
              <w:spacing w:after="0"/>
              <w:rPr>
                <w:sz w:val="24"/>
                <w:szCs w:val="24"/>
                <w:color w:val="auto"/>
              </w:rPr>
            </w:pPr>
          </w:p>
        </w:tc>
        <w:tc>
          <w:tcPr>
            <w:tcW w:w="180" w:type="dxa"/>
            <w:vAlign w:val="bottom"/>
            <w:tcBorders>
              <w:bottom w:val="single" w:sz="8" w:color="CCDEF1"/>
            </w:tcBorders>
          </w:tcPr>
          <w:p>
            <w:pPr>
              <w:spacing w:after="0"/>
              <w:rPr>
                <w:sz w:val="24"/>
                <w:szCs w:val="24"/>
                <w:color w:val="auto"/>
              </w:rPr>
            </w:pPr>
          </w:p>
        </w:tc>
        <w:tc>
          <w:tcPr>
            <w:tcW w:w="8440" w:type="dxa"/>
            <w:vAlign w:val="bottom"/>
            <w:tcBorders>
              <w:bottom w:val="single" w:sz="8" w:color="CCDEF1"/>
            </w:tcBorders>
          </w:tcPr>
          <w:p>
            <w:pPr>
              <w:spacing w:after="0"/>
              <w:rPr>
                <w:sz w:val="24"/>
                <w:szCs w:val="24"/>
                <w:color w:val="auto"/>
              </w:rPr>
            </w:pPr>
          </w:p>
        </w:tc>
        <w:tc>
          <w:tcPr>
            <w:tcW w:w="12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2019</w:t>
            </w:r>
          </w:p>
        </w:tc>
        <w:tc>
          <w:tcPr>
            <w:tcW w:w="9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3"/>
        </w:trPr>
        <w:tc>
          <w:tcPr>
            <w:tcW w:w="8880" w:type="dxa"/>
            <w:vAlign w:val="bottom"/>
            <w:gridSpan w:val="3"/>
            <w:shd w:val="clear" w:color="auto" w:fill="CCDEF1"/>
          </w:tcPr>
          <w:p>
            <w:pPr>
              <w:spacing w:after="0"/>
              <w:rPr>
                <w:sz w:val="20"/>
                <w:szCs w:val="20"/>
                <w:color w:val="auto"/>
              </w:rPr>
            </w:pPr>
            <w:r>
              <w:rPr>
                <w:rFonts w:ascii="Arial" w:cs="Arial" w:eastAsia="Arial" w:hAnsi="Arial"/>
                <w:sz w:val="17"/>
                <w:szCs w:val="17"/>
                <w:color w:val="auto"/>
              </w:rPr>
              <w:t>GAAP Revenue</w:t>
            </w:r>
          </w:p>
        </w:tc>
        <w:tc>
          <w:tcPr>
            <w:tcW w:w="1240" w:type="dxa"/>
            <w:vAlign w:val="bottom"/>
            <w:shd w:val="clear" w:color="auto" w:fill="CCDEF1"/>
          </w:tcPr>
          <w:p>
            <w:pPr>
              <w:jc w:val="right"/>
              <w:ind w:right="195"/>
              <w:spacing w:after="0"/>
              <w:rPr>
                <w:sz w:val="20"/>
                <w:szCs w:val="20"/>
                <w:color w:val="auto"/>
              </w:rPr>
            </w:pPr>
            <w:r>
              <w:rPr>
                <w:rFonts w:ascii="Arial" w:cs="Arial" w:eastAsia="Arial" w:hAnsi="Arial"/>
                <w:sz w:val="17"/>
                <w:szCs w:val="17"/>
                <w:color w:val="auto"/>
              </w:rPr>
              <w:t>$5,367</w:t>
            </w:r>
          </w:p>
        </w:tc>
        <w:tc>
          <w:tcPr>
            <w:tcW w:w="900" w:type="dxa"/>
            <w:vAlign w:val="bottom"/>
            <w:shd w:val="clear" w:color="auto" w:fill="CCDEF1"/>
          </w:tcPr>
          <w:p>
            <w:pPr>
              <w:jc w:val="right"/>
              <w:ind w:right="135"/>
              <w:spacing w:after="0"/>
              <w:rPr>
                <w:sz w:val="20"/>
                <w:szCs w:val="20"/>
                <w:color w:val="auto"/>
              </w:rPr>
            </w:pPr>
            <w:r>
              <w:rPr>
                <w:rFonts w:ascii="Arial" w:cs="Arial" w:eastAsia="Arial" w:hAnsi="Arial"/>
                <w:sz w:val="17"/>
                <w:szCs w:val="17"/>
                <w:color w:val="auto"/>
              </w:rPr>
              <w:t>$5,527</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8620" w:type="dxa"/>
            <w:vAlign w:val="bottom"/>
            <w:gridSpan w:val="2"/>
          </w:tcPr>
          <w:p>
            <w:pPr>
              <w:ind w:left="80"/>
              <w:spacing w:after="0"/>
              <w:rPr>
                <w:sz w:val="20"/>
                <w:szCs w:val="20"/>
                <w:color w:val="auto"/>
              </w:rPr>
            </w:pPr>
            <w:r>
              <w:rPr>
                <w:rFonts w:ascii="Arial" w:cs="Arial" w:eastAsia="Arial" w:hAnsi="Arial"/>
                <w:sz w:val="17"/>
                <w:szCs w:val="17"/>
                <w:color w:val="auto"/>
              </w:rPr>
              <w:t>Purchase accounting adjustment to acquired deferred revenue</w:t>
            </w:r>
          </w:p>
        </w:tc>
        <w:tc>
          <w:tcPr>
            <w:tcW w:w="1240" w:type="dxa"/>
            <w:vAlign w:val="bottom"/>
          </w:tcPr>
          <w:p>
            <w:pPr>
              <w:jc w:val="right"/>
              <w:ind w:right="195"/>
              <w:spacing w:after="0"/>
              <w:rPr>
                <w:sz w:val="20"/>
                <w:szCs w:val="20"/>
                <w:color w:val="auto"/>
              </w:rPr>
            </w:pPr>
            <w:r>
              <w:rPr>
                <w:rFonts w:ascii="Arial" w:cs="Arial" w:eastAsia="Arial" w:hAnsi="Arial"/>
                <w:sz w:val="17"/>
                <w:szCs w:val="17"/>
                <w:color w:val="auto"/>
              </w:rPr>
              <w:t>11</w:t>
            </w: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52"/>
        </w:trPr>
        <w:tc>
          <w:tcPr>
            <w:tcW w:w="8880" w:type="dxa"/>
            <w:vAlign w:val="bottom"/>
            <w:gridSpan w:val="3"/>
            <w:shd w:val="clear" w:color="auto" w:fill="CCDEF1"/>
          </w:tcPr>
          <w:p>
            <w:pPr>
              <w:spacing w:after="0"/>
              <w:rPr>
                <w:sz w:val="20"/>
                <w:szCs w:val="20"/>
                <w:color w:val="auto"/>
              </w:rPr>
            </w:pPr>
            <w:r>
              <w:rPr>
                <w:rFonts w:ascii="Arial" w:cs="Arial" w:eastAsia="Arial" w:hAnsi="Arial"/>
                <w:sz w:val="17"/>
                <w:szCs w:val="17"/>
                <w:color w:val="auto"/>
              </w:rPr>
              <w:t>Adjusted Revenue (A)</w:t>
            </w:r>
          </w:p>
        </w:tc>
        <w:tc>
          <w:tcPr>
            <w:tcW w:w="1240" w:type="dxa"/>
            <w:vAlign w:val="bottom"/>
            <w:tcBorders>
              <w:bottom w:val="single" w:sz="8" w:color="auto"/>
            </w:tcBorders>
            <w:shd w:val="clear" w:color="auto" w:fill="CCDEF1"/>
          </w:tcPr>
          <w:p>
            <w:pPr>
              <w:jc w:val="right"/>
              <w:ind w:right="195"/>
              <w:spacing w:after="0"/>
              <w:rPr>
                <w:sz w:val="20"/>
                <w:szCs w:val="20"/>
                <w:color w:val="auto"/>
              </w:rPr>
            </w:pPr>
            <w:r>
              <w:rPr>
                <w:rFonts w:ascii="Arial" w:cs="Arial" w:eastAsia="Arial" w:hAnsi="Arial"/>
                <w:sz w:val="17"/>
                <w:szCs w:val="17"/>
                <w:color w:val="auto"/>
              </w:rPr>
              <w:t>$5,377</w:t>
            </w:r>
          </w:p>
        </w:tc>
        <w:tc>
          <w:tcPr>
            <w:tcW w:w="900" w:type="dxa"/>
            <w:vAlign w:val="bottom"/>
            <w:tcBorders>
              <w:bottom w:val="single" w:sz="8" w:color="auto"/>
            </w:tcBorders>
            <w:shd w:val="clear" w:color="auto" w:fill="CCDEF1"/>
          </w:tcPr>
          <w:p>
            <w:pPr>
              <w:jc w:val="right"/>
              <w:ind w:right="135"/>
              <w:spacing w:after="0"/>
              <w:rPr>
                <w:sz w:val="20"/>
                <w:szCs w:val="20"/>
                <w:color w:val="auto"/>
              </w:rPr>
            </w:pPr>
            <w:r>
              <w:rPr>
                <w:rFonts w:ascii="Arial" w:cs="Arial" w:eastAsia="Arial" w:hAnsi="Arial"/>
                <w:sz w:val="17"/>
                <w:szCs w:val="17"/>
                <w:color w:val="auto"/>
              </w:rPr>
              <w:t>$5,539</w:t>
            </w:r>
          </w:p>
        </w:tc>
        <w:tc>
          <w:tcPr>
            <w:tcW w:w="0" w:type="dxa"/>
            <w:vAlign w:val="bottom"/>
          </w:tcPr>
          <w:p>
            <w:pPr>
              <w:spacing w:after="0"/>
              <w:rPr>
                <w:sz w:val="1"/>
                <w:szCs w:val="1"/>
                <w:color w:val="auto"/>
              </w:rPr>
            </w:pPr>
          </w:p>
        </w:tc>
      </w:tr>
      <w:tr>
        <w:trPr>
          <w:trHeight w:val="214"/>
        </w:trPr>
        <w:tc>
          <w:tcPr>
            <w:tcW w:w="8880" w:type="dxa"/>
            <w:vAlign w:val="bottom"/>
            <w:gridSpan w:val="3"/>
          </w:tcPr>
          <w:p>
            <w:pPr>
              <w:spacing w:after="0"/>
              <w:rPr>
                <w:sz w:val="20"/>
                <w:szCs w:val="20"/>
                <w:color w:val="auto"/>
              </w:rPr>
            </w:pPr>
            <w:r>
              <w:rPr>
                <w:rFonts w:ascii="Arial" w:cs="Arial" w:eastAsia="Arial" w:hAnsi="Arial"/>
                <w:sz w:val="17"/>
                <w:szCs w:val="17"/>
                <w:color w:val="auto"/>
              </w:rPr>
              <w:t>GAAP Net Earnings</w:t>
            </w:r>
          </w:p>
        </w:tc>
        <w:tc>
          <w:tcPr>
            <w:tcW w:w="1240" w:type="dxa"/>
            <w:vAlign w:val="bottom"/>
          </w:tcPr>
          <w:p>
            <w:pPr>
              <w:jc w:val="right"/>
              <w:ind w:right="195"/>
              <w:spacing w:after="0"/>
              <w:rPr>
                <w:sz w:val="20"/>
                <w:szCs w:val="20"/>
                <w:color w:val="auto"/>
              </w:rPr>
            </w:pPr>
            <w:r>
              <w:rPr>
                <w:rFonts w:ascii="Arial" w:cs="Arial" w:eastAsia="Arial" w:hAnsi="Arial"/>
                <w:sz w:val="17"/>
                <w:szCs w:val="17"/>
                <w:color w:val="auto"/>
              </w:rPr>
              <w:t>1,768</w:t>
            </w: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950</w:t>
            </w:r>
          </w:p>
        </w:tc>
        <w:tc>
          <w:tcPr>
            <w:tcW w:w="0" w:type="dxa"/>
            <w:vAlign w:val="bottom"/>
          </w:tcPr>
          <w:p>
            <w:pPr>
              <w:spacing w:after="0"/>
              <w:rPr>
                <w:sz w:val="1"/>
                <w:szCs w:val="1"/>
                <w:color w:val="auto"/>
              </w:rPr>
            </w:pPr>
          </w:p>
        </w:tc>
      </w:tr>
      <w:tr>
        <w:trPr>
          <w:trHeight w:val="252"/>
        </w:trPr>
        <w:tc>
          <w:tcPr>
            <w:tcW w:w="260" w:type="dxa"/>
            <w:vAlign w:val="bottom"/>
            <w:shd w:val="clear" w:color="auto" w:fill="CCDEF1"/>
          </w:tcPr>
          <w:p>
            <w:pPr>
              <w:spacing w:after="0"/>
              <w:rPr>
                <w:sz w:val="21"/>
                <w:szCs w:val="21"/>
                <w:color w:val="auto"/>
              </w:rPr>
            </w:pPr>
          </w:p>
        </w:tc>
        <w:tc>
          <w:tcPr>
            <w:tcW w:w="8620" w:type="dxa"/>
            <w:vAlign w:val="bottom"/>
            <w:gridSpan w:val="2"/>
            <w:shd w:val="clear" w:color="auto" w:fill="CCDEF1"/>
          </w:tcPr>
          <w:p>
            <w:pPr>
              <w:ind w:left="80"/>
              <w:spacing w:after="0"/>
              <w:rPr>
                <w:sz w:val="20"/>
                <w:szCs w:val="20"/>
                <w:color w:val="auto"/>
              </w:rPr>
            </w:pPr>
            <w:r>
              <w:rPr>
                <w:rFonts w:ascii="Arial" w:cs="Arial" w:eastAsia="Arial" w:hAnsi="Arial"/>
                <w:sz w:val="17"/>
                <w:szCs w:val="17"/>
                <w:color w:val="auto"/>
              </w:rPr>
              <w:t>Taxes</w:t>
            </w:r>
          </w:p>
        </w:tc>
        <w:tc>
          <w:tcPr>
            <w:tcW w:w="1240" w:type="dxa"/>
            <w:vAlign w:val="bottom"/>
            <w:shd w:val="clear" w:color="auto" w:fill="CCDEF1"/>
          </w:tcPr>
          <w:p>
            <w:pPr>
              <w:jc w:val="right"/>
              <w:ind w:right="195"/>
              <w:spacing w:after="0"/>
              <w:rPr>
                <w:sz w:val="20"/>
                <w:szCs w:val="20"/>
                <w:color w:val="auto"/>
              </w:rPr>
            </w:pPr>
            <w:r>
              <w:rPr>
                <w:rFonts w:ascii="Arial" w:cs="Arial" w:eastAsia="Arial" w:hAnsi="Arial"/>
                <w:sz w:val="17"/>
                <w:szCs w:val="17"/>
                <w:color w:val="auto"/>
              </w:rPr>
              <w:t>460</w:t>
            </w:r>
          </w:p>
        </w:tc>
        <w:tc>
          <w:tcPr>
            <w:tcW w:w="900" w:type="dxa"/>
            <w:vAlign w:val="bottom"/>
            <w:shd w:val="clear" w:color="auto" w:fill="CCDEF1"/>
          </w:tcPr>
          <w:p>
            <w:pPr>
              <w:jc w:val="right"/>
              <w:ind w:right="135"/>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8620" w:type="dxa"/>
            <w:vAlign w:val="bottom"/>
            <w:gridSpan w:val="2"/>
          </w:tcPr>
          <w:p>
            <w:pPr>
              <w:ind w:left="80"/>
              <w:spacing w:after="0"/>
              <w:rPr>
                <w:sz w:val="20"/>
                <w:szCs w:val="20"/>
                <w:color w:val="auto"/>
              </w:rPr>
            </w:pPr>
            <w:r>
              <w:rPr>
                <w:rFonts w:ascii="Arial" w:cs="Arial" w:eastAsia="Arial" w:hAnsi="Arial"/>
                <w:sz w:val="17"/>
                <w:szCs w:val="17"/>
                <w:color w:val="auto"/>
              </w:rPr>
              <w:t>Interest Expense</w:t>
            </w:r>
          </w:p>
        </w:tc>
        <w:tc>
          <w:tcPr>
            <w:tcW w:w="1240" w:type="dxa"/>
            <w:vAlign w:val="bottom"/>
          </w:tcPr>
          <w:p>
            <w:pPr>
              <w:jc w:val="right"/>
              <w:ind w:right="195"/>
              <w:spacing w:after="0"/>
              <w:rPr>
                <w:sz w:val="20"/>
                <w:szCs w:val="20"/>
                <w:color w:val="auto"/>
              </w:rPr>
            </w:pPr>
            <w:r>
              <w:rPr>
                <w:rFonts w:ascii="Arial" w:cs="Arial" w:eastAsia="Arial" w:hAnsi="Arial"/>
                <w:sz w:val="17"/>
                <w:szCs w:val="17"/>
                <w:color w:val="auto"/>
              </w:rPr>
              <w:t>187</w:t>
            </w: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219</w:t>
            </w:r>
          </w:p>
        </w:tc>
        <w:tc>
          <w:tcPr>
            <w:tcW w:w="0" w:type="dxa"/>
            <w:vAlign w:val="bottom"/>
          </w:tcPr>
          <w:p>
            <w:pPr>
              <w:spacing w:after="0"/>
              <w:rPr>
                <w:sz w:val="1"/>
                <w:szCs w:val="1"/>
                <w:color w:val="auto"/>
              </w:rPr>
            </w:pPr>
          </w:p>
        </w:tc>
      </w:tr>
      <w:tr>
        <w:trPr>
          <w:trHeight w:val="252"/>
        </w:trPr>
        <w:tc>
          <w:tcPr>
            <w:tcW w:w="260" w:type="dxa"/>
            <w:vAlign w:val="bottom"/>
            <w:shd w:val="clear" w:color="auto" w:fill="CCDEF1"/>
          </w:tcPr>
          <w:p>
            <w:pPr>
              <w:spacing w:after="0"/>
              <w:rPr>
                <w:sz w:val="21"/>
                <w:szCs w:val="21"/>
                <w:color w:val="auto"/>
              </w:rPr>
            </w:pPr>
          </w:p>
        </w:tc>
        <w:tc>
          <w:tcPr>
            <w:tcW w:w="8620" w:type="dxa"/>
            <w:vAlign w:val="bottom"/>
            <w:gridSpan w:val="2"/>
            <w:shd w:val="clear" w:color="auto" w:fill="CCDEF1"/>
          </w:tcPr>
          <w:p>
            <w:pPr>
              <w:ind w:left="80"/>
              <w:spacing w:after="0"/>
              <w:rPr>
                <w:sz w:val="20"/>
                <w:szCs w:val="20"/>
                <w:color w:val="auto"/>
              </w:rPr>
            </w:pPr>
            <w:r>
              <w:rPr>
                <w:rFonts w:ascii="Arial" w:cs="Arial" w:eastAsia="Arial" w:hAnsi="Arial"/>
                <w:sz w:val="17"/>
                <w:szCs w:val="17"/>
                <w:color w:val="auto"/>
              </w:rPr>
              <w:t>Depreciation</w:t>
            </w:r>
          </w:p>
        </w:tc>
        <w:tc>
          <w:tcPr>
            <w:tcW w:w="1240" w:type="dxa"/>
            <w:vAlign w:val="bottom"/>
            <w:shd w:val="clear" w:color="auto" w:fill="CCDEF1"/>
          </w:tcPr>
          <w:p>
            <w:pPr>
              <w:jc w:val="right"/>
              <w:ind w:right="195"/>
              <w:spacing w:after="0"/>
              <w:rPr>
                <w:sz w:val="20"/>
                <w:szCs w:val="20"/>
                <w:color w:val="auto"/>
              </w:rPr>
            </w:pPr>
            <w:r>
              <w:rPr>
                <w:rFonts w:ascii="Arial" w:cs="Arial" w:eastAsia="Arial" w:hAnsi="Arial"/>
                <w:sz w:val="17"/>
                <w:szCs w:val="17"/>
                <w:color w:val="auto"/>
              </w:rPr>
              <w:t>49</w:t>
            </w:r>
          </w:p>
        </w:tc>
        <w:tc>
          <w:tcPr>
            <w:tcW w:w="900" w:type="dxa"/>
            <w:vAlign w:val="bottom"/>
            <w:shd w:val="clear" w:color="auto" w:fill="CCDEF1"/>
          </w:tcPr>
          <w:p>
            <w:pPr>
              <w:jc w:val="right"/>
              <w:ind w:right="135"/>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8620" w:type="dxa"/>
            <w:vAlign w:val="bottom"/>
            <w:gridSpan w:val="2"/>
          </w:tcPr>
          <w:p>
            <w:pPr>
              <w:ind w:left="80"/>
              <w:spacing w:after="0"/>
              <w:rPr>
                <w:sz w:val="20"/>
                <w:szCs w:val="20"/>
                <w:color w:val="auto"/>
              </w:rPr>
            </w:pPr>
            <w:r>
              <w:rPr>
                <w:rFonts w:ascii="Arial" w:cs="Arial" w:eastAsia="Arial" w:hAnsi="Arial"/>
                <w:sz w:val="17"/>
                <w:szCs w:val="17"/>
                <w:color w:val="auto"/>
              </w:rPr>
              <w:t>Amortization</w:t>
            </w:r>
          </w:p>
        </w:tc>
        <w:tc>
          <w:tcPr>
            <w:tcW w:w="1240" w:type="dxa"/>
            <w:vAlign w:val="bottom"/>
          </w:tcPr>
          <w:p>
            <w:pPr>
              <w:jc w:val="right"/>
              <w:ind w:right="195"/>
              <w:spacing w:after="0"/>
              <w:rPr>
                <w:sz w:val="20"/>
                <w:szCs w:val="20"/>
                <w:color w:val="auto"/>
              </w:rPr>
            </w:pPr>
            <w:r>
              <w:rPr>
                <w:rFonts w:ascii="Arial" w:cs="Arial" w:eastAsia="Arial" w:hAnsi="Arial"/>
                <w:sz w:val="17"/>
                <w:szCs w:val="17"/>
                <w:color w:val="auto"/>
              </w:rPr>
              <w:t>367</w:t>
            </w: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467</w:t>
            </w:r>
          </w:p>
        </w:tc>
        <w:tc>
          <w:tcPr>
            <w:tcW w:w="0" w:type="dxa"/>
            <w:vAlign w:val="bottom"/>
          </w:tcPr>
          <w:p>
            <w:pPr>
              <w:spacing w:after="0"/>
              <w:rPr>
                <w:sz w:val="1"/>
                <w:szCs w:val="1"/>
                <w:color w:val="auto"/>
              </w:rPr>
            </w:pPr>
          </w:p>
        </w:tc>
      </w:tr>
      <w:tr>
        <w:trPr>
          <w:trHeight w:val="252"/>
        </w:trPr>
        <w:tc>
          <w:tcPr>
            <w:tcW w:w="260" w:type="dxa"/>
            <w:vAlign w:val="bottom"/>
            <w:shd w:val="clear" w:color="auto" w:fill="CCDEF1"/>
          </w:tcPr>
          <w:p>
            <w:pPr>
              <w:spacing w:after="0"/>
              <w:rPr>
                <w:sz w:val="21"/>
                <w:szCs w:val="21"/>
                <w:color w:val="auto"/>
              </w:rPr>
            </w:pPr>
          </w:p>
        </w:tc>
        <w:tc>
          <w:tcPr>
            <w:tcW w:w="8620" w:type="dxa"/>
            <w:vAlign w:val="bottom"/>
            <w:gridSpan w:val="2"/>
            <w:shd w:val="clear" w:color="auto" w:fill="CCDEF1"/>
          </w:tcPr>
          <w:p>
            <w:pPr>
              <w:ind w:left="80"/>
              <w:spacing w:after="0"/>
              <w:rPr>
                <w:sz w:val="20"/>
                <w:szCs w:val="20"/>
                <w:color w:val="auto"/>
              </w:rPr>
            </w:pPr>
            <w:r>
              <w:rPr>
                <w:rFonts w:ascii="Arial" w:cs="Arial" w:eastAsia="Arial" w:hAnsi="Arial"/>
                <w:sz w:val="17"/>
                <w:szCs w:val="17"/>
                <w:color w:val="auto"/>
              </w:rPr>
              <w:t>Purchase accounting adjustment to acquired deferred revenue</w:t>
            </w:r>
          </w:p>
        </w:tc>
        <w:tc>
          <w:tcPr>
            <w:tcW w:w="1240" w:type="dxa"/>
            <w:vAlign w:val="bottom"/>
            <w:shd w:val="clear" w:color="auto" w:fill="CCDEF1"/>
          </w:tcPr>
          <w:p>
            <w:pPr>
              <w:jc w:val="right"/>
              <w:ind w:right="195"/>
              <w:spacing w:after="0"/>
              <w:rPr>
                <w:sz w:val="20"/>
                <w:szCs w:val="20"/>
                <w:color w:val="auto"/>
              </w:rPr>
            </w:pPr>
            <w:r>
              <w:rPr>
                <w:rFonts w:ascii="Arial" w:cs="Arial" w:eastAsia="Arial" w:hAnsi="Arial"/>
                <w:sz w:val="17"/>
                <w:szCs w:val="17"/>
                <w:color w:val="auto"/>
              </w:rPr>
              <w:t>10</w:t>
            </w:r>
          </w:p>
        </w:tc>
        <w:tc>
          <w:tcPr>
            <w:tcW w:w="900" w:type="dxa"/>
            <w:vAlign w:val="bottom"/>
            <w:shd w:val="clear" w:color="auto" w:fill="CCDEF1"/>
          </w:tcPr>
          <w:p>
            <w:pPr>
              <w:jc w:val="right"/>
              <w:ind w:right="135"/>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8620" w:type="dxa"/>
            <w:vAlign w:val="bottom"/>
            <w:gridSpan w:val="2"/>
          </w:tcPr>
          <w:p>
            <w:pPr>
              <w:ind w:left="80"/>
              <w:spacing w:after="0"/>
              <w:rPr>
                <w:sz w:val="20"/>
                <w:szCs w:val="20"/>
                <w:color w:val="auto"/>
              </w:rPr>
            </w:pPr>
            <w:r>
              <w:rPr>
                <w:rFonts w:ascii="Arial" w:cs="Arial" w:eastAsia="Arial" w:hAnsi="Arial"/>
                <w:sz w:val="17"/>
                <w:szCs w:val="17"/>
                <w:color w:val="auto"/>
              </w:rPr>
              <w:t>Restructuring charge</w:t>
            </w:r>
          </w:p>
        </w:tc>
        <w:tc>
          <w:tcPr>
            <w:tcW w:w="124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52"/>
        </w:trPr>
        <w:tc>
          <w:tcPr>
            <w:tcW w:w="260" w:type="dxa"/>
            <w:vAlign w:val="bottom"/>
            <w:shd w:val="clear" w:color="auto" w:fill="CCDEF1"/>
          </w:tcPr>
          <w:p>
            <w:pPr>
              <w:spacing w:after="0"/>
              <w:rPr>
                <w:sz w:val="21"/>
                <w:szCs w:val="21"/>
                <w:color w:val="auto"/>
              </w:rPr>
            </w:pPr>
          </w:p>
        </w:tc>
        <w:tc>
          <w:tcPr>
            <w:tcW w:w="8620" w:type="dxa"/>
            <w:vAlign w:val="bottom"/>
            <w:gridSpan w:val="2"/>
            <w:shd w:val="clear" w:color="auto" w:fill="CCDEF1"/>
          </w:tcPr>
          <w:p>
            <w:pPr>
              <w:ind w:left="80"/>
              <w:spacing w:after="0"/>
              <w:rPr>
                <w:sz w:val="20"/>
                <w:szCs w:val="20"/>
                <w:color w:val="auto"/>
              </w:rPr>
            </w:pPr>
            <w:r>
              <w:rPr>
                <w:rFonts w:ascii="Arial" w:cs="Arial" w:eastAsia="Arial" w:hAnsi="Arial"/>
                <w:sz w:val="17"/>
                <w:szCs w:val="17"/>
                <w:color w:val="auto"/>
              </w:rPr>
              <w:t>Transaction-related expenses for completed acquisitions and divestitures</w:t>
            </w:r>
          </w:p>
        </w:tc>
        <w:tc>
          <w:tcPr>
            <w:tcW w:w="1240" w:type="dxa"/>
            <w:vAlign w:val="bottom"/>
            <w:shd w:val="clear" w:color="auto" w:fill="CCDEF1"/>
          </w:tcPr>
          <w:p>
            <w:pPr>
              <w:jc w:val="right"/>
              <w:ind w:right="195"/>
              <w:spacing w:after="0"/>
              <w:rPr>
                <w:sz w:val="20"/>
                <w:szCs w:val="20"/>
                <w:color w:val="auto"/>
              </w:rPr>
            </w:pPr>
            <w:r>
              <w:rPr>
                <w:rFonts w:ascii="Arial" w:cs="Arial" w:eastAsia="Arial" w:hAnsi="Arial"/>
                <w:sz w:val="17"/>
                <w:szCs w:val="17"/>
                <w:color w:val="auto"/>
              </w:rPr>
              <w:t>6</w:t>
            </w:r>
          </w:p>
        </w:tc>
        <w:tc>
          <w:tcPr>
            <w:tcW w:w="900" w:type="dxa"/>
            <w:vAlign w:val="bottom"/>
            <w:shd w:val="clear" w:color="auto" w:fill="CCDEF1"/>
          </w:tcPr>
          <w:p>
            <w:pPr>
              <w:jc w:val="right"/>
              <w:ind w:right="135"/>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37"/>
        </w:trPr>
        <w:tc>
          <w:tcPr>
            <w:tcW w:w="260" w:type="dxa"/>
            <w:vAlign w:val="bottom"/>
            <w:tcBorders>
              <w:bottom w:val="single" w:sz="8" w:color="CCDEF1"/>
            </w:tcBorders>
          </w:tcPr>
          <w:p>
            <w:pPr>
              <w:spacing w:after="0"/>
              <w:rPr>
                <w:sz w:val="20"/>
                <w:szCs w:val="20"/>
                <w:color w:val="auto"/>
              </w:rPr>
            </w:pPr>
          </w:p>
        </w:tc>
        <w:tc>
          <w:tcPr>
            <w:tcW w:w="8620" w:type="dxa"/>
            <w:vAlign w:val="bottom"/>
            <w:tcBorders>
              <w:bottom w:val="single" w:sz="8" w:color="CCDEF1"/>
            </w:tcBorders>
            <w:gridSpan w:val="2"/>
          </w:tcPr>
          <w:p>
            <w:pPr>
              <w:ind w:left="80"/>
              <w:spacing w:after="0"/>
              <w:rPr>
                <w:sz w:val="20"/>
                <w:szCs w:val="20"/>
                <w:color w:val="auto"/>
              </w:rPr>
            </w:pPr>
            <w:r>
              <w:rPr>
                <w:rFonts w:ascii="Arial" w:cs="Arial" w:eastAsia="Arial" w:hAnsi="Arial"/>
                <w:sz w:val="17"/>
                <w:szCs w:val="17"/>
                <w:color w:val="auto"/>
              </w:rPr>
              <w:t>Gain on sale of divested business</w:t>
            </w:r>
          </w:p>
        </w:tc>
        <w:tc>
          <w:tcPr>
            <w:tcW w:w="12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(921)</w:t>
            </w:r>
          </w:p>
        </w:tc>
        <w:tc>
          <w:tcPr>
            <w:tcW w:w="9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8880" w:type="dxa"/>
            <w:vAlign w:val="bottom"/>
            <w:gridSpan w:val="3"/>
            <w:shd w:val="clear" w:color="auto" w:fill="CCDEF1"/>
          </w:tcPr>
          <w:p>
            <w:pPr>
              <w:spacing w:after="0"/>
              <w:rPr>
                <w:sz w:val="20"/>
                <w:szCs w:val="20"/>
                <w:color w:val="auto"/>
              </w:rPr>
            </w:pPr>
            <w:r>
              <w:rPr>
                <w:rFonts w:ascii="Arial" w:cs="Arial" w:eastAsia="Arial" w:hAnsi="Arial"/>
                <w:sz w:val="17"/>
                <w:szCs w:val="17"/>
                <w:color w:val="auto"/>
              </w:rPr>
              <w:t>Adjusted EBITDA (B)</w:t>
            </w:r>
          </w:p>
        </w:tc>
        <w:tc>
          <w:tcPr>
            <w:tcW w:w="1240" w:type="dxa"/>
            <w:vAlign w:val="bottom"/>
            <w:tcBorders>
              <w:bottom w:val="single" w:sz="8" w:color="auto"/>
            </w:tcBorders>
            <w:shd w:val="clear" w:color="auto" w:fill="CCDEF1"/>
          </w:tcPr>
          <w:p>
            <w:pPr>
              <w:jc w:val="right"/>
              <w:ind w:right="195"/>
              <w:spacing w:after="0"/>
              <w:rPr>
                <w:sz w:val="20"/>
                <w:szCs w:val="20"/>
                <w:color w:val="auto"/>
              </w:rPr>
            </w:pPr>
            <w:r>
              <w:rPr>
                <w:rFonts w:ascii="Arial" w:cs="Arial" w:eastAsia="Arial" w:hAnsi="Arial"/>
                <w:sz w:val="17"/>
                <w:szCs w:val="17"/>
                <w:color w:val="auto"/>
              </w:rPr>
              <w:t>$1,925</w:t>
            </w:r>
          </w:p>
        </w:tc>
        <w:tc>
          <w:tcPr>
            <w:tcW w:w="900" w:type="dxa"/>
            <w:vAlign w:val="bottom"/>
            <w:tcBorders>
              <w:bottom w:val="single" w:sz="8" w:color="auto"/>
            </w:tcBorders>
            <w:shd w:val="clear" w:color="auto" w:fill="CCDEF1"/>
          </w:tcPr>
          <w:p>
            <w:pPr>
              <w:jc w:val="right"/>
              <w:ind w:right="135"/>
              <w:spacing w:after="0"/>
              <w:rPr>
                <w:sz w:val="20"/>
                <w:szCs w:val="20"/>
                <w:color w:val="auto"/>
              </w:rPr>
            </w:pPr>
            <w:r>
              <w:rPr>
                <w:rFonts w:ascii="Arial" w:cs="Arial" w:eastAsia="Arial" w:hAnsi="Arial"/>
                <w:sz w:val="17"/>
                <w:szCs w:val="17"/>
                <w:color w:val="auto"/>
              </w:rPr>
              <w:t>$1,981</w:t>
            </w:r>
          </w:p>
        </w:tc>
        <w:tc>
          <w:tcPr>
            <w:tcW w:w="0" w:type="dxa"/>
            <w:vAlign w:val="bottom"/>
          </w:tcPr>
          <w:p>
            <w:pPr>
              <w:spacing w:after="0"/>
              <w:rPr>
                <w:sz w:val="1"/>
                <w:szCs w:val="1"/>
                <w:color w:val="auto"/>
              </w:rPr>
            </w:pPr>
          </w:p>
        </w:tc>
      </w:tr>
      <w:tr>
        <w:trPr>
          <w:trHeight w:val="205"/>
        </w:trPr>
        <w:tc>
          <w:tcPr>
            <w:tcW w:w="8880" w:type="dxa"/>
            <w:vAlign w:val="bottom"/>
            <w:gridSpan w:val="3"/>
          </w:tcPr>
          <w:p>
            <w:pPr>
              <w:spacing w:after="0"/>
              <w:rPr>
                <w:sz w:val="20"/>
                <w:szCs w:val="20"/>
                <w:color w:val="auto"/>
              </w:rPr>
            </w:pPr>
            <w:r>
              <w:rPr>
                <w:rFonts w:ascii="Arial" w:cs="Arial" w:eastAsia="Arial" w:hAnsi="Arial"/>
                <w:sz w:val="17"/>
                <w:szCs w:val="17"/>
                <w:color w:val="auto"/>
              </w:rPr>
              <w:t>Adjusted EBITDA Margin (B) / (A)</w:t>
            </w:r>
          </w:p>
        </w:tc>
        <w:tc>
          <w:tcPr>
            <w:tcW w:w="1240" w:type="dxa"/>
            <w:vAlign w:val="bottom"/>
          </w:tcPr>
          <w:p>
            <w:pPr>
              <w:jc w:val="right"/>
              <w:ind w:right="55"/>
              <w:spacing w:after="0"/>
              <w:rPr>
                <w:sz w:val="20"/>
                <w:szCs w:val="20"/>
                <w:color w:val="auto"/>
              </w:rPr>
            </w:pPr>
            <w:r>
              <w:rPr>
                <w:rFonts w:ascii="Arial" w:cs="Arial" w:eastAsia="Arial" w:hAnsi="Arial"/>
                <w:sz w:val="17"/>
                <w:szCs w:val="17"/>
                <w:color w:val="auto"/>
              </w:rPr>
              <w:t>35.8%</w:t>
            </w:r>
          </w:p>
        </w:tc>
        <w:tc>
          <w:tcPr>
            <w:tcW w:w="900" w:type="dxa"/>
            <w:vAlign w:val="bottom"/>
          </w:tcPr>
          <w:p>
            <w:pPr>
              <w:jc w:val="right"/>
              <w:spacing w:after="0"/>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166"/>
        </w:trPr>
        <w:tc>
          <w:tcPr>
            <w:tcW w:w="260" w:type="dxa"/>
            <w:vAlign w:val="bottom"/>
            <w:vMerge w:val="restart"/>
          </w:tcPr>
          <w:p>
            <w:pPr>
              <w:spacing w:after="0"/>
              <w:rPr>
                <w:sz w:val="20"/>
                <w:szCs w:val="20"/>
                <w:color w:val="auto"/>
              </w:rPr>
            </w:pPr>
            <w:r>
              <w:rPr>
                <w:rFonts w:ascii="Arial" w:cs="Arial" w:eastAsia="Arial" w:hAnsi="Arial"/>
                <w:sz w:val="16"/>
                <w:szCs w:val="16"/>
                <w:b w:val="1"/>
                <w:bCs w:val="1"/>
                <w:color w:val="005CB9"/>
              </w:rPr>
              <w:t>58</w:t>
            </w:r>
          </w:p>
        </w:tc>
        <w:tc>
          <w:tcPr>
            <w:tcW w:w="180" w:type="dxa"/>
            <w:vAlign w:val="bottom"/>
          </w:tcPr>
          <w:p>
            <w:pPr>
              <w:spacing w:after="0"/>
              <w:rPr>
                <w:sz w:val="14"/>
                <w:szCs w:val="14"/>
                <w:color w:val="auto"/>
              </w:rPr>
            </w:pPr>
          </w:p>
        </w:tc>
        <w:tc>
          <w:tcPr>
            <w:tcW w:w="8440" w:type="dxa"/>
            <w:vAlign w:val="bottom"/>
            <w:vMerge w:val="restart"/>
          </w:tcPr>
          <w:p>
            <w:pPr>
              <w:ind w:left="1060"/>
              <w:spacing w:after="0"/>
              <w:rPr>
                <w:sz w:val="20"/>
                <w:szCs w:val="20"/>
                <w:color w:val="auto"/>
              </w:rPr>
            </w:pPr>
            <w:r>
              <w:rPr>
                <w:rFonts w:ascii="Arial" w:cs="Arial" w:eastAsia="Arial" w:hAnsi="Arial"/>
                <w:sz w:val="16"/>
                <w:szCs w:val="16"/>
                <w:b w:val="1"/>
                <w:bCs w:val="1"/>
                <w:color w:val="005CB9"/>
              </w:rPr>
              <w:t>Roper Technologies, Inc. 2022 Proxy Statement</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60" w:type="dxa"/>
            <w:vAlign w:val="bottom"/>
            <w:vMerge w:val="continue"/>
          </w:tcPr>
          <w:p>
            <w:pPr>
              <w:spacing w:after="0"/>
              <w:rPr>
                <w:sz w:val="24"/>
                <w:szCs w:val="24"/>
                <w:color w:val="auto"/>
              </w:rPr>
            </w:pPr>
          </w:p>
        </w:tc>
        <w:tc>
          <w:tcPr>
            <w:tcW w:w="180" w:type="dxa"/>
            <w:vAlign w:val="bottom"/>
            <w:tcBorders>
              <w:right w:val="single" w:sz="8" w:color="005CB9"/>
            </w:tcBorders>
          </w:tcPr>
          <w:p>
            <w:pPr>
              <w:spacing w:after="0"/>
              <w:rPr>
                <w:sz w:val="24"/>
                <w:szCs w:val="24"/>
                <w:color w:val="auto"/>
              </w:rPr>
            </w:pPr>
          </w:p>
        </w:tc>
        <w:tc>
          <w:tcPr>
            <w:tcW w:w="84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180" w:type="dxa"/>
            <w:vAlign w:val="bottom"/>
            <w:tcBorders>
              <w:right w:val="single" w:sz="8" w:color="005CB9"/>
            </w:tcBorders>
          </w:tcPr>
          <w:p>
            <w:pPr>
              <w:spacing w:after="0"/>
              <w:rPr>
                <w:sz w:val="8"/>
                <w:szCs w:val="8"/>
                <w:color w:val="auto"/>
              </w:rPr>
            </w:pPr>
          </w:p>
        </w:tc>
        <w:tc>
          <w:tcPr>
            <w:tcW w:w="84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-205105</wp:posOffset>
            </wp:positionV>
            <wp:extent cx="428625"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Table 3: Adjusted Cash Flow Reconciliation ($M)</w:t>
      </w:r>
    </w:p>
    <w:p>
      <w:pPr>
        <w:ind w:left="120"/>
        <w:spacing w:after="0"/>
        <w:rPr>
          <w:sz w:val="20"/>
          <w:szCs w:val="20"/>
          <w:color w:val="auto"/>
        </w:rPr>
      </w:pPr>
      <w:r>
        <w:rPr>
          <w:rFonts w:ascii="Arial" w:cs="Arial" w:eastAsia="Arial" w:hAnsi="Arial"/>
          <w:sz w:val="17"/>
          <w:szCs w:val="17"/>
          <w:color w:val="auto"/>
        </w:rPr>
        <w:t>(From Continuing Operations)</w:t>
      </w: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40" w:type="dxa"/>
            <w:vAlign w:val="bottom"/>
            <w:tcBorders>
              <w:bottom w:val="single" w:sz="8" w:color="CCDEF1"/>
            </w:tcBorders>
          </w:tcPr>
          <w:p>
            <w:pPr>
              <w:spacing w:after="0"/>
              <w:rPr>
                <w:sz w:val="14"/>
                <w:szCs w:val="14"/>
                <w:color w:val="auto"/>
              </w:rPr>
            </w:pPr>
          </w:p>
        </w:tc>
        <w:tc>
          <w:tcPr>
            <w:tcW w:w="2300" w:type="dxa"/>
            <w:vAlign w:val="bottom"/>
            <w:tcBorders>
              <w:bottom w:val="single" w:sz="8" w:color="CCDEF1"/>
            </w:tcBorders>
          </w:tcPr>
          <w:p>
            <w:pPr>
              <w:spacing w:after="0"/>
              <w:rPr>
                <w:sz w:val="14"/>
                <w:szCs w:val="14"/>
                <w:color w:val="auto"/>
              </w:rPr>
            </w:pPr>
          </w:p>
        </w:tc>
        <w:tc>
          <w:tcPr>
            <w:tcW w:w="200" w:type="dxa"/>
            <w:vAlign w:val="bottom"/>
            <w:tcBorders>
              <w:bottom w:val="single" w:sz="8" w:color="CCDEF1"/>
            </w:tcBorders>
          </w:tcPr>
          <w:p>
            <w:pPr>
              <w:spacing w:after="0"/>
              <w:rPr>
                <w:sz w:val="14"/>
                <w:szCs w:val="14"/>
                <w:color w:val="auto"/>
              </w:rPr>
            </w:pPr>
          </w:p>
        </w:tc>
        <w:tc>
          <w:tcPr>
            <w:tcW w:w="500" w:type="dxa"/>
            <w:vAlign w:val="bottom"/>
            <w:tcBorders>
              <w:bottom w:val="single" w:sz="8" w:color="CCDEF1"/>
            </w:tcBorders>
          </w:tcPr>
          <w:p>
            <w:pPr>
              <w:spacing w:after="0"/>
              <w:rPr>
                <w:sz w:val="14"/>
                <w:szCs w:val="14"/>
                <w:color w:val="auto"/>
              </w:rPr>
            </w:pPr>
          </w:p>
        </w:tc>
        <w:tc>
          <w:tcPr>
            <w:tcW w:w="70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color w:val="auto"/>
              </w:rPr>
              <w:t>V%</w:t>
            </w:r>
          </w:p>
        </w:tc>
        <w:tc>
          <w:tcPr>
            <w:tcW w:w="0" w:type="dxa"/>
            <w:vAlign w:val="bottom"/>
          </w:tcPr>
          <w:p>
            <w:pPr>
              <w:spacing w:after="0"/>
              <w:rPr>
                <w:sz w:val="1"/>
                <w:szCs w:val="1"/>
                <w:color w:val="auto"/>
              </w:rPr>
            </w:pPr>
          </w:p>
        </w:tc>
      </w:tr>
      <w:tr>
        <w:trPr>
          <w:trHeight w:val="223"/>
        </w:trPr>
        <w:tc>
          <w:tcPr>
            <w:tcW w:w="5940" w:type="dxa"/>
            <w:vAlign w:val="bottom"/>
            <w:shd w:val="clear" w:color="auto" w:fill="CCDEF1"/>
          </w:tcPr>
          <w:p>
            <w:pPr>
              <w:spacing w:after="0"/>
              <w:rPr>
                <w:sz w:val="20"/>
                <w:szCs w:val="20"/>
                <w:color w:val="auto"/>
              </w:rPr>
            </w:pPr>
            <w:r>
              <w:rPr>
                <w:rFonts w:ascii="Arial" w:cs="Arial" w:eastAsia="Arial" w:hAnsi="Arial"/>
                <w:sz w:val="17"/>
                <w:szCs w:val="17"/>
                <w:color w:val="auto"/>
              </w:rPr>
              <w:t>Operating Cash Flow</w:t>
            </w:r>
          </w:p>
        </w:tc>
        <w:tc>
          <w:tcPr>
            <w:tcW w:w="2300" w:type="dxa"/>
            <w:vAlign w:val="bottom"/>
            <w:shd w:val="clear" w:color="auto" w:fill="CCDEF1"/>
          </w:tcPr>
          <w:p>
            <w:pPr>
              <w:spacing w:after="0"/>
              <w:rPr>
                <w:sz w:val="19"/>
                <w:szCs w:val="19"/>
                <w:color w:val="auto"/>
              </w:rPr>
            </w:pPr>
          </w:p>
        </w:tc>
        <w:tc>
          <w:tcPr>
            <w:tcW w:w="200" w:type="dxa"/>
            <w:vAlign w:val="bottom"/>
            <w:shd w:val="clear" w:color="auto" w:fill="CCDEF1"/>
          </w:tcPr>
          <w:p>
            <w:pPr>
              <w:spacing w:after="0"/>
              <w:rPr>
                <w:sz w:val="19"/>
                <w:szCs w:val="19"/>
                <w:color w:val="auto"/>
              </w:rPr>
            </w:pPr>
          </w:p>
        </w:tc>
        <w:tc>
          <w:tcPr>
            <w:tcW w:w="500" w:type="dxa"/>
            <w:vAlign w:val="bottom"/>
            <w:shd w:val="clear" w:color="auto" w:fill="CCDEF1"/>
          </w:tcPr>
          <w:p>
            <w:pPr>
              <w:spacing w:after="0"/>
              <w:rPr>
                <w:sz w:val="19"/>
                <w:szCs w:val="19"/>
                <w:color w:val="auto"/>
              </w:rPr>
            </w:pPr>
          </w:p>
        </w:tc>
        <w:tc>
          <w:tcPr>
            <w:tcW w:w="700" w:type="dxa"/>
            <w:vAlign w:val="bottom"/>
            <w:gridSpan w:val="3"/>
            <w:shd w:val="clear" w:color="auto" w:fill="CCDEF1"/>
          </w:tcPr>
          <w:p>
            <w:pPr>
              <w:jc w:val="right"/>
              <w:spacing w:after="0"/>
              <w:rPr>
                <w:sz w:val="20"/>
                <w:szCs w:val="20"/>
                <w:color w:val="auto"/>
              </w:rPr>
            </w:pPr>
            <w:r>
              <w:rPr>
                <w:rFonts w:ascii="Arial" w:cs="Arial" w:eastAsia="Arial" w:hAnsi="Arial"/>
                <w:sz w:val="17"/>
                <w:szCs w:val="17"/>
                <w:color w:val="auto"/>
                <w:shd w:val="clear" w:color="auto" w:fill="CCDEF1"/>
              </w:rPr>
              <w:t>$1,368</w:t>
            </w:r>
          </w:p>
        </w:tc>
        <w:tc>
          <w:tcPr>
            <w:tcW w:w="80" w:type="dxa"/>
            <w:vAlign w:val="bottom"/>
            <w:shd w:val="clear" w:color="auto" w:fill="CCDEF1"/>
          </w:tcPr>
          <w:p>
            <w:pPr>
              <w:spacing w:after="0"/>
              <w:rPr>
                <w:sz w:val="19"/>
                <w:szCs w:val="19"/>
                <w:color w:val="auto"/>
              </w:rPr>
            </w:pPr>
          </w:p>
        </w:tc>
        <w:tc>
          <w:tcPr>
            <w:tcW w:w="640" w:type="dxa"/>
            <w:vAlign w:val="bottom"/>
            <w:shd w:val="clear" w:color="auto" w:fill="CCDEF1"/>
          </w:tcPr>
          <w:p>
            <w:pPr>
              <w:jc w:val="right"/>
              <w:spacing w:after="0"/>
              <w:rPr>
                <w:sz w:val="20"/>
                <w:szCs w:val="20"/>
                <w:color w:val="auto"/>
              </w:rPr>
            </w:pPr>
            <w:r>
              <w:rPr>
                <w:rFonts w:ascii="Arial" w:cs="Arial" w:eastAsia="Arial" w:hAnsi="Arial"/>
                <w:sz w:val="17"/>
                <w:szCs w:val="17"/>
                <w:color w:val="auto"/>
                <w:shd w:val="clear" w:color="auto" w:fill="CCDEF1"/>
              </w:rPr>
              <w:t>$1,866</w:t>
            </w:r>
          </w:p>
        </w:tc>
        <w:tc>
          <w:tcPr>
            <w:tcW w:w="100" w:type="dxa"/>
            <w:vAlign w:val="bottom"/>
            <w:shd w:val="clear" w:color="auto" w:fill="CCDEF1"/>
          </w:tcPr>
          <w:p>
            <w:pPr>
              <w:spacing w:after="0"/>
              <w:rPr>
                <w:sz w:val="19"/>
                <w:szCs w:val="19"/>
                <w:color w:val="auto"/>
              </w:rPr>
            </w:pPr>
          </w:p>
        </w:tc>
        <w:tc>
          <w:tcPr>
            <w:tcW w:w="520" w:type="dxa"/>
            <w:vAlign w:val="bottom"/>
            <w:gridSpan w:val="5"/>
            <w:shd w:val="clear" w:color="auto" w:fill="CCDEF1"/>
          </w:tcPr>
          <w:p>
            <w:pPr>
              <w:jc w:val="right"/>
              <w:ind w:right="20"/>
              <w:spacing w:after="0"/>
              <w:rPr>
                <w:sz w:val="20"/>
                <w:szCs w:val="20"/>
                <w:color w:val="auto"/>
              </w:rPr>
            </w:pPr>
            <w:r>
              <w:rPr>
                <w:rFonts w:ascii="Arial" w:cs="Arial" w:eastAsia="Arial" w:hAnsi="Arial"/>
                <w:sz w:val="17"/>
                <w:szCs w:val="17"/>
                <w:color w:val="auto"/>
                <w:shd w:val="clear" w:color="auto" w:fill="CCDEF1"/>
              </w:rPr>
              <w:t>36%</w:t>
            </w:r>
          </w:p>
        </w:tc>
        <w:tc>
          <w:tcPr>
            <w:tcW w:w="40" w:type="dxa"/>
            <w:vAlign w:val="bottom"/>
            <w:shd w:val="clear" w:color="auto" w:fill="CCDEF1"/>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340"/>
              <w:spacing w:after="0"/>
              <w:rPr>
                <w:sz w:val="20"/>
                <w:szCs w:val="20"/>
                <w:color w:val="auto"/>
              </w:rPr>
            </w:pPr>
            <w:r>
              <w:rPr>
                <w:rFonts w:ascii="Arial" w:cs="Arial" w:eastAsia="Arial" w:hAnsi="Arial"/>
                <w:sz w:val="17"/>
                <w:szCs w:val="17"/>
                <w:color w:val="auto"/>
              </w:rPr>
              <w:t>Cash taxes paid on sale of Gatan</w:t>
            </w:r>
          </w:p>
        </w:tc>
        <w:tc>
          <w:tcPr>
            <w:tcW w:w="2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7"/>
                <w:szCs w:val="17"/>
                <w:color w:val="auto"/>
              </w:rPr>
              <w:t>192</w:t>
            </w: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40" w:type="dxa"/>
            <w:vAlign w:val="bottom"/>
            <w:shd w:val="clear" w:color="auto" w:fill="CCDEF1"/>
          </w:tcPr>
          <w:p>
            <w:pPr>
              <w:spacing w:after="0"/>
              <w:rPr>
                <w:sz w:val="20"/>
                <w:szCs w:val="20"/>
                <w:color w:val="auto"/>
              </w:rPr>
            </w:pPr>
            <w:r>
              <w:rPr>
                <w:rFonts w:ascii="Arial" w:cs="Arial" w:eastAsia="Arial" w:hAnsi="Arial"/>
                <w:sz w:val="17"/>
                <w:szCs w:val="17"/>
                <w:color w:val="auto"/>
              </w:rPr>
              <w:t>Adjusted Operating Cash Flow</w:t>
            </w:r>
          </w:p>
        </w:tc>
        <w:tc>
          <w:tcPr>
            <w:tcW w:w="2300" w:type="dxa"/>
            <w:vAlign w:val="bottom"/>
            <w:shd w:val="clear" w:color="auto" w:fill="CCDEF1"/>
          </w:tcPr>
          <w:p>
            <w:pPr>
              <w:spacing w:after="0"/>
              <w:rPr>
                <w:sz w:val="20"/>
                <w:szCs w:val="20"/>
                <w:color w:val="auto"/>
              </w:rPr>
            </w:pPr>
          </w:p>
        </w:tc>
        <w:tc>
          <w:tcPr>
            <w:tcW w:w="200" w:type="dxa"/>
            <w:vAlign w:val="bottom"/>
            <w:shd w:val="clear" w:color="auto" w:fill="CCDEF1"/>
          </w:tcPr>
          <w:p>
            <w:pPr>
              <w:spacing w:after="0"/>
              <w:rPr>
                <w:sz w:val="20"/>
                <w:szCs w:val="20"/>
                <w:color w:val="auto"/>
              </w:rPr>
            </w:pPr>
          </w:p>
        </w:tc>
        <w:tc>
          <w:tcPr>
            <w:tcW w:w="500" w:type="dxa"/>
            <w:vAlign w:val="bottom"/>
            <w:shd w:val="clear" w:color="auto" w:fill="CCDEF1"/>
          </w:tcPr>
          <w:p>
            <w:pPr>
              <w:spacing w:after="0"/>
              <w:rPr>
                <w:sz w:val="20"/>
                <w:szCs w:val="20"/>
                <w:color w:val="auto"/>
              </w:rPr>
            </w:pPr>
          </w:p>
        </w:tc>
        <w:tc>
          <w:tcPr>
            <w:tcW w:w="700" w:type="dxa"/>
            <w:vAlign w:val="bottom"/>
            <w:gridSpan w:val="3"/>
            <w:shd w:val="clear" w:color="auto" w:fill="CCDEF1"/>
          </w:tcPr>
          <w:p>
            <w:pPr>
              <w:jc w:val="right"/>
              <w:spacing w:after="0"/>
              <w:rPr>
                <w:sz w:val="20"/>
                <w:szCs w:val="20"/>
                <w:color w:val="auto"/>
              </w:rPr>
            </w:pPr>
            <w:r>
              <w:rPr>
                <w:rFonts w:ascii="Arial" w:cs="Arial" w:eastAsia="Arial" w:hAnsi="Arial"/>
                <w:sz w:val="17"/>
                <w:szCs w:val="17"/>
                <w:color w:val="auto"/>
                <w:shd w:val="clear" w:color="auto" w:fill="CCDEF1"/>
              </w:rPr>
              <w:t>$1,560</w:t>
            </w:r>
          </w:p>
        </w:tc>
        <w:tc>
          <w:tcPr>
            <w:tcW w:w="80" w:type="dxa"/>
            <w:vAlign w:val="bottom"/>
            <w:shd w:val="clear" w:color="auto" w:fill="CCDEF1"/>
          </w:tcPr>
          <w:p>
            <w:pPr>
              <w:spacing w:after="0"/>
              <w:rPr>
                <w:sz w:val="20"/>
                <w:szCs w:val="20"/>
                <w:color w:val="auto"/>
              </w:rPr>
            </w:pPr>
          </w:p>
        </w:tc>
        <w:tc>
          <w:tcPr>
            <w:tcW w:w="640" w:type="dxa"/>
            <w:vAlign w:val="bottom"/>
            <w:shd w:val="clear" w:color="auto" w:fill="CCDEF1"/>
          </w:tcPr>
          <w:p>
            <w:pPr>
              <w:jc w:val="right"/>
              <w:spacing w:after="0"/>
              <w:rPr>
                <w:sz w:val="20"/>
                <w:szCs w:val="20"/>
                <w:color w:val="auto"/>
              </w:rPr>
            </w:pPr>
            <w:r>
              <w:rPr>
                <w:rFonts w:ascii="Arial" w:cs="Arial" w:eastAsia="Arial" w:hAnsi="Arial"/>
                <w:sz w:val="17"/>
                <w:szCs w:val="17"/>
                <w:color w:val="auto"/>
                <w:shd w:val="clear" w:color="auto" w:fill="CCDEF1"/>
              </w:rPr>
              <w:t>$1,866</w:t>
            </w:r>
          </w:p>
        </w:tc>
        <w:tc>
          <w:tcPr>
            <w:tcW w:w="100" w:type="dxa"/>
            <w:vAlign w:val="bottom"/>
            <w:shd w:val="clear" w:color="auto" w:fill="CCDEF1"/>
          </w:tcPr>
          <w:p>
            <w:pPr>
              <w:spacing w:after="0"/>
              <w:rPr>
                <w:sz w:val="20"/>
                <w:szCs w:val="20"/>
                <w:color w:val="auto"/>
              </w:rPr>
            </w:pPr>
          </w:p>
        </w:tc>
        <w:tc>
          <w:tcPr>
            <w:tcW w:w="520" w:type="dxa"/>
            <w:vAlign w:val="bottom"/>
            <w:gridSpan w:val="5"/>
            <w:shd w:val="clear" w:color="auto" w:fill="CCDEF1"/>
          </w:tcPr>
          <w:p>
            <w:pPr>
              <w:jc w:val="right"/>
              <w:ind w:right="20"/>
              <w:spacing w:after="0"/>
              <w:rPr>
                <w:sz w:val="20"/>
                <w:szCs w:val="20"/>
                <w:color w:val="auto"/>
              </w:rPr>
            </w:pPr>
            <w:r>
              <w:rPr>
                <w:rFonts w:ascii="Arial" w:cs="Arial" w:eastAsia="Arial" w:hAnsi="Arial"/>
                <w:sz w:val="17"/>
                <w:szCs w:val="17"/>
                <w:color w:val="auto"/>
                <w:shd w:val="clear" w:color="auto" w:fill="CCDEF1"/>
              </w:rPr>
              <w:t>20%</w:t>
            </w:r>
          </w:p>
        </w:tc>
        <w:tc>
          <w:tcPr>
            <w:tcW w:w="40" w:type="dxa"/>
            <w:vAlign w:val="bottom"/>
            <w:shd w:val="clear" w:color="auto" w:fill="CCDEF1"/>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340"/>
              <w:spacing w:after="0"/>
              <w:rPr>
                <w:sz w:val="20"/>
                <w:szCs w:val="20"/>
                <w:color w:val="auto"/>
              </w:rPr>
            </w:pPr>
            <w:r>
              <w:rPr>
                <w:rFonts w:ascii="Arial" w:cs="Arial" w:eastAsia="Arial" w:hAnsi="Arial"/>
                <w:sz w:val="17"/>
                <w:szCs w:val="17"/>
                <w:color w:val="auto"/>
              </w:rPr>
              <w:t>Capital Expenditures</w:t>
            </w:r>
          </w:p>
        </w:tc>
        <w:tc>
          <w:tcPr>
            <w:tcW w:w="2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DEF1"/>
          </w:tcPr>
          <w:p>
            <w:pPr>
              <w:ind w:left="340"/>
              <w:spacing w:after="0"/>
              <w:rPr>
                <w:sz w:val="20"/>
                <w:szCs w:val="20"/>
                <w:color w:val="auto"/>
              </w:rPr>
            </w:pPr>
            <w:r>
              <w:rPr>
                <w:rFonts w:ascii="Arial" w:cs="Arial" w:eastAsia="Arial" w:hAnsi="Arial"/>
                <w:sz w:val="17"/>
                <w:szCs w:val="17"/>
                <w:color w:val="auto"/>
              </w:rPr>
              <w:t>Capitalized Software Expenditures</w:t>
            </w:r>
          </w:p>
        </w:tc>
        <w:tc>
          <w:tcPr>
            <w:tcW w:w="2300" w:type="dxa"/>
            <w:vAlign w:val="bottom"/>
            <w:shd w:val="clear" w:color="auto" w:fill="CCDEF1"/>
          </w:tcPr>
          <w:p>
            <w:pPr>
              <w:spacing w:after="0"/>
              <w:rPr>
                <w:sz w:val="21"/>
                <w:szCs w:val="21"/>
                <w:color w:val="auto"/>
              </w:rPr>
            </w:pPr>
          </w:p>
        </w:tc>
        <w:tc>
          <w:tcPr>
            <w:tcW w:w="200" w:type="dxa"/>
            <w:vAlign w:val="bottom"/>
            <w:shd w:val="clear" w:color="auto" w:fill="CCDEF1"/>
          </w:tcPr>
          <w:p>
            <w:pPr>
              <w:spacing w:after="0"/>
              <w:rPr>
                <w:sz w:val="21"/>
                <w:szCs w:val="21"/>
                <w:color w:val="auto"/>
              </w:rPr>
            </w:pPr>
          </w:p>
        </w:tc>
        <w:tc>
          <w:tcPr>
            <w:tcW w:w="500" w:type="dxa"/>
            <w:vAlign w:val="bottom"/>
            <w:shd w:val="clear" w:color="auto" w:fill="CCDEF1"/>
          </w:tcPr>
          <w:p>
            <w:pPr>
              <w:spacing w:after="0"/>
              <w:rPr>
                <w:sz w:val="21"/>
                <w:szCs w:val="21"/>
                <w:color w:val="auto"/>
              </w:rPr>
            </w:pPr>
          </w:p>
        </w:tc>
        <w:tc>
          <w:tcPr>
            <w:tcW w:w="100" w:type="dxa"/>
            <w:vAlign w:val="bottom"/>
            <w:shd w:val="clear" w:color="auto" w:fill="CCDEF1"/>
          </w:tcPr>
          <w:p>
            <w:pPr>
              <w:spacing w:after="0"/>
              <w:rPr>
                <w:sz w:val="21"/>
                <w:szCs w:val="21"/>
                <w:color w:val="auto"/>
              </w:rPr>
            </w:pPr>
          </w:p>
        </w:tc>
        <w:tc>
          <w:tcPr>
            <w:tcW w:w="600" w:type="dxa"/>
            <w:vAlign w:val="bottom"/>
            <w:tcBorders>
              <w:bottom w:val="single" w:sz="8" w:color="auto"/>
            </w:tcBorders>
            <w:gridSpan w:val="2"/>
            <w:shd w:val="clear" w:color="auto" w:fill="CCDEF1"/>
          </w:tcPr>
          <w:p>
            <w:pPr>
              <w:jc w:val="right"/>
              <w:spacing w:after="0"/>
              <w:rPr>
                <w:sz w:val="20"/>
                <w:szCs w:val="20"/>
                <w:color w:val="auto"/>
              </w:rPr>
            </w:pPr>
            <w:r>
              <w:rPr>
                <w:rFonts w:ascii="Arial" w:cs="Arial" w:eastAsia="Arial" w:hAnsi="Arial"/>
                <w:sz w:val="17"/>
                <w:szCs w:val="17"/>
                <w:color w:val="auto"/>
              </w:rPr>
              <w:t>(18)</w:t>
            </w:r>
          </w:p>
        </w:tc>
        <w:tc>
          <w:tcPr>
            <w:tcW w:w="80" w:type="dxa"/>
            <w:vAlign w:val="bottom"/>
            <w:tcBorders>
              <w:bottom w:val="single" w:sz="8" w:color="auto"/>
            </w:tcBorders>
            <w:shd w:val="clear" w:color="auto" w:fill="CCDEF1"/>
          </w:tcPr>
          <w:p>
            <w:pPr>
              <w:spacing w:after="0"/>
              <w:rPr>
                <w:sz w:val="21"/>
                <w:szCs w:val="21"/>
                <w:color w:val="auto"/>
              </w:rPr>
            </w:pPr>
          </w:p>
        </w:tc>
        <w:tc>
          <w:tcPr>
            <w:tcW w:w="740" w:type="dxa"/>
            <w:vAlign w:val="bottom"/>
            <w:tcBorders>
              <w:bottom w:val="single" w:sz="8" w:color="auto"/>
            </w:tcBorders>
            <w:gridSpan w:val="2"/>
            <w:shd w:val="clear" w:color="auto" w:fill="CCDEF1"/>
          </w:tcPr>
          <w:p>
            <w:pPr>
              <w:jc w:val="right"/>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auto"/>
            </w:tcBorders>
            <w:shd w:val="clear" w:color="auto" w:fill="CCDEF1"/>
          </w:tcPr>
          <w:p>
            <w:pPr>
              <w:spacing w:after="0"/>
              <w:rPr>
                <w:sz w:val="21"/>
                <w:szCs w:val="21"/>
                <w:color w:val="auto"/>
              </w:rPr>
            </w:pPr>
          </w:p>
        </w:tc>
        <w:tc>
          <w:tcPr>
            <w:tcW w:w="140" w:type="dxa"/>
            <w:vAlign w:val="bottom"/>
            <w:tcBorders>
              <w:bottom w:val="single" w:sz="8" w:color="auto"/>
              <w:right w:val="single" w:sz="8" w:color="CCDEF1"/>
            </w:tcBorders>
            <w:shd w:val="clear" w:color="auto" w:fill="CCDEF1"/>
          </w:tcPr>
          <w:p>
            <w:pPr>
              <w:spacing w:after="0"/>
              <w:rPr>
                <w:sz w:val="21"/>
                <w:szCs w:val="21"/>
                <w:color w:val="auto"/>
              </w:rPr>
            </w:pPr>
          </w:p>
        </w:tc>
        <w:tc>
          <w:tcPr>
            <w:tcW w:w="200" w:type="dxa"/>
            <w:vAlign w:val="bottom"/>
            <w:tcBorders>
              <w:bottom w:val="single" w:sz="8" w:color="auto"/>
            </w:tcBorders>
            <w:shd w:val="clear" w:color="auto" w:fill="CCDEF1"/>
          </w:tcPr>
          <w:p>
            <w:pPr>
              <w:spacing w:after="0"/>
              <w:rPr>
                <w:sz w:val="21"/>
                <w:szCs w:val="21"/>
                <w:color w:val="auto"/>
              </w:rPr>
            </w:pPr>
          </w:p>
        </w:tc>
        <w:tc>
          <w:tcPr>
            <w:tcW w:w="60" w:type="dxa"/>
            <w:vAlign w:val="bottom"/>
            <w:tcBorders>
              <w:bottom w:val="single" w:sz="8" w:color="auto"/>
            </w:tcBorders>
            <w:shd w:val="clear" w:color="auto" w:fill="CCDEF1"/>
          </w:tcPr>
          <w:p>
            <w:pPr>
              <w:spacing w:after="0"/>
              <w:rPr>
                <w:sz w:val="21"/>
                <w:szCs w:val="21"/>
                <w:color w:val="auto"/>
              </w:rPr>
            </w:pPr>
          </w:p>
        </w:tc>
        <w:tc>
          <w:tcPr>
            <w:tcW w:w="20" w:type="dxa"/>
            <w:vAlign w:val="bottom"/>
            <w:shd w:val="clear" w:color="auto" w:fill="CCDEF1"/>
          </w:tcPr>
          <w:p>
            <w:pPr>
              <w:spacing w:after="0"/>
              <w:rPr>
                <w:sz w:val="21"/>
                <w:szCs w:val="21"/>
                <w:color w:val="auto"/>
              </w:rPr>
            </w:pPr>
          </w:p>
        </w:tc>
        <w:tc>
          <w:tcPr>
            <w:tcW w:w="40" w:type="dxa"/>
            <w:vAlign w:val="bottom"/>
            <w:shd w:val="clear" w:color="auto" w:fill="CCDEF1"/>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spacing w:after="0"/>
              <w:rPr>
                <w:sz w:val="20"/>
                <w:szCs w:val="20"/>
                <w:color w:val="auto"/>
              </w:rPr>
            </w:pPr>
            <w:r>
              <w:rPr>
                <w:rFonts w:ascii="Arial" w:cs="Arial" w:eastAsia="Arial" w:hAnsi="Arial"/>
                <w:sz w:val="17"/>
                <w:szCs w:val="17"/>
                <w:color w:val="auto"/>
              </w:rPr>
              <w:t>Adjusted Free Cash Flow</w:t>
            </w:r>
          </w:p>
        </w:tc>
        <w:tc>
          <w:tcPr>
            <w:tcW w:w="2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1,514</w:t>
            </w: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1,804</w:t>
            </w:r>
          </w:p>
        </w:tc>
        <w:tc>
          <w:tcPr>
            <w:tcW w:w="100" w:type="dxa"/>
            <w:vAlign w:val="bottom"/>
          </w:tcPr>
          <w:p>
            <w:pPr>
              <w:spacing w:after="0"/>
              <w:rPr>
                <w:sz w:val="21"/>
                <w:szCs w:val="21"/>
                <w:color w:val="auto"/>
              </w:rPr>
            </w:pPr>
          </w:p>
        </w:tc>
        <w:tc>
          <w:tcPr>
            <w:tcW w:w="520" w:type="dxa"/>
            <w:vAlign w:val="bottom"/>
            <w:gridSpan w:val="5"/>
          </w:tcPr>
          <w:p>
            <w:pPr>
              <w:jc w:val="right"/>
              <w:ind w:right="20"/>
              <w:spacing w:after="0"/>
              <w:rPr>
                <w:sz w:val="20"/>
                <w:szCs w:val="20"/>
                <w:color w:val="auto"/>
              </w:rPr>
            </w:pPr>
            <w:r>
              <w:rPr>
                <w:rFonts w:ascii="Arial" w:cs="Arial" w:eastAsia="Arial" w:hAnsi="Arial"/>
                <w:sz w:val="17"/>
                <w:szCs w:val="17"/>
                <w:color w:val="auto"/>
              </w:rPr>
              <w:t>19%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7"/>
                <w:szCs w:val="17"/>
                <w:color w:val="auto"/>
              </w:rPr>
              <w:t>Table 4: Adjusted Cash Flow Reconciliation ($M)</w:t>
            </w: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594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5940" w:type="dxa"/>
            <w:vAlign w:val="bottom"/>
          </w:tcPr>
          <w:p>
            <w:pPr>
              <w:spacing w:after="0"/>
              <w:rPr>
                <w:sz w:val="24"/>
                <w:szCs w:val="24"/>
                <w:color w:val="auto"/>
              </w:rPr>
            </w:pPr>
          </w:p>
        </w:tc>
        <w:tc>
          <w:tcPr>
            <w:tcW w:w="3000" w:type="dxa"/>
            <w:vAlign w:val="bottom"/>
            <w:gridSpan w:val="3"/>
          </w:tcPr>
          <w:p>
            <w:pPr>
              <w:jc w:val="right"/>
              <w:ind w:right="55"/>
              <w:spacing w:after="0"/>
              <w:rPr>
                <w:sz w:val="20"/>
                <w:szCs w:val="20"/>
                <w:color w:val="auto"/>
              </w:rPr>
            </w:pPr>
            <w:r>
              <w:rPr>
                <w:rFonts w:ascii="Arial" w:cs="Arial" w:eastAsia="Arial" w:hAnsi="Arial"/>
                <w:sz w:val="14"/>
                <w:szCs w:val="14"/>
                <w:color w:val="auto"/>
              </w:rPr>
              <w:t>2011</w:t>
            </w:r>
          </w:p>
        </w:tc>
        <w:tc>
          <w:tcPr>
            <w:tcW w:w="1420" w:type="dxa"/>
            <w:vAlign w:val="bottom"/>
            <w:gridSpan w:val="5"/>
          </w:tcPr>
          <w:p>
            <w:pPr>
              <w:jc w:val="right"/>
              <w:ind w:right="456"/>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4"/>
                <w:szCs w:val="24"/>
                <w:color w:val="auto"/>
              </w:rPr>
            </w:pPr>
          </w:p>
        </w:tc>
        <w:tc>
          <w:tcPr>
            <w:tcW w:w="440" w:type="dxa"/>
            <w:vAlign w:val="bottom"/>
            <w:gridSpan w:val="3"/>
          </w:tcPr>
          <w:p>
            <w:pPr>
              <w:jc w:val="right"/>
              <w:ind w:right="19"/>
              <w:spacing w:after="0"/>
              <w:rPr>
                <w:sz w:val="20"/>
                <w:szCs w:val="20"/>
                <w:color w:val="auto"/>
              </w:rPr>
            </w:pPr>
            <w:r>
              <w:rPr>
                <w:rFonts w:ascii="Arial" w:cs="Arial" w:eastAsia="Arial" w:hAnsi="Arial"/>
                <w:sz w:val="14"/>
                <w:szCs w:val="14"/>
                <w:color w:val="auto"/>
              </w:rPr>
              <w:t>2021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940" w:type="dxa"/>
            <w:vAlign w:val="bottom"/>
            <w:tcBorders>
              <w:top w:val="single" w:sz="8" w:color="CCDEF1"/>
              <w:bottom w:val="single" w:sz="8" w:color="CCDEF1"/>
            </w:tcBorders>
            <w:shd w:val="clear" w:color="auto" w:fill="CCDEF1"/>
          </w:tcPr>
          <w:p>
            <w:pPr>
              <w:spacing w:after="0"/>
              <w:rPr>
                <w:sz w:val="20"/>
                <w:szCs w:val="20"/>
                <w:color w:val="auto"/>
              </w:rPr>
            </w:pPr>
            <w:r>
              <w:rPr>
                <w:rFonts w:ascii="Arial" w:cs="Arial" w:eastAsia="Arial" w:hAnsi="Arial"/>
                <w:sz w:val="17"/>
                <w:szCs w:val="17"/>
                <w:color w:val="auto"/>
              </w:rPr>
              <w:t>Operating Cash Flow</w:t>
            </w:r>
          </w:p>
        </w:tc>
        <w:tc>
          <w:tcPr>
            <w:tcW w:w="2300" w:type="dxa"/>
            <w:vAlign w:val="bottom"/>
            <w:tcBorders>
              <w:top w:val="single" w:sz="8" w:color="CCDEF1"/>
              <w:bottom w:val="single" w:sz="8" w:color="CCDEF1"/>
            </w:tcBorders>
            <w:shd w:val="clear" w:color="auto" w:fill="CCDEF1"/>
          </w:tcPr>
          <w:p>
            <w:pPr>
              <w:spacing w:after="0"/>
              <w:rPr>
                <w:sz w:val="22"/>
                <w:szCs w:val="22"/>
                <w:color w:val="auto"/>
              </w:rPr>
            </w:pPr>
          </w:p>
        </w:tc>
        <w:tc>
          <w:tcPr>
            <w:tcW w:w="700" w:type="dxa"/>
            <w:vAlign w:val="bottom"/>
            <w:tcBorders>
              <w:top w:val="single" w:sz="8" w:color="auto"/>
              <w:bottom w:val="single" w:sz="8" w:color="CCDEF1"/>
            </w:tcBorders>
            <w:gridSpan w:val="2"/>
            <w:shd w:val="clear" w:color="auto" w:fill="CCDEF1"/>
          </w:tcPr>
          <w:p>
            <w:pPr>
              <w:jc w:val="right"/>
              <w:spacing w:after="0"/>
              <w:rPr>
                <w:sz w:val="20"/>
                <w:szCs w:val="20"/>
                <w:color w:val="auto"/>
              </w:rPr>
            </w:pPr>
            <w:r>
              <w:rPr>
                <w:rFonts w:ascii="Arial" w:cs="Arial" w:eastAsia="Arial" w:hAnsi="Arial"/>
                <w:sz w:val="17"/>
                <w:szCs w:val="17"/>
                <w:color w:val="auto"/>
              </w:rPr>
              <w:t>$ 602</w:t>
            </w:r>
          </w:p>
        </w:tc>
        <w:tc>
          <w:tcPr>
            <w:tcW w:w="700" w:type="dxa"/>
            <w:vAlign w:val="bottom"/>
            <w:tcBorders>
              <w:top w:val="single" w:sz="8" w:color="auto"/>
              <w:bottom w:val="single" w:sz="8" w:color="CCDEF1"/>
            </w:tcBorders>
            <w:gridSpan w:val="3"/>
            <w:shd w:val="clear" w:color="auto" w:fill="CCDEF1"/>
          </w:tcPr>
          <w:p>
            <w:pPr>
              <w:jc w:val="right"/>
              <w:ind w:right="75"/>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CCDEF1"/>
            </w:tcBorders>
            <w:gridSpan w:val="2"/>
            <w:shd w:val="clear" w:color="auto" w:fill="CCDEF1"/>
          </w:tcPr>
          <w:p>
            <w:pPr>
              <w:jc w:val="right"/>
              <w:ind w:right="336"/>
              <w:spacing w:after="0"/>
              <w:rPr>
                <w:sz w:val="20"/>
                <w:szCs w:val="20"/>
                <w:color w:val="auto"/>
              </w:rPr>
            </w:pPr>
            <w:r>
              <w:rPr>
                <w:rFonts w:ascii="Arial" w:cs="Arial" w:eastAsia="Arial" w:hAnsi="Arial"/>
                <w:sz w:val="17"/>
                <w:szCs w:val="17"/>
                <w:color w:val="auto"/>
                <w:w w:val="98"/>
              </w:rPr>
              <w:t>964</w:t>
            </w:r>
          </w:p>
        </w:tc>
        <w:tc>
          <w:tcPr>
            <w:tcW w:w="600" w:type="dxa"/>
            <w:vAlign w:val="bottom"/>
            <w:tcBorders>
              <w:top w:val="single" w:sz="8" w:color="auto"/>
              <w:bottom w:val="single" w:sz="8" w:color="CCDEF1"/>
            </w:tcBorders>
            <w:gridSpan w:val="5"/>
            <w:shd w:val="clear" w:color="auto" w:fill="CCDEF1"/>
          </w:tcPr>
          <w:p>
            <w:pPr>
              <w:jc w:val="right"/>
              <w:ind w:right="60"/>
              <w:spacing w:after="0"/>
              <w:rPr>
                <w:sz w:val="20"/>
                <w:szCs w:val="20"/>
                <w:color w:val="auto"/>
              </w:rPr>
            </w:pPr>
            <w:r>
              <w:rPr>
                <w:rFonts w:ascii="Arial" w:cs="Arial" w:eastAsia="Arial" w:hAnsi="Arial"/>
                <w:sz w:val="17"/>
                <w:szCs w:val="17"/>
                <w:color w:val="auto"/>
                <w:w w:val="99"/>
              </w:rPr>
              <w:t>$2,012</w:t>
            </w:r>
          </w:p>
        </w:tc>
        <w:tc>
          <w:tcPr>
            <w:tcW w:w="20" w:type="dxa"/>
            <w:vAlign w:val="bottom"/>
            <w:tcBorders>
              <w:top w:val="single" w:sz="8" w:color="auto"/>
              <w:bottom w:val="single" w:sz="8" w:color="CCDEF1"/>
            </w:tcBorders>
            <w:shd w:val="clear" w:color="auto" w:fill="CCDEF1"/>
          </w:tcPr>
          <w:p>
            <w:pPr>
              <w:spacing w:after="0"/>
              <w:rPr>
                <w:sz w:val="22"/>
                <w:szCs w:val="22"/>
                <w:color w:val="auto"/>
              </w:rPr>
            </w:pPr>
          </w:p>
        </w:tc>
        <w:tc>
          <w:tcPr>
            <w:tcW w:w="40" w:type="dxa"/>
            <w:vAlign w:val="bottom"/>
            <w:tcBorders>
              <w:top w:val="single" w:sz="8" w:color="auto"/>
              <w:bottom w:val="single" w:sz="8" w:color="CCDEF1"/>
            </w:tcBorders>
            <w:shd w:val="clear" w:color="auto" w:fill="CCDEF1"/>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940" w:type="dxa"/>
            <w:vAlign w:val="bottom"/>
          </w:tcPr>
          <w:p>
            <w:pPr>
              <w:ind w:left="340"/>
              <w:spacing w:after="0" w:line="189" w:lineRule="exact"/>
              <w:rPr>
                <w:sz w:val="20"/>
                <w:szCs w:val="20"/>
                <w:color w:val="auto"/>
              </w:rPr>
            </w:pPr>
            <w:r>
              <w:rPr>
                <w:rFonts w:ascii="Arial" w:cs="Arial" w:eastAsia="Arial" w:hAnsi="Arial"/>
                <w:sz w:val="17"/>
                <w:szCs w:val="17"/>
                <w:color w:val="auto"/>
              </w:rPr>
              <w:t>Cash taxes paid on sale of divested businesses</w:t>
            </w:r>
          </w:p>
        </w:tc>
        <w:tc>
          <w:tcPr>
            <w:tcW w:w="2300" w:type="dxa"/>
            <w:vAlign w:val="bottom"/>
          </w:tcPr>
          <w:p>
            <w:pPr>
              <w:spacing w:after="0"/>
              <w:rPr>
                <w:sz w:val="16"/>
                <w:szCs w:val="16"/>
                <w:color w:val="auto"/>
              </w:rPr>
            </w:pPr>
          </w:p>
        </w:tc>
        <w:tc>
          <w:tcPr>
            <w:tcW w:w="7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ind w:right="336"/>
              <w:spacing w:after="0" w:line="189" w:lineRule="exact"/>
              <w:rPr>
                <w:sz w:val="20"/>
                <w:szCs w:val="20"/>
                <w:color w:val="auto"/>
              </w:rPr>
            </w:pPr>
            <w:r>
              <w:rPr>
                <w:rFonts w:ascii="Arial" w:cs="Arial" w:eastAsia="Arial" w:hAnsi="Arial"/>
                <w:sz w:val="17"/>
                <w:szCs w:val="17"/>
                <w:color w:val="auto"/>
              </w:rPr>
              <w:t>37</w:t>
            </w:r>
          </w:p>
        </w:tc>
        <w:tc>
          <w:tcPr>
            <w:tcW w:w="100" w:type="dxa"/>
            <w:vAlign w:val="bottom"/>
          </w:tcPr>
          <w:p>
            <w:pPr>
              <w:spacing w:after="0"/>
              <w:rPr>
                <w:sz w:val="16"/>
                <w:szCs w:val="16"/>
                <w:color w:val="auto"/>
              </w:rPr>
            </w:pPr>
          </w:p>
        </w:tc>
        <w:tc>
          <w:tcPr>
            <w:tcW w:w="500" w:type="dxa"/>
            <w:vAlign w:val="bottom"/>
            <w:gridSpan w:val="4"/>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5940" w:type="dxa"/>
            <w:vAlign w:val="bottom"/>
            <w:tcBorders>
              <w:bottom w:val="single" w:sz="8" w:color="CCDEF1"/>
            </w:tcBorders>
            <w:shd w:val="clear" w:color="auto" w:fill="CCDEF1"/>
          </w:tcPr>
          <w:p>
            <w:pPr>
              <w:spacing w:after="0"/>
              <w:rPr>
                <w:sz w:val="20"/>
                <w:szCs w:val="20"/>
                <w:color w:val="auto"/>
              </w:rPr>
            </w:pPr>
            <w:r>
              <w:rPr>
                <w:rFonts w:ascii="Arial" w:cs="Arial" w:eastAsia="Arial" w:hAnsi="Arial"/>
                <w:sz w:val="17"/>
                <w:szCs w:val="17"/>
                <w:color w:val="auto"/>
              </w:rPr>
              <w:t>Adjusted Operating Cash Flow</w:t>
            </w:r>
          </w:p>
        </w:tc>
        <w:tc>
          <w:tcPr>
            <w:tcW w:w="2300" w:type="dxa"/>
            <w:vAlign w:val="bottom"/>
            <w:tcBorders>
              <w:bottom w:val="single" w:sz="8" w:color="CCDEF1"/>
            </w:tcBorders>
            <w:shd w:val="clear" w:color="auto" w:fill="CCDEF1"/>
          </w:tcPr>
          <w:p>
            <w:pPr>
              <w:spacing w:after="0"/>
              <w:rPr>
                <w:sz w:val="24"/>
                <w:szCs w:val="24"/>
                <w:color w:val="auto"/>
              </w:rPr>
            </w:pPr>
          </w:p>
        </w:tc>
        <w:tc>
          <w:tcPr>
            <w:tcW w:w="200" w:type="dxa"/>
            <w:vAlign w:val="bottom"/>
            <w:tcBorders>
              <w:bottom w:val="single" w:sz="8" w:color="CCDEF1"/>
            </w:tcBorders>
            <w:shd w:val="clear" w:color="auto" w:fill="CCDEF1"/>
          </w:tcPr>
          <w:p>
            <w:pPr>
              <w:spacing w:after="0"/>
              <w:rPr>
                <w:sz w:val="24"/>
                <w:szCs w:val="24"/>
                <w:color w:val="auto"/>
              </w:rPr>
            </w:pPr>
          </w:p>
        </w:tc>
        <w:tc>
          <w:tcPr>
            <w:tcW w:w="50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7"/>
                <w:szCs w:val="17"/>
                <w:color w:val="auto"/>
                <w:w w:val="93"/>
              </w:rPr>
              <w:t>$ 602</w:t>
            </w:r>
          </w:p>
        </w:tc>
        <w:tc>
          <w:tcPr>
            <w:tcW w:w="1420" w:type="dxa"/>
            <w:vAlign w:val="bottom"/>
            <w:tcBorders>
              <w:bottom w:val="single" w:sz="8" w:color="CCDEF1"/>
            </w:tcBorders>
            <w:gridSpan w:val="5"/>
            <w:shd w:val="clear" w:color="auto" w:fill="CCDEF1"/>
          </w:tcPr>
          <w:p>
            <w:pPr>
              <w:jc w:val="right"/>
              <w:ind w:right="336"/>
              <w:spacing w:after="0"/>
              <w:rPr>
                <w:sz w:val="20"/>
                <w:szCs w:val="20"/>
                <w:color w:val="auto"/>
              </w:rPr>
            </w:pPr>
            <w:r>
              <w:rPr>
                <w:rFonts w:ascii="Arial" w:cs="Arial" w:eastAsia="Arial" w:hAnsi="Arial"/>
                <w:sz w:val="17"/>
                <w:szCs w:val="17"/>
                <w:color w:val="auto"/>
              </w:rPr>
              <w:t>$1,001</w:t>
            </w:r>
          </w:p>
        </w:tc>
        <w:tc>
          <w:tcPr>
            <w:tcW w:w="600" w:type="dxa"/>
            <w:vAlign w:val="bottom"/>
            <w:tcBorders>
              <w:bottom w:val="single" w:sz="8" w:color="CCDEF1"/>
            </w:tcBorders>
            <w:gridSpan w:val="5"/>
            <w:shd w:val="clear" w:color="auto" w:fill="CCDEF1"/>
          </w:tcPr>
          <w:p>
            <w:pPr>
              <w:jc w:val="right"/>
              <w:ind w:right="60"/>
              <w:spacing w:after="0"/>
              <w:rPr>
                <w:sz w:val="20"/>
                <w:szCs w:val="20"/>
                <w:color w:val="auto"/>
              </w:rPr>
            </w:pPr>
            <w:r>
              <w:rPr>
                <w:rFonts w:ascii="Arial" w:cs="Arial" w:eastAsia="Arial" w:hAnsi="Arial"/>
                <w:sz w:val="17"/>
                <w:szCs w:val="17"/>
                <w:color w:val="auto"/>
                <w:w w:val="99"/>
              </w:rPr>
              <w:t>$2,012</w:t>
            </w:r>
          </w:p>
        </w:tc>
        <w:tc>
          <w:tcPr>
            <w:tcW w:w="20" w:type="dxa"/>
            <w:vAlign w:val="bottom"/>
            <w:tcBorders>
              <w:bottom w:val="single" w:sz="8" w:color="CCDEF1"/>
            </w:tcBorders>
            <w:shd w:val="clear" w:color="auto" w:fill="CCDEF1"/>
          </w:tcPr>
          <w:p>
            <w:pPr>
              <w:spacing w:after="0"/>
              <w:rPr>
                <w:sz w:val="24"/>
                <w:szCs w:val="24"/>
                <w:color w:val="auto"/>
              </w:rPr>
            </w:pPr>
          </w:p>
        </w:tc>
        <w:tc>
          <w:tcPr>
            <w:tcW w:w="40" w:type="dxa"/>
            <w:vAlign w:val="bottom"/>
            <w:tcBorders>
              <w:bottom w:val="single" w:sz="8" w:color="CCDEF1"/>
            </w:tcBorders>
            <w:shd w:val="clear" w:color="auto" w:fill="CCDEF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ind w:left="340"/>
              <w:spacing w:after="0"/>
              <w:rPr>
                <w:sz w:val="20"/>
                <w:szCs w:val="20"/>
                <w:color w:val="auto"/>
              </w:rPr>
            </w:pPr>
            <w:r>
              <w:rPr>
                <w:rFonts w:ascii="Arial" w:cs="Arial" w:eastAsia="Arial" w:hAnsi="Arial"/>
                <w:sz w:val="17"/>
                <w:szCs w:val="17"/>
                <w:color w:val="auto"/>
              </w:rPr>
              <w:t>Capital Expenditures</w:t>
            </w:r>
          </w:p>
        </w:tc>
        <w:tc>
          <w:tcPr>
            <w:tcW w:w="250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vMerge w:val="continue"/>
          </w:tcPr>
          <w:p>
            <w:pPr>
              <w:spacing w:after="0"/>
              <w:rPr>
                <w:sz w:val="17"/>
                <w:szCs w:val="17"/>
                <w:color w:val="auto"/>
              </w:rPr>
            </w:pPr>
          </w:p>
        </w:tc>
        <w:tc>
          <w:tcPr>
            <w:tcW w:w="2500" w:type="dxa"/>
            <w:vAlign w:val="bottom"/>
            <w:gridSpan w:val="2"/>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gridSpan w:val="2"/>
          </w:tcPr>
          <w:p>
            <w:pPr>
              <w:jc w:val="right"/>
              <w:ind w:right="296"/>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7"/>
                <w:szCs w:val="17"/>
                <w:color w:val="auto"/>
              </w:rPr>
            </w:pPr>
          </w:p>
        </w:tc>
        <w:tc>
          <w:tcPr>
            <w:tcW w:w="560" w:type="dxa"/>
            <w:vAlign w:val="bottom"/>
            <w:gridSpan w:val="6"/>
          </w:tcPr>
          <w:p>
            <w:pPr>
              <w:jc w:val="right"/>
              <w:ind w:right="6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189"/>
        </w:trPr>
        <w:tc>
          <w:tcPr>
            <w:tcW w:w="594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Capitalized Software Expenditures</w:t>
            </w:r>
          </w:p>
        </w:tc>
        <w:tc>
          <w:tcPr>
            <w:tcW w:w="3000" w:type="dxa"/>
            <w:vAlign w:val="bottom"/>
            <w:gridSpan w:val="3"/>
            <w:shd w:val="clear" w:color="auto" w:fill="CCDEF1"/>
          </w:tcPr>
          <w:p>
            <w:pPr>
              <w:jc w:val="right"/>
              <w:spacing w:after="0" w:line="189" w:lineRule="exact"/>
              <w:rPr>
                <w:sz w:val="20"/>
                <w:szCs w:val="20"/>
                <w:color w:val="auto"/>
              </w:rPr>
            </w:pPr>
            <w:r>
              <w:rPr>
                <w:rFonts w:ascii="Arial" w:cs="Arial" w:eastAsia="Arial" w:hAnsi="Arial"/>
                <w:sz w:val="17"/>
                <w:szCs w:val="17"/>
                <w:color w:val="auto"/>
              </w:rPr>
              <w:t>(3)</w:t>
            </w:r>
          </w:p>
        </w:tc>
        <w:tc>
          <w:tcPr>
            <w:tcW w:w="100" w:type="dxa"/>
            <w:vAlign w:val="bottom"/>
            <w:shd w:val="clear" w:color="auto" w:fill="CCDEF1"/>
          </w:tcPr>
          <w:p>
            <w:pPr>
              <w:spacing w:after="0"/>
              <w:rPr>
                <w:sz w:val="16"/>
                <w:szCs w:val="16"/>
                <w:color w:val="auto"/>
              </w:rPr>
            </w:pPr>
          </w:p>
        </w:tc>
        <w:tc>
          <w:tcPr>
            <w:tcW w:w="100" w:type="dxa"/>
            <w:vAlign w:val="bottom"/>
            <w:shd w:val="clear" w:color="auto" w:fill="CCDEF1"/>
          </w:tcPr>
          <w:p>
            <w:pPr>
              <w:spacing w:after="0"/>
              <w:rPr>
                <w:sz w:val="16"/>
                <w:szCs w:val="16"/>
                <w:color w:val="auto"/>
              </w:rPr>
            </w:pPr>
          </w:p>
        </w:tc>
        <w:tc>
          <w:tcPr>
            <w:tcW w:w="500" w:type="dxa"/>
            <w:vAlign w:val="bottom"/>
            <w:shd w:val="clear" w:color="auto" w:fill="CCDEF1"/>
          </w:tcPr>
          <w:p>
            <w:pPr>
              <w:spacing w:after="0"/>
              <w:rPr>
                <w:sz w:val="16"/>
                <w:szCs w:val="16"/>
                <w:color w:val="auto"/>
              </w:rPr>
            </w:pPr>
          </w:p>
        </w:tc>
        <w:tc>
          <w:tcPr>
            <w:tcW w:w="80" w:type="dxa"/>
            <w:vAlign w:val="bottom"/>
            <w:shd w:val="clear" w:color="auto" w:fill="CCDEF1"/>
          </w:tcPr>
          <w:p>
            <w:pPr>
              <w:spacing w:after="0"/>
              <w:rPr>
                <w:sz w:val="16"/>
                <w:szCs w:val="16"/>
                <w:color w:val="auto"/>
              </w:rPr>
            </w:pPr>
          </w:p>
        </w:tc>
        <w:tc>
          <w:tcPr>
            <w:tcW w:w="640" w:type="dxa"/>
            <w:vAlign w:val="bottom"/>
            <w:shd w:val="clear" w:color="auto" w:fill="CCDEF1"/>
          </w:tcPr>
          <w:p>
            <w:pPr>
              <w:jc w:val="right"/>
              <w:ind w:right="296"/>
              <w:spacing w:after="0" w:line="189" w:lineRule="exact"/>
              <w:rPr>
                <w:sz w:val="20"/>
                <w:szCs w:val="20"/>
                <w:color w:val="auto"/>
              </w:rPr>
            </w:pPr>
            <w:r>
              <w:rPr>
                <w:rFonts w:ascii="Arial" w:cs="Arial" w:eastAsia="Arial" w:hAnsi="Arial"/>
                <w:sz w:val="17"/>
                <w:szCs w:val="17"/>
                <w:color w:val="auto"/>
              </w:rPr>
              <w:t>(3)</w:t>
            </w:r>
          </w:p>
        </w:tc>
        <w:tc>
          <w:tcPr>
            <w:tcW w:w="100" w:type="dxa"/>
            <w:vAlign w:val="bottom"/>
            <w:shd w:val="clear" w:color="auto" w:fill="CCDEF1"/>
          </w:tcPr>
          <w:p>
            <w:pPr>
              <w:spacing w:after="0"/>
              <w:rPr>
                <w:sz w:val="16"/>
                <w:szCs w:val="16"/>
                <w:color w:val="auto"/>
              </w:rPr>
            </w:pPr>
          </w:p>
        </w:tc>
        <w:tc>
          <w:tcPr>
            <w:tcW w:w="560" w:type="dxa"/>
            <w:vAlign w:val="bottom"/>
            <w:gridSpan w:val="6"/>
            <w:shd w:val="clear" w:color="auto" w:fill="CCDEF1"/>
          </w:tcPr>
          <w:p>
            <w:pPr>
              <w:jc w:val="right"/>
              <w:ind w:right="60"/>
              <w:spacing w:after="0" w:line="189" w:lineRule="exact"/>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89"/>
        </w:trPr>
        <w:tc>
          <w:tcPr>
            <w:tcW w:w="5940" w:type="dxa"/>
            <w:vAlign w:val="bottom"/>
          </w:tcPr>
          <w:p>
            <w:pPr>
              <w:ind w:left="340"/>
              <w:spacing w:after="0" w:line="189" w:lineRule="exact"/>
              <w:rPr>
                <w:sz w:val="20"/>
                <w:szCs w:val="20"/>
                <w:color w:val="auto"/>
              </w:rPr>
            </w:pPr>
            <w:r>
              <w:rPr>
                <w:rFonts w:ascii="Arial" w:cs="Arial" w:eastAsia="Arial" w:hAnsi="Arial"/>
                <w:sz w:val="17"/>
                <w:szCs w:val="17"/>
                <w:color w:val="auto"/>
              </w:rPr>
              <w:t>Investing Activities from Discontinued Operations</w:t>
            </w:r>
          </w:p>
        </w:tc>
        <w:tc>
          <w:tcPr>
            <w:tcW w:w="300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ind w:right="336"/>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560" w:type="dxa"/>
            <w:vAlign w:val="bottom"/>
            <w:gridSpan w:val="6"/>
          </w:tcPr>
          <w:p>
            <w:pPr>
              <w:jc w:val="right"/>
              <w:ind w:right="6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940" w:type="dxa"/>
            <w:vAlign w:val="bottom"/>
            <w:tcBorders>
              <w:bottom w:val="single" w:sz="8" w:color="CCDEF1"/>
            </w:tcBorders>
            <w:shd w:val="clear" w:color="auto" w:fill="CCDEF1"/>
          </w:tcPr>
          <w:p>
            <w:pPr>
              <w:spacing w:after="0"/>
              <w:rPr>
                <w:sz w:val="20"/>
                <w:szCs w:val="20"/>
                <w:color w:val="auto"/>
              </w:rPr>
            </w:pPr>
            <w:r>
              <w:rPr>
                <w:rFonts w:ascii="Arial" w:cs="Arial" w:eastAsia="Arial" w:hAnsi="Arial"/>
                <w:sz w:val="17"/>
                <w:szCs w:val="17"/>
                <w:color w:val="auto"/>
              </w:rPr>
              <w:t>Adjusted Free Cash Flow</w:t>
            </w:r>
          </w:p>
        </w:tc>
        <w:tc>
          <w:tcPr>
            <w:tcW w:w="2300" w:type="dxa"/>
            <w:vAlign w:val="bottom"/>
            <w:tcBorders>
              <w:bottom w:val="single" w:sz="8" w:color="CCDEF1"/>
            </w:tcBorders>
            <w:shd w:val="clear" w:color="auto" w:fill="CCDEF1"/>
          </w:tcPr>
          <w:p>
            <w:pPr>
              <w:spacing w:after="0"/>
              <w:rPr>
                <w:sz w:val="24"/>
                <w:szCs w:val="24"/>
                <w:color w:val="auto"/>
              </w:rPr>
            </w:pPr>
          </w:p>
        </w:tc>
        <w:tc>
          <w:tcPr>
            <w:tcW w:w="700" w:type="dxa"/>
            <w:vAlign w:val="bottom"/>
            <w:tcBorders>
              <w:bottom w:val="single" w:sz="8" w:color="CCDEF1"/>
            </w:tcBorders>
            <w:gridSpan w:val="2"/>
            <w:shd w:val="clear" w:color="auto" w:fill="CCDEF1"/>
          </w:tcPr>
          <w:p>
            <w:pPr>
              <w:jc w:val="right"/>
              <w:spacing w:after="0"/>
              <w:rPr>
                <w:sz w:val="20"/>
                <w:szCs w:val="20"/>
                <w:color w:val="auto"/>
              </w:rPr>
            </w:pPr>
            <w:r>
              <w:rPr>
                <w:rFonts w:ascii="Arial" w:cs="Arial" w:eastAsia="Arial" w:hAnsi="Arial"/>
                <w:sz w:val="17"/>
                <w:szCs w:val="17"/>
                <w:color w:val="auto"/>
              </w:rPr>
              <w:t>$ 557</w:t>
            </w:r>
          </w:p>
        </w:tc>
        <w:tc>
          <w:tcPr>
            <w:tcW w:w="700" w:type="dxa"/>
            <w:vAlign w:val="bottom"/>
            <w:tcBorders>
              <w:bottom w:val="single" w:sz="8" w:color="CCDEF1"/>
            </w:tcBorders>
            <w:gridSpan w:val="3"/>
            <w:shd w:val="clear" w:color="auto" w:fill="CCDEF1"/>
          </w:tcPr>
          <w:p>
            <w:pPr>
              <w:jc w:val="right"/>
              <w:ind w:right="7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DEF1"/>
            </w:tcBorders>
            <w:gridSpan w:val="2"/>
            <w:shd w:val="clear" w:color="auto" w:fill="CCDEF1"/>
          </w:tcPr>
          <w:p>
            <w:pPr>
              <w:jc w:val="right"/>
              <w:ind w:right="336"/>
              <w:spacing w:after="0"/>
              <w:rPr>
                <w:sz w:val="20"/>
                <w:szCs w:val="20"/>
                <w:color w:val="auto"/>
              </w:rPr>
            </w:pPr>
            <w:r>
              <w:rPr>
                <w:rFonts w:ascii="Arial" w:cs="Arial" w:eastAsia="Arial" w:hAnsi="Arial"/>
                <w:sz w:val="17"/>
                <w:szCs w:val="17"/>
                <w:color w:val="auto"/>
                <w:w w:val="98"/>
              </w:rPr>
              <w:t>961</w:t>
            </w:r>
          </w:p>
        </w:tc>
        <w:tc>
          <w:tcPr>
            <w:tcW w:w="600" w:type="dxa"/>
            <w:vAlign w:val="bottom"/>
            <w:tcBorders>
              <w:bottom w:val="single" w:sz="8" w:color="CCDEF1"/>
            </w:tcBorders>
            <w:gridSpan w:val="5"/>
            <w:shd w:val="clear" w:color="auto" w:fill="CCDEF1"/>
          </w:tcPr>
          <w:p>
            <w:pPr>
              <w:jc w:val="right"/>
              <w:ind w:right="60"/>
              <w:spacing w:after="0"/>
              <w:rPr>
                <w:sz w:val="20"/>
                <w:szCs w:val="20"/>
                <w:color w:val="auto"/>
              </w:rPr>
            </w:pPr>
            <w:r>
              <w:rPr>
                <w:rFonts w:ascii="Arial" w:cs="Arial" w:eastAsia="Arial" w:hAnsi="Arial"/>
                <w:sz w:val="17"/>
                <w:szCs w:val="17"/>
                <w:color w:val="auto"/>
                <w:w w:val="99"/>
              </w:rPr>
              <w:t>$1,944</w:t>
            </w:r>
          </w:p>
        </w:tc>
        <w:tc>
          <w:tcPr>
            <w:tcW w:w="20" w:type="dxa"/>
            <w:vAlign w:val="bottom"/>
            <w:tcBorders>
              <w:bottom w:val="single" w:sz="8" w:color="CCDEF1"/>
            </w:tcBorders>
            <w:shd w:val="clear" w:color="auto" w:fill="CCDEF1"/>
          </w:tcPr>
          <w:p>
            <w:pPr>
              <w:spacing w:after="0"/>
              <w:rPr>
                <w:sz w:val="24"/>
                <w:szCs w:val="24"/>
                <w:color w:val="auto"/>
              </w:rPr>
            </w:pPr>
          </w:p>
        </w:tc>
        <w:tc>
          <w:tcPr>
            <w:tcW w:w="40" w:type="dxa"/>
            <w:vAlign w:val="bottom"/>
            <w:tcBorders>
              <w:bottom w:val="single" w:sz="8" w:color="CCDEF1"/>
            </w:tcBorders>
            <w:shd w:val="clear" w:color="auto" w:fill="CCDEF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7"/>
                <w:szCs w:val="17"/>
                <w:color w:val="auto"/>
              </w:rPr>
              <w:t>Table 5: 2021 Adjusted Revenue Reconciliation ($M)</w:t>
            </w: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94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940" w:type="dxa"/>
            <w:vAlign w:val="bottom"/>
          </w:tcPr>
          <w:p>
            <w:pPr>
              <w:spacing w:after="0"/>
              <w:rPr>
                <w:sz w:val="20"/>
                <w:szCs w:val="20"/>
                <w:color w:val="auto"/>
              </w:rPr>
            </w:pPr>
            <w:r>
              <w:rPr>
                <w:rFonts w:ascii="Arial" w:cs="Arial" w:eastAsia="Arial" w:hAnsi="Arial"/>
                <w:sz w:val="17"/>
                <w:szCs w:val="17"/>
                <w:color w:val="auto"/>
              </w:rPr>
              <w:t>(From Continuing Operations)</w:t>
            </w:r>
          </w:p>
        </w:tc>
        <w:tc>
          <w:tcPr>
            <w:tcW w:w="2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3"/>
        </w:trPr>
        <w:tc>
          <w:tcPr>
            <w:tcW w:w="59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5"/>
          </w:tcPr>
          <w:p>
            <w:pPr>
              <w:ind w:left="80"/>
              <w:spacing w:after="0"/>
              <w:rPr>
                <w:sz w:val="20"/>
                <w:szCs w:val="20"/>
                <w:color w:val="auto"/>
              </w:rPr>
            </w:pPr>
            <w:r>
              <w:rPr>
                <w:rFonts w:ascii="Arial" w:cs="Arial" w:eastAsia="Arial" w:hAnsi="Arial"/>
                <w:sz w:val="14"/>
                <w:szCs w:val="14"/>
                <w:color w:val="auto"/>
              </w:rPr>
              <w:t>V%</w:t>
            </w:r>
          </w:p>
        </w:tc>
        <w:tc>
          <w:tcPr>
            <w:tcW w:w="0" w:type="dxa"/>
            <w:vAlign w:val="bottom"/>
          </w:tcPr>
          <w:p>
            <w:pPr>
              <w:spacing w:after="0"/>
              <w:rPr>
                <w:sz w:val="1"/>
                <w:szCs w:val="1"/>
                <w:color w:val="auto"/>
              </w:rPr>
            </w:pPr>
          </w:p>
        </w:tc>
      </w:tr>
      <w:tr>
        <w:trPr>
          <w:trHeight w:val="223"/>
        </w:trPr>
        <w:tc>
          <w:tcPr>
            <w:tcW w:w="5940" w:type="dxa"/>
            <w:vAlign w:val="bottom"/>
            <w:tcBorders>
              <w:top w:val="single" w:sz="8" w:color="CCDEF1"/>
            </w:tcBorders>
            <w:shd w:val="clear" w:color="auto" w:fill="CCDEF1"/>
          </w:tcPr>
          <w:p>
            <w:pPr>
              <w:spacing w:after="0"/>
              <w:rPr>
                <w:sz w:val="20"/>
                <w:szCs w:val="20"/>
                <w:color w:val="auto"/>
              </w:rPr>
            </w:pPr>
            <w:r>
              <w:rPr>
                <w:rFonts w:ascii="Arial" w:cs="Arial" w:eastAsia="Arial" w:hAnsi="Arial"/>
                <w:sz w:val="17"/>
                <w:szCs w:val="17"/>
                <w:color w:val="auto"/>
              </w:rPr>
              <w:t>GAAP Revenue</w:t>
            </w:r>
          </w:p>
        </w:tc>
        <w:tc>
          <w:tcPr>
            <w:tcW w:w="2300" w:type="dxa"/>
            <w:vAlign w:val="bottom"/>
            <w:tcBorders>
              <w:top w:val="single" w:sz="8" w:color="CCDEF1"/>
            </w:tcBorders>
            <w:shd w:val="clear" w:color="auto" w:fill="CCDEF1"/>
          </w:tcPr>
          <w:p>
            <w:pPr>
              <w:spacing w:after="0"/>
              <w:rPr>
                <w:sz w:val="19"/>
                <w:szCs w:val="19"/>
                <w:color w:val="auto"/>
              </w:rPr>
            </w:pPr>
          </w:p>
        </w:tc>
        <w:tc>
          <w:tcPr>
            <w:tcW w:w="200" w:type="dxa"/>
            <w:vAlign w:val="bottom"/>
            <w:tcBorders>
              <w:top w:val="single" w:sz="8" w:color="CCDEF1"/>
            </w:tcBorders>
            <w:shd w:val="clear" w:color="auto" w:fill="CCDEF1"/>
          </w:tcPr>
          <w:p>
            <w:pPr>
              <w:spacing w:after="0"/>
              <w:rPr>
                <w:sz w:val="19"/>
                <w:szCs w:val="19"/>
                <w:color w:val="auto"/>
              </w:rPr>
            </w:pPr>
          </w:p>
        </w:tc>
        <w:tc>
          <w:tcPr>
            <w:tcW w:w="500" w:type="dxa"/>
            <w:vAlign w:val="bottom"/>
            <w:tcBorders>
              <w:top w:val="single" w:sz="8" w:color="CCDEF1"/>
            </w:tcBorders>
            <w:shd w:val="clear" w:color="auto" w:fill="CCDEF1"/>
          </w:tcPr>
          <w:p>
            <w:pPr>
              <w:spacing w:after="0"/>
              <w:rPr>
                <w:sz w:val="19"/>
                <w:szCs w:val="19"/>
                <w:color w:val="auto"/>
              </w:rPr>
            </w:pPr>
          </w:p>
        </w:tc>
        <w:tc>
          <w:tcPr>
            <w:tcW w:w="100" w:type="dxa"/>
            <w:vAlign w:val="bottom"/>
            <w:tcBorders>
              <w:top w:val="single" w:sz="8" w:color="CCDEF1"/>
            </w:tcBorders>
            <w:shd w:val="clear" w:color="auto" w:fill="CCDEF1"/>
          </w:tcPr>
          <w:p>
            <w:pPr>
              <w:spacing w:after="0"/>
              <w:rPr>
                <w:sz w:val="19"/>
                <w:szCs w:val="19"/>
                <w:color w:val="auto"/>
              </w:rPr>
            </w:pPr>
          </w:p>
        </w:tc>
        <w:tc>
          <w:tcPr>
            <w:tcW w:w="680" w:type="dxa"/>
            <w:vAlign w:val="bottom"/>
            <w:tcBorders>
              <w:top w:val="single" w:sz="8" w:color="auto"/>
            </w:tcBorders>
            <w:gridSpan w:val="3"/>
            <w:shd w:val="clear" w:color="auto" w:fill="CCDEF1"/>
          </w:tcPr>
          <w:p>
            <w:pPr>
              <w:jc w:val="right"/>
              <w:spacing w:after="0"/>
              <w:rPr>
                <w:sz w:val="20"/>
                <w:szCs w:val="20"/>
                <w:color w:val="auto"/>
              </w:rPr>
            </w:pPr>
            <w:r>
              <w:rPr>
                <w:rFonts w:ascii="Arial" w:cs="Arial" w:eastAsia="Arial" w:hAnsi="Arial"/>
                <w:sz w:val="17"/>
                <w:szCs w:val="17"/>
                <w:color w:val="auto"/>
                <w:shd w:val="clear" w:color="auto" w:fill="CCDEF1"/>
              </w:rPr>
              <w:t>$4,854</w:t>
            </w:r>
          </w:p>
        </w:tc>
        <w:tc>
          <w:tcPr>
            <w:tcW w:w="740" w:type="dxa"/>
            <w:vAlign w:val="bottom"/>
            <w:tcBorders>
              <w:top w:val="single" w:sz="8" w:color="auto"/>
            </w:tcBorders>
            <w:gridSpan w:val="2"/>
            <w:shd w:val="clear" w:color="auto" w:fill="CCDEF1"/>
          </w:tcPr>
          <w:p>
            <w:pPr>
              <w:jc w:val="right"/>
              <w:spacing w:after="0"/>
              <w:rPr>
                <w:sz w:val="20"/>
                <w:szCs w:val="20"/>
                <w:color w:val="auto"/>
              </w:rPr>
            </w:pPr>
            <w:r>
              <w:rPr>
                <w:rFonts w:ascii="Arial" w:cs="Arial" w:eastAsia="Arial" w:hAnsi="Arial"/>
                <w:sz w:val="17"/>
                <w:szCs w:val="17"/>
                <w:color w:val="auto"/>
                <w:shd w:val="clear" w:color="auto" w:fill="CCDEF1"/>
              </w:rPr>
              <w:t>$5,778</w:t>
            </w:r>
          </w:p>
        </w:tc>
        <w:tc>
          <w:tcPr>
            <w:tcW w:w="520" w:type="dxa"/>
            <w:vAlign w:val="bottom"/>
            <w:tcBorders>
              <w:top w:val="single" w:sz="8" w:color="auto"/>
            </w:tcBorders>
            <w:gridSpan w:val="5"/>
            <w:shd w:val="clear" w:color="auto" w:fill="CCDEF1"/>
          </w:tcPr>
          <w:p>
            <w:pPr>
              <w:jc w:val="right"/>
              <w:ind w:right="20"/>
              <w:spacing w:after="0"/>
              <w:rPr>
                <w:sz w:val="20"/>
                <w:szCs w:val="20"/>
                <w:color w:val="auto"/>
              </w:rPr>
            </w:pPr>
            <w:r>
              <w:rPr>
                <w:rFonts w:ascii="Arial" w:cs="Arial" w:eastAsia="Arial" w:hAnsi="Arial"/>
                <w:sz w:val="17"/>
                <w:szCs w:val="17"/>
                <w:color w:val="auto"/>
                <w:shd w:val="clear" w:color="auto" w:fill="CCDEF1"/>
              </w:rPr>
              <w:t>19%</w:t>
            </w:r>
          </w:p>
        </w:tc>
        <w:tc>
          <w:tcPr>
            <w:tcW w:w="40" w:type="dxa"/>
            <w:vAlign w:val="bottom"/>
            <w:tcBorders>
              <w:top w:val="single" w:sz="8" w:color="auto"/>
            </w:tcBorders>
            <w:shd w:val="clear" w:color="auto" w:fill="CCDEF1"/>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340"/>
              <w:spacing w:after="0"/>
              <w:rPr>
                <w:sz w:val="20"/>
                <w:szCs w:val="20"/>
                <w:color w:val="auto"/>
              </w:rPr>
            </w:pPr>
            <w:r>
              <w:rPr>
                <w:rFonts w:ascii="Arial" w:cs="Arial" w:eastAsia="Arial" w:hAnsi="Arial"/>
                <w:sz w:val="17"/>
                <w:szCs w:val="17"/>
                <w:color w:val="auto"/>
              </w:rPr>
              <w:t>Purchase accounting adjustment to acquired deferred revenue</w:t>
            </w:r>
          </w:p>
        </w:tc>
        <w:tc>
          <w:tcPr>
            <w:tcW w:w="2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12</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940" w:type="dxa"/>
            <w:vAlign w:val="bottom"/>
            <w:shd w:val="clear" w:color="auto" w:fill="CCDEF1"/>
          </w:tcPr>
          <w:p>
            <w:pPr>
              <w:spacing w:after="0" w:line="189" w:lineRule="exact"/>
              <w:rPr>
                <w:sz w:val="20"/>
                <w:szCs w:val="20"/>
                <w:color w:val="auto"/>
              </w:rPr>
            </w:pPr>
            <w:r>
              <w:rPr>
                <w:rFonts w:ascii="Arial" w:cs="Arial" w:eastAsia="Arial" w:hAnsi="Arial"/>
                <w:sz w:val="17"/>
                <w:szCs w:val="17"/>
                <w:color w:val="auto"/>
              </w:rPr>
              <w:t>Adjusted Revenue</w:t>
            </w:r>
          </w:p>
        </w:tc>
        <w:tc>
          <w:tcPr>
            <w:tcW w:w="2300" w:type="dxa"/>
            <w:vAlign w:val="bottom"/>
            <w:shd w:val="clear" w:color="auto" w:fill="CCDEF1"/>
          </w:tcPr>
          <w:p>
            <w:pPr>
              <w:spacing w:after="0"/>
              <w:rPr>
                <w:sz w:val="16"/>
                <w:szCs w:val="16"/>
                <w:color w:val="auto"/>
              </w:rPr>
            </w:pPr>
          </w:p>
        </w:tc>
        <w:tc>
          <w:tcPr>
            <w:tcW w:w="200" w:type="dxa"/>
            <w:vAlign w:val="bottom"/>
            <w:shd w:val="clear" w:color="auto" w:fill="CCDEF1"/>
          </w:tcPr>
          <w:p>
            <w:pPr>
              <w:spacing w:after="0"/>
              <w:rPr>
                <w:sz w:val="16"/>
                <w:szCs w:val="16"/>
                <w:color w:val="auto"/>
              </w:rPr>
            </w:pPr>
          </w:p>
        </w:tc>
        <w:tc>
          <w:tcPr>
            <w:tcW w:w="500" w:type="dxa"/>
            <w:vAlign w:val="bottom"/>
            <w:shd w:val="clear" w:color="auto" w:fill="CCDEF1"/>
          </w:tcPr>
          <w:p>
            <w:pPr>
              <w:spacing w:after="0"/>
              <w:rPr>
                <w:sz w:val="16"/>
                <w:szCs w:val="16"/>
                <w:color w:val="auto"/>
              </w:rPr>
            </w:pPr>
          </w:p>
        </w:tc>
        <w:tc>
          <w:tcPr>
            <w:tcW w:w="780" w:type="dxa"/>
            <w:vAlign w:val="bottom"/>
            <w:gridSpan w:val="4"/>
            <w:shd w:val="clear" w:color="auto" w:fill="CCDEF1"/>
          </w:tcPr>
          <w:p>
            <w:pPr>
              <w:jc w:val="right"/>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4,866</w:t>
            </w:r>
          </w:p>
        </w:tc>
        <w:tc>
          <w:tcPr>
            <w:tcW w:w="740" w:type="dxa"/>
            <w:vAlign w:val="bottom"/>
            <w:gridSpan w:val="2"/>
            <w:shd w:val="clear" w:color="auto" w:fill="CCDEF1"/>
          </w:tcPr>
          <w:p>
            <w:pPr>
              <w:jc w:val="right"/>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5,779</w:t>
            </w:r>
          </w:p>
        </w:tc>
        <w:tc>
          <w:tcPr>
            <w:tcW w:w="520" w:type="dxa"/>
            <w:vAlign w:val="bottom"/>
            <w:gridSpan w:val="5"/>
            <w:shd w:val="clear" w:color="auto" w:fill="CCDEF1"/>
          </w:tcPr>
          <w:p>
            <w:pPr>
              <w:jc w:val="right"/>
              <w:ind w:right="20"/>
              <w:spacing w:after="0" w:line="189" w:lineRule="exact"/>
              <w:rPr>
                <w:sz w:val="20"/>
                <w:szCs w:val="20"/>
                <w:color w:val="auto"/>
              </w:rPr>
            </w:pPr>
            <w:r>
              <w:rPr>
                <w:rFonts w:ascii="Arial" w:cs="Arial" w:eastAsia="Arial" w:hAnsi="Arial"/>
                <w:sz w:val="17"/>
                <w:szCs w:val="17"/>
                <w:color w:val="auto"/>
              </w:rPr>
              <w:t>19%</w:t>
            </w:r>
          </w:p>
        </w:tc>
        <w:tc>
          <w:tcPr>
            <w:tcW w:w="40" w:type="dxa"/>
            <w:vAlign w:val="bottom"/>
            <w:shd w:val="clear" w:color="auto" w:fill="CCDEF1"/>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7"/>
                <w:szCs w:val="17"/>
                <w:b w:val="1"/>
                <w:bCs w:val="1"/>
                <w:color w:val="auto"/>
              </w:rPr>
              <w:t>Components of Adjusted Revenue Growth</w:t>
            </w: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40" w:type="dxa"/>
            <w:vAlign w:val="bottom"/>
            <w:vMerge w:val="continue"/>
          </w:tcPr>
          <w:p>
            <w:pPr>
              <w:spacing w:after="0"/>
              <w:rPr>
                <w:sz w:val="20"/>
                <w:szCs w:val="20"/>
                <w:color w:val="auto"/>
              </w:rPr>
            </w:pP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DEF1"/>
          </w:tcPr>
          <w:p>
            <w:pPr>
              <w:ind w:left="340"/>
              <w:spacing w:after="0"/>
              <w:rPr>
                <w:sz w:val="20"/>
                <w:szCs w:val="20"/>
                <w:color w:val="auto"/>
              </w:rPr>
            </w:pPr>
            <w:r>
              <w:rPr>
                <w:rFonts w:ascii="Arial" w:cs="Arial" w:eastAsia="Arial" w:hAnsi="Arial"/>
                <w:sz w:val="17"/>
                <w:szCs w:val="17"/>
                <w:color w:val="auto"/>
              </w:rPr>
              <w:t>Organic</w:t>
            </w:r>
          </w:p>
        </w:tc>
        <w:tc>
          <w:tcPr>
            <w:tcW w:w="2300" w:type="dxa"/>
            <w:vAlign w:val="bottom"/>
            <w:shd w:val="clear" w:color="auto" w:fill="CCDEF1"/>
          </w:tcPr>
          <w:p>
            <w:pPr>
              <w:spacing w:after="0"/>
              <w:rPr>
                <w:sz w:val="21"/>
                <w:szCs w:val="21"/>
                <w:color w:val="auto"/>
              </w:rPr>
            </w:pPr>
          </w:p>
        </w:tc>
        <w:tc>
          <w:tcPr>
            <w:tcW w:w="200" w:type="dxa"/>
            <w:vAlign w:val="bottom"/>
            <w:shd w:val="clear" w:color="auto" w:fill="CCDEF1"/>
          </w:tcPr>
          <w:p>
            <w:pPr>
              <w:spacing w:after="0"/>
              <w:rPr>
                <w:sz w:val="21"/>
                <w:szCs w:val="21"/>
                <w:color w:val="auto"/>
              </w:rPr>
            </w:pPr>
          </w:p>
        </w:tc>
        <w:tc>
          <w:tcPr>
            <w:tcW w:w="500" w:type="dxa"/>
            <w:vAlign w:val="bottom"/>
            <w:shd w:val="clear" w:color="auto" w:fill="CCDEF1"/>
          </w:tcPr>
          <w:p>
            <w:pPr>
              <w:spacing w:after="0"/>
              <w:rPr>
                <w:sz w:val="21"/>
                <w:szCs w:val="21"/>
                <w:color w:val="auto"/>
              </w:rPr>
            </w:pPr>
          </w:p>
        </w:tc>
        <w:tc>
          <w:tcPr>
            <w:tcW w:w="100" w:type="dxa"/>
            <w:vAlign w:val="bottom"/>
            <w:shd w:val="clear" w:color="auto" w:fill="CCDEF1"/>
          </w:tcPr>
          <w:p>
            <w:pPr>
              <w:spacing w:after="0"/>
              <w:rPr>
                <w:sz w:val="21"/>
                <w:szCs w:val="21"/>
                <w:color w:val="auto"/>
              </w:rPr>
            </w:pPr>
          </w:p>
        </w:tc>
        <w:tc>
          <w:tcPr>
            <w:tcW w:w="100" w:type="dxa"/>
            <w:vAlign w:val="bottom"/>
            <w:shd w:val="clear" w:color="auto" w:fill="CCDEF1"/>
          </w:tcPr>
          <w:p>
            <w:pPr>
              <w:spacing w:after="0"/>
              <w:rPr>
                <w:sz w:val="21"/>
                <w:szCs w:val="21"/>
                <w:color w:val="auto"/>
              </w:rPr>
            </w:pPr>
          </w:p>
        </w:tc>
        <w:tc>
          <w:tcPr>
            <w:tcW w:w="500" w:type="dxa"/>
            <w:vAlign w:val="bottom"/>
            <w:shd w:val="clear" w:color="auto" w:fill="CCDEF1"/>
          </w:tcPr>
          <w:p>
            <w:pPr>
              <w:spacing w:after="0"/>
              <w:rPr>
                <w:sz w:val="21"/>
                <w:szCs w:val="21"/>
                <w:color w:val="auto"/>
              </w:rPr>
            </w:pPr>
          </w:p>
        </w:tc>
        <w:tc>
          <w:tcPr>
            <w:tcW w:w="80" w:type="dxa"/>
            <w:vAlign w:val="bottom"/>
            <w:shd w:val="clear" w:color="auto" w:fill="CCDEF1"/>
          </w:tcPr>
          <w:p>
            <w:pPr>
              <w:spacing w:after="0"/>
              <w:rPr>
                <w:sz w:val="21"/>
                <w:szCs w:val="21"/>
                <w:color w:val="auto"/>
              </w:rPr>
            </w:pPr>
          </w:p>
        </w:tc>
        <w:tc>
          <w:tcPr>
            <w:tcW w:w="640" w:type="dxa"/>
            <w:vAlign w:val="bottom"/>
            <w:shd w:val="clear" w:color="auto" w:fill="CCDEF1"/>
          </w:tcPr>
          <w:p>
            <w:pPr>
              <w:spacing w:after="0"/>
              <w:rPr>
                <w:sz w:val="21"/>
                <w:szCs w:val="21"/>
                <w:color w:val="auto"/>
              </w:rPr>
            </w:pPr>
          </w:p>
        </w:tc>
        <w:tc>
          <w:tcPr>
            <w:tcW w:w="100" w:type="dxa"/>
            <w:vAlign w:val="bottom"/>
            <w:shd w:val="clear" w:color="auto" w:fill="CCDEF1"/>
          </w:tcPr>
          <w:p>
            <w:pPr>
              <w:spacing w:after="0"/>
              <w:rPr>
                <w:sz w:val="21"/>
                <w:szCs w:val="21"/>
                <w:color w:val="auto"/>
              </w:rPr>
            </w:pPr>
          </w:p>
        </w:tc>
        <w:tc>
          <w:tcPr>
            <w:tcW w:w="560" w:type="dxa"/>
            <w:vAlign w:val="bottom"/>
            <w:gridSpan w:val="6"/>
            <w:shd w:val="clear" w:color="auto" w:fill="CCDEF1"/>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43"/>
        </w:trPr>
        <w:tc>
          <w:tcPr>
            <w:tcW w:w="5940" w:type="dxa"/>
            <w:vAlign w:val="bottom"/>
          </w:tcPr>
          <w:p>
            <w:pPr>
              <w:ind w:left="340"/>
              <w:spacing w:after="0"/>
              <w:rPr>
                <w:sz w:val="20"/>
                <w:szCs w:val="20"/>
                <w:color w:val="auto"/>
              </w:rPr>
            </w:pPr>
            <w:r>
              <w:rPr>
                <w:rFonts w:ascii="Arial" w:cs="Arial" w:eastAsia="Arial" w:hAnsi="Arial"/>
                <w:sz w:val="17"/>
                <w:szCs w:val="17"/>
                <w:color w:val="auto"/>
              </w:rPr>
              <w:t>Acquisitions/Divestitures</w:t>
            </w:r>
          </w:p>
        </w:tc>
        <w:tc>
          <w:tcPr>
            <w:tcW w:w="2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6"/>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43"/>
        </w:trPr>
        <w:tc>
          <w:tcPr>
            <w:tcW w:w="5940" w:type="dxa"/>
            <w:vAlign w:val="bottom"/>
            <w:shd w:val="clear" w:color="auto" w:fill="CCDEF1"/>
          </w:tcPr>
          <w:p>
            <w:pPr>
              <w:ind w:left="340"/>
              <w:spacing w:after="0"/>
              <w:rPr>
                <w:sz w:val="20"/>
                <w:szCs w:val="20"/>
                <w:color w:val="auto"/>
              </w:rPr>
            </w:pPr>
            <w:r>
              <w:rPr>
                <w:rFonts w:ascii="Arial" w:cs="Arial" w:eastAsia="Arial" w:hAnsi="Arial"/>
                <w:sz w:val="17"/>
                <w:szCs w:val="17"/>
                <w:color w:val="auto"/>
              </w:rPr>
              <w:t>Foreign Exchange</w:t>
            </w:r>
          </w:p>
        </w:tc>
        <w:tc>
          <w:tcPr>
            <w:tcW w:w="2300" w:type="dxa"/>
            <w:vAlign w:val="bottom"/>
            <w:shd w:val="clear" w:color="auto" w:fill="CCDEF1"/>
          </w:tcPr>
          <w:p>
            <w:pPr>
              <w:spacing w:after="0"/>
              <w:rPr>
                <w:sz w:val="21"/>
                <w:szCs w:val="21"/>
                <w:color w:val="auto"/>
              </w:rPr>
            </w:pPr>
          </w:p>
        </w:tc>
        <w:tc>
          <w:tcPr>
            <w:tcW w:w="200" w:type="dxa"/>
            <w:vAlign w:val="bottom"/>
            <w:shd w:val="clear" w:color="auto" w:fill="CCDEF1"/>
          </w:tcPr>
          <w:p>
            <w:pPr>
              <w:spacing w:after="0"/>
              <w:rPr>
                <w:sz w:val="21"/>
                <w:szCs w:val="21"/>
                <w:color w:val="auto"/>
              </w:rPr>
            </w:pPr>
          </w:p>
        </w:tc>
        <w:tc>
          <w:tcPr>
            <w:tcW w:w="500" w:type="dxa"/>
            <w:vAlign w:val="bottom"/>
            <w:shd w:val="clear" w:color="auto" w:fill="CCDEF1"/>
          </w:tcPr>
          <w:p>
            <w:pPr>
              <w:spacing w:after="0"/>
              <w:rPr>
                <w:sz w:val="21"/>
                <w:szCs w:val="21"/>
                <w:color w:val="auto"/>
              </w:rPr>
            </w:pPr>
          </w:p>
        </w:tc>
        <w:tc>
          <w:tcPr>
            <w:tcW w:w="100" w:type="dxa"/>
            <w:vAlign w:val="bottom"/>
            <w:shd w:val="clear" w:color="auto" w:fill="CCDEF1"/>
          </w:tcPr>
          <w:p>
            <w:pPr>
              <w:spacing w:after="0"/>
              <w:rPr>
                <w:sz w:val="21"/>
                <w:szCs w:val="21"/>
                <w:color w:val="auto"/>
              </w:rPr>
            </w:pPr>
          </w:p>
        </w:tc>
        <w:tc>
          <w:tcPr>
            <w:tcW w:w="100" w:type="dxa"/>
            <w:vAlign w:val="bottom"/>
            <w:shd w:val="clear" w:color="auto" w:fill="CCDEF1"/>
          </w:tcPr>
          <w:p>
            <w:pPr>
              <w:spacing w:after="0"/>
              <w:rPr>
                <w:sz w:val="21"/>
                <w:szCs w:val="21"/>
                <w:color w:val="auto"/>
              </w:rPr>
            </w:pPr>
          </w:p>
        </w:tc>
        <w:tc>
          <w:tcPr>
            <w:tcW w:w="500" w:type="dxa"/>
            <w:vAlign w:val="bottom"/>
            <w:shd w:val="clear" w:color="auto" w:fill="CCDEF1"/>
          </w:tcPr>
          <w:p>
            <w:pPr>
              <w:spacing w:after="0"/>
              <w:rPr>
                <w:sz w:val="21"/>
                <w:szCs w:val="21"/>
                <w:color w:val="auto"/>
              </w:rPr>
            </w:pPr>
          </w:p>
        </w:tc>
        <w:tc>
          <w:tcPr>
            <w:tcW w:w="80" w:type="dxa"/>
            <w:vAlign w:val="bottom"/>
            <w:shd w:val="clear" w:color="auto" w:fill="CCDEF1"/>
          </w:tcPr>
          <w:p>
            <w:pPr>
              <w:spacing w:after="0"/>
              <w:rPr>
                <w:sz w:val="21"/>
                <w:szCs w:val="21"/>
                <w:color w:val="auto"/>
              </w:rPr>
            </w:pPr>
          </w:p>
        </w:tc>
        <w:tc>
          <w:tcPr>
            <w:tcW w:w="640" w:type="dxa"/>
            <w:vAlign w:val="bottom"/>
            <w:shd w:val="clear" w:color="auto" w:fill="CCDEF1"/>
          </w:tcPr>
          <w:p>
            <w:pPr>
              <w:spacing w:after="0"/>
              <w:rPr>
                <w:sz w:val="21"/>
                <w:szCs w:val="21"/>
                <w:color w:val="auto"/>
              </w:rPr>
            </w:pPr>
          </w:p>
        </w:tc>
        <w:tc>
          <w:tcPr>
            <w:tcW w:w="100" w:type="dxa"/>
            <w:vAlign w:val="bottom"/>
            <w:shd w:val="clear" w:color="auto" w:fill="CCDEF1"/>
          </w:tcPr>
          <w:p>
            <w:pPr>
              <w:spacing w:after="0"/>
              <w:rPr>
                <w:sz w:val="21"/>
                <w:szCs w:val="21"/>
                <w:color w:val="auto"/>
              </w:rPr>
            </w:pPr>
          </w:p>
        </w:tc>
        <w:tc>
          <w:tcPr>
            <w:tcW w:w="100" w:type="dxa"/>
            <w:vAlign w:val="bottom"/>
            <w:shd w:val="clear" w:color="auto" w:fill="CCDEF1"/>
          </w:tcPr>
          <w:p>
            <w:pPr>
              <w:spacing w:after="0"/>
              <w:rPr>
                <w:sz w:val="21"/>
                <w:szCs w:val="21"/>
                <w:color w:val="auto"/>
              </w:rPr>
            </w:pPr>
          </w:p>
        </w:tc>
        <w:tc>
          <w:tcPr>
            <w:tcW w:w="400" w:type="dxa"/>
            <w:vAlign w:val="bottom"/>
            <w:tcBorders>
              <w:bottom w:val="single" w:sz="8" w:color="auto"/>
            </w:tcBorders>
            <w:gridSpan w:val="3"/>
            <w:shd w:val="clear" w:color="auto" w:fill="CCDEF1"/>
          </w:tcPr>
          <w:p>
            <w:pPr>
              <w:jc w:val="right"/>
              <w:spacing w:after="0"/>
              <w:rPr>
                <w:sz w:val="20"/>
                <w:szCs w:val="20"/>
                <w:color w:val="auto"/>
              </w:rPr>
            </w:pPr>
            <w:r>
              <w:rPr>
                <w:rFonts w:ascii="Arial" w:cs="Arial" w:eastAsia="Arial" w:hAnsi="Arial"/>
                <w:sz w:val="17"/>
                <w:szCs w:val="17"/>
                <w:color w:val="auto"/>
              </w:rPr>
              <w:t>1%</w:t>
            </w:r>
          </w:p>
        </w:tc>
        <w:tc>
          <w:tcPr>
            <w:tcW w:w="60" w:type="dxa"/>
            <w:vAlign w:val="bottom"/>
            <w:gridSpan w:val="2"/>
            <w:shd w:val="clear" w:color="auto" w:fill="CCDEF1"/>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spacing w:after="0"/>
              <w:rPr>
                <w:sz w:val="20"/>
                <w:szCs w:val="20"/>
                <w:color w:val="auto"/>
              </w:rPr>
            </w:pPr>
            <w:r>
              <w:rPr>
                <w:rFonts w:ascii="Arial" w:cs="Arial" w:eastAsia="Arial" w:hAnsi="Arial"/>
                <w:sz w:val="17"/>
                <w:szCs w:val="17"/>
                <w:color w:val="auto"/>
              </w:rPr>
              <w:t>Total Adjusted Revenue Growth</w:t>
            </w:r>
          </w:p>
        </w:tc>
        <w:tc>
          <w:tcPr>
            <w:tcW w:w="2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7"/>
                <w:szCs w:val="17"/>
                <w:color w:val="auto"/>
              </w:rPr>
              <w:t>19%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4520" w:type="dxa"/>
            <w:vAlign w:val="bottom"/>
            <w:gridSpan w:val="9"/>
            <w:vMerge w:val="restart"/>
          </w:tcPr>
          <w:p>
            <w:pPr>
              <w:jc w:val="right"/>
              <w:spacing w:after="0"/>
              <w:rPr>
                <w:sz w:val="20"/>
                <w:szCs w:val="20"/>
                <w:color w:val="auto"/>
              </w:rPr>
            </w:pPr>
            <w:r>
              <w:rPr>
                <w:rFonts w:ascii="Arial" w:cs="Arial" w:eastAsia="Arial" w:hAnsi="Arial"/>
                <w:sz w:val="16"/>
                <w:szCs w:val="16"/>
                <w:b w:val="1"/>
                <w:bCs w:val="1"/>
                <w:color w:val="005CB9"/>
              </w:rPr>
              <w:t>Roper Technologies, Inc. 2022 Proxy Statement</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40" w:type="dxa"/>
            <w:vAlign w:val="bottom"/>
          </w:tcPr>
          <w:p>
            <w:pPr>
              <w:spacing w:after="0"/>
              <w:rPr>
                <w:sz w:val="12"/>
                <w:szCs w:val="12"/>
                <w:color w:val="auto"/>
              </w:rPr>
            </w:pPr>
          </w:p>
        </w:tc>
        <w:tc>
          <w:tcPr>
            <w:tcW w:w="4520" w:type="dxa"/>
            <w:vAlign w:val="bottom"/>
            <w:gridSpan w:val="9"/>
            <w:vMerge w:val="continue"/>
          </w:tcPr>
          <w:p>
            <w:pPr>
              <w:spacing w:after="0"/>
              <w:rPr>
                <w:sz w:val="12"/>
                <w:szCs w:val="12"/>
                <w:color w:val="auto"/>
              </w:rPr>
            </w:pPr>
          </w:p>
        </w:tc>
        <w:tc>
          <w:tcPr>
            <w:tcW w:w="56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5940" w:type="dxa"/>
            <w:vAlign w:val="bottom"/>
          </w:tcPr>
          <w:p>
            <w:pPr>
              <w:spacing w:after="0"/>
              <w:rPr>
                <w:sz w:val="24"/>
                <w:szCs w:val="24"/>
                <w:color w:val="auto"/>
              </w:rPr>
            </w:pPr>
          </w:p>
        </w:tc>
        <w:tc>
          <w:tcPr>
            <w:tcW w:w="4520" w:type="dxa"/>
            <w:vAlign w:val="bottom"/>
            <w:gridSpan w:val="9"/>
            <w:vMerge w:val="continue"/>
          </w:tcPr>
          <w:p>
            <w:pPr>
              <w:spacing w:after="0"/>
              <w:rPr>
                <w:sz w:val="24"/>
                <w:szCs w:val="24"/>
                <w:color w:val="auto"/>
              </w:rPr>
            </w:pPr>
          </w:p>
        </w:tc>
        <w:tc>
          <w:tcPr>
            <w:tcW w:w="240" w:type="dxa"/>
            <w:vAlign w:val="bottom"/>
            <w:tcBorders>
              <w:right w:val="single" w:sz="8" w:color="005CB9"/>
            </w:tcBorders>
            <w:gridSpan w:val="2"/>
          </w:tcPr>
          <w:p>
            <w:pPr>
              <w:spacing w:after="0"/>
              <w:rPr>
                <w:sz w:val="24"/>
                <w:szCs w:val="24"/>
                <w:color w:val="auto"/>
              </w:rPr>
            </w:pPr>
          </w:p>
        </w:tc>
        <w:tc>
          <w:tcPr>
            <w:tcW w:w="320" w:type="dxa"/>
            <w:vAlign w:val="bottom"/>
            <w:gridSpan w:val="4"/>
          </w:tcPr>
          <w:p>
            <w:pPr>
              <w:jc w:val="right"/>
              <w:spacing w:after="0"/>
              <w:rPr>
                <w:sz w:val="20"/>
                <w:szCs w:val="20"/>
                <w:color w:val="auto"/>
              </w:rPr>
            </w:pPr>
            <w:r>
              <w:rPr>
                <w:rFonts w:ascii="Arial" w:cs="Arial" w:eastAsia="Arial" w:hAnsi="Arial"/>
                <w:sz w:val="16"/>
                <w:szCs w:val="16"/>
                <w:b w:val="1"/>
                <w:bCs w:val="1"/>
                <w:color w:val="005CB9"/>
              </w:rPr>
              <w:t>59</w:t>
            </w:r>
          </w:p>
        </w:tc>
        <w:tc>
          <w:tcPr>
            <w:tcW w:w="0" w:type="dxa"/>
            <w:vAlign w:val="bottom"/>
          </w:tcPr>
          <w:p>
            <w:pPr>
              <w:spacing w:after="0"/>
              <w:rPr>
                <w:sz w:val="1"/>
                <w:szCs w:val="1"/>
                <w:color w:val="auto"/>
              </w:rPr>
            </w:pPr>
          </w:p>
        </w:tc>
      </w:tr>
      <w:tr>
        <w:trPr>
          <w:trHeight w:val="100"/>
        </w:trPr>
        <w:tc>
          <w:tcPr>
            <w:tcW w:w="59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right w:val="single" w:sz="8" w:color="005CB9"/>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-205105</wp:posOffset>
            </wp:positionV>
            <wp:extent cx="428625"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Table 6: 2020 Adjusted Revenue and EBITDA Reconciliation ($M)</w:t>
      </w: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Borders>
              <w:bottom w:val="single" w:sz="8" w:color="CCDEF1"/>
            </w:tcBorders>
          </w:tcPr>
          <w:p>
            <w:pPr>
              <w:spacing w:after="0"/>
              <w:rPr>
                <w:sz w:val="14"/>
                <w:szCs w:val="14"/>
                <w:color w:val="auto"/>
              </w:rPr>
            </w:pPr>
          </w:p>
        </w:tc>
        <w:tc>
          <w:tcPr>
            <w:tcW w:w="1020" w:type="dxa"/>
            <w:vAlign w:val="bottom"/>
            <w:tcBorders>
              <w:bottom w:val="single" w:sz="8" w:color="CCDEF1"/>
            </w:tcBorders>
          </w:tcPr>
          <w:p>
            <w:pPr>
              <w:spacing w:after="0"/>
              <w:rPr>
                <w:sz w:val="14"/>
                <w:szCs w:val="14"/>
                <w:color w:val="auto"/>
              </w:rPr>
            </w:pPr>
          </w:p>
        </w:tc>
        <w:tc>
          <w:tcPr>
            <w:tcW w:w="7140" w:type="dxa"/>
            <w:vAlign w:val="bottom"/>
            <w:tcBorders>
              <w:bottom w:val="single" w:sz="8" w:color="CCDEF1"/>
            </w:tcBorders>
          </w:tcPr>
          <w:p>
            <w:pPr>
              <w:spacing w:after="0"/>
              <w:rPr>
                <w:sz w:val="14"/>
                <w:szCs w:val="14"/>
                <w:color w:val="auto"/>
              </w:rPr>
            </w:pPr>
          </w:p>
        </w:tc>
        <w:tc>
          <w:tcPr>
            <w:tcW w:w="94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4"/>
                <w:szCs w:val="14"/>
                <w:color w:val="auto"/>
              </w:rPr>
              <w:t>2019</w:t>
            </w:r>
          </w:p>
        </w:tc>
        <w:tc>
          <w:tcPr>
            <w:tcW w:w="92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V%</w:t>
            </w:r>
          </w:p>
        </w:tc>
        <w:tc>
          <w:tcPr>
            <w:tcW w:w="0" w:type="dxa"/>
            <w:vAlign w:val="bottom"/>
          </w:tcPr>
          <w:p>
            <w:pPr>
              <w:spacing w:after="0"/>
              <w:rPr>
                <w:sz w:val="1"/>
                <w:szCs w:val="1"/>
                <w:color w:val="auto"/>
              </w:rPr>
            </w:pPr>
          </w:p>
        </w:tc>
      </w:tr>
      <w:tr>
        <w:trPr>
          <w:trHeight w:val="223"/>
        </w:trPr>
        <w:tc>
          <w:tcPr>
            <w:tcW w:w="1440" w:type="dxa"/>
            <w:vAlign w:val="bottom"/>
            <w:gridSpan w:val="2"/>
            <w:shd w:val="clear" w:color="auto" w:fill="CCDEF1"/>
          </w:tcPr>
          <w:p>
            <w:pPr>
              <w:spacing w:after="0"/>
              <w:rPr>
                <w:sz w:val="20"/>
                <w:szCs w:val="20"/>
                <w:color w:val="auto"/>
              </w:rPr>
            </w:pPr>
            <w:r>
              <w:rPr>
                <w:rFonts w:ascii="Arial" w:cs="Arial" w:eastAsia="Arial" w:hAnsi="Arial"/>
                <w:sz w:val="17"/>
                <w:szCs w:val="17"/>
                <w:color w:val="auto"/>
              </w:rPr>
              <w:t>GAAP Revenue</w:t>
            </w:r>
          </w:p>
        </w:tc>
        <w:tc>
          <w:tcPr>
            <w:tcW w:w="7140" w:type="dxa"/>
            <w:vAlign w:val="bottom"/>
            <w:shd w:val="clear" w:color="auto" w:fill="CCDEF1"/>
          </w:tcPr>
          <w:p>
            <w:pPr>
              <w:spacing w:after="0"/>
              <w:rPr>
                <w:sz w:val="19"/>
                <w:szCs w:val="19"/>
                <w:color w:val="auto"/>
              </w:rPr>
            </w:pPr>
          </w:p>
        </w:tc>
        <w:tc>
          <w:tcPr>
            <w:tcW w:w="940" w:type="dxa"/>
            <w:vAlign w:val="bottom"/>
            <w:gridSpan w:val="2"/>
            <w:shd w:val="clear" w:color="auto" w:fill="CCDEF1"/>
          </w:tcPr>
          <w:p>
            <w:pPr>
              <w:jc w:val="right"/>
              <w:spacing w:after="0"/>
              <w:rPr>
                <w:sz w:val="20"/>
                <w:szCs w:val="20"/>
                <w:color w:val="auto"/>
              </w:rPr>
            </w:pPr>
            <w:r>
              <w:rPr>
                <w:rFonts w:ascii="Arial" w:cs="Arial" w:eastAsia="Arial" w:hAnsi="Arial"/>
                <w:sz w:val="17"/>
                <w:szCs w:val="17"/>
                <w:color w:val="auto"/>
              </w:rPr>
              <w:t>$5,367</w:t>
            </w:r>
          </w:p>
        </w:tc>
        <w:tc>
          <w:tcPr>
            <w:tcW w:w="920" w:type="dxa"/>
            <w:vAlign w:val="bottom"/>
            <w:gridSpan w:val="2"/>
            <w:shd w:val="clear" w:color="auto" w:fill="CCDEF1"/>
          </w:tcPr>
          <w:p>
            <w:pPr>
              <w:jc w:val="right"/>
              <w:spacing w:after="0"/>
              <w:rPr>
                <w:sz w:val="20"/>
                <w:szCs w:val="20"/>
                <w:color w:val="auto"/>
              </w:rPr>
            </w:pPr>
            <w:r>
              <w:rPr>
                <w:rFonts w:ascii="Arial" w:cs="Arial" w:eastAsia="Arial" w:hAnsi="Arial"/>
                <w:sz w:val="17"/>
                <w:szCs w:val="17"/>
                <w:color w:val="auto"/>
              </w:rPr>
              <w:t>$5,527</w:t>
            </w:r>
          </w:p>
        </w:tc>
        <w:tc>
          <w:tcPr>
            <w:tcW w:w="580" w:type="dxa"/>
            <w:vAlign w:val="bottom"/>
            <w:gridSpan w:val="3"/>
            <w:shd w:val="clear" w:color="auto" w:fill="CCDEF1"/>
          </w:tcPr>
          <w:p>
            <w:pPr>
              <w:jc w:val="right"/>
              <w:ind w:right="1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50"/>
        </w:trPr>
        <w:tc>
          <w:tcPr>
            <w:tcW w:w="8580" w:type="dxa"/>
            <w:vAlign w:val="bottom"/>
            <w:gridSpan w:val="3"/>
          </w:tcPr>
          <w:p>
            <w:pPr>
              <w:ind w:left="340"/>
              <w:spacing w:after="0"/>
              <w:rPr>
                <w:sz w:val="20"/>
                <w:szCs w:val="20"/>
                <w:color w:val="auto"/>
              </w:rPr>
            </w:pPr>
            <w:r>
              <w:rPr>
                <w:rFonts w:ascii="Arial" w:cs="Arial" w:eastAsia="Arial" w:hAnsi="Arial"/>
                <w:sz w:val="17"/>
                <w:szCs w:val="17"/>
                <w:color w:val="auto"/>
              </w:rPr>
              <w:t>Purchase accounting adjustment to acquired deferred revenue</w:t>
            </w:r>
          </w:p>
        </w:tc>
        <w:tc>
          <w:tcPr>
            <w:tcW w:w="320" w:type="dxa"/>
            <w:vAlign w:val="bottom"/>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6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12</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440" w:type="dxa"/>
            <w:vAlign w:val="bottom"/>
            <w:gridSpan w:val="2"/>
            <w:shd w:val="clear" w:color="auto" w:fill="CCDEF1"/>
          </w:tcPr>
          <w:p>
            <w:pPr>
              <w:spacing w:after="0" w:line="189" w:lineRule="exact"/>
              <w:rPr>
                <w:sz w:val="20"/>
                <w:szCs w:val="20"/>
                <w:color w:val="auto"/>
              </w:rPr>
            </w:pPr>
            <w:r>
              <w:rPr>
                <w:rFonts w:ascii="Arial" w:cs="Arial" w:eastAsia="Arial" w:hAnsi="Arial"/>
                <w:sz w:val="17"/>
                <w:szCs w:val="17"/>
                <w:color w:val="auto"/>
              </w:rPr>
              <w:t>Adjusted Revenue</w:t>
            </w:r>
          </w:p>
        </w:tc>
        <w:tc>
          <w:tcPr>
            <w:tcW w:w="7140" w:type="dxa"/>
            <w:vAlign w:val="bottom"/>
            <w:shd w:val="clear" w:color="auto" w:fill="CCDEF1"/>
          </w:tcPr>
          <w:p>
            <w:pPr>
              <w:spacing w:after="0"/>
              <w:rPr>
                <w:sz w:val="16"/>
                <w:szCs w:val="16"/>
                <w:color w:val="auto"/>
              </w:rPr>
            </w:pPr>
          </w:p>
        </w:tc>
        <w:tc>
          <w:tcPr>
            <w:tcW w:w="940" w:type="dxa"/>
            <w:vAlign w:val="bottom"/>
            <w:gridSpan w:val="2"/>
            <w:shd w:val="clear" w:color="auto" w:fill="CCDEF1"/>
          </w:tcPr>
          <w:p>
            <w:pPr>
              <w:jc w:val="right"/>
              <w:spacing w:after="0" w:line="189" w:lineRule="exact"/>
              <w:rPr>
                <w:sz w:val="20"/>
                <w:szCs w:val="20"/>
                <w:color w:val="auto"/>
              </w:rPr>
            </w:pPr>
            <w:r>
              <w:rPr>
                <w:rFonts w:ascii="Arial" w:cs="Arial" w:eastAsia="Arial" w:hAnsi="Arial"/>
                <w:sz w:val="17"/>
                <w:szCs w:val="17"/>
                <w:color w:val="auto"/>
              </w:rPr>
              <w:t>$5,377</w:t>
            </w:r>
          </w:p>
        </w:tc>
        <w:tc>
          <w:tcPr>
            <w:tcW w:w="920" w:type="dxa"/>
            <w:vAlign w:val="bottom"/>
            <w:gridSpan w:val="2"/>
            <w:shd w:val="clear" w:color="auto" w:fill="CCDEF1"/>
          </w:tcPr>
          <w:p>
            <w:pPr>
              <w:jc w:val="right"/>
              <w:spacing w:after="0" w:line="189" w:lineRule="exact"/>
              <w:rPr>
                <w:sz w:val="20"/>
                <w:szCs w:val="20"/>
                <w:color w:val="auto"/>
              </w:rPr>
            </w:pPr>
            <w:r>
              <w:rPr>
                <w:rFonts w:ascii="Arial" w:cs="Arial" w:eastAsia="Arial" w:hAnsi="Arial"/>
                <w:sz w:val="17"/>
                <w:szCs w:val="17"/>
                <w:color w:val="auto"/>
              </w:rPr>
              <w:t>$5,539</w:t>
            </w:r>
          </w:p>
        </w:tc>
        <w:tc>
          <w:tcPr>
            <w:tcW w:w="580" w:type="dxa"/>
            <w:vAlign w:val="bottom"/>
            <w:gridSpan w:val="3"/>
            <w:shd w:val="clear" w:color="auto" w:fill="CCDEF1"/>
          </w:tcPr>
          <w:p>
            <w:pPr>
              <w:jc w:val="right"/>
              <w:ind w:right="120"/>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858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Components of Adjusted Revenue Growth</w:t>
            </w: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80" w:type="dxa"/>
            <w:vAlign w:val="bottom"/>
            <w:gridSpan w:val="3"/>
            <w:vMerge w:val="continue"/>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40" w:type="dxa"/>
            <w:vAlign w:val="bottom"/>
            <w:gridSpan w:val="2"/>
            <w:shd w:val="clear" w:color="auto" w:fill="CCDEF1"/>
          </w:tcPr>
          <w:p>
            <w:pPr>
              <w:ind w:left="340"/>
              <w:spacing w:after="0"/>
              <w:rPr>
                <w:sz w:val="20"/>
                <w:szCs w:val="20"/>
                <w:color w:val="auto"/>
              </w:rPr>
            </w:pPr>
            <w:r>
              <w:rPr>
                <w:rFonts w:ascii="Arial" w:cs="Arial" w:eastAsia="Arial" w:hAnsi="Arial"/>
                <w:sz w:val="17"/>
                <w:szCs w:val="17"/>
                <w:color w:val="auto"/>
              </w:rPr>
              <w:t>Organic</w:t>
            </w:r>
          </w:p>
        </w:tc>
        <w:tc>
          <w:tcPr>
            <w:tcW w:w="7140" w:type="dxa"/>
            <w:vAlign w:val="bottom"/>
            <w:shd w:val="clear" w:color="auto" w:fill="CCDEF1"/>
          </w:tcPr>
          <w:p>
            <w:pPr>
              <w:spacing w:after="0"/>
              <w:rPr>
                <w:sz w:val="21"/>
                <w:szCs w:val="21"/>
                <w:color w:val="auto"/>
              </w:rPr>
            </w:pPr>
          </w:p>
        </w:tc>
        <w:tc>
          <w:tcPr>
            <w:tcW w:w="320" w:type="dxa"/>
            <w:vAlign w:val="bottom"/>
            <w:shd w:val="clear" w:color="auto" w:fill="CCDEF1"/>
          </w:tcPr>
          <w:p>
            <w:pPr>
              <w:spacing w:after="0"/>
              <w:rPr>
                <w:sz w:val="21"/>
                <w:szCs w:val="21"/>
                <w:color w:val="auto"/>
              </w:rPr>
            </w:pPr>
          </w:p>
        </w:tc>
        <w:tc>
          <w:tcPr>
            <w:tcW w:w="620" w:type="dxa"/>
            <w:vAlign w:val="bottom"/>
            <w:shd w:val="clear" w:color="auto" w:fill="CCDEF1"/>
          </w:tcPr>
          <w:p>
            <w:pPr>
              <w:spacing w:after="0"/>
              <w:rPr>
                <w:sz w:val="21"/>
                <w:szCs w:val="21"/>
                <w:color w:val="auto"/>
              </w:rPr>
            </w:pPr>
          </w:p>
        </w:tc>
        <w:tc>
          <w:tcPr>
            <w:tcW w:w="640" w:type="dxa"/>
            <w:vAlign w:val="bottom"/>
            <w:shd w:val="clear" w:color="auto" w:fill="CCDEF1"/>
          </w:tcPr>
          <w:p>
            <w:pPr>
              <w:spacing w:after="0"/>
              <w:rPr>
                <w:sz w:val="21"/>
                <w:szCs w:val="21"/>
                <w:color w:val="auto"/>
              </w:rPr>
            </w:pPr>
          </w:p>
        </w:tc>
        <w:tc>
          <w:tcPr>
            <w:tcW w:w="280" w:type="dxa"/>
            <w:vAlign w:val="bottom"/>
            <w:shd w:val="clear" w:color="auto" w:fill="CCDEF1"/>
          </w:tcPr>
          <w:p>
            <w:pPr>
              <w:spacing w:after="0"/>
              <w:rPr>
                <w:sz w:val="21"/>
                <w:szCs w:val="21"/>
                <w:color w:val="auto"/>
              </w:rPr>
            </w:pPr>
          </w:p>
        </w:tc>
        <w:tc>
          <w:tcPr>
            <w:tcW w:w="580" w:type="dxa"/>
            <w:vAlign w:val="bottom"/>
            <w:gridSpan w:val="3"/>
            <w:shd w:val="clear" w:color="auto" w:fill="CCDEF1"/>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43"/>
        </w:trPr>
        <w:tc>
          <w:tcPr>
            <w:tcW w:w="8580" w:type="dxa"/>
            <w:vAlign w:val="bottom"/>
            <w:gridSpan w:val="3"/>
          </w:tcPr>
          <w:p>
            <w:pPr>
              <w:ind w:left="340"/>
              <w:spacing w:after="0"/>
              <w:rPr>
                <w:sz w:val="20"/>
                <w:szCs w:val="20"/>
                <w:color w:val="auto"/>
              </w:rPr>
            </w:pPr>
            <w:r>
              <w:rPr>
                <w:rFonts w:ascii="Arial" w:cs="Arial" w:eastAsia="Arial" w:hAnsi="Arial"/>
                <w:sz w:val="17"/>
                <w:szCs w:val="17"/>
                <w:color w:val="auto"/>
              </w:rPr>
              <w:t>Acquisitions/Divestitures</w:t>
            </w: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43"/>
        </w:trPr>
        <w:tc>
          <w:tcPr>
            <w:tcW w:w="8580" w:type="dxa"/>
            <w:vAlign w:val="bottom"/>
            <w:gridSpan w:val="3"/>
            <w:shd w:val="clear" w:color="auto" w:fill="CCDEF1"/>
          </w:tcPr>
          <w:p>
            <w:pPr>
              <w:ind w:left="340"/>
              <w:spacing w:after="0"/>
              <w:rPr>
                <w:sz w:val="20"/>
                <w:szCs w:val="20"/>
                <w:color w:val="auto"/>
              </w:rPr>
            </w:pPr>
            <w:r>
              <w:rPr>
                <w:rFonts w:ascii="Arial" w:cs="Arial" w:eastAsia="Arial" w:hAnsi="Arial"/>
                <w:sz w:val="17"/>
                <w:szCs w:val="17"/>
                <w:color w:val="auto"/>
              </w:rPr>
              <w:t>Foreign Exchange</w:t>
            </w:r>
          </w:p>
        </w:tc>
        <w:tc>
          <w:tcPr>
            <w:tcW w:w="320" w:type="dxa"/>
            <w:vAlign w:val="bottom"/>
            <w:shd w:val="clear" w:color="auto" w:fill="CCDEF1"/>
          </w:tcPr>
          <w:p>
            <w:pPr>
              <w:spacing w:after="0"/>
              <w:rPr>
                <w:sz w:val="21"/>
                <w:szCs w:val="21"/>
                <w:color w:val="auto"/>
              </w:rPr>
            </w:pPr>
          </w:p>
        </w:tc>
        <w:tc>
          <w:tcPr>
            <w:tcW w:w="620" w:type="dxa"/>
            <w:vAlign w:val="bottom"/>
            <w:shd w:val="clear" w:color="auto" w:fill="CCDEF1"/>
          </w:tcPr>
          <w:p>
            <w:pPr>
              <w:spacing w:after="0"/>
              <w:rPr>
                <w:sz w:val="21"/>
                <w:szCs w:val="21"/>
                <w:color w:val="auto"/>
              </w:rPr>
            </w:pPr>
          </w:p>
        </w:tc>
        <w:tc>
          <w:tcPr>
            <w:tcW w:w="640" w:type="dxa"/>
            <w:vAlign w:val="bottom"/>
            <w:shd w:val="clear" w:color="auto" w:fill="CCDEF1"/>
          </w:tcPr>
          <w:p>
            <w:pPr>
              <w:spacing w:after="0"/>
              <w:rPr>
                <w:sz w:val="21"/>
                <w:szCs w:val="21"/>
                <w:color w:val="auto"/>
              </w:rPr>
            </w:pPr>
          </w:p>
        </w:tc>
        <w:tc>
          <w:tcPr>
            <w:tcW w:w="280" w:type="dxa"/>
            <w:vAlign w:val="bottom"/>
            <w:shd w:val="clear" w:color="auto" w:fill="CCDEF1"/>
          </w:tcPr>
          <w:p>
            <w:pPr>
              <w:spacing w:after="0"/>
              <w:rPr>
                <w:sz w:val="21"/>
                <w:szCs w:val="21"/>
                <w:color w:val="auto"/>
              </w:rPr>
            </w:pPr>
          </w:p>
        </w:tc>
        <w:tc>
          <w:tcPr>
            <w:tcW w:w="80" w:type="dxa"/>
            <w:vAlign w:val="bottom"/>
            <w:shd w:val="clear" w:color="auto" w:fill="CCDEF1"/>
          </w:tcPr>
          <w:p>
            <w:pPr>
              <w:spacing w:after="0"/>
              <w:rPr>
                <w:sz w:val="21"/>
                <w:szCs w:val="21"/>
                <w:color w:val="auto"/>
              </w:rPr>
            </w:pPr>
          </w:p>
        </w:tc>
        <w:tc>
          <w:tcPr>
            <w:tcW w:w="240" w:type="dxa"/>
            <w:vAlign w:val="bottom"/>
            <w:tcBorders>
              <w:bottom w:val="single" w:sz="8" w:color="auto"/>
            </w:tcBorders>
            <w:shd w:val="clear" w:color="auto" w:fill="CCDEF1"/>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DEF1"/>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580" w:type="dxa"/>
            <w:vAlign w:val="bottom"/>
            <w:gridSpan w:val="3"/>
          </w:tcPr>
          <w:p>
            <w:pPr>
              <w:spacing w:after="0"/>
              <w:rPr>
                <w:sz w:val="20"/>
                <w:szCs w:val="20"/>
                <w:color w:val="auto"/>
              </w:rPr>
            </w:pPr>
            <w:r>
              <w:rPr>
                <w:rFonts w:ascii="Arial" w:cs="Arial" w:eastAsia="Arial" w:hAnsi="Arial"/>
                <w:sz w:val="17"/>
                <w:szCs w:val="17"/>
                <w:color w:val="auto"/>
              </w:rPr>
              <w:t>Total Adjusted Revenue Growth</w:t>
            </w: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8580" w:type="dxa"/>
            <w:vAlign w:val="bottom"/>
            <w:gridSpan w:val="3"/>
            <w:vMerge w:val="restart"/>
          </w:tcPr>
          <w:p>
            <w:pPr>
              <w:spacing w:after="0"/>
              <w:rPr>
                <w:sz w:val="20"/>
                <w:szCs w:val="20"/>
                <w:color w:val="auto"/>
              </w:rPr>
            </w:pPr>
            <w:r>
              <w:rPr>
                <w:rFonts w:ascii="Arial" w:cs="Arial" w:eastAsia="Arial" w:hAnsi="Arial"/>
                <w:sz w:val="17"/>
                <w:szCs w:val="17"/>
                <w:color w:val="auto"/>
              </w:rPr>
              <w:t>Table 7: Net Debt Reconciliation ($M)</w:t>
            </w: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5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580" w:type="dxa"/>
            <w:vAlign w:val="bottom"/>
            <w:gridSpan w:val="3"/>
          </w:tcPr>
          <w:p>
            <w:pPr>
              <w:spacing w:after="0"/>
              <w:rPr>
                <w:sz w:val="20"/>
                <w:szCs w:val="20"/>
                <w:color w:val="auto"/>
              </w:rPr>
            </w:pPr>
            <w:r>
              <w:rPr>
                <w:rFonts w:ascii="Arial" w:cs="Arial" w:eastAsia="Arial" w:hAnsi="Arial"/>
                <w:sz w:val="17"/>
                <w:szCs w:val="17"/>
                <w:color w:val="auto"/>
              </w:rPr>
              <w:t>(From Continuing Operations)</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3"/>
        </w:trPr>
        <w:tc>
          <w:tcPr>
            <w:tcW w:w="420" w:type="dxa"/>
            <w:vAlign w:val="bottom"/>
            <w:tcBorders>
              <w:bottom w:val="single" w:sz="8" w:color="CCDEF1"/>
            </w:tcBorders>
          </w:tcPr>
          <w:p>
            <w:pPr>
              <w:spacing w:after="0"/>
              <w:rPr>
                <w:sz w:val="24"/>
                <w:szCs w:val="24"/>
                <w:color w:val="auto"/>
              </w:rPr>
            </w:pPr>
          </w:p>
        </w:tc>
        <w:tc>
          <w:tcPr>
            <w:tcW w:w="1020" w:type="dxa"/>
            <w:vAlign w:val="bottom"/>
            <w:tcBorders>
              <w:bottom w:val="single" w:sz="8" w:color="CCDEF1"/>
            </w:tcBorders>
          </w:tcPr>
          <w:p>
            <w:pPr>
              <w:spacing w:after="0"/>
              <w:rPr>
                <w:sz w:val="24"/>
                <w:szCs w:val="24"/>
                <w:color w:val="auto"/>
              </w:rPr>
            </w:pPr>
          </w:p>
        </w:tc>
        <w:tc>
          <w:tcPr>
            <w:tcW w:w="7140" w:type="dxa"/>
            <w:vAlign w:val="bottom"/>
            <w:tcBorders>
              <w:bottom w:val="single" w:sz="8" w:color="CCDEF1"/>
            </w:tcBorders>
          </w:tcPr>
          <w:p>
            <w:pPr>
              <w:spacing w:after="0"/>
              <w:rPr>
                <w:sz w:val="24"/>
                <w:szCs w:val="24"/>
                <w:color w:val="auto"/>
              </w:rPr>
            </w:pPr>
          </w:p>
        </w:tc>
        <w:tc>
          <w:tcPr>
            <w:tcW w:w="940" w:type="dxa"/>
            <w:vAlign w:val="bottom"/>
            <w:tcBorders>
              <w:bottom w:val="single" w:sz="8" w:color="auto"/>
            </w:tcBorders>
            <w:gridSpan w:val="2"/>
          </w:tcPr>
          <w:p>
            <w:pPr>
              <w:jc w:val="right"/>
              <w:ind w:right="175"/>
              <w:spacing w:after="0"/>
              <w:rPr>
                <w:sz w:val="20"/>
                <w:szCs w:val="20"/>
                <w:color w:val="auto"/>
              </w:rPr>
            </w:pPr>
            <w:r>
              <w:rPr>
                <w:rFonts w:ascii="Arial" w:cs="Arial" w:eastAsia="Arial" w:hAnsi="Arial"/>
                <w:sz w:val="14"/>
                <w:szCs w:val="14"/>
                <w:color w:val="auto"/>
              </w:rPr>
              <w:t>Q4’20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Q4’21</w:t>
            </w: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color w:val="auto"/>
              </w:rPr>
              <w:t>V$</w:t>
            </w:r>
          </w:p>
        </w:tc>
        <w:tc>
          <w:tcPr>
            <w:tcW w:w="0" w:type="dxa"/>
            <w:vAlign w:val="bottom"/>
          </w:tcPr>
          <w:p>
            <w:pPr>
              <w:spacing w:after="0"/>
              <w:rPr>
                <w:sz w:val="1"/>
                <w:szCs w:val="1"/>
                <w:color w:val="auto"/>
              </w:rPr>
            </w:pPr>
          </w:p>
        </w:tc>
      </w:tr>
      <w:tr>
        <w:trPr>
          <w:trHeight w:val="223"/>
        </w:trPr>
        <w:tc>
          <w:tcPr>
            <w:tcW w:w="1440" w:type="dxa"/>
            <w:vAlign w:val="bottom"/>
            <w:gridSpan w:val="2"/>
            <w:shd w:val="clear" w:color="auto" w:fill="CCDEF1"/>
          </w:tcPr>
          <w:p>
            <w:pPr>
              <w:spacing w:after="0"/>
              <w:rPr>
                <w:sz w:val="20"/>
                <w:szCs w:val="20"/>
                <w:color w:val="auto"/>
              </w:rPr>
            </w:pPr>
            <w:r>
              <w:rPr>
                <w:rFonts w:ascii="Arial" w:cs="Arial" w:eastAsia="Arial" w:hAnsi="Arial"/>
                <w:sz w:val="17"/>
                <w:szCs w:val="17"/>
                <w:color w:val="auto"/>
              </w:rPr>
              <w:t>Gross Debt</w:t>
            </w:r>
          </w:p>
        </w:tc>
        <w:tc>
          <w:tcPr>
            <w:tcW w:w="7140" w:type="dxa"/>
            <w:vAlign w:val="bottom"/>
            <w:shd w:val="clear" w:color="auto" w:fill="CCDEF1"/>
          </w:tcPr>
          <w:p>
            <w:pPr>
              <w:spacing w:after="0"/>
              <w:rPr>
                <w:sz w:val="19"/>
                <w:szCs w:val="19"/>
                <w:color w:val="auto"/>
              </w:rPr>
            </w:pPr>
          </w:p>
        </w:tc>
        <w:tc>
          <w:tcPr>
            <w:tcW w:w="940" w:type="dxa"/>
            <w:vAlign w:val="bottom"/>
            <w:gridSpan w:val="2"/>
            <w:shd w:val="clear" w:color="auto" w:fill="CCDEF1"/>
          </w:tcPr>
          <w:p>
            <w:pPr>
              <w:jc w:val="right"/>
              <w:ind w:right="95"/>
              <w:spacing w:after="0"/>
              <w:rPr>
                <w:sz w:val="20"/>
                <w:szCs w:val="20"/>
                <w:color w:val="auto"/>
              </w:rPr>
            </w:pPr>
            <w:r>
              <w:rPr>
                <w:rFonts w:ascii="Arial" w:cs="Arial" w:eastAsia="Arial" w:hAnsi="Arial"/>
                <w:sz w:val="17"/>
                <w:szCs w:val="17"/>
                <w:color w:val="auto"/>
                <w:shd w:val="clear" w:color="auto" w:fill="CCDEF1"/>
              </w:rPr>
              <w:t>$9,561</w:t>
            </w:r>
          </w:p>
        </w:tc>
        <w:tc>
          <w:tcPr>
            <w:tcW w:w="640" w:type="dxa"/>
            <w:vAlign w:val="bottom"/>
            <w:shd w:val="clear" w:color="auto" w:fill="CCDEF1"/>
          </w:tcPr>
          <w:p>
            <w:pPr>
              <w:jc w:val="right"/>
              <w:spacing w:after="0"/>
              <w:rPr>
                <w:sz w:val="20"/>
                <w:szCs w:val="20"/>
                <w:color w:val="auto"/>
              </w:rPr>
            </w:pPr>
            <w:r>
              <w:rPr>
                <w:rFonts w:ascii="Arial" w:cs="Arial" w:eastAsia="Arial" w:hAnsi="Arial"/>
                <w:sz w:val="17"/>
                <w:szCs w:val="17"/>
                <w:color w:val="auto"/>
                <w:shd w:val="clear" w:color="auto" w:fill="CCDEF1"/>
              </w:rPr>
              <w:t>$7,922</w:t>
            </w:r>
          </w:p>
        </w:tc>
        <w:tc>
          <w:tcPr>
            <w:tcW w:w="860" w:type="dxa"/>
            <w:vAlign w:val="bottom"/>
            <w:gridSpan w:val="4"/>
            <w:shd w:val="clear" w:color="auto" w:fill="CCDEF1"/>
          </w:tcPr>
          <w:p>
            <w:pPr>
              <w:jc w:val="right"/>
              <w:ind w:right="60"/>
              <w:spacing w:after="0"/>
              <w:rPr>
                <w:sz w:val="20"/>
                <w:szCs w:val="20"/>
                <w:color w:val="auto"/>
              </w:rPr>
            </w:pPr>
            <w:r>
              <w:rPr>
                <w:rFonts w:ascii="Arial" w:cs="Arial" w:eastAsia="Arial" w:hAnsi="Arial"/>
                <w:sz w:val="17"/>
                <w:szCs w:val="17"/>
                <w:color w:val="auto"/>
                <w:shd w:val="clear" w:color="auto" w:fill="CCDEF1"/>
              </w:rPr>
              <w:t>$(1,639)</w:t>
            </w:r>
          </w:p>
        </w:tc>
        <w:tc>
          <w:tcPr>
            <w:tcW w:w="0" w:type="dxa"/>
            <w:vAlign w:val="bottom"/>
          </w:tcPr>
          <w:p>
            <w:pPr>
              <w:spacing w:after="0"/>
              <w:rPr>
                <w:sz w:val="1"/>
                <w:szCs w:val="1"/>
                <w:color w:val="auto"/>
              </w:rPr>
            </w:pPr>
          </w:p>
        </w:tc>
      </w:tr>
      <w:tr>
        <w:trPr>
          <w:trHeight w:val="189"/>
        </w:trPr>
        <w:tc>
          <w:tcPr>
            <w:tcW w:w="8580" w:type="dxa"/>
            <w:vAlign w:val="bottom"/>
            <w:gridSpan w:val="3"/>
          </w:tcPr>
          <w:p>
            <w:pPr>
              <w:spacing w:after="0" w:line="189" w:lineRule="exact"/>
              <w:rPr>
                <w:sz w:val="20"/>
                <w:szCs w:val="20"/>
                <w:color w:val="auto"/>
              </w:rPr>
            </w:pPr>
            <w:r>
              <w:rPr>
                <w:rFonts w:ascii="Arial" w:cs="Arial" w:eastAsia="Arial" w:hAnsi="Arial"/>
                <w:sz w:val="17"/>
                <w:szCs w:val="17"/>
                <w:color w:val="auto"/>
              </w:rPr>
              <w:t>Cash &amp; Cash Equivalents</w:t>
            </w:r>
          </w:p>
        </w:tc>
        <w:tc>
          <w:tcPr>
            <w:tcW w:w="940" w:type="dxa"/>
            <w:vAlign w:val="bottom"/>
            <w:gridSpan w:val="2"/>
          </w:tcPr>
          <w:p>
            <w:pPr>
              <w:jc w:val="right"/>
              <w:ind w:right="95"/>
              <w:spacing w:after="0" w:line="189" w:lineRule="exact"/>
              <w:rPr>
                <w:sz w:val="20"/>
                <w:szCs w:val="20"/>
                <w:color w:val="auto"/>
              </w:rPr>
            </w:pPr>
            <w:r>
              <w:rPr>
                <w:rFonts w:ascii="Arial" w:cs="Arial" w:eastAsia="Arial" w:hAnsi="Arial"/>
                <w:sz w:val="17"/>
                <w:szCs w:val="17"/>
                <w:color w:val="auto"/>
              </w:rPr>
              <w:t>308</w:t>
            </w: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352</w:t>
            </w:r>
          </w:p>
        </w:tc>
        <w:tc>
          <w:tcPr>
            <w:tcW w:w="280" w:type="dxa"/>
            <w:vAlign w:val="bottom"/>
          </w:tcPr>
          <w:p>
            <w:pPr>
              <w:spacing w:after="0"/>
              <w:rPr>
                <w:sz w:val="16"/>
                <w:szCs w:val="16"/>
                <w:color w:val="auto"/>
              </w:rPr>
            </w:pPr>
          </w:p>
        </w:tc>
        <w:tc>
          <w:tcPr>
            <w:tcW w:w="58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189"/>
        </w:trPr>
        <w:tc>
          <w:tcPr>
            <w:tcW w:w="1440" w:type="dxa"/>
            <w:vAlign w:val="bottom"/>
            <w:gridSpan w:val="2"/>
            <w:shd w:val="clear" w:color="auto" w:fill="CCDEF1"/>
          </w:tcPr>
          <w:p>
            <w:pPr>
              <w:spacing w:after="0" w:line="189" w:lineRule="exact"/>
              <w:rPr>
                <w:sz w:val="20"/>
                <w:szCs w:val="20"/>
                <w:color w:val="auto"/>
              </w:rPr>
            </w:pPr>
            <w:r>
              <w:rPr>
                <w:rFonts w:ascii="Arial" w:cs="Arial" w:eastAsia="Arial" w:hAnsi="Arial"/>
                <w:sz w:val="17"/>
                <w:szCs w:val="17"/>
                <w:color w:val="auto"/>
              </w:rPr>
              <w:t>Net Debt</w:t>
            </w:r>
          </w:p>
        </w:tc>
        <w:tc>
          <w:tcPr>
            <w:tcW w:w="7140" w:type="dxa"/>
            <w:vAlign w:val="bottom"/>
            <w:shd w:val="clear" w:color="auto" w:fill="CCDEF1"/>
          </w:tcPr>
          <w:p>
            <w:pPr>
              <w:spacing w:after="0"/>
              <w:rPr>
                <w:sz w:val="16"/>
                <w:szCs w:val="16"/>
                <w:color w:val="auto"/>
              </w:rPr>
            </w:pPr>
          </w:p>
        </w:tc>
        <w:tc>
          <w:tcPr>
            <w:tcW w:w="940" w:type="dxa"/>
            <w:vAlign w:val="bottom"/>
            <w:gridSpan w:val="2"/>
            <w:shd w:val="clear" w:color="auto" w:fill="CCDEF1"/>
          </w:tcPr>
          <w:p>
            <w:pPr>
              <w:jc w:val="right"/>
              <w:ind w:right="95"/>
              <w:spacing w:after="0" w:line="189" w:lineRule="exact"/>
              <w:rPr>
                <w:sz w:val="20"/>
                <w:szCs w:val="20"/>
                <w:color w:val="auto"/>
              </w:rPr>
            </w:pPr>
            <w:r>
              <w:rPr>
                <w:rFonts w:ascii="Arial" w:cs="Arial" w:eastAsia="Arial" w:hAnsi="Arial"/>
                <w:sz w:val="17"/>
                <w:szCs w:val="17"/>
                <w:color w:val="auto"/>
              </w:rPr>
              <w:t>$9,252</w:t>
            </w:r>
          </w:p>
        </w:tc>
        <w:tc>
          <w:tcPr>
            <w:tcW w:w="640" w:type="dxa"/>
            <w:vAlign w:val="bottom"/>
            <w:shd w:val="clear" w:color="auto" w:fill="CCDEF1"/>
          </w:tcPr>
          <w:p>
            <w:pPr>
              <w:jc w:val="right"/>
              <w:spacing w:after="0" w:line="189" w:lineRule="exact"/>
              <w:rPr>
                <w:sz w:val="20"/>
                <w:szCs w:val="20"/>
                <w:color w:val="auto"/>
              </w:rPr>
            </w:pPr>
            <w:r>
              <w:rPr>
                <w:rFonts w:ascii="Arial" w:cs="Arial" w:eastAsia="Arial" w:hAnsi="Arial"/>
                <w:sz w:val="17"/>
                <w:szCs w:val="17"/>
                <w:color w:val="auto"/>
              </w:rPr>
              <w:t>$7,570</w:t>
            </w:r>
          </w:p>
        </w:tc>
        <w:tc>
          <w:tcPr>
            <w:tcW w:w="860" w:type="dxa"/>
            <w:vAlign w:val="bottom"/>
            <w:gridSpan w:val="4"/>
            <w:shd w:val="clear" w:color="auto" w:fill="CCDEF1"/>
          </w:tcPr>
          <w:p>
            <w:pPr>
              <w:jc w:val="right"/>
              <w:ind w:right="60"/>
              <w:spacing w:after="0" w:line="189" w:lineRule="exact"/>
              <w:rPr>
                <w:sz w:val="20"/>
                <w:szCs w:val="20"/>
                <w:color w:val="auto"/>
              </w:rPr>
            </w:pPr>
            <w:r>
              <w:rPr>
                <w:rFonts w:ascii="Arial" w:cs="Arial" w:eastAsia="Arial" w:hAnsi="Arial"/>
                <w:sz w:val="17"/>
                <w:szCs w:val="17"/>
                <w:color w:val="auto"/>
              </w:rPr>
              <w:t>$(1,682)</w:t>
            </w:r>
          </w:p>
        </w:tc>
        <w:tc>
          <w:tcPr>
            <w:tcW w:w="0" w:type="dxa"/>
            <w:vAlign w:val="bottom"/>
          </w:tcPr>
          <w:p>
            <w:pPr>
              <w:spacing w:after="0"/>
              <w:rPr>
                <w:sz w:val="1"/>
                <w:szCs w:val="1"/>
                <w:color w:val="auto"/>
              </w:rPr>
            </w:pPr>
          </w:p>
        </w:tc>
      </w:tr>
      <w:tr>
        <w:trPr>
          <w:trHeight w:val="523"/>
        </w:trPr>
        <w:tc>
          <w:tcPr>
            <w:tcW w:w="8580" w:type="dxa"/>
            <w:vAlign w:val="bottom"/>
            <w:gridSpan w:val="3"/>
          </w:tcPr>
          <w:p>
            <w:pPr>
              <w:spacing w:after="0"/>
              <w:rPr>
                <w:sz w:val="20"/>
                <w:szCs w:val="20"/>
                <w:color w:val="auto"/>
              </w:rPr>
            </w:pPr>
            <w:r>
              <w:rPr>
                <w:rFonts w:ascii="Arial" w:cs="Arial" w:eastAsia="Arial" w:hAnsi="Arial"/>
                <w:sz w:val="17"/>
                <w:szCs w:val="17"/>
                <w:color w:val="auto"/>
              </w:rPr>
              <w:t>Note: Numbers may not foot due to rounding.</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20" w:type="dxa"/>
            <w:vAlign w:val="bottom"/>
            <w:vMerge w:val="restart"/>
          </w:tcPr>
          <w:p>
            <w:pPr>
              <w:spacing w:after="0"/>
              <w:rPr>
                <w:sz w:val="20"/>
                <w:szCs w:val="20"/>
                <w:color w:val="auto"/>
              </w:rPr>
            </w:pPr>
            <w:r>
              <w:rPr>
                <w:rFonts w:ascii="Arial" w:cs="Arial" w:eastAsia="Arial" w:hAnsi="Arial"/>
                <w:sz w:val="16"/>
                <w:szCs w:val="16"/>
                <w:b w:val="1"/>
                <w:bCs w:val="1"/>
                <w:color w:val="005CB9"/>
              </w:rPr>
              <w:t>60</w:t>
            </w:r>
          </w:p>
        </w:tc>
        <w:tc>
          <w:tcPr>
            <w:tcW w:w="1020" w:type="dxa"/>
            <w:vAlign w:val="bottom"/>
          </w:tcPr>
          <w:p>
            <w:pPr>
              <w:spacing w:after="0"/>
              <w:rPr>
                <w:sz w:val="12"/>
                <w:szCs w:val="12"/>
                <w:color w:val="auto"/>
              </w:rPr>
            </w:pPr>
          </w:p>
        </w:tc>
        <w:tc>
          <w:tcPr>
            <w:tcW w:w="7140" w:type="dxa"/>
            <w:vAlign w:val="bottom"/>
            <w:vMerge w:val="restart"/>
          </w:tcPr>
          <w:p>
            <w:pPr>
              <w:ind w:left="60"/>
              <w:spacing w:after="0"/>
              <w:rPr>
                <w:sz w:val="20"/>
                <w:szCs w:val="20"/>
                <w:color w:val="auto"/>
              </w:rPr>
            </w:pPr>
            <w:r>
              <w:rPr>
                <w:rFonts w:ascii="Arial" w:cs="Arial" w:eastAsia="Arial" w:hAnsi="Arial"/>
                <w:sz w:val="16"/>
                <w:szCs w:val="16"/>
                <w:b w:val="1"/>
                <w:bCs w:val="1"/>
                <w:color w:val="005CB9"/>
              </w:rPr>
              <w:t>Roper Technologies, Inc. 2022 Proxy Statement</w:t>
            </w: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420" w:type="dxa"/>
            <w:vAlign w:val="bottom"/>
            <w:vMerge w:val="continue"/>
          </w:tcPr>
          <w:p>
            <w:pPr>
              <w:spacing w:after="0"/>
              <w:rPr>
                <w:sz w:val="24"/>
                <w:szCs w:val="24"/>
                <w:color w:val="auto"/>
              </w:rPr>
            </w:pPr>
          </w:p>
        </w:tc>
        <w:tc>
          <w:tcPr>
            <w:tcW w:w="1020" w:type="dxa"/>
            <w:vAlign w:val="bottom"/>
            <w:tcBorders>
              <w:left w:val="single" w:sz="8" w:color="005CB9"/>
            </w:tcBorders>
          </w:tcPr>
          <w:p>
            <w:pPr>
              <w:spacing w:after="0"/>
              <w:rPr>
                <w:sz w:val="24"/>
                <w:szCs w:val="24"/>
                <w:color w:val="auto"/>
              </w:rPr>
            </w:pPr>
          </w:p>
        </w:tc>
        <w:tc>
          <w:tcPr>
            <w:tcW w:w="71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0" w:type="dxa"/>
            <w:vAlign w:val="bottom"/>
          </w:tcPr>
          <w:p>
            <w:pPr>
              <w:spacing w:after="0"/>
              <w:rPr>
                <w:sz w:val="8"/>
                <w:szCs w:val="8"/>
                <w:color w:val="auto"/>
              </w:rPr>
            </w:pPr>
          </w:p>
        </w:tc>
        <w:tc>
          <w:tcPr>
            <w:tcW w:w="1020" w:type="dxa"/>
            <w:vAlign w:val="bottom"/>
            <w:tcBorders>
              <w:left w:val="single" w:sz="8" w:color="005CB9"/>
            </w:tcBorders>
          </w:tcPr>
          <w:p>
            <w:pPr>
              <w:spacing w:after="0"/>
              <w:rPr>
                <w:sz w:val="8"/>
                <w:szCs w:val="8"/>
                <w:color w:val="auto"/>
              </w:rPr>
            </w:pPr>
          </w:p>
        </w:tc>
        <w:tc>
          <w:tcPr>
            <w:tcW w:w="7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-205105</wp:posOffset>
            </wp:positionV>
            <wp:extent cx="428625"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220345</wp:posOffset>
            </wp:positionV>
            <wp:extent cx="6360795" cy="82296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220345</wp:posOffset>
            </wp:positionV>
            <wp:extent cx="6360795" cy="82296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1)"/>
      <w:numFmt w:val="decimal"/>
    </w:lvl>
    <w:lvl w:ilvl="1">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1)"/>
      <w:numFmt w:val="decimal"/>
      <w:start w:val="1"/>
    </w:lvl>
  </w:abstractNum>
  <w:abstractNum w:abstractNumId="41">
    <w:nsid w:val="15014ACB"/>
    <w:multiLevelType w:val="hybridMultilevel"/>
    <w:lvl w:ilvl="0">
      <w:lvlJc w:val="left"/>
      <w:lvlText w:val="(%1)"/>
      <w:numFmt w:val="decimal"/>
      <w:start w:val="1"/>
    </w:lvl>
  </w:abstractNum>
  <w:abstractNum w:abstractNumId="42">
    <w:nsid w:val="5F5E7FD0"/>
    <w:multiLevelType w:val="hybridMultilevel"/>
    <w:lvl w:ilvl="0">
      <w:lvlJc w:val="left"/>
      <w:lvlText w:val="(%1)"/>
      <w:numFmt w:val="decimal"/>
      <w:start w:val="5"/>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1)"/>
      <w:numFmt w:val="decimal"/>
      <w:start w:val="1"/>
    </w:lvl>
  </w:abstractNum>
  <w:abstractNum w:abstractNumId="47">
    <w:nsid w:val="168E121F"/>
    <w:multiLevelType w:val="hybridMultilevel"/>
    <w:lvl w:ilvl="0">
      <w:lvlJc w:val="left"/>
      <w:lvlText w:val="¹"/>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1)"/>
      <w:numFmt w:val="decimal"/>
      <w:start w:val="1"/>
    </w:lvl>
  </w:abstractNum>
  <w:abstractNum w:abstractNumId="51">
    <w:nsid w:val="540A471C"/>
    <w:multiLevelType w:val="hybridMultilevel"/>
    <w:lvl w:ilvl="0">
      <w:lvlJc w:val="left"/>
      <w:lvlText w:val="(%1)"/>
      <w:numFmt w:val="decimal"/>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1"/>
      <w:numFmt w:val="bullet"/>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1)"/>
      <w:numFmt w:val="decimal"/>
      <w:start w:val="1"/>
    </w:lvl>
  </w:abstractNum>
  <w:abstractNum w:abstractNumId="67">
    <w:nsid w:val="7FFFCA11"/>
    <w:multiLevelType w:val="hybridMultilevel"/>
    <w:lvl w:ilvl="0">
      <w:lvlJc w:val="left"/>
      <w:lvlText w:val="1"/>
      <w:numFmt w:val="bullet"/>
      <w:start w:val="1"/>
    </w:lvl>
  </w:abstractNum>
  <w:abstractNum w:abstractNumId="68">
    <w:nsid w:val="1A27709E"/>
    <w:multiLevelType w:val="hybridMultilevel"/>
    <w:lvl w:ilvl="0">
      <w:lvlJc w:val="left"/>
      <w:lvlText w:val="1"/>
      <w:numFmt w:val="bullet"/>
      <w:start w:val="1"/>
    </w:lvl>
  </w:abstractNum>
  <w:abstractNum w:abstractNumId="69">
    <w:nsid w:val="71EA1109"/>
    <w:multiLevelType w:val="hybridMultilevel"/>
    <w:lvl w:ilvl="0">
      <w:lvlJc w:val="left"/>
      <w:lvlText w:val="2"/>
      <w:numFmt w:val="bullet"/>
      <w:start w:val="1"/>
    </w:lvl>
  </w:abstractNum>
  <w:abstractNum w:abstractNumId="70">
    <w:nsid w:val="100F59DC"/>
    <w:multiLevelType w:val="hybridMultilevel"/>
    <w:lvl w:ilvl="0">
      <w:lvlJc w:val="left"/>
      <w:lvlText w:val="*"/>
      <w:numFmt w:val="bullet"/>
      <w:start w:val="1"/>
    </w:lvl>
  </w:abstractNum>
  <w:abstractNum w:abstractNumId="71">
    <w:nsid w:val="7FB7E0AA"/>
    <w:multiLevelType w:val="hybridMultilevel"/>
    <w:lvl w:ilvl="0">
      <w:lvlJc w:val="left"/>
      <w:lvlText w:val="•"/>
      <w:numFmt w:val="bullet"/>
      <w:start w:val="1"/>
    </w:lvl>
    <w:lvl w:ilvl="1">
      <w:lvlJc w:val="left"/>
      <w:lvlText w:val="•"/>
      <w:numFmt w:val="bullet"/>
      <w:start w:val="1"/>
    </w:lvl>
  </w:abstractNum>
  <w:abstractNum w:abstractNumId="72">
    <w:nsid w:val="6EB5BD4"/>
    <w:multiLevelType w:val="hybridMultilevel"/>
    <w:lvl w:ilvl="0">
      <w:lvlJc w:val="left"/>
      <w:lvlText w:val="•"/>
      <w:numFmt w:val="bullet"/>
      <w:start w:val="1"/>
    </w:lvl>
  </w:abstractNum>
  <w:abstractNum w:abstractNumId="73">
    <w:nsid w:val="6F6DD9AC"/>
    <w:multiLevelType w:val="hybridMultilevel"/>
    <w:lvl w:ilvl="0">
      <w:lvlJc w:val="left"/>
      <w:lvlText w:val="•"/>
      <w:numFmt w:val="bullet"/>
      <w:start w:val="1"/>
    </w:lvl>
  </w:abstractNum>
  <w:abstractNum w:abstractNumId="74">
    <w:nsid w:val="94211F2"/>
    <w:multiLevelType w:val="hybridMultilevel"/>
    <w:lvl w:ilvl="0">
      <w:lvlJc w:val="left"/>
      <w:lvlText w:val="•"/>
      <w:numFmt w:val="bullet"/>
      <w:start w:val="1"/>
    </w:lvl>
  </w:abstractNum>
  <w:abstractNum w:abstractNumId="75">
    <w:nsid w:val="885E1B"/>
    <w:multiLevelType w:val="hybridMultilevel"/>
    <w:lvl w:ilvl="0">
      <w:lvlJc w:val="left"/>
      <w:lvlText w:val="(%1)"/>
      <w:numFmt w:val="decimal"/>
      <w:start w:val="1"/>
    </w:lvl>
  </w:abstractNum>
  <w:abstractNum w:abstractNumId="76">
    <w:nsid w:val="76272110"/>
    <w:multiLevelType w:val="hybridMultilevel"/>
    <w:lvl w:ilvl="0">
      <w:lvlJc w:val="left"/>
      <w:lvlText w:val="(%1)"/>
      <w:numFmt w:val="lowerLetter"/>
      <w:start w:val="1"/>
    </w:lvl>
  </w:abstractNum>
  <w:abstractNum w:abstractNumId="77">
    <w:nsid w:val="4C04A8AF"/>
    <w:multiLevelType w:val="hybridMultilevel"/>
    <w:lvl w:ilvl="0">
      <w:lvlJc w:val="left"/>
      <w:lvlText w:val="(%1)"/>
      <w:numFmt w:val="decimal"/>
      <w:start w:val="1"/>
    </w:lvl>
  </w:abstractNum>
  <w:abstractNum w:abstractNumId="78">
    <w:nsid w:val="1716703B"/>
    <w:multiLevelType w:val="hybridMultilevel"/>
    <w:lvl w:ilvl="0">
      <w:lvlJc w:val="left"/>
      <w:lvlText w:val="(%1)"/>
      <w:numFmt w:val="decimal"/>
      <w:start w:val="1"/>
    </w:lvl>
  </w:abstractNum>
  <w:abstractNum w:abstractNumId="79">
    <w:nsid w:val="14E17E33"/>
    <w:multiLevelType w:val="hybridMultilevel"/>
    <w:lvl w:ilvl="0">
      <w:lvlJc w:val="left"/>
      <w:lvlText w:val="(%1)"/>
      <w:numFmt w:val="decimal"/>
      <w:start w:val="6"/>
    </w:lvl>
  </w:abstractNum>
  <w:abstractNum w:abstractNumId="80">
    <w:nsid w:val="3222E7CD"/>
    <w:multiLevelType w:val="hybridMultilevel"/>
    <w:lvl w:ilvl="0">
      <w:lvlJc w:val="left"/>
      <w:lvlText w:val="(%1)"/>
      <w:numFmt w:val="upperLetter"/>
      <w:start w:val="9"/>
    </w:lvl>
  </w:abstractNum>
  <w:abstractNum w:abstractNumId="81">
    <w:nsid w:val="74DE0EE3"/>
    <w:multiLevelType w:val="hybridMultilevel"/>
    <w:lvl w:ilvl="0">
      <w:lvlJc w:val="left"/>
      <w:lvlText w:val="%1"/>
      <w:numFmt w:val="decimal"/>
      <w:start w:val="1"/>
    </w:lvl>
    <w:lvl w:ilvl="1">
      <w:lvlJc w:val="left"/>
      <w:lvlText w:val="(%2)"/>
      <w:numFmt w:val="upperLetter"/>
      <w:start w:val="35"/>
    </w:lvl>
  </w:abstractNum>
  <w:abstractNum w:abstractNumId="82">
    <w:nsid w:val="68EBC550"/>
    <w:multiLevelType w:val="hybridMultilevel"/>
    <w:lvl w:ilvl="0">
      <w:lvlJc w:val="left"/>
      <w:lvlText w:val="(%1)"/>
      <w:numFmt w:val="decimal"/>
      <w:start w:val="8"/>
    </w:lvl>
    <w:lvl w:ilvl="1">
      <w:lvlJc w:val="left"/>
      <w:lvlText w:val="(%2)"/>
      <w:numFmt w:val="upperLetter"/>
      <w:start w:val="9"/>
    </w:lvl>
  </w:abstractNum>
  <w:abstractNum w:abstractNumId="83">
    <w:nsid w:val="2DF6D648"/>
    <w:multiLevelType w:val="hybridMultilevel"/>
    <w:lvl w:ilvl="0">
      <w:lvlJc w:val="left"/>
      <w:lvlText w:val="%1"/>
      <w:numFmt w:val="decimal"/>
      <w:start w:val="1"/>
    </w:lvl>
    <w:lvl w:ilvl="1">
      <w:lvlJc w:val="left"/>
      <w:lvlText w:val="(%2)"/>
      <w:numFmt w:val="upperLetter"/>
      <w:start w:val="35"/>
    </w:lvl>
  </w:abstractNum>
  <w:abstractNum w:abstractNumId="84">
    <w:nsid w:val="46B7D447"/>
    <w:multiLevelType w:val="hybridMultilevel"/>
    <w:lvl w:ilvl="0">
      <w:lvlJc w:val="left"/>
      <w:lvlText w:val="(%1)"/>
      <w:numFmt w:val="decimal"/>
      <w:start w:val="9"/>
    </w:lvl>
    <w:lvl w:ilvl="1">
      <w:lvlJc w:val="left"/>
      <w:lvlText w:val="(%2)"/>
      <w:numFmt w:val="upperLetter"/>
      <w:start w:val="9"/>
    </w:lvl>
  </w:abstractNum>
  <w:abstractNum w:abstractNumId="85">
    <w:nsid w:val="4A2AC315"/>
    <w:multiLevelType w:val="hybridMultilevel"/>
    <w:lvl w:ilvl="0">
      <w:lvlJc w:val="left"/>
      <w:lvlText w:val="%1"/>
      <w:numFmt w:val="decimal"/>
      <w:start w:val="1"/>
    </w:lvl>
    <w:lvl w:ilvl="1">
      <w:lvlJc w:val="left"/>
      <w:lvlText w:val="(%2)"/>
      <w:numFmt w:val="upperLetter"/>
      <w:start w:val="35"/>
    </w:lvl>
  </w:abstractNum>
  <w:abstractNum w:abstractNumId="86">
    <w:nsid w:val="39EE015C"/>
    <w:multiLevelType w:val="hybridMultilevel"/>
    <w:lvl w:ilvl="0">
      <w:lvlJc w:val="left"/>
      <w:lvlText w:val="(%1)"/>
      <w:numFmt w:val="decimal"/>
      <w:start w:val="10"/>
    </w:lvl>
    <w:lvl w:ilvl="1">
      <w:lvlJc w:val="left"/>
      <w:lvlText w:val="(%2)"/>
      <w:numFmt w:val="upperLetter"/>
      <w:start w:val="9"/>
    </w:lvl>
  </w:abstractNum>
  <w:abstractNum w:abstractNumId="87">
    <w:nsid w:val="57FC4FBB"/>
    <w:multiLevelType w:val="hybridMultilevel"/>
    <w:lvl w:ilvl="0">
      <w:lvlJc w:val="left"/>
      <w:lvlText w:val="%1"/>
      <w:numFmt w:val="decimal"/>
      <w:start w:val="1"/>
    </w:lvl>
    <w:lvl w:ilvl="1">
      <w:lvlJc w:val="left"/>
      <w:lvlText w:val="(%2)"/>
      <w:numFmt w:val="upperLetter"/>
      <w:start w:val="35"/>
    </w:lvl>
  </w:abstractNum>
  <w:abstractNum w:abstractNumId="88">
    <w:nsid w:val="CC1016F"/>
    <w:multiLevelType w:val="hybridMultilevel"/>
    <w:lvl w:ilvl="0">
      <w:lvlJc w:val="left"/>
      <w:lvlText w:val="(%1)"/>
      <w:numFmt w:val="decimal"/>
      <w:start w:val="11"/>
    </w:lvl>
    <w:lvl w:ilvl="1">
      <w:lvlJc w:val="left"/>
      <w:lvlText w:val="%2"/>
      <w:numFmt w:val="upperLetter"/>
      <w:start w:val="1"/>
    </w:lvl>
  </w:abstractNum>
  <w:abstractNum w:abstractNumId="89">
    <w:nsid w:val="43F18422"/>
    <w:multiLevelType w:val="hybridMultilevel"/>
    <w:lvl w:ilvl="0">
      <w:lvlJc w:val="left"/>
      <w:lvlText w:val="(%1)"/>
      <w:numFmt w:val="decimal"/>
      <w:start w:val="1"/>
    </w:lvl>
  </w:abstractNum>
  <w:abstractNum w:abstractNumId="90">
    <w:nsid w:val="60EF0119"/>
    <w:multiLevelType w:val="hybridMultilevel"/>
    <w:lvl w:ilvl="0">
      <w:lvlJc w:val="left"/>
      <w:lvlText w:val="(%1)"/>
      <w:numFmt w:val="decimal"/>
      <w:start w:val="1"/>
    </w:lvl>
  </w:abstractNum>
  <w:abstractNum w:abstractNumId="91">
    <w:nsid w:val="26F324BA"/>
    <w:multiLevelType w:val="hybridMultilevel"/>
    <w:lvl w:ilvl="0">
      <w:lvlJc w:val="left"/>
      <w:lvlText w:val="(%1)"/>
      <w:numFmt w:val="lowerRoman"/>
      <w:start w:val="4"/>
    </w:lvl>
  </w:abstractNum>
  <w:abstractNum w:abstractNumId="92">
    <w:nsid w:val="7F01579B"/>
    <w:multiLevelType w:val="hybridMultilevel"/>
    <w:lvl w:ilvl="0">
      <w:lvlJc w:val="left"/>
      <w:lvlText w:val="(%1)"/>
      <w:numFmt w:val="decimal"/>
      <w:start w:val="1"/>
    </w:lvl>
  </w:abstractNum>
  <w:abstractNum w:abstractNumId="93">
    <w:nsid w:val="49DA307D"/>
    <w:multiLevelType w:val="hybridMultilevel"/>
    <w:lvl w:ilvl="0">
      <w:lvlJc w:val="left"/>
      <w:lvlText w:val="%1."/>
      <w:numFmt w:val="decimal"/>
      <w:start w:val="1"/>
    </w:lvl>
  </w:abstractNum>
  <w:abstractNum w:abstractNumId="94">
    <w:nsid w:val="7055A5F5"/>
    <w:multiLevelType w:val="hybridMultilevel"/>
    <w:lvl w:ilvl="0">
      <w:lvlJc w:val="left"/>
      <w:lvlText w:val="•"/>
      <w:numFmt w:val="bullet"/>
      <w:start w:val="1"/>
    </w:lvl>
  </w:abstractNum>
  <w:abstractNum w:abstractNumId="95">
    <w:nsid w:val="5FB8370B"/>
    <w:multiLevelType w:val="hybridMultilevel"/>
    <w:lvl w:ilvl="0">
      <w:lvlJc w:val="left"/>
      <w:lvlText w:val="•"/>
      <w:numFmt w:val="bullet"/>
      <w:start w:val="1"/>
    </w:lvl>
  </w:abstractNum>
  <w:abstractNum w:abstractNumId="96">
    <w:nsid w:val="50801E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2022-04-29T19:51:16Z</dcterms:created>
  <dcterms:modified xsi:type="dcterms:W3CDTF">2022-04-29T19:51:16Z</dcterms:modified>
</cp:coreProperties>
</file>