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jc w:val="center"/>
        <w:ind w:right="-99"/>
        <w:spacing w:after="0"/>
        <w:tabs>
          <w:tab w:leader="none" w:pos="180" w:val="left"/>
        </w:tabs>
        <w:rPr>
          <w:sz w:val="20"/>
          <w:szCs w:val="20"/>
          <w:color w:val="auto"/>
        </w:rPr>
      </w:pPr>
      <w:r>
        <w:rPr>
          <w:rFonts w:ascii="Arial" w:cs="Arial" w:eastAsia="Arial" w:hAnsi="Arial"/>
          <w:sz w:val="18"/>
          <w:szCs w:val="18"/>
          <w:b w:val="1"/>
          <w:bCs w:val="1"/>
          <w:color w:val="auto"/>
        </w:rPr>
        <w:t>(Amendment No.</w:t>
        <w:tab/>
        <w:t>)</w:t>
      </w:r>
    </w:p>
    <w:p>
      <w:pPr>
        <w:spacing w:after="0" w:line="33"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12"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ROPER TECHNOLOGIES, INC.</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(Formerly Roper Industries,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5"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620" w:hanging="802"/>
        <w:spacing w:after="0" w:line="269"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1"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820" w:right="120" w:hanging="812"/>
        <w:spacing w:after="0" w:line="333" w:lineRule="auto"/>
        <w:tabs>
          <w:tab w:leader="none" w:pos="8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6"/>
          <w:szCs w:val="16"/>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1025525</wp:posOffset>
            </wp:positionH>
            <wp:positionV relativeFrom="paragraph">
              <wp:posOffset>-3146425</wp:posOffset>
            </wp:positionV>
            <wp:extent cx="6226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-2820035</wp:posOffset>
            </wp:positionV>
            <wp:extent cx="6226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-2366010</wp:posOffset>
            </wp:positionV>
            <wp:extent cx="6226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-2039620</wp:posOffset>
            </wp:positionV>
            <wp:extent cx="6226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-1713865</wp:posOffset>
            </wp:positionV>
            <wp:extent cx="6226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-788035</wp:posOffset>
            </wp:positionV>
            <wp:extent cx="6226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-461645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-135890</wp:posOffset>
            </wp:positionV>
            <wp:extent cx="622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189230</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20"/>
                <w:szCs w:val="20"/>
                <w:color w:val="auto"/>
              </w:rPr>
            </w:pPr>
            <w:r>
              <w:rPr>
                <w:rFonts w:ascii="Arial" w:cs="Arial" w:eastAsia="Arial" w:hAnsi="Arial"/>
                <w:sz w:val="18"/>
                <w:szCs w:val="18"/>
                <w:b w:val="1"/>
                <w:bCs w:val="1"/>
                <w:color w:val="auto"/>
              </w:rPr>
              <w:t>6901 Professional Parkway E.</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7"/>
              </w:rPr>
              <w:t>556-2601</w:t>
            </w: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Suite 200</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auto"/>
              </w:rPr>
              <w:t>Fax (941)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7"/>
              </w:rPr>
              <w:t>556-2670</w:t>
            </w:r>
          </w:p>
        </w:tc>
      </w:tr>
      <w:tr>
        <w:trPr>
          <w:trHeight w:val="247"/>
        </w:trPr>
        <w:tc>
          <w:tcPr>
            <w:tcW w:w="5900" w:type="dxa"/>
            <w:vAlign w:val="bottom"/>
          </w:tcPr>
          <w:p>
            <w:pPr>
              <w:spacing w:after="0"/>
              <w:rPr>
                <w:sz w:val="20"/>
                <w:szCs w:val="20"/>
                <w:color w:val="auto"/>
              </w:rPr>
            </w:pPr>
            <w:r>
              <w:rPr>
                <w:rFonts w:ascii="Arial" w:cs="Arial" w:eastAsia="Arial" w:hAnsi="Arial"/>
                <w:sz w:val="18"/>
                <w:szCs w:val="18"/>
                <w:b w:val="1"/>
                <w:bCs w:val="1"/>
                <w:color w:val="auto"/>
              </w:rPr>
              <w:t>Sarasota, FL 34240</w:t>
            </w:r>
          </w:p>
        </w:tc>
        <w:tc>
          <w:tcPr>
            <w:tcW w:w="476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-408940</wp:posOffset>
            </wp:positionV>
            <wp:extent cx="102044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0445" cy="497205"/>
                    </a:xfrm>
                    <a:prstGeom prst="rect">
                      <a:avLst/>
                    </a:prstGeom>
                    <a:noFill/>
                  </pic:spPr>
                </pic:pic>
              </a:graphicData>
            </a:graphic>
          </wp:anchor>
        </w:drawing>
      </w:r>
    </w:p>
    <w:p>
      <w:pPr>
        <w:spacing w:after="0" w:line="82"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Roper Technologies,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29, 2015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7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the members of the Board of Directors, we would like to give you some perspective on Roper Technologies. As your Board, we oversee Roper’s efforts to consistently create long-term value through the efficient execution of our strategy, sound risk management, performance-driven compensation programs, effective talent and succession planning, adherence to the highest ethical standards and levels of integrity, and continual review and refinement of the Board’s governance practices.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Outstanding Value Creation for Shareholders</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Over the past decade, Roper’s shareholders have enjoyed a compound annual return of 18.5%, compared to 7.7% for the S&amp;P 500. Over the past five years, Roper has delivered an even better 25.2% compound annual return to shareholders.</w:t>
      </w:r>
    </w:p>
    <w:p>
      <w:pPr>
        <w:spacing w:after="0" w:line="10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This long history of superior shareholder returns is the result of Roper’s simple yet powerful strategy: Focus on niche, asset-light businesses with leading technologies that create significant free cash flow, enabling future investments for sustainable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to Roper Technologies</w:t>
      </w:r>
    </w:p>
    <w:p>
      <w:pPr>
        <w:spacing w:after="0" w:line="79" w:lineRule="exact"/>
        <w:rPr>
          <w:sz w:val="20"/>
          <w:szCs w:val="20"/>
          <w:color w:val="auto"/>
        </w:rPr>
      </w:pPr>
    </w:p>
    <w:p>
      <w:pPr>
        <w:ind w:right="240"/>
        <w:spacing w:after="0" w:line="333" w:lineRule="auto"/>
        <w:rPr>
          <w:sz w:val="20"/>
          <w:szCs w:val="20"/>
          <w:color w:val="auto"/>
        </w:rPr>
      </w:pPr>
      <w:r>
        <w:rPr>
          <w:rFonts w:ascii="Arial" w:cs="Arial" w:eastAsia="Arial" w:hAnsi="Arial"/>
          <w:sz w:val="16"/>
          <w:szCs w:val="16"/>
          <w:color w:val="auto"/>
        </w:rPr>
        <w:t>At Roper, our strategic focus on intellectual capital, channel expansion and a high degree of customer intimacy has driven sustained growth. We have a unique and disciplined capital deployment model that has guided the successful investment of billions of dollars in new businesses.</w:t>
      </w:r>
    </w:p>
    <w:p>
      <w:pPr>
        <w:spacing w:after="0" w:line="5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Based on the types of businesses being acquired and Roper’s increased technology focus, we approved a name change to Roper Technologies Inc., which better describes the Company and its future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Roper’s Success</w:t>
      </w:r>
    </w:p>
    <w:p>
      <w:pPr>
        <w:spacing w:after="0" w:line="7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Board contributes significantly to the Company’s strong performance. Each director commits to the rigor and extensive time commitment required to serve on the Board, including participation in at least 15 days of board meetings each year. We monitor the existing portfolio of Roper businesses and carefully examine with management the different ways Roper can invest for future growth. Between Board meetings, we continue our discussions with management and each other, enabling the Company to draw from our experiences and expertise.</w:t>
      </w:r>
    </w:p>
    <w:p>
      <w:pPr>
        <w:spacing w:after="0" w:line="12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Our direct involvement in and deep understanding of the Company allows us to address issues such as acquisition selection, capital deployment and succession planning while sustaining Roper’s successful culture and business model.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Nominees to the Board</w:t>
      </w:r>
    </w:p>
    <w:p>
      <w:pPr>
        <w:spacing w:after="0" w:line="7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Consistent with our principles on board refreshment and diversity of perspectives, Amy Woods Brinkley and Laura G. Thatcher are new director nominees for election at our 2015 Annual Meeting of Shareholders. Ms. Brinkley brings extensive executive experience in risk management and finance, and Ms. Thatcher has extensive experience and knowledge in corporate governance, executive compensation, mergers and acquisitions and tax law. Each of these nominees have committed to the time requirements (15 or more days each year). We look forward to working with Ms. Brinkley and Ms. Thatcher as they bring their experience to the Board.</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Enhanced Governance Practices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have enhanced our governance practices in the following ways:</w:t>
      </w:r>
    </w:p>
    <w:p>
      <w:pPr>
        <w:spacing w:after="0" w:line="75" w:lineRule="exact"/>
        <w:rPr>
          <w:sz w:val="20"/>
          <w:szCs w:val="20"/>
          <w:color w:val="auto"/>
        </w:rPr>
      </w:pPr>
    </w:p>
    <w:p>
      <w:pPr>
        <w:ind w:left="220" w:right="300" w:hanging="212"/>
        <w:spacing w:after="0" w:line="271"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Declassified Board</w:t>
      </w:r>
      <w:r>
        <w:rPr>
          <w:rFonts w:ascii="Arial" w:cs="Arial" w:eastAsia="Arial" w:hAnsi="Arial"/>
          <w:sz w:val="18"/>
          <w:szCs w:val="18"/>
          <w:color w:val="auto"/>
        </w:rPr>
        <w:t>. Upon the Board’s unanimous recommendation and shareholder approval, we declassified the Board in 2013,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phase-in of annual elections for all directors being completed next year.</w:t>
      </w:r>
    </w:p>
    <w:p>
      <w:pPr>
        <w:spacing w:after="0" w:line="18" w:lineRule="exact"/>
        <w:rPr>
          <w:rFonts w:ascii="Arial" w:cs="Arial" w:eastAsia="Arial" w:hAnsi="Arial"/>
          <w:sz w:val="18"/>
          <w:szCs w:val="18"/>
          <w:color w:val="auto"/>
        </w:rPr>
      </w:pPr>
    </w:p>
    <w:p>
      <w:pPr>
        <w:ind w:left="220" w:hanging="212"/>
        <w:spacing w:after="0" w:line="271"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Majority voting standard for uncontested director elections</w:t>
      </w:r>
      <w:r>
        <w:rPr>
          <w:rFonts w:ascii="Arial" w:cs="Arial" w:eastAsia="Arial" w:hAnsi="Arial"/>
          <w:sz w:val="18"/>
          <w:szCs w:val="18"/>
          <w:color w:val="auto"/>
        </w:rPr>
        <w:t>. Our By-laws include a resignation requirement for directors who fail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vote in uncontested elections.</w:t>
      </w:r>
    </w:p>
    <w:p>
      <w:pPr>
        <w:spacing w:after="0" w:line="18"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Shareholder outreach</w:t>
      </w:r>
      <w:r>
        <w:rPr>
          <w:rFonts w:ascii="Arial" w:cs="Arial" w:eastAsia="Arial" w:hAnsi="Arial"/>
          <w:sz w:val="18"/>
          <w:szCs w:val="18"/>
          <w:color w:val="auto"/>
        </w:rPr>
        <w:t>. Roper’s senior management team regularly engages our largest shareholders for feedback.</w:t>
      </w:r>
    </w:p>
    <w:p>
      <w:pPr>
        <w:spacing w:after="0" w:line="76" w:lineRule="exact"/>
        <w:rPr>
          <w:rFonts w:ascii="Arial" w:cs="Arial" w:eastAsia="Arial" w:hAnsi="Arial"/>
          <w:sz w:val="18"/>
          <w:szCs w:val="18"/>
          <w:color w:val="auto"/>
        </w:rPr>
      </w:pPr>
    </w:p>
    <w:p>
      <w:pPr>
        <w:ind w:left="220" w:right="200" w:hanging="212"/>
        <w:spacing w:after="0" w:line="24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Executive compensation is a key element in driving performance at Roper. </w:t>
      </w:r>
      <w:r>
        <w:rPr>
          <w:rFonts w:ascii="Arial" w:cs="Arial" w:eastAsia="Arial" w:hAnsi="Arial"/>
          <w:sz w:val="18"/>
          <w:szCs w:val="18"/>
          <w:color w:val="auto"/>
        </w:rPr>
        <w:t>Because much of our shareholder value creation is derived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Roper executive team’s capital deployment strategy, our executives must have a unique set of skills. We continue to refine our executive compensation practices (as described in more detail in our “Compensation Discussion and Analysis”), to maintain close alignment with the interests of our shareholders.</w:t>
      </w:r>
    </w:p>
    <w:p>
      <w:pPr>
        <w:spacing w:after="0" w:line="39" w:lineRule="exact"/>
        <w:rPr>
          <w:rFonts w:ascii="Arial" w:cs="Arial" w:eastAsia="Arial" w:hAnsi="Arial"/>
          <w:sz w:val="18"/>
          <w:szCs w:val="18"/>
          <w:color w:val="auto"/>
        </w:rPr>
      </w:pPr>
    </w:p>
    <w:p>
      <w:pPr>
        <w:ind w:left="220" w:right="500" w:hanging="212"/>
        <w:spacing w:after="0" w:line="253"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Enhanced Proxy Statement disclosure</w:t>
      </w:r>
      <w:r>
        <w:rPr>
          <w:rFonts w:ascii="Arial" w:cs="Arial" w:eastAsia="Arial" w:hAnsi="Arial"/>
          <w:sz w:val="18"/>
          <w:szCs w:val="18"/>
          <w:color w:val="auto"/>
        </w:rPr>
        <w:t>. We have strived to present the information in our Proxy Statement in a clear and easy-to-read</w:t>
      </w:r>
      <w:r>
        <w:rPr>
          <w:rFonts w:ascii="Arial" w:cs="Arial" w:eastAsia="Arial" w:hAnsi="Arial"/>
          <w:sz w:val="18"/>
          <w:szCs w:val="18"/>
          <w:b w:val="1"/>
          <w:bCs w:val="1"/>
          <w:color w:val="auto"/>
        </w:rPr>
        <w:t xml:space="preserve"> </w:t>
      </w:r>
      <w:r>
        <w:rPr>
          <w:rFonts w:ascii="Arial" w:cs="Arial" w:eastAsia="Arial" w:hAnsi="Arial"/>
          <w:sz w:val="18"/>
          <w:szCs w:val="18"/>
          <w:color w:val="auto"/>
        </w:rPr>
        <w:t>manner, and we believe that last year’s redesign of our Proxy Statement improved its readability. We have continued to receive positive feedback that we have incorporated in the evolution of our Proxy Statement.</w:t>
      </w:r>
    </w:p>
    <w:p>
      <w:pPr>
        <w:spacing w:after="0" w:line="117"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color w:val="auto"/>
        </w:rPr>
        <w:t>We value your support and input. Please continue to share your comments with us on any topic. Communications can be addressed to the directors in care of the Secretary, Roper Technologies, Inc., 6901 Professional Parkway East, Suite 200, Sarasota, Florida 34240.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405130</wp:posOffset>
            </wp:positionV>
            <wp:extent cx="1097915"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915" cy="23177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139065</wp:posOffset>
            </wp:positionV>
            <wp:extent cx="84899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995" cy="76327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344805</wp:posOffset>
            </wp:positionV>
            <wp:extent cx="115760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34290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387985</wp:posOffset>
            </wp:positionV>
            <wp:extent cx="91757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75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spacing w:after="0"/>
        <w:tabs>
          <w:tab w:leader="none" w:pos="3920" w:val="left"/>
          <w:tab w:leader="none" w:pos="6680" w:val="left"/>
          <w:tab w:leader="none" w:pos="9360" w:val="left"/>
        </w:tabs>
        <w:rPr>
          <w:sz w:val="20"/>
          <w:szCs w:val="20"/>
          <w:color w:val="auto"/>
        </w:rPr>
      </w:pPr>
      <w:r>
        <w:rPr>
          <w:rFonts w:ascii="Arial" w:cs="Arial" w:eastAsia="Arial" w:hAnsi="Arial"/>
          <w:sz w:val="18"/>
          <w:szCs w:val="18"/>
          <w:b w:val="1"/>
          <w:bCs w:val="1"/>
          <w:color w:val="auto"/>
        </w:rPr>
        <w:t>David W. Devonshire</w:t>
      </w:r>
      <w:r>
        <w:rPr>
          <w:sz w:val="20"/>
          <w:szCs w:val="20"/>
          <w:color w:val="auto"/>
        </w:rPr>
        <w:tab/>
      </w:r>
      <w:r>
        <w:rPr>
          <w:rFonts w:ascii="Arial" w:cs="Arial" w:eastAsia="Arial" w:hAnsi="Arial"/>
          <w:sz w:val="18"/>
          <w:szCs w:val="18"/>
          <w:b w:val="1"/>
          <w:bCs w:val="1"/>
          <w:color w:val="auto"/>
        </w:rPr>
        <w:t>John F. Fort III</w:t>
      </w:r>
      <w:r>
        <w:rPr>
          <w:sz w:val="20"/>
          <w:szCs w:val="20"/>
          <w:color w:val="auto"/>
        </w:rPr>
        <w:tab/>
      </w:r>
      <w:r>
        <w:rPr>
          <w:rFonts w:ascii="Arial" w:cs="Arial" w:eastAsia="Arial" w:hAnsi="Arial"/>
          <w:sz w:val="18"/>
          <w:szCs w:val="18"/>
          <w:b w:val="1"/>
          <w:bCs w:val="1"/>
          <w:color w:val="auto"/>
        </w:rPr>
        <w:t>Brian D. Jellison</w:t>
      </w:r>
      <w:r>
        <w:rPr>
          <w:sz w:val="20"/>
          <w:szCs w:val="20"/>
          <w:color w:val="auto"/>
        </w:rPr>
        <w:tab/>
      </w:r>
      <w:r>
        <w:rPr>
          <w:rFonts w:ascii="Arial" w:cs="Arial" w:eastAsia="Arial" w:hAnsi="Arial"/>
          <w:sz w:val="16"/>
          <w:szCs w:val="16"/>
          <w:b w:val="1"/>
          <w:bCs w:val="1"/>
          <w:color w:val="auto"/>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78740</wp:posOffset>
            </wp:positionV>
            <wp:extent cx="6560185"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01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spacing w:after="0"/>
        <w:tabs>
          <w:tab w:leader="none" w:pos="3720" w:val="left"/>
          <w:tab w:leader="none" w:pos="6560" w:val="left"/>
          <w:tab w:leader="none" w:pos="9360" w:val="left"/>
        </w:tabs>
        <w:rPr>
          <w:sz w:val="20"/>
          <w:szCs w:val="20"/>
          <w:color w:val="auto"/>
        </w:rPr>
      </w:pPr>
      <w:r>
        <w:rPr>
          <w:rFonts w:ascii="Arial" w:cs="Arial" w:eastAsia="Arial" w:hAnsi="Arial"/>
          <w:sz w:val="18"/>
          <w:szCs w:val="18"/>
          <w:b w:val="1"/>
          <w:bCs w:val="1"/>
          <w:color w:val="auto"/>
        </w:rPr>
        <w:t>Robert E. Knowling, Jr.</w:t>
      </w:r>
      <w:r>
        <w:rPr>
          <w:sz w:val="20"/>
          <w:szCs w:val="20"/>
          <w:color w:val="auto"/>
        </w:rPr>
        <w:tab/>
      </w:r>
      <w:r>
        <w:rPr>
          <w:rFonts w:ascii="Arial" w:cs="Arial" w:eastAsia="Arial" w:hAnsi="Arial"/>
          <w:sz w:val="18"/>
          <w:szCs w:val="18"/>
          <w:b w:val="1"/>
          <w:bCs w:val="1"/>
          <w:color w:val="auto"/>
        </w:rPr>
        <w:t>Wilbur J. Prezzano</w:t>
      </w:r>
      <w:r>
        <w:rPr>
          <w:sz w:val="20"/>
          <w:szCs w:val="20"/>
          <w:color w:val="auto"/>
        </w:rPr>
        <w:tab/>
      </w:r>
      <w:r>
        <w:rPr>
          <w:rFonts w:ascii="Arial" w:cs="Arial" w:eastAsia="Arial" w:hAnsi="Arial"/>
          <w:sz w:val="18"/>
          <w:szCs w:val="18"/>
          <w:b w:val="1"/>
          <w:bCs w:val="1"/>
          <w:color w:val="auto"/>
        </w:rPr>
        <w:t>Richard F. Wallman</w:t>
      </w:r>
      <w:r>
        <w:rPr>
          <w:sz w:val="20"/>
          <w:szCs w:val="20"/>
          <w:color w:val="auto"/>
        </w:rPr>
        <w:tab/>
      </w:r>
      <w:r>
        <w:rPr>
          <w:rFonts w:ascii="Arial" w:cs="Arial" w:eastAsia="Arial" w:hAnsi="Arial"/>
          <w:sz w:val="16"/>
          <w:szCs w:val="16"/>
          <w:b w:val="1"/>
          <w:bCs w:val="1"/>
          <w:color w:val="auto"/>
        </w:rPr>
        <w:t>Christopher Wright</w:t>
      </w:r>
    </w:p>
    <w:p>
      <w:pPr>
        <w:sectPr>
          <w:pgSz w:w="11900" w:h="16838" w:orient="portrait"/>
          <w:cols w:equalWidth="0" w:num="1">
            <w:col w:w="11280"/>
          </w:cols>
          <w:pgMar w:left="240" w:top="455" w:right="3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208280</wp:posOffset>
            </wp:positionV>
            <wp:extent cx="102044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04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NOTICE OF 2015 ANNUAL MEETING OF SHAREHOLDERS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Date and Time</w:t>
            </w: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Friday, </w:t>
            </w:r>
            <w:r>
              <w:rPr>
                <w:rFonts w:ascii="Arial" w:cs="Arial" w:eastAsia="Arial" w:hAnsi="Arial"/>
                <w:sz w:val="18"/>
                <w:szCs w:val="18"/>
                <w:b w:val="1"/>
                <w:bCs w:val="1"/>
                <w:color w:val="auto"/>
              </w:rPr>
              <w:t>May 29, 2015</w:t>
            </w:r>
            <w:r>
              <w:rPr>
                <w:rFonts w:ascii="Arial" w:cs="Arial" w:eastAsia="Arial" w:hAnsi="Arial"/>
                <w:sz w:val="18"/>
                <w:szCs w:val="18"/>
                <w:color w:val="auto"/>
              </w:rPr>
              <w:t xml:space="preserve">, at </w:t>
            </w:r>
            <w:r>
              <w:rPr>
                <w:rFonts w:ascii="Arial" w:cs="Arial" w:eastAsia="Arial" w:hAnsi="Arial"/>
                <w:sz w:val="18"/>
                <w:szCs w:val="18"/>
                <w:b w:val="1"/>
                <w:bCs w:val="1"/>
                <w:color w:val="auto"/>
              </w:rPr>
              <w:t>11:30 a.m.</w:t>
            </w:r>
            <w:r>
              <w:rPr>
                <w:rFonts w:ascii="Arial" w:cs="Arial" w:eastAsia="Arial" w:hAnsi="Arial"/>
                <w:sz w:val="18"/>
                <w:szCs w:val="18"/>
                <w:color w:val="auto"/>
              </w:rPr>
              <w:t xml:space="preserve"> local time</w:t>
            </w:r>
          </w:p>
        </w:tc>
      </w:tr>
      <w:tr>
        <w:trPr>
          <w:trHeight w:val="297"/>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Place</w:t>
            </w:r>
          </w:p>
        </w:tc>
        <w:tc>
          <w:tcPr>
            <w:tcW w:w="8980" w:type="dxa"/>
            <w:vAlign w:val="bottom"/>
          </w:tcPr>
          <w:p>
            <w:pPr>
              <w:ind w:left="1860"/>
              <w:spacing w:after="0"/>
              <w:rPr>
                <w:sz w:val="20"/>
                <w:szCs w:val="20"/>
                <w:color w:val="auto"/>
              </w:rPr>
            </w:pPr>
            <w:r>
              <w:rPr>
                <w:rFonts w:ascii="Arial" w:cs="Arial" w:eastAsia="Arial" w:hAnsi="Arial"/>
                <w:sz w:val="18"/>
                <w:szCs w:val="18"/>
                <w:color w:val="auto"/>
              </w:rPr>
              <w:t>6901 Professional Parkway East, Suite 200, Sarasota, Florida 34240</w:t>
            </w:r>
          </w:p>
        </w:tc>
      </w:tr>
      <w:tr>
        <w:trPr>
          <w:trHeight w:val="297"/>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Agenda</w:t>
            </w: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xml:space="preserve"> Election of seven directors.</w:t>
            </w:r>
          </w:p>
        </w:tc>
      </w:tr>
      <w:tr>
        <w:trPr>
          <w:trHeight w:val="255"/>
        </w:trPr>
        <w:tc>
          <w:tcPr>
            <w:tcW w:w="2480" w:type="dxa"/>
            <w:vAlign w:val="bottom"/>
          </w:tcPr>
          <w:p>
            <w:pPr>
              <w:spacing w:after="0"/>
              <w:rPr>
                <w:sz w:val="22"/>
                <w:szCs w:val="22"/>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xml:space="preserve"> To consider, on a non-binding advisory basis, a resolution approving the</w:t>
            </w:r>
          </w:p>
        </w:tc>
      </w:tr>
      <w:tr>
        <w:trPr>
          <w:trHeight w:val="237"/>
        </w:trPr>
        <w:tc>
          <w:tcPr>
            <w:tcW w:w="2480" w:type="dxa"/>
            <w:vAlign w:val="bottom"/>
          </w:tcPr>
          <w:p>
            <w:pPr>
              <w:spacing w:after="0"/>
              <w:rPr>
                <w:sz w:val="20"/>
                <w:szCs w:val="20"/>
                <w:color w:val="auto"/>
              </w:rPr>
            </w:pPr>
          </w:p>
        </w:tc>
        <w:tc>
          <w:tcPr>
            <w:tcW w:w="8980" w:type="dxa"/>
            <w:vAlign w:val="bottom"/>
          </w:tcPr>
          <w:p>
            <w:pPr>
              <w:ind w:left="2200"/>
              <w:spacing w:after="0"/>
              <w:rPr>
                <w:sz w:val="20"/>
                <w:szCs w:val="20"/>
                <w:color w:val="auto"/>
              </w:rPr>
            </w:pPr>
            <w:r>
              <w:rPr>
                <w:rFonts w:ascii="Arial" w:cs="Arial" w:eastAsia="Arial" w:hAnsi="Arial"/>
                <w:sz w:val="18"/>
                <w:szCs w:val="18"/>
                <w:color w:val="auto"/>
              </w:rPr>
              <w:t>compensation of our named executive officers.</w:t>
            </w:r>
          </w:p>
        </w:tc>
      </w:tr>
      <w:tr>
        <w:trPr>
          <w:trHeight w:val="249"/>
        </w:trPr>
        <w:tc>
          <w:tcPr>
            <w:tcW w:w="2480" w:type="dxa"/>
            <w:vAlign w:val="bottom"/>
          </w:tcPr>
          <w:p>
            <w:pPr>
              <w:spacing w:after="0"/>
              <w:rPr>
                <w:sz w:val="21"/>
                <w:szCs w:val="21"/>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xml:space="preserve"> To ratify the appointment of PricewaterhouseCoopers LLP as our</w:t>
            </w:r>
          </w:p>
        </w:tc>
      </w:tr>
      <w:tr>
        <w:trPr>
          <w:trHeight w:val="237"/>
        </w:trPr>
        <w:tc>
          <w:tcPr>
            <w:tcW w:w="2480" w:type="dxa"/>
            <w:vAlign w:val="bottom"/>
          </w:tcPr>
          <w:p>
            <w:pPr>
              <w:spacing w:after="0"/>
              <w:rPr>
                <w:sz w:val="20"/>
                <w:szCs w:val="20"/>
                <w:color w:val="auto"/>
              </w:rPr>
            </w:pPr>
          </w:p>
        </w:tc>
        <w:tc>
          <w:tcPr>
            <w:tcW w:w="8980" w:type="dxa"/>
            <w:vAlign w:val="bottom"/>
          </w:tcPr>
          <w:p>
            <w:pPr>
              <w:ind w:left="2200"/>
              <w:spacing w:after="0"/>
              <w:rPr>
                <w:sz w:val="20"/>
                <w:szCs w:val="20"/>
                <w:color w:val="auto"/>
              </w:rPr>
            </w:pPr>
            <w:r>
              <w:rPr>
                <w:rFonts w:ascii="Arial" w:cs="Arial" w:eastAsia="Arial" w:hAnsi="Arial"/>
                <w:sz w:val="18"/>
                <w:szCs w:val="18"/>
                <w:color w:val="auto"/>
              </w:rPr>
              <w:t>independent registered accounting firm for the year ending December 31, 2015.</w:t>
            </w:r>
          </w:p>
        </w:tc>
      </w:tr>
      <w:tr>
        <w:trPr>
          <w:trHeight w:val="249"/>
        </w:trPr>
        <w:tc>
          <w:tcPr>
            <w:tcW w:w="2480" w:type="dxa"/>
            <w:vAlign w:val="bottom"/>
          </w:tcPr>
          <w:p>
            <w:pPr>
              <w:spacing w:after="0"/>
              <w:rPr>
                <w:sz w:val="21"/>
                <w:szCs w:val="21"/>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xml:space="preserve"> To consider a shareholder proposal; if properly presented at the Annual</w:t>
            </w:r>
          </w:p>
        </w:tc>
      </w:tr>
      <w:tr>
        <w:trPr>
          <w:trHeight w:val="237"/>
        </w:trPr>
        <w:tc>
          <w:tcPr>
            <w:tcW w:w="2480" w:type="dxa"/>
            <w:vAlign w:val="bottom"/>
          </w:tcPr>
          <w:p>
            <w:pPr>
              <w:spacing w:after="0"/>
              <w:rPr>
                <w:sz w:val="20"/>
                <w:szCs w:val="20"/>
                <w:color w:val="auto"/>
              </w:rPr>
            </w:pPr>
          </w:p>
        </w:tc>
        <w:tc>
          <w:tcPr>
            <w:tcW w:w="8980" w:type="dxa"/>
            <w:vAlign w:val="bottom"/>
          </w:tcPr>
          <w:p>
            <w:pPr>
              <w:ind w:left="2200"/>
              <w:spacing w:after="0"/>
              <w:rPr>
                <w:sz w:val="20"/>
                <w:szCs w:val="20"/>
                <w:color w:val="auto"/>
              </w:rPr>
            </w:pPr>
            <w:r>
              <w:rPr>
                <w:rFonts w:ascii="Arial" w:cs="Arial" w:eastAsia="Arial" w:hAnsi="Arial"/>
                <w:sz w:val="18"/>
                <w:szCs w:val="18"/>
                <w:color w:val="auto"/>
              </w:rPr>
              <w:t>Meeting.</w:t>
            </w:r>
          </w:p>
        </w:tc>
      </w:tr>
      <w:tr>
        <w:trPr>
          <w:trHeight w:val="284"/>
        </w:trPr>
        <w:tc>
          <w:tcPr>
            <w:tcW w:w="2480" w:type="dxa"/>
            <w:vAlign w:val="bottom"/>
          </w:tcPr>
          <w:p>
            <w:pPr>
              <w:spacing w:after="0"/>
              <w:rPr>
                <w:sz w:val="24"/>
                <w:szCs w:val="24"/>
                <w:color w:val="auto"/>
              </w:rPr>
            </w:pPr>
          </w:p>
        </w:tc>
        <w:tc>
          <w:tcPr>
            <w:tcW w:w="8980" w:type="dxa"/>
            <w:vAlign w:val="bottom"/>
          </w:tcPr>
          <w:p>
            <w:pPr>
              <w:ind w:left="2200"/>
              <w:spacing w:after="0"/>
              <w:rPr>
                <w:sz w:val="20"/>
                <w:szCs w:val="20"/>
                <w:color w:val="auto"/>
              </w:rPr>
            </w:pPr>
            <w:r>
              <w:rPr>
                <w:rFonts w:ascii="Arial" w:cs="Arial" w:eastAsia="Arial" w:hAnsi="Arial"/>
                <w:sz w:val="18"/>
                <w:szCs w:val="18"/>
                <w:color w:val="auto"/>
                <w:w w:val="99"/>
              </w:rPr>
              <w:t>We will also transact any other business properly brought before the Annual Meeting.</w:t>
            </w:r>
          </w:p>
        </w:tc>
      </w:tr>
      <w:tr>
        <w:trPr>
          <w:trHeight w:val="249"/>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8980" w:type="dxa"/>
            <w:vAlign w:val="bottom"/>
          </w:tcPr>
          <w:p>
            <w:pPr>
              <w:ind w:left="1860"/>
              <w:spacing w:after="0"/>
              <w:rPr>
                <w:sz w:val="20"/>
                <w:szCs w:val="20"/>
                <w:color w:val="auto"/>
              </w:rPr>
            </w:pPr>
            <w:r>
              <w:rPr>
                <w:rFonts w:ascii="Arial" w:cs="Arial" w:eastAsia="Arial" w:hAnsi="Arial"/>
                <w:sz w:val="18"/>
                <w:szCs w:val="18"/>
                <w:color w:val="auto"/>
              </w:rPr>
              <w:t>Only shareholders of record at the close of business on March 31, 2015 will be entitled to</w:t>
            </w:r>
          </w:p>
        </w:tc>
      </w:tr>
      <w:tr>
        <w:trPr>
          <w:trHeight w:val="203"/>
        </w:trPr>
        <w:tc>
          <w:tcPr>
            <w:tcW w:w="2480" w:type="dxa"/>
            <w:vAlign w:val="bottom"/>
          </w:tcPr>
          <w:p>
            <w:pPr>
              <w:spacing w:after="0"/>
              <w:rPr>
                <w:sz w:val="17"/>
                <w:szCs w:val="17"/>
                <w:color w:val="auto"/>
              </w:rPr>
            </w:pPr>
          </w:p>
        </w:tc>
        <w:tc>
          <w:tcPr>
            <w:tcW w:w="8980" w:type="dxa"/>
            <w:vAlign w:val="bottom"/>
          </w:tcPr>
          <w:p>
            <w:pPr>
              <w:ind w:left="1860"/>
              <w:spacing w:after="0" w:line="202" w:lineRule="exact"/>
              <w:rPr>
                <w:sz w:val="20"/>
                <w:szCs w:val="20"/>
                <w:color w:val="auto"/>
              </w:rPr>
            </w:pPr>
            <w:r>
              <w:rPr>
                <w:rFonts w:ascii="Arial" w:cs="Arial" w:eastAsia="Arial" w:hAnsi="Arial"/>
                <w:sz w:val="18"/>
                <w:szCs w:val="18"/>
                <w:color w:val="auto"/>
              </w:rPr>
              <w:t>vote at the Annual Meeting or any adjourned meeting, and these shareholders will be</w:t>
            </w:r>
          </w:p>
        </w:tc>
      </w:tr>
      <w:tr>
        <w:trPr>
          <w:trHeight w:val="203"/>
        </w:trPr>
        <w:tc>
          <w:tcPr>
            <w:tcW w:w="2480" w:type="dxa"/>
            <w:vAlign w:val="bottom"/>
          </w:tcPr>
          <w:p>
            <w:pPr>
              <w:spacing w:after="0"/>
              <w:rPr>
                <w:sz w:val="17"/>
                <w:szCs w:val="17"/>
                <w:color w:val="auto"/>
              </w:rPr>
            </w:pPr>
          </w:p>
        </w:tc>
        <w:tc>
          <w:tcPr>
            <w:tcW w:w="8980" w:type="dxa"/>
            <w:vAlign w:val="bottom"/>
          </w:tcPr>
          <w:p>
            <w:pPr>
              <w:ind w:left="1860"/>
              <w:spacing w:after="0" w:line="202" w:lineRule="exact"/>
              <w:rPr>
                <w:sz w:val="20"/>
                <w:szCs w:val="20"/>
                <w:color w:val="auto"/>
              </w:rPr>
            </w:pPr>
            <w:r>
              <w:rPr>
                <w:rFonts w:ascii="Arial" w:cs="Arial" w:eastAsia="Arial" w:hAnsi="Arial"/>
                <w:sz w:val="18"/>
                <w:szCs w:val="18"/>
                <w:color w:val="auto"/>
              </w:rPr>
              <w:t>entitled to vote whether or not they have transferred any of their shares of our common</w:t>
            </w:r>
          </w:p>
        </w:tc>
      </w:tr>
      <w:tr>
        <w:trPr>
          <w:trHeight w:val="237"/>
        </w:trPr>
        <w:tc>
          <w:tcPr>
            <w:tcW w:w="2480" w:type="dxa"/>
            <w:vAlign w:val="bottom"/>
          </w:tcPr>
          <w:p>
            <w:pPr>
              <w:spacing w:after="0"/>
              <w:rPr>
                <w:sz w:val="20"/>
                <w:szCs w:val="20"/>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stock since that date.</w:t>
            </w:r>
          </w:p>
        </w:tc>
      </w:tr>
      <w:tr>
        <w:trPr>
          <w:trHeight w:val="29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Voting Recommendations</w:t>
            </w:r>
          </w:p>
        </w:tc>
        <w:tc>
          <w:tcPr>
            <w:tcW w:w="8980" w:type="dxa"/>
            <w:vAlign w:val="bottom"/>
          </w:tcPr>
          <w:p>
            <w:pPr>
              <w:ind w:left="1860"/>
              <w:spacing w:after="0"/>
              <w:rPr>
                <w:sz w:val="20"/>
                <w:szCs w:val="20"/>
                <w:color w:val="auto"/>
              </w:rPr>
            </w:pPr>
            <w:r>
              <w:rPr>
                <w:rFonts w:ascii="Arial" w:cs="Arial" w:eastAsia="Arial" w:hAnsi="Arial"/>
                <w:sz w:val="18"/>
                <w:szCs w:val="18"/>
                <w:color w:val="auto"/>
              </w:rPr>
              <w:t>The Company recommends that you vote:</w:t>
            </w:r>
          </w:p>
        </w:tc>
      </w:tr>
      <w:tr>
        <w:trPr>
          <w:trHeight w:val="297"/>
        </w:trPr>
        <w:tc>
          <w:tcPr>
            <w:tcW w:w="2480" w:type="dxa"/>
            <w:vAlign w:val="bottom"/>
          </w:tcPr>
          <w:p>
            <w:pPr>
              <w:spacing w:after="0"/>
              <w:rPr>
                <w:sz w:val="24"/>
                <w:szCs w:val="24"/>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all of the director nominees</w:t>
            </w:r>
          </w:p>
        </w:tc>
      </w:tr>
      <w:tr>
        <w:trPr>
          <w:trHeight w:val="284"/>
        </w:trPr>
        <w:tc>
          <w:tcPr>
            <w:tcW w:w="2480" w:type="dxa"/>
            <w:vAlign w:val="bottom"/>
          </w:tcPr>
          <w:p>
            <w:pPr>
              <w:spacing w:after="0"/>
              <w:rPr>
                <w:sz w:val="24"/>
                <w:szCs w:val="24"/>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approval of the compensation to our named executive officers</w:t>
            </w:r>
          </w:p>
        </w:tc>
      </w:tr>
      <w:tr>
        <w:trPr>
          <w:trHeight w:val="284"/>
        </w:trPr>
        <w:tc>
          <w:tcPr>
            <w:tcW w:w="2480" w:type="dxa"/>
            <w:vAlign w:val="bottom"/>
          </w:tcPr>
          <w:p>
            <w:pPr>
              <w:spacing w:after="0"/>
              <w:rPr>
                <w:sz w:val="24"/>
                <w:szCs w:val="24"/>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appointment of PricewaterhouseCoopers</w:t>
            </w:r>
          </w:p>
        </w:tc>
      </w:tr>
      <w:tr>
        <w:trPr>
          <w:trHeight w:val="284"/>
        </w:trPr>
        <w:tc>
          <w:tcPr>
            <w:tcW w:w="2480" w:type="dxa"/>
            <w:vAlign w:val="bottom"/>
          </w:tcPr>
          <w:p>
            <w:pPr>
              <w:spacing w:after="0"/>
              <w:rPr>
                <w:sz w:val="24"/>
                <w:szCs w:val="24"/>
                <w:color w:val="auto"/>
              </w:rPr>
            </w:pPr>
          </w:p>
        </w:tc>
        <w:tc>
          <w:tcPr>
            <w:tcW w:w="8980" w:type="dxa"/>
            <w:vAlign w:val="bottom"/>
          </w:tcPr>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 shareholder proposal</w:t>
            </w:r>
          </w:p>
        </w:tc>
      </w:tr>
      <w:tr>
        <w:trPr>
          <w:trHeight w:val="239"/>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Proxy Voting</w:t>
            </w:r>
          </w:p>
        </w:tc>
        <w:tc>
          <w:tcPr>
            <w:tcW w:w="8980" w:type="dxa"/>
            <w:vAlign w:val="bottom"/>
          </w:tcPr>
          <w:p>
            <w:pPr>
              <w:ind w:left="1860"/>
              <w:spacing w:after="0"/>
              <w:rPr>
                <w:sz w:val="20"/>
                <w:szCs w:val="20"/>
                <w:color w:val="auto"/>
              </w:rPr>
            </w:pPr>
            <w:r>
              <w:rPr>
                <w:rFonts w:ascii="Arial" w:cs="Arial" w:eastAsia="Arial" w:hAnsi="Arial"/>
                <w:sz w:val="18"/>
                <w:szCs w:val="18"/>
                <w:b w:val="1"/>
                <w:bCs w:val="1"/>
                <w:color w:val="auto"/>
              </w:rPr>
              <w:t>Your vote is important regardless of the number of shares of stock you own.</w:t>
            </w:r>
          </w:p>
        </w:tc>
      </w:tr>
      <w:tr>
        <w:trPr>
          <w:trHeight w:val="203"/>
        </w:trPr>
        <w:tc>
          <w:tcPr>
            <w:tcW w:w="2480" w:type="dxa"/>
            <w:vAlign w:val="bottom"/>
          </w:tcPr>
          <w:p>
            <w:pPr>
              <w:spacing w:after="0"/>
              <w:rPr>
                <w:sz w:val="17"/>
                <w:szCs w:val="17"/>
                <w:color w:val="auto"/>
              </w:rPr>
            </w:pPr>
          </w:p>
        </w:tc>
        <w:tc>
          <w:tcPr>
            <w:tcW w:w="8980" w:type="dxa"/>
            <w:vAlign w:val="bottom"/>
          </w:tcPr>
          <w:p>
            <w:pPr>
              <w:ind w:left="1860"/>
              <w:spacing w:after="0" w:line="202" w:lineRule="exact"/>
              <w:rPr>
                <w:sz w:val="20"/>
                <w:szCs w:val="20"/>
                <w:color w:val="auto"/>
              </w:rPr>
            </w:pPr>
            <w:r>
              <w:rPr>
                <w:rFonts w:ascii="Arial" w:cs="Arial" w:eastAsia="Arial" w:hAnsi="Arial"/>
                <w:sz w:val="18"/>
                <w:szCs w:val="18"/>
                <w:b w:val="1"/>
                <w:bCs w:val="1"/>
                <w:color w:val="auto"/>
              </w:rPr>
              <w:t>Whether or not you plan to attend the Annual Meeting in person, please promptly</w:t>
            </w:r>
          </w:p>
        </w:tc>
      </w:tr>
      <w:tr>
        <w:trPr>
          <w:trHeight w:val="203"/>
        </w:trPr>
        <w:tc>
          <w:tcPr>
            <w:tcW w:w="2480" w:type="dxa"/>
            <w:vAlign w:val="bottom"/>
          </w:tcPr>
          <w:p>
            <w:pPr>
              <w:spacing w:after="0"/>
              <w:rPr>
                <w:sz w:val="17"/>
                <w:szCs w:val="17"/>
                <w:color w:val="auto"/>
              </w:rPr>
            </w:pPr>
          </w:p>
        </w:tc>
        <w:tc>
          <w:tcPr>
            <w:tcW w:w="8980" w:type="dxa"/>
            <w:vAlign w:val="bottom"/>
          </w:tcPr>
          <w:p>
            <w:pPr>
              <w:ind w:left="1860"/>
              <w:spacing w:after="0" w:line="202" w:lineRule="exact"/>
              <w:rPr>
                <w:sz w:val="20"/>
                <w:szCs w:val="20"/>
                <w:color w:val="auto"/>
              </w:rPr>
            </w:pPr>
            <w:r>
              <w:rPr>
                <w:rFonts w:ascii="Arial" w:cs="Arial" w:eastAsia="Arial" w:hAnsi="Arial"/>
                <w:sz w:val="18"/>
                <w:szCs w:val="18"/>
                <w:b w:val="1"/>
                <w:bCs w:val="1"/>
                <w:color w:val="auto"/>
              </w:rPr>
              <w:t>vote by telephone, via the internet, or by mail. Instructions for each of these</w:t>
            </w:r>
          </w:p>
        </w:tc>
      </w:tr>
      <w:tr>
        <w:trPr>
          <w:trHeight w:val="247"/>
        </w:trPr>
        <w:tc>
          <w:tcPr>
            <w:tcW w:w="2480" w:type="dxa"/>
            <w:vAlign w:val="bottom"/>
          </w:tcPr>
          <w:p>
            <w:pPr>
              <w:spacing w:after="0"/>
              <w:rPr>
                <w:sz w:val="21"/>
                <w:szCs w:val="21"/>
                <w:color w:val="auto"/>
              </w:rPr>
            </w:pPr>
          </w:p>
        </w:tc>
        <w:tc>
          <w:tcPr>
            <w:tcW w:w="8980" w:type="dxa"/>
            <w:vAlign w:val="bottom"/>
          </w:tcPr>
          <w:p>
            <w:pPr>
              <w:ind w:left="1860"/>
              <w:spacing w:after="0"/>
              <w:rPr>
                <w:sz w:val="20"/>
                <w:szCs w:val="20"/>
                <w:color w:val="auto"/>
              </w:rPr>
            </w:pPr>
            <w:r>
              <w:rPr>
                <w:rFonts w:ascii="Arial" w:cs="Arial" w:eastAsia="Arial" w:hAnsi="Arial"/>
                <w:sz w:val="18"/>
                <w:szCs w:val="18"/>
                <w:b w:val="1"/>
                <w:bCs w:val="1"/>
                <w:color w:val="auto"/>
                <w:w w:val="99"/>
              </w:rPr>
              <w:t>methods and the control number that you will need are provided on the proxy card.</w:t>
            </w:r>
          </w:p>
        </w:tc>
      </w:tr>
      <w:tr>
        <w:trPr>
          <w:trHeight w:val="397"/>
        </w:trPr>
        <w:tc>
          <w:tcPr>
            <w:tcW w:w="2480" w:type="dxa"/>
            <w:vAlign w:val="bottom"/>
          </w:tcPr>
          <w:p>
            <w:pPr>
              <w:spacing w:after="0"/>
              <w:rPr>
                <w:sz w:val="20"/>
                <w:szCs w:val="20"/>
                <w:color w:val="auto"/>
              </w:rPr>
            </w:pPr>
            <w:r>
              <w:rPr>
                <w:rFonts w:ascii="Arial" w:cs="Arial" w:eastAsia="Arial" w:hAnsi="Arial"/>
                <w:sz w:val="18"/>
                <w:szCs w:val="18"/>
                <w:color w:val="auto"/>
              </w:rPr>
              <w:t>April 29, 2015</w:t>
            </w:r>
          </w:p>
        </w:tc>
        <w:tc>
          <w:tcPr>
            <w:tcW w:w="8980" w:type="dxa"/>
            <w:vAlign w:val="bottom"/>
          </w:tcPr>
          <w:p>
            <w:pPr>
              <w:ind w:left="3580"/>
              <w:spacing w:after="0"/>
              <w:rPr>
                <w:sz w:val="20"/>
                <w:szCs w:val="20"/>
                <w:color w:val="auto"/>
              </w:rPr>
            </w:pPr>
            <w:r>
              <w:rPr>
                <w:rFonts w:ascii="Arial" w:cs="Arial" w:eastAsia="Arial" w:hAnsi="Arial"/>
                <w:sz w:val="18"/>
                <w:szCs w:val="18"/>
                <w:color w:val="auto"/>
              </w:rPr>
              <w:t>By Order of the Board of Directors</w:t>
            </w:r>
          </w:p>
        </w:tc>
      </w:tr>
      <w:tr>
        <w:trPr>
          <w:trHeight w:val="830"/>
        </w:trPr>
        <w:tc>
          <w:tcPr>
            <w:tcW w:w="2480" w:type="dxa"/>
            <w:vAlign w:val="bottom"/>
          </w:tcPr>
          <w:p>
            <w:pPr>
              <w:spacing w:after="0"/>
              <w:rPr>
                <w:sz w:val="24"/>
                <w:szCs w:val="24"/>
                <w:color w:val="auto"/>
              </w:rPr>
            </w:pPr>
          </w:p>
        </w:tc>
        <w:tc>
          <w:tcPr>
            <w:tcW w:w="8980" w:type="dxa"/>
            <w:vAlign w:val="bottom"/>
          </w:tcPr>
          <w:p>
            <w:pPr>
              <w:ind w:left="3580"/>
              <w:spacing w:after="0"/>
              <w:rPr>
                <w:sz w:val="20"/>
                <w:szCs w:val="20"/>
                <w:color w:val="auto"/>
              </w:rPr>
            </w:pPr>
            <w:r>
              <w:rPr>
                <w:rFonts w:ascii="Arial" w:cs="Arial" w:eastAsia="Arial" w:hAnsi="Arial"/>
                <w:sz w:val="18"/>
                <w:szCs w:val="18"/>
                <w:color w:val="auto"/>
              </w:rPr>
              <w:t>David B. Liner</w:t>
            </w:r>
          </w:p>
        </w:tc>
      </w:tr>
      <w:tr>
        <w:trPr>
          <w:trHeight w:val="237"/>
        </w:trPr>
        <w:tc>
          <w:tcPr>
            <w:tcW w:w="2480" w:type="dxa"/>
            <w:vAlign w:val="bottom"/>
          </w:tcPr>
          <w:p>
            <w:pPr>
              <w:spacing w:after="0"/>
              <w:rPr>
                <w:sz w:val="20"/>
                <w:szCs w:val="20"/>
                <w:color w:val="auto"/>
              </w:rPr>
            </w:pPr>
          </w:p>
        </w:tc>
        <w:tc>
          <w:tcPr>
            <w:tcW w:w="8980" w:type="dxa"/>
            <w:vAlign w:val="bottom"/>
          </w:tcPr>
          <w:p>
            <w:pPr>
              <w:ind w:left="3580"/>
              <w:spacing w:after="0"/>
              <w:rPr>
                <w:sz w:val="20"/>
                <w:szCs w:val="20"/>
                <w:color w:val="auto"/>
              </w:rPr>
            </w:pPr>
            <w:r>
              <w:rPr>
                <w:rFonts w:ascii="Arial" w:cs="Arial" w:eastAsia="Arial" w:hAnsi="Arial"/>
                <w:sz w:val="18"/>
                <w:szCs w:val="18"/>
                <w:color w:val="auto"/>
              </w:rPr>
              <w:t>Vice President, General Counsel and Secretary</w:t>
            </w:r>
          </w:p>
        </w:tc>
      </w:tr>
      <w:tr>
        <w:trPr>
          <w:trHeight w:val="197"/>
        </w:trPr>
        <w:tc>
          <w:tcPr>
            <w:tcW w:w="2480" w:type="dxa"/>
            <w:vAlign w:val="bottom"/>
          </w:tcPr>
          <w:p>
            <w:pPr>
              <w:spacing w:after="0"/>
              <w:rPr>
                <w:sz w:val="17"/>
                <w:szCs w:val="17"/>
                <w:color w:val="auto"/>
              </w:rPr>
            </w:pPr>
          </w:p>
        </w:tc>
        <w:tc>
          <w:tcPr>
            <w:tcW w:w="8980" w:type="dxa"/>
            <w:vAlign w:val="bottom"/>
          </w:tcPr>
          <w:p>
            <w:pPr>
              <w:spacing w:after="0"/>
              <w:rPr>
                <w:sz w:val="17"/>
                <w:szCs w:val="17"/>
                <w:color w:val="auto"/>
              </w:rPr>
            </w:pPr>
          </w:p>
        </w:tc>
      </w:tr>
      <w:tr>
        <w:trPr>
          <w:trHeight w:val="239"/>
        </w:trPr>
        <w:tc>
          <w:tcPr>
            <w:tcW w:w="2480" w:type="dxa"/>
            <w:vAlign w:val="bottom"/>
            <w:shd w:val="clear" w:color="auto" w:fill="D2DEEE"/>
          </w:tcPr>
          <w:p>
            <w:pPr>
              <w:spacing w:after="0"/>
              <w:rPr>
                <w:sz w:val="20"/>
                <w:szCs w:val="20"/>
                <w:color w:val="auto"/>
              </w:rPr>
            </w:pPr>
          </w:p>
        </w:tc>
        <w:tc>
          <w:tcPr>
            <w:tcW w:w="8980" w:type="dxa"/>
            <w:vAlign w:val="bottom"/>
            <w:shd w:val="clear" w:color="auto" w:fill="D2DEEE"/>
          </w:tcPr>
          <w:p>
            <w:pPr>
              <w:jc w:val="center"/>
              <w:ind w:right="2392"/>
              <w:spacing w:after="0"/>
              <w:rPr>
                <w:sz w:val="20"/>
                <w:szCs w:val="20"/>
                <w:color w:val="auto"/>
              </w:rPr>
            </w:pPr>
            <w:r>
              <w:rPr>
                <w:rFonts w:ascii="Arial" w:cs="Arial" w:eastAsia="Arial" w:hAnsi="Arial"/>
                <w:sz w:val="18"/>
                <w:szCs w:val="18"/>
                <w:b w:val="1"/>
                <w:bCs w:val="1"/>
                <w:color w:val="auto"/>
                <w:w w:val="97"/>
              </w:rPr>
              <w:t>Important Notice Regarding the Availability of Proxy Materials for the</w:t>
            </w:r>
          </w:p>
        </w:tc>
      </w:tr>
      <w:tr>
        <w:trPr>
          <w:trHeight w:val="247"/>
        </w:trPr>
        <w:tc>
          <w:tcPr>
            <w:tcW w:w="2480" w:type="dxa"/>
            <w:vAlign w:val="bottom"/>
            <w:shd w:val="clear" w:color="auto" w:fill="D2DEEE"/>
          </w:tcPr>
          <w:p>
            <w:pPr>
              <w:spacing w:after="0"/>
              <w:rPr>
                <w:sz w:val="21"/>
                <w:szCs w:val="21"/>
                <w:color w:val="auto"/>
              </w:rPr>
            </w:pPr>
          </w:p>
        </w:tc>
        <w:tc>
          <w:tcPr>
            <w:tcW w:w="8980" w:type="dxa"/>
            <w:vAlign w:val="bottom"/>
            <w:shd w:val="clear" w:color="auto" w:fill="D2DEEE"/>
          </w:tcPr>
          <w:p>
            <w:pPr>
              <w:jc w:val="center"/>
              <w:ind w:right="2392"/>
              <w:spacing w:after="0"/>
              <w:rPr>
                <w:sz w:val="20"/>
                <w:szCs w:val="20"/>
                <w:color w:val="auto"/>
              </w:rPr>
            </w:pPr>
            <w:r>
              <w:rPr>
                <w:rFonts w:ascii="Arial" w:cs="Arial" w:eastAsia="Arial" w:hAnsi="Arial"/>
                <w:sz w:val="18"/>
                <w:szCs w:val="18"/>
                <w:b w:val="1"/>
                <w:bCs w:val="1"/>
                <w:color w:val="auto"/>
                <w:w w:val="96"/>
              </w:rPr>
              <w:t>Shareholder Meeting To Be Held On May 29, 2015.</w:t>
            </w:r>
          </w:p>
        </w:tc>
      </w:tr>
      <w:tr>
        <w:trPr>
          <w:trHeight w:val="322"/>
        </w:trPr>
        <w:tc>
          <w:tcPr>
            <w:tcW w:w="2480" w:type="dxa"/>
            <w:vAlign w:val="bottom"/>
            <w:shd w:val="clear" w:color="auto" w:fill="D2DEEE"/>
          </w:tcPr>
          <w:p>
            <w:pPr>
              <w:spacing w:after="0"/>
              <w:rPr>
                <w:sz w:val="24"/>
                <w:szCs w:val="24"/>
                <w:color w:val="auto"/>
              </w:rPr>
            </w:pPr>
          </w:p>
        </w:tc>
        <w:tc>
          <w:tcPr>
            <w:tcW w:w="8980" w:type="dxa"/>
            <w:vAlign w:val="bottom"/>
            <w:shd w:val="clear" w:color="auto" w:fill="D2DEEE"/>
          </w:tcPr>
          <w:p>
            <w:pPr>
              <w:jc w:val="center"/>
              <w:ind w:right="2392"/>
              <w:spacing w:after="0"/>
              <w:rPr>
                <w:sz w:val="20"/>
                <w:szCs w:val="20"/>
                <w:color w:val="auto"/>
              </w:rPr>
            </w:pPr>
            <w:r>
              <w:rPr>
                <w:rFonts w:ascii="Arial" w:cs="Arial" w:eastAsia="Arial" w:hAnsi="Arial"/>
                <w:sz w:val="18"/>
                <w:szCs w:val="18"/>
                <w:color w:val="auto"/>
                <w:w w:val="97"/>
              </w:rPr>
              <w:t>This Proxy Statement and the Roper Technologies, Inc. 2014 Annual Report</w:t>
            </w:r>
          </w:p>
        </w:tc>
      </w:tr>
      <w:tr>
        <w:trPr>
          <w:trHeight w:val="245"/>
        </w:trPr>
        <w:tc>
          <w:tcPr>
            <w:tcW w:w="2480" w:type="dxa"/>
            <w:vAlign w:val="bottom"/>
            <w:shd w:val="clear" w:color="auto" w:fill="D2DEEE"/>
          </w:tcPr>
          <w:p>
            <w:pPr>
              <w:spacing w:after="0"/>
              <w:rPr>
                <w:sz w:val="21"/>
                <w:szCs w:val="21"/>
                <w:color w:val="auto"/>
              </w:rPr>
            </w:pPr>
          </w:p>
        </w:tc>
        <w:tc>
          <w:tcPr>
            <w:tcW w:w="8980" w:type="dxa"/>
            <w:vAlign w:val="bottom"/>
            <w:shd w:val="clear" w:color="auto" w:fill="D2DEEE"/>
          </w:tcPr>
          <w:p>
            <w:pPr>
              <w:jc w:val="center"/>
              <w:ind w:right="2392"/>
              <w:spacing w:after="0"/>
              <w:rPr>
                <w:sz w:val="20"/>
                <w:szCs w:val="20"/>
                <w:color w:val="auto"/>
              </w:rPr>
            </w:pPr>
            <w:r>
              <w:rPr>
                <w:rFonts w:ascii="Arial" w:cs="Arial" w:eastAsia="Arial" w:hAnsi="Arial"/>
                <w:sz w:val="18"/>
                <w:szCs w:val="18"/>
                <w:color w:val="auto"/>
                <w:w w:val="97"/>
              </w:rPr>
              <w:t xml:space="preserve">to Shareholders are available at: </w:t>
            </w:r>
            <w:r>
              <w:rPr>
                <w:rFonts w:ascii="Arial" w:cs="Arial" w:eastAsia="Arial" w:hAnsi="Arial"/>
                <w:sz w:val="18"/>
                <w:szCs w:val="18"/>
                <w:b w:val="1"/>
                <w:bCs w:val="1"/>
                <w:i w:val="1"/>
                <w:iCs w:val="1"/>
                <w:color w:val="225CAB"/>
                <w:w w:val="97"/>
              </w:rPr>
              <w:t>www.ropertech.com</w:t>
            </w:r>
          </w:p>
        </w:tc>
      </w:tr>
      <w:tr>
        <w:trPr>
          <w:trHeight w:val="34"/>
        </w:trPr>
        <w:tc>
          <w:tcPr>
            <w:tcW w:w="2480" w:type="dxa"/>
            <w:vAlign w:val="bottom"/>
            <w:shd w:val="clear" w:color="auto" w:fill="D2DEEE"/>
          </w:tcPr>
          <w:p>
            <w:pPr>
              <w:spacing w:after="0"/>
              <w:rPr>
                <w:sz w:val="2"/>
                <w:szCs w:val="2"/>
                <w:color w:val="auto"/>
              </w:rPr>
            </w:pPr>
          </w:p>
        </w:tc>
        <w:tc>
          <w:tcPr>
            <w:tcW w:w="8980" w:type="dxa"/>
            <w:vAlign w:val="bottom"/>
            <w:shd w:val="clear" w:color="auto" w:fill="D2DEE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-1365250</wp:posOffset>
            </wp:positionV>
            <wp:extent cx="137223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283210"/>
                    </a:xfrm>
                    <a:prstGeom prst="rect">
                      <a:avLst/>
                    </a:prstGeom>
                    <a:noFill/>
                  </pic:spPr>
                </pic:pic>
              </a:graphicData>
            </a:graphic>
          </wp:anchor>
        </w:drawing>
      </w:r>
    </w:p>
    <w:p>
      <w:pPr>
        <w:sectPr>
          <w:pgSz w:w="11900" w:h="16838" w:orient="portrait"/>
          <w:cols w:equalWidth="0" w:num="1">
            <w:col w:w="11460"/>
          </w:cols>
          <w:pgMar w:left="240" w:top="455" w:right="1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TABLE OF CONTENTS</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25CAB"/>
        </w:rPr>
        <w:t>GENERAL</w:t>
      </w:r>
    </w:p>
    <w:p>
      <w:pPr>
        <w:spacing w:after="0" w:line="15" w:lineRule="exact"/>
        <w:rPr>
          <w:sz w:val="20"/>
          <w:szCs w:val="20"/>
          <w:color w:val="auto"/>
        </w:rPr>
      </w:pPr>
    </w:p>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 Summary</w:t>
        </w:r>
      </w:hyperlink>
    </w:p>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Annual Meeting and Voting Information</w:t>
        </w:r>
      </w:hyperlink>
    </w:p>
    <w:p>
      <w:pPr>
        <w:spacing w:after="0" w:line="39"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BOARD OF DIRECTORS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CORPORATE GOVERNANCE</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BOARD COMMITTEES AND MEETINGS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DIRECTOR COMPENSATION</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EXECUTIVE OFFICERS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BENEFICIAL OWNERSHIP</w:t>
        </w:r>
      </w:hyperlink>
    </w:p>
    <w:p>
      <w:pPr>
        <w:spacing w:after="0" w:line="63" w:lineRule="exact"/>
        <w:rPr>
          <w:sz w:val="20"/>
          <w:szCs w:val="20"/>
          <w:color w:val="auto"/>
        </w:rPr>
      </w:pPr>
    </w:p>
    <w:p>
      <w:pPr>
        <w:ind w:left="220" w:hanging="215"/>
        <w:spacing w:after="0" w:line="274" w:lineRule="auto"/>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SECTION 16(a) BENEFICIAL OWNERSHIP REPORTING</w:t>
        </w:r>
      </w:hyperlink>
      <w:r>
        <w:rPr>
          <w:rFonts w:ascii="Arial" w:cs="Arial" w:eastAsia="Arial" w:hAnsi="Arial"/>
          <w:sz w:val="18"/>
          <w:szCs w:val="18"/>
          <w:b w:val="1"/>
          <w:bCs w:val="1"/>
          <w:u w:val="single" w:color="auto"/>
          <w:color w:val="0000EE"/>
        </w:rPr>
        <w:t xml:space="preserve"> </w:t>
      </w:r>
      <w:hyperlink w:anchor="page30">
        <w:r>
          <w:rPr>
            <w:rFonts w:ascii="Arial" w:cs="Arial" w:eastAsia="Arial" w:hAnsi="Arial"/>
            <w:sz w:val="18"/>
            <w:szCs w:val="18"/>
            <w:b w:val="1"/>
            <w:bCs w:val="1"/>
            <w:u w:val="single" w:color="auto"/>
            <w:color w:val="0000EE"/>
          </w:rPr>
          <w:t>COMPLIANCE</w:t>
        </w:r>
      </w:hyperlink>
    </w:p>
    <w:p>
      <w:pPr>
        <w:ind w:left="440" w:right="660" w:hanging="431"/>
        <w:spacing w:after="0" w:line="248" w:lineRule="auto"/>
        <w:rPr>
          <w:rFonts w:ascii="Arial" w:cs="Arial" w:eastAsia="Arial" w:hAnsi="Arial"/>
          <w:sz w:val="18"/>
          <w:szCs w:val="18"/>
          <w:u w:val="single" w:color="auto"/>
          <w:color w:val="0000EE"/>
        </w:rPr>
      </w:pPr>
      <w:hyperlink w:anchor="page31">
        <w:r>
          <w:rPr>
            <w:rFonts w:ascii="Arial" w:cs="Arial" w:eastAsia="Arial" w:hAnsi="Arial"/>
            <w:sz w:val="18"/>
            <w:szCs w:val="18"/>
            <w:b w:val="1"/>
            <w:bCs w:val="1"/>
            <w:u w:val="single" w:color="auto"/>
            <w:color w:val="0000EE"/>
          </w:rPr>
          <w:t>COMPENSATION DISCUSSION AND ANALYSIS</w:t>
        </w:r>
      </w:hyperlink>
      <w:r>
        <w:rPr>
          <w:rFonts w:ascii="Arial" w:cs="Arial" w:eastAsia="Arial" w:hAnsi="Arial"/>
          <w:sz w:val="18"/>
          <w:szCs w:val="18"/>
          <w:b w:val="1"/>
          <w:bCs w:val="1"/>
          <w:u w:val="single" w:color="auto"/>
          <w:color w:val="0000EE"/>
        </w:rPr>
        <w:t xml:space="preserve"> </w:t>
      </w:r>
      <w:hyperlink w:anchor="page31">
        <w:r>
          <w:rPr>
            <w:rFonts w:ascii="Arial" w:cs="Arial" w:eastAsia="Arial" w:hAnsi="Arial"/>
            <w:sz w:val="18"/>
            <w:szCs w:val="18"/>
            <w:u w:val="single" w:color="auto"/>
            <w:color w:val="0000EE"/>
          </w:rPr>
          <w:t>Executive Summary</w:t>
        </w:r>
      </w:hyperlink>
    </w:p>
    <w:p>
      <w:pPr>
        <w:ind w:left="440"/>
        <w:spacing w:after="0" w:line="236"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Creating Shareholder Value</w:t>
        </w:r>
      </w:hyperlink>
    </w:p>
    <w:p>
      <w:pPr>
        <w:ind w:left="440" w:right="880"/>
        <w:spacing w:after="0" w:line="234"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Objectives of Our Compensation Program</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Elements of Compensation</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Compensation Process</w:t>
        </w:r>
      </w:hyperlink>
    </w:p>
    <w:p>
      <w:pPr>
        <w:spacing w:after="0" w:line="2" w:lineRule="exact"/>
        <w:rPr>
          <w:rFonts w:ascii="Arial" w:cs="Arial" w:eastAsia="Arial" w:hAnsi="Arial"/>
          <w:sz w:val="18"/>
          <w:szCs w:val="18"/>
          <w:u w:val="single" w:color="auto"/>
          <w:color w:val="0000EE"/>
        </w:rPr>
      </w:pPr>
    </w:p>
    <w:p>
      <w:pPr>
        <w:ind w:left="440" w:right="920"/>
        <w:spacing w:after="0" w:line="304" w:lineRule="auto"/>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Analysis of 2014 Compensation</w:t>
        </w:r>
      </w:hyperlink>
      <w:r>
        <w:rPr>
          <w:rFonts w:ascii="Arial" w:cs="Arial" w:eastAsia="Arial" w:hAnsi="Arial"/>
          <w:sz w:val="16"/>
          <w:szCs w:val="16"/>
          <w:u w:val="single" w:color="auto"/>
          <w:color w:val="0000EE"/>
        </w:rPr>
        <w:t xml:space="preserve"> </w:t>
      </w:r>
      <w:hyperlink w:anchor="page44">
        <w:r>
          <w:rPr>
            <w:rFonts w:ascii="Arial" w:cs="Arial" w:eastAsia="Arial" w:hAnsi="Arial"/>
            <w:sz w:val="16"/>
            <w:szCs w:val="16"/>
            <w:u w:val="single" w:color="auto"/>
            <w:color w:val="0000EE"/>
          </w:rPr>
          <w:t>Additional Information about our Program</w:t>
        </w:r>
      </w:hyperlink>
    </w:p>
    <w:p>
      <w:pPr>
        <w:spacing w:after="0" w:line="2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COMPENSATION COMMITTEE REPORT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102"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EXECUTIVE COMPENSATION</w:t>
              </w:r>
            </w:hyperlink>
          </w:p>
        </w:tc>
        <w:tc>
          <w:tcPr>
            <w:tcW w:w="1980" w:type="dxa"/>
            <w:vAlign w:val="bottom"/>
            <w:gridSpan w:val="5"/>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440" w:type="dxa"/>
            <w:vAlign w:val="bottom"/>
          </w:tcPr>
          <w:p>
            <w:pPr>
              <w:jc w:val="right"/>
              <w:ind w:right="252"/>
              <w:spacing w:after="0" w:line="182" w:lineRule="exact"/>
              <w:rPr>
                <w:sz w:val="20"/>
                <w:szCs w:val="20"/>
                <w:color w:val="auto"/>
              </w:rPr>
            </w:pPr>
            <w:r>
              <w:rPr>
                <w:rFonts w:ascii="Arial" w:cs="Arial" w:eastAsia="Arial" w:hAnsi="Arial"/>
                <w:sz w:val="18"/>
                <w:szCs w:val="18"/>
                <w:color w:val="auto"/>
              </w:rPr>
              <w:t>i</w:t>
            </w:r>
          </w:p>
        </w:tc>
        <w:tc>
          <w:tcPr>
            <w:tcW w:w="420" w:type="dxa"/>
            <w:vAlign w:val="bottom"/>
          </w:tcPr>
          <w:p>
            <w:pPr>
              <w:spacing w:after="0"/>
              <w:rPr>
                <w:sz w:val="15"/>
                <w:szCs w:val="15"/>
                <w:color w:val="auto"/>
              </w:rPr>
            </w:pPr>
          </w:p>
        </w:tc>
        <w:tc>
          <w:tcPr>
            <w:tcW w:w="4020" w:type="dxa"/>
            <w:vAlign w:val="bottom"/>
            <w:gridSpan w:val="7"/>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2014 Summary Compensation Table</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440" w:type="dxa"/>
            <w:vAlign w:val="bottom"/>
          </w:tcPr>
          <w:p>
            <w:pPr>
              <w:jc w:val="right"/>
              <w:ind w:right="252"/>
              <w:spacing w:after="0" w:line="182" w:lineRule="exact"/>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15"/>
                <w:szCs w:val="15"/>
                <w:color w:val="auto"/>
              </w:rPr>
            </w:pPr>
          </w:p>
        </w:tc>
        <w:tc>
          <w:tcPr>
            <w:tcW w:w="420" w:type="dxa"/>
            <w:vAlign w:val="bottom"/>
            <w:tcBorders>
              <w:top w:val="single" w:sz="8" w:color="0000EE"/>
            </w:tcBorders>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2014</w:t>
              </w:r>
            </w:hyperlink>
          </w:p>
        </w:tc>
        <w:tc>
          <w:tcPr>
            <w:tcW w:w="2420" w:type="dxa"/>
            <w:vAlign w:val="bottom"/>
            <w:tcBorders>
              <w:top w:val="single" w:sz="8" w:color="0000EE"/>
            </w:tcBorders>
            <w:gridSpan w:val="3"/>
          </w:tcPr>
          <w:p>
            <w:pPr>
              <w:ind w:left="20"/>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Grants of Plan-Based Awards</w:t>
              </w:r>
            </w:hyperlink>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440" w:type="dxa"/>
            <w:vAlign w:val="bottom"/>
            <w:vMerge w:val="restart"/>
          </w:tcPr>
          <w:p>
            <w:pPr>
              <w:jc w:val="right"/>
              <w:ind w:right="252"/>
              <w:spacing w:after="0"/>
              <w:rPr>
                <w:sz w:val="20"/>
                <w:szCs w:val="20"/>
                <w:color w:val="auto"/>
              </w:rPr>
            </w:pPr>
            <w:r>
              <w:rPr>
                <w:rFonts w:ascii="Arial" w:cs="Arial" w:eastAsia="Arial" w:hAnsi="Arial"/>
                <w:sz w:val="18"/>
                <w:szCs w:val="18"/>
                <w:color w:val="auto"/>
                <w:w w:val="79"/>
              </w:rPr>
              <w:t>5</w:t>
            </w:r>
          </w:p>
        </w:tc>
        <w:tc>
          <w:tcPr>
            <w:tcW w:w="4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2014</w:t>
              </w:r>
            </w:hyperlink>
          </w:p>
        </w:tc>
        <w:tc>
          <w:tcPr>
            <w:tcW w:w="234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Outstanding Equity Awards at</w:t>
              </w:r>
            </w:hyperlink>
          </w:p>
        </w:tc>
        <w:tc>
          <w:tcPr>
            <w:tcW w:w="1260" w:type="dxa"/>
            <w:vAlign w:val="bottom"/>
            <w:tcBorders>
              <w:bottom w:val="single" w:sz="8" w:color="0000EE"/>
            </w:tcBorders>
            <w:gridSpan w:val="4"/>
          </w:tcPr>
          <w:p>
            <w:pPr>
              <w:ind w:left="40"/>
              <w:spacing w:after="0" w:line="182"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Fiscal Year End</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0"/>
        </w:trPr>
        <w:tc>
          <w:tcPr>
            <w:tcW w:w="440" w:type="dxa"/>
            <w:vAlign w:val="bottom"/>
            <w:vMerge w:val="continue"/>
          </w:tcPr>
          <w:p>
            <w:pPr>
              <w:spacing w:after="0"/>
              <w:rPr>
                <w:sz w:val="7"/>
                <w:szCs w:val="7"/>
                <w:color w:val="auto"/>
              </w:rPr>
            </w:pPr>
          </w:p>
        </w:tc>
        <w:tc>
          <w:tcPr>
            <w:tcW w:w="420" w:type="dxa"/>
            <w:vAlign w:val="bottom"/>
            <w:vMerge w:val="restart"/>
          </w:tcPr>
          <w:p>
            <w:pPr>
              <w:spacing w:after="0"/>
              <w:rPr>
                <w:sz w:val="7"/>
                <w:szCs w:val="7"/>
                <w:color w:val="auto"/>
              </w:rPr>
            </w:pPr>
          </w:p>
        </w:tc>
        <w:tc>
          <w:tcPr>
            <w:tcW w:w="420" w:type="dxa"/>
            <w:vAlign w:val="bottom"/>
            <w:vMerge w:val="restart"/>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2014</w:t>
              </w:r>
            </w:hyperlink>
          </w:p>
        </w:tc>
        <w:tc>
          <w:tcPr>
            <w:tcW w:w="3600" w:type="dxa"/>
            <w:vAlign w:val="bottom"/>
            <w:gridSpan w:val="6"/>
            <w:vMerge w:val="restart"/>
          </w:tcPr>
          <w:p>
            <w:pPr>
              <w:ind w:left="20"/>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Option Exercises and Stock Vested</w:t>
              </w:r>
            </w:hyperlink>
          </w:p>
        </w:tc>
        <w:tc>
          <w:tcPr>
            <w:tcW w:w="104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93"/>
        </w:trPr>
        <w:tc>
          <w:tcPr>
            <w:tcW w:w="440" w:type="dxa"/>
            <w:vAlign w:val="bottom"/>
            <w:vMerge w:val="restart"/>
          </w:tcPr>
          <w:p>
            <w:pPr>
              <w:jc w:val="right"/>
              <w:ind w:right="252"/>
              <w:spacing w:after="0"/>
              <w:rPr>
                <w:sz w:val="20"/>
                <w:szCs w:val="20"/>
                <w:color w:val="auto"/>
              </w:rPr>
            </w:pPr>
            <w:r>
              <w:rPr>
                <w:rFonts w:ascii="Arial" w:cs="Arial" w:eastAsia="Arial" w:hAnsi="Arial"/>
                <w:sz w:val="18"/>
                <w:szCs w:val="18"/>
                <w:color w:val="auto"/>
                <w:w w:val="79"/>
              </w:rPr>
              <w:t>6</w:t>
            </w:r>
          </w:p>
        </w:tc>
        <w:tc>
          <w:tcPr>
            <w:tcW w:w="4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3600" w:type="dxa"/>
            <w:vAlign w:val="bottom"/>
            <w:gridSpan w:val="6"/>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0" w:type="dxa"/>
            <w:vAlign w:val="bottom"/>
            <w:vMerge w:val="continue"/>
          </w:tcPr>
          <w:p>
            <w:pPr>
              <w:spacing w:after="0"/>
              <w:rPr>
                <w:sz w:val="13"/>
                <w:szCs w:val="13"/>
                <w:color w:val="auto"/>
              </w:rPr>
            </w:pPr>
          </w:p>
        </w:tc>
        <w:tc>
          <w:tcPr>
            <w:tcW w:w="420" w:type="dxa"/>
            <w:vAlign w:val="bottom"/>
            <w:vMerge w:val="restart"/>
          </w:tcPr>
          <w:p>
            <w:pPr>
              <w:spacing w:after="0"/>
              <w:rPr>
                <w:sz w:val="13"/>
                <w:szCs w:val="13"/>
                <w:color w:val="auto"/>
              </w:rPr>
            </w:pPr>
          </w:p>
        </w:tc>
        <w:tc>
          <w:tcPr>
            <w:tcW w:w="420" w:type="dxa"/>
            <w:vAlign w:val="bottom"/>
            <w:vMerge w:val="restart"/>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2014</w:t>
              </w:r>
            </w:hyperlink>
          </w:p>
        </w:tc>
        <w:tc>
          <w:tcPr>
            <w:tcW w:w="3020" w:type="dxa"/>
            <w:vAlign w:val="bottom"/>
            <w:gridSpan w:val="5"/>
            <w:vMerge w:val="restart"/>
          </w:tcPr>
          <w:p>
            <w:pPr>
              <w:ind w:left="20"/>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Non-Qualified Deferred Compensation</w:t>
              </w:r>
            </w:hyperlink>
          </w:p>
        </w:tc>
        <w:tc>
          <w:tcPr>
            <w:tcW w:w="580" w:type="dxa"/>
            <w:vAlign w:val="bottom"/>
            <w:vMerge w:val="restart"/>
          </w:tcPr>
          <w:p>
            <w:pPr>
              <w:spacing w:after="0"/>
              <w:rPr>
                <w:sz w:val="13"/>
                <w:szCs w:val="13"/>
                <w:color w:val="auto"/>
              </w:rPr>
            </w:pPr>
          </w:p>
        </w:tc>
        <w:tc>
          <w:tcPr>
            <w:tcW w:w="104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
        </w:trPr>
        <w:tc>
          <w:tcPr>
            <w:tcW w:w="4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20" w:type="dxa"/>
            <w:vAlign w:val="bottom"/>
            <w:tcBorders>
              <w:bottom w:val="single" w:sz="8" w:color="0000EE"/>
            </w:tcBorders>
            <w:vMerge w:val="continue"/>
          </w:tcPr>
          <w:p>
            <w:pPr>
              <w:spacing w:after="0"/>
              <w:rPr>
                <w:sz w:val="2"/>
                <w:szCs w:val="2"/>
                <w:color w:val="auto"/>
              </w:rPr>
            </w:pPr>
          </w:p>
        </w:tc>
        <w:tc>
          <w:tcPr>
            <w:tcW w:w="3020" w:type="dxa"/>
            <w:vAlign w:val="bottom"/>
            <w:tcBorders>
              <w:bottom w:val="single" w:sz="8" w:color="0000EE"/>
            </w:tcBorders>
            <w:gridSpan w:val="5"/>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-1757680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62" w:hanging="962"/>
        <w:spacing w:after="0" w:line="219" w:lineRule="auto"/>
        <w:tabs>
          <w:tab w:leader="none" w:pos="962" w:val="left"/>
        </w:tabs>
        <w:numPr>
          <w:ilvl w:val="0"/>
          <w:numId w:val="5"/>
        </w:numPr>
        <w:rPr>
          <w:rFonts w:ascii="Arial" w:cs="Arial" w:eastAsia="Arial" w:hAnsi="Arial"/>
          <w:sz w:val="18"/>
          <w:szCs w:val="18"/>
          <w:color w:val="0000EE"/>
        </w:rPr>
      </w:pPr>
      <w:hyperlink w:anchor="page51">
        <w:r>
          <w:rPr>
            <w:rFonts w:ascii="Arial" w:cs="Arial" w:eastAsia="Arial" w:hAnsi="Arial"/>
            <w:sz w:val="18"/>
            <w:szCs w:val="18"/>
            <w:color w:val="0000EE"/>
          </w:rPr>
          <w:t>Potential Payments upon Termination or Change in</w:t>
        </w:r>
      </w:hyperlink>
    </w:p>
    <w:tbl>
      <w:tblPr>
        <w:tblLayout w:type="fixed"/>
        <w:tblInd w:w="2" w:type="dxa"/>
        <w:tblCellMar>
          <w:top w:w="0" w:type="dxa"/>
          <w:left w:w="0" w:type="dxa"/>
          <w:bottom w:w="0" w:type="dxa"/>
          <w:right w:w="0" w:type="dxa"/>
        </w:tblCellMar>
      </w:tblPr>
      <w:tr>
        <w:trPr>
          <w:trHeight w:val="183"/>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7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Control</w:t>
              </w:r>
            </w:hyperlink>
          </w:p>
        </w:tc>
        <w:tc>
          <w:tcPr>
            <w:tcW w:w="680" w:type="dxa"/>
            <w:vAlign w:val="bottom"/>
            <w:gridSpan w:val="5"/>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40" w:type="dxa"/>
            <w:vAlign w:val="bottom"/>
            <w:gridSpan w:val="14"/>
            <w:vMerge w:val="restart"/>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Summary of Termination Payments and Benefits</w:t>
              </w:r>
            </w:hyperlink>
          </w:p>
        </w:tc>
        <w:tc>
          <w:tcPr>
            <w:tcW w:w="4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93"/>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40" w:type="dxa"/>
            <w:vAlign w:val="bottom"/>
            <w:gridSpan w:val="14"/>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40" w:type="dxa"/>
            <w:vAlign w:val="bottom"/>
            <w:vMerge w:val="continue"/>
          </w:tcPr>
          <w:p>
            <w:pPr>
              <w:spacing w:after="0"/>
              <w:rPr>
                <w:sz w:val="13"/>
                <w:szCs w:val="13"/>
                <w:color w:val="auto"/>
              </w:rPr>
            </w:pPr>
          </w:p>
        </w:tc>
        <w:tc>
          <w:tcPr>
            <w:tcW w:w="4840" w:type="dxa"/>
            <w:vAlign w:val="bottom"/>
            <w:gridSpan w:val="15"/>
            <w:vMerge w:val="restart"/>
          </w:tcPr>
          <w:p>
            <w:pPr>
              <w:spacing w:after="0"/>
              <w:rPr>
                <w:rFonts w:ascii="Arial" w:cs="Arial" w:eastAsia="Arial" w:hAnsi="Arial"/>
                <w:sz w:val="18"/>
                <w:szCs w:val="18"/>
                <w:b w:val="1"/>
                <w:bCs w:val="1"/>
                <w:color w:val="0000EE"/>
                <w:w w:val="96"/>
              </w:rPr>
            </w:pPr>
            <w:hyperlink w:anchor="page54">
              <w:r>
                <w:rPr>
                  <w:rFonts w:ascii="Arial" w:cs="Arial" w:eastAsia="Arial" w:hAnsi="Arial"/>
                  <w:sz w:val="18"/>
                  <w:szCs w:val="18"/>
                  <w:b w:val="1"/>
                  <w:bCs w:val="1"/>
                  <w:color w:val="0000EE"/>
                  <w:w w:val="96"/>
                </w:rPr>
                <w:t xml:space="preserve">PROPOSAL 2: </w:t>
              </w:r>
              <w:r>
                <w:rPr>
                  <w:rFonts w:ascii="Arial" w:cs="Arial" w:eastAsia="Arial" w:hAnsi="Arial"/>
                  <w:sz w:val="18"/>
                  <w:szCs w:val="18"/>
                  <w:color w:val="0000EE"/>
                  <w:w w:val="96"/>
                </w:rPr>
                <w:t>ADVISORY VOTE ON THE COMPENSATION</w:t>
              </w:r>
            </w:hyperlink>
          </w:p>
        </w:tc>
        <w:tc>
          <w:tcPr>
            <w:tcW w:w="22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20</w:t>
            </w:r>
          </w:p>
        </w:tc>
        <w:tc>
          <w:tcPr>
            <w:tcW w:w="4840" w:type="dxa"/>
            <w:vAlign w:val="bottom"/>
            <w:tcBorders>
              <w:bottom w:val="single" w:sz="8" w:color="0000EE"/>
            </w:tcBorders>
            <w:gridSpan w:val="15"/>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gridSpan w:val="11"/>
            <w:vMerge w:val="restart"/>
          </w:tcPr>
          <w:p>
            <w:pPr>
              <w:spacing w:after="0" w:line="182"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OF THE COMPANY’S NAMED EXECUTIVE OFFICERS</w:t>
              </w:r>
            </w:hyperlink>
          </w:p>
        </w:tc>
        <w:tc>
          <w:tcPr>
            <w:tcW w:w="460" w:type="dxa"/>
            <w:vAlign w:val="bottom"/>
            <w:gridSpan w:val="4"/>
            <w:vMerge w:val="restart"/>
          </w:tcPr>
          <w:p>
            <w:pPr>
              <w:spacing w:after="0"/>
              <w:rPr>
                <w:sz w:val="13"/>
                <w:szCs w:val="13"/>
                <w:color w:val="auto"/>
              </w:rPr>
            </w:pPr>
          </w:p>
        </w:tc>
        <w:tc>
          <w:tcPr>
            <w:tcW w:w="4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2"/>
                <w:szCs w:val="2"/>
                <w:color w:val="auto"/>
              </w:rPr>
            </w:pPr>
          </w:p>
        </w:tc>
        <w:tc>
          <w:tcPr>
            <w:tcW w:w="4400" w:type="dxa"/>
            <w:vAlign w:val="bottom"/>
            <w:tcBorders>
              <w:bottom w:val="single" w:sz="8" w:color="0000EE"/>
            </w:tcBorders>
            <w:gridSpan w:val="11"/>
            <w:vMerge w:val="continue"/>
          </w:tcPr>
          <w:p>
            <w:pPr>
              <w:spacing w:after="0"/>
              <w:rPr>
                <w:sz w:val="2"/>
                <w:szCs w:val="2"/>
                <w:color w:val="auto"/>
              </w:rPr>
            </w:pPr>
          </w:p>
        </w:tc>
        <w:tc>
          <w:tcPr>
            <w:tcW w:w="460" w:type="dxa"/>
            <w:vAlign w:val="bottom"/>
            <w:gridSpan w:val="4"/>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0" w:type="dxa"/>
            <w:vAlign w:val="bottom"/>
            <w:vMerge w:val="continue"/>
          </w:tcPr>
          <w:p>
            <w:pPr>
              <w:spacing w:after="0"/>
              <w:rPr>
                <w:sz w:val="19"/>
                <w:szCs w:val="19"/>
                <w:color w:val="auto"/>
              </w:rPr>
            </w:pPr>
          </w:p>
        </w:tc>
        <w:tc>
          <w:tcPr>
            <w:tcW w:w="2420" w:type="dxa"/>
            <w:vAlign w:val="bottom"/>
            <w:gridSpan w:val="5"/>
            <w:vMerge w:val="restart"/>
          </w:tcPr>
          <w:p>
            <w:pPr>
              <w:spacing w:after="0"/>
              <w:rPr>
                <w:rFonts w:ascii="Arial" w:cs="Arial" w:eastAsia="Arial" w:hAnsi="Arial"/>
                <w:sz w:val="18"/>
                <w:szCs w:val="18"/>
                <w:b w:val="1"/>
                <w:bCs w:val="1"/>
                <w:color w:val="0000EE"/>
                <w:w w:val="96"/>
              </w:rPr>
            </w:pPr>
            <w:hyperlink w:anchor="page55">
              <w:r>
                <w:rPr>
                  <w:rFonts w:ascii="Arial" w:cs="Arial" w:eastAsia="Arial" w:hAnsi="Arial"/>
                  <w:sz w:val="18"/>
                  <w:szCs w:val="18"/>
                  <w:b w:val="1"/>
                  <w:bCs w:val="1"/>
                  <w:color w:val="0000EE"/>
                  <w:w w:val="96"/>
                </w:rPr>
                <w:t>AUDIT COMMITTEE REPORT</w:t>
              </w:r>
            </w:hyperlink>
          </w:p>
        </w:tc>
        <w:tc>
          <w:tcPr>
            <w:tcW w:w="2640" w:type="dxa"/>
            <w:vAlign w:val="bottom"/>
            <w:gridSpan w:val="11"/>
            <w:vMerge w:val="restart"/>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
        </w:trPr>
        <w:tc>
          <w:tcPr>
            <w:tcW w:w="540" w:type="dxa"/>
            <w:vAlign w:val="bottom"/>
          </w:tcPr>
          <w:p>
            <w:pPr>
              <w:spacing w:after="0"/>
              <w:rPr>
                <w:sz w:val="2"/>
                <w:szCs w:val="2"/>
                <w:color w:val="auto"/>
              </w:rPr>
            </w:pPr>
          </w:p>
        </w:tc>
        <w:tc>
          <w:tcPr>
            <w:tcW w:w="2420" w:type="dxa"/>
            <w:vAlign w:val="bottom"/>
            <w:tcBorders>
              <w:bottom w:val="single" w:sz="8" w:color="0000EE"/>
            </w:tcBorders>
            <w:gridSpan w:val="5"/>
            <w:vMerge w:val="continue"/>
          </w:tcPr>
          <w:p>
            <w:pPr>
              <w:spacing w:after="0"/>
              <w:rPr>
                <w:sz w:val="2"/>
                <w:szCs w:val="2"/>
                <w:color w:val="auto"/>
              </w:rPr>
            </w:pPr>
          </w:p>
        </w:tc>
        <w:tc>
          <w:tcPr>
            <w:tcW w:w="2640" w:type="dxa"/>
            <w:vAlign w:val="bottom"/>
            <w:gridSpan w:val="11"/>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22</w:t>
            </w:r>
          </w:p>
        </w:tc>
        <w:tc>
          <w:tcPr>
            <w:tcW w:w="386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56">
              <w:r>
                <w:rPr>
                  <w:rFonts w:ascii="Arial" w:cs="Arial" w:eastAsia="Arial" w:hAnsi="Arial"/>
                  <w:sz w:val="18"/>
                  <w:szCs w:val="18"/>
                  <w:b w:val="1"/>
                  <w:bCs w:val="1"/>
                  <w:color w:val="0000EE"/>
                  <w:w w:val="96"/>
                </w:rPr>
                <w:t>INDEPENDENT PUBLIC ACCOUNTANTS FEES</w:t>
              </w:r>
            </w:hyperlink>
          </w:p>
        </w:tc>
        <w:tc>
          <w:tcPr>
            <w:tcW w:w="1200" w:type="dxa"/>
            <w:vAlign w:val="bottom"/>
            <w:gridSpan w:val="8"/>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58"/>
        </w:trPr>
        <w:tc>
          <w:tcPr>
            <w:tcW w:w="540" w:type="dxa"/>
            <w:vAlign w:val="bottom"/>
            <w:vMerge w:val="continue"/>
          </w:tcPr>
          <w:p>
            <w:pPr>
              <w:spacing w:after="0"/>
              <w:rPr>
                <w:sz w:val="13"/>
                <w:szCs w:val="13"/>
                <w:color w:val="auto"/>
              </w:rPr>
            </w:pPr>
          </w:p>
        </w:tc>
        <w:tc>
          <w:tcPr>
            <w:tcW w:w="5060" w:type="dxa"/>
            <w:vAlign w:val="bottom"/>
            <w:gridSpan w:val="16"/>
            <w:vMerge w:val="restart"/>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 xml:space="preserve">PROPOSAL 3: </w:t>
              </w:r>
              <w:r>
                <w:rPr>
                  <w:rFonts w:ascii="Arial" w:cs="Arial" w:eastAsia="Arial" w:hAnsi="Arial"/>
                  <w:sz w:val="18"/>
                  <w:szCs w:val="18"/>
                  <w:color w:val="0000EE"/>
                </w:rPr>
                <w:t>RATIFICATION OF THE APPOINTMENT OF</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23</w:t>
            </w:r>
          </w:p>
        </w:tc>
        <w:tc>
          <w:tcPr>
            <w:tcW w:w="5060" w:type="dxa"/>
            <w:vAlign w:val="bottom"/>
            <w:gridSpan w:val="16"/>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540" w:type="dxa"/>
            <w:vAlign w:val="bottom"/>
            <w:vMerge w:val="continue"/>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4520" w:type="dxa"/>
            <w:vAlign w:val="bottom"/>
            <w:tcBorders>
              <w:top w:val="single" w:sz="8" w:color="0000EE"/>
            </w:tcBorders>
            <w:gridSpan w:val="12"/>
            <w:vMerge w:val="restart"/>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PRICEWATERHOUSECOOPERS LLP AS OUR</w:t>
              </w:r>
            </w:hyperlink>
          </w:p>
        </w:tc>
        <w:tc>
          <w:tcPr>
            <w:tcW w:w="340" w:type="dxa"/>
            <w:vAlign w:val="bottom"/>
            <w:gridSpan w:val="3"/>
            <w:vMerge w:val="restart"/>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5"/>
                <w:szCs w:val="5"/>
                <w:color w:val="auto"/>
              </w:rPr>
            </w:pPr>
          </w:p>
        </w:tc>
        <w:tc>
          <w:tcPr>
            <w:tcW w:w="4520" w:type="dxa"/>
            <w:vAlign w:val="bottom"/>
            <w:gridSpan w:val="12"/>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tcBorders>
              <w:top w:val="single" w:sz="8" w:color="0000EE"/>
            </w:tcBorders>
            <w:gridSpan w:val="8"/>
          </w:tcPr>
          <w:p>
            <w:pPr>
              <w:spacing w:after="0" w:line="145" w:lineRule="exact"/>
              <w:rPr>
                <w:rFonts w:ascii="Arial" w:cs="Arial" w:eastAsia="Arial" w:hAnsi="Arial"/>
                <w:sz w:val="16"/>
                <w:szCs w:val="16"/>
                <w:color w:val="0000EE"/>
              </w:rPr>
            </w:pPr>
            <w:hyperlink w:anchor="page57">
              <w:r>
                <w:rPr>
                  <w:rFonts w:ascii="Arial" w:cs="Arial" w:eastAsia="Arial" w:hAnsi="Arial"/>
                  <w:sz w:val="16"/>
                  <w:szCs w:val="16"/>
                  <w:color w:val="0000EE"/>
                </w:rPr>
                <w:t>INDEPENDENT REGISTERED ACCOUNTING</w:t>
              </w:r>
            </w:hyperlink>
          </w:p>
        </w:tc>
        <w:tc>
          <w:tcPr>
            <w:tcW w:w="1120" w:type="dxa"/>
            <w:vAlign w:val="bottom"/>
            <w:gridSpan w:val="7"/>
          </w:tcPr>
          <w:p>
            <w:pPr>
              <w:spacing w:after="0" w:line="145" w:lineRule="exact"/>
              <w:rPr>
                <w:rFonts w:ascii="Arial" w:cs="Arial" w:eastAsia="Arial" w:hAnsi="Arial"/>
                <w:sz w:val="16"/>
                <w:szCs w:val="16"/>
                <w:color w:val="0000EE"/>
              </w:rPr>
            </w:pPr>
            <w:hyperlink w:anchor="page57">
              <w:r>
                <w:rPr>
                  <w:rFonts w:ascii="Arial" w:cs="Arial" w:eastAsia="Arial" w:hAnsi="Arial"/>
                  <w:sz w:val="16"/>
                  <w:szCs w:val="16"/>
                  <w:color w:val="0000EE"/>
                </w:rPr>
                <w:t>FIRM FOR</w:t>
              </w:r>
            </w:hyperlink>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40" w:type="dxa"/>
            <w:vAlign w:val="bottom"/>
            <w:vMerge w:val="restart"/>
          </w:tcPr>
          <w:p>
            <w:pPr>
              <w:jc w:val="right"/>
              <w:ind w:right="252"/>
              <w:spacing w:after="0" w:line="205" w:lineRule="exact"/>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56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6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20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0" w:type="dxa"/>
            <w:vAlign w:val="bottom"/>
            <w:gridSpan w:val="6"/>
            <w:vMerge w:val="restart"/>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THE YEAR ENDING DECEMBER 31, 2015</w:t>
              </w:r>
            </w:hyperlink>
          </w:p>
        </w:tc>
        <w:tc>
          <w:tcPr>
            <w:tcW w:w="1460" w:type="dxa"/>
            <w:vAlign w:val="bottom"/>
            <w:gridSpan w:val="9"/>
            <w:vMerge w:val="restart"/>
          </w:tcPr>
          <w:p>
            <w:pPr>
              <w:spacing w:after="0"/>
              <w:rPr>
                <w:sz w:val="12"/>
                <w:szCs w:val="12"/>
                <w:color w:val="auto"/>
              </w:rPr>
            </w:pPr>
          </w:p>
        </w:tc>
        <w:tc>
          <w:tcPr>
            <w:tcW w:w="4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
        </w:trPr>
        <w:tc>
          <w:tcPr>
            <w:tcW w:w="540" w:type="dxa"/>
            <w:vAlign w:val="bottom"/>
            <w:vMerge w:val="restart"/>
          </w:tcPr>
          <w:p>
            <w:pPr>
              <w:jc w:val="right"/>
              <w:ind w:right="252"/>
              <w:spacing w:after="0" w:line="179"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3"/>
                <w:szCs w:val="3"/>
                <w:color w:val="auto"/>
              </w:rPr>
            </w:pPr>
          </w:p>
        </w:tc>
        <w:tc>
          <w:tcPr>
            <w:tcW w:w="3400" w:type="dxa"/>
            <w:vAlign w:val="bottom"/>
            <w:tcBorders>
              <w:bottom w:val="single" w:sz="8" w:color="0000EE"/>
            </w:tcBorders>
            <w:gridSpan w:val="6"/>
            <w:vMerge w:val="continue"/>
          </w:tcPr>
          <w:p>
            <w:pPr>
              <w:spacing w:after="0"/>
              <w:rPr>
                <w:sz w:val="3"/>
                <w:szCs w:val="3"/>
                <w:color w:val="auto"/>
              </w:rPr>
            </w:pPr>
          </w:p>
        </w:tc>
        <w:tc>
          <w:tcPr>
            <w:tcW w:w="1460" w:type="dxa"/>
            <w:vAlign w:val="bottom"/>
            <w:gridSpan w:val="9"/>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540" w:type="dxa"/>
            <w:vAlign w:val="bottom"/>
            <w:vMerge w:val="continue"/>
          </w:tcPr>
          <w:p>
            <w:pPr>
              <w:spacing w:after="0"/>
              <w:rPr>
                <w:sz w:val="10"/>
                <w:szCs w:val="10"/>
                <w:color w:val="auto"/>
              </w:rPr>
            </w:pPr>
          </w:p>
        </w:tc>
        <w:tc>
          <w:tcPr>
            <w:tcW w:w="5060" w:type="dxa"/>
            <w:vAlign w:val="bottom"/>
            <w:gridSpan w:val="16"/>
            <w:vMerge w:val="restart"/>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 xml:space="preserve">PROPOSAL 4: </w:t>
              </w:r>
              <w:r>
                <w:rPr>
                  <w:rFonts w:ascii="Arial" w:cs="Arial" w:eastAsia="Arial" w:hAnsi="Arial"/>
                  <w:sz w:val="18"/>
                  <w:szCs w:val="18"/>
                  <w:color w:val="0000EE"/>
                </w:rPr>
                <w:t>SHAREHOLDER PROPOSAL</w:t>
              </w:r>
            </w:hyperlink>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27"/>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28</w:t>
            </w:r>
          </w:p>
        </w:tc>
        <w:tc>
          <w:tcPr>
            <w:tcW w:w="5060" w:type="dxa"/>
            <w:vAlign w:val="bottom"/>
            <w:gridSpan w:val="16"/>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540" w:type="dxa"/>
            <w:vAlign w:val="bottom"/>
            <w:vMerge w:val="continue"/>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42" w:hanging="542"/>
        <w:spacing w:after="0" w:line="199" w:lineRule="auto"/>
        <w:tabs>
          <w:tab w:leader="none" w:pos="542" w:val="left"/>
        </w:tabs>
        <w:numPr>
          <w:ilvl w:val="0"/>
          <w:numId w:val="6"/>
        </w:numPr>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INFORMATION REGARDING THE 2016 ANNUAL MEETING</w:t>
        </w:r>
      </w:hyperlink>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540" w:type="dxa"/>
            <w:vAlign w:val="bottom"/>
          </w:tcPr>
          <w:p>
            <w:pPr>
              <w:jc w:val="right"/>
              <w:ind w:right="252"/>
              <w:spacing w:after="0" w:line="182" w:lineRule="exact"/>
              <w:rPr>
                <w:sz w:val="20"/>
                <w:szCs w:val="20"/>
                <w:color w:val="auto"/>
              </w:rPr>
            </w:pPr>
            <w:r>
              <w:rPr>
                <w:rFonts w:ascii="Arial" w:cs="Arial" w:eastAsia="Arial" w:hAnsi="Arial"/>
                <w:sz w:val="18"/>
                <w:szCs w:val="18"/>
                <w:color w:val="auto"/>
                <w:w w:val="89"/>
              </w:rPr>
              <w:t>34</w:t>
            </w:r>
          </w:p>
        </w:tc>
        <w:tc>
          <w:tcPr>
            <w:tcW w:w="200" w:type="dxa"/>
            <w:vAlign w:val="bottom"/>
            <w:tcBorders>
              <w:top w:val="single" w:sz="8" w:color="0000EE"/>
            </w:tcBorders>
          </w:tcPr>
          <w:p>
            <w:pPr>
              <w:spacing w:after="0"/>
              <w:rPr>
                <w:sz w:val="15"/>
                <w:szCs w:val="15"/>
                <w:color w:val="auto"/>
              </w:rPr>
            </w:pPr>
          </w:p>
        </w:tc>
        <w:tc>
          <w:tcPr>
            <w:tcW w:w="17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97"/>
              </w:rPr>
            </w:pPr>
            <w:hyperlink w:anchor="page61">
              <w:r>
                <w:rPr>
                  <w:rFonts w:ascii="Arial" w:cs="Arial" w:eastAsia="Arial" w:hAnsi="Arial"/>
                  <w:sz w:val="18"/>
                  <w:szCs w:val="18"/>
                  <w:b w:val="1"/>
                  <w:bCs w:val="1"/>
                  <w:color w:val="0000EE"/>
                  <w:w w:val="97"/>
                </w:rPr>
                <w:t>OF SHAREHOLDERS</w:t>
              </w:r>
            </w:hyperlink>
          </w:p>
        </w:tc>
        <w:tc>
          <w:tcPr>
            <w:tcW w:w="2840" w:type="dxa"/>
            <w:vAlign w:val="bottom"/>
            <w:tcBorders>
              <w:top w:val="single" w:sz="8" w:color="0000EE"/>
            </w:tcBorders>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540" w:type="dxa"/>
            <w:vAlign w:val="bottom"/>
          </w:tcPr>
          <w:p>
            <w:pPr>
              <w:jc w:val="right"/>
              <w:ind w:right="252"/>
              <w:spacing w:after="0"/>
              <w:rPr>
                <w:sz w:val="20"/>
                <w:szCs w:val="20"/>
                <w:color w:val="auto"/>
              </w:rPr>
            </w:pPr>
            <w:r>
              <w:rPr>
                <w:rFonts w:ascii="Arial" w:cs="Arial" w:eastAsia="Arial" w:hAnsi="Arial"/>
                <w:sz w:val="18"/>
                <w:szCs w:val="18"/>
                <w:color w:val="auto"/>
                <w:w w:val="89"/>
              </w:rPr>
              <w:t>36</w:t>
            </w:r>
          </w:p>
        </w:tc>
        <w:tc>
          <w:tcPr>
            <w:tcW w:w="4820" w:type="dxa"/>
            <w:vAlign w:val="bottom"/>
            <w:gridSpan w:val="4"/>
            <w:vMerge w:val="restart"/>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MATTERS</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
        </w:trPr>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38</w:t>
            </w:r>
          </w:p>
        </w:tc>
        <w:tc>
          <w:tcPr>
            <w:tcW w:w="4820" w:type="dxa"/>
            <w:vAlign w:val="bottom"/>
            <w:gridSpan w:val="4"/>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540" w:type="dxa"/>
            <w:vAlign w:val="bottom"/>
            <w:vMerge w:val="continue"/>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30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2">
            <w:col w:w="4580" w:space="598"/>
            <w:col w:w="6022"/>
          </w:cols>
          <w:pgMar w:left="24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76465" cy="3589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589020"/>
                    </a:xfrm>
                    <a:prstGeom prst="rect">
                      <a:avLst/>
                    </a:prstGeom>
                    <a:noFill/>
                  </pic:spPr>
                </pic:pic>
              </a:graphicData>
            </a:graphic>
          </wp:anchor>
        </w:drawing>
      </w:r>
    </w:p>
    <w:p>
      <w:pPr>
        <w:spacing w:after="0" w:line="347" w:lineRule="exact"/>
        <w:rPr>
          <w:sz w:val="20"/>
          <w:szCs w:val="20"/>
          <w:color w:val="auto"/>
        </w:rPr>
      </w:pPr>
    </w:p>
    <w:p>
      <w:pPr>
        <w:ind w:left="200" w:right="220"/>
        <w:spacing w:after="0" w:line="333" w:lineRule="auto"/>
        <w:rPr>
          <w:sz w:val="20"/>
          <w:szCs w:val="20"/>
          <w:color w:val="auto"/>
        </w:rPr>
      </w:pPr>
      <w:r>
        <w:rPr>
          <w:rFonts w:ascii="Arial" w:cs="Arial" w:eastAsia="Arial" w:hAnsi="Arial"/>
          <w:sz w:val="16"/>
          <w:szCs w:val="16"/>
          <w:color w:val="auto"/>
        </w:rPr>
        <w:t>This summary highlights information about our Company and the upcoming 2015 Annual Meeting of Shareholders and does not contain all of the information you should consider. You should read the complete Proxy Statement and our 2014 Annual Report on Form 10-K before voting.</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2015 ANNUAL MEETING OF SHAREHOLDERS</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2080" w:type="dxa"/>
            <w:vAlign w:val="bottom"/>
          </w:tcPr>
          <w:p>
            <w:pPr>
              <w:ind w:left="540"/>
              <w:spacing w:after="0"/>
              <w:rPr>
                <w:sz w:val="20"/>
                <w:szCs w:val="20"/>
                <w:color w:val="auto"/>
              </w:rPr>
            </w:pPr>
            <w:r>
              <w:rPr>
                <w:rFonts w:ascii="Arial" w:cs="Arial" w:eastAsia="Arial" w:hAnsi="Arial"/>
                <w:sz w:val="18"/>
                <w:szCs w:val="18"/>
                <w:b w:val="1"/>
                <w:bCs w:val="1"/>
                <w:color w:val="auto"/>
              </w:rPr>
              <w:t>Record Date:</w:t>
            </w:r>
          </w:p>
        </w:tc>
        <w:tc>
          <w:tcPr>
            <w:tcW w:w="2840" w:type="dxa"/>
            <w:vAlign w:val="bottom"/>
          </w:tcPr>
          <w:p>
            <w:pPr>
              <w:ind w:left="320"/>
              <w:spacing w:after="0"/>
              <w:rPr>
                <w:sz w:val="20"/>
                <w:szCs w:val="20"/>
                <w:color w:val="auto"/>
              </w:rPr>
            </w:pPr>
            <w:r>
              <w:rPr>
                <w:rFonts w:ascii="Arial" w:cs="Arial" w:eastAsia="Arial" w:hAnsi="Arial"/>
                <w:sz w:val="18"/>
                <w:szCs w:val="18"/>
                <w:b w:val="1"/>
                <w:bCs w:val="1"/>
                <w:color w:val="auto"/>
              </w:rPr>
              <w:t>Place:</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May 29, 2015</w:t>
            </w:r>
          </w:p>
        </w:tc>
        <w:tc>
          <w:tcPr>
            <w:tcW w:w="2080" w:type="dxa"/>
            <w:vAlign w:val="bottom"/>
          </w:tcPr>
          <w:p>
            <w:pPr>
              <w:ind w:left="540"/>
              <w:spacing w:after="0" w:line="202" w:lineRule="exact"/>
              <w:rPr>
                <w:sz w:val="20"/>
                <w:szCs w:val="20"/>
                <w:color w:val="auto"/>
              </w:rPr>
            </w:pPr>
            <w:r>
              <w:rPr>
                <w:rFonts w:ascii="Arial" w:cs="Arial" w:eastAsia="Arial" w:hAnsi="Arial"/>
                <w:sz w:val="18"/>
                <w:szCs w:val="18"/>
                <w:color w:val="auto"/>
              </w:rPr>
              <w:t>March 31, 2015</w:t>
            </w:r>
          </w:p>
        </w:tc>
        <w:tc>
          <w:tcPr>
            <w:tcW w:w="2840" w:type="dxa"/>
            <w:vAlign w:val="bottom"/>
          </w:tcPr>
          <w:p>
            <w:pPr>
              <w:ind w:left="320"/>
              <w:spacing w:after="0" w:line="202" w:lineRule="exact"/>
              <w:rPr>
                <w:sz w:val="20"/>
                <w:szCs w:val="20"/>
                <w:color w:val="auto"/>
              </w:rPr>
            </w:pPr>
            <w:r>
              <w:rPr>
                <w:rFonts w:ascii="Arial" w:cs="Arial" w:eastAsia="Arial" w:hAnsi="Arial"/>
                <w:sz w:val="18"/>
                <w:szCs w:val="18"/>
                <w:color w:val="auto"/>
              </w:rPr>
              <w:t>Roper Technologies, Inc.</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11:30 a.m. local time</w:t>
            </w:r>
          </w:p>
        </w:tc>
        <w:tc>
          <w:tcPr>
            <w:tcW w:w="2080" w:type="dxa"/>
            <w:vAlign w:val="bottom"/>
          </w:tcPr>
          <w:p>
            <w:pPr>
              <w:spacing w:after="0"/>
              <w:rPr>
                <w:sz w:val="17"/>
                <w:szCs w:val="17"/>
                <w:color w:val="auto"/>
              </w:rPr>
            </w:pPr>
          </w:p>
        </w:tc>
        <w:tc>
          <w:tcPr>
            <w:tcW w:w="2840" w:type="dxa"/>
            <w:vAlign w:val="bottom"/>
          </w:tcPr>
          <w:p>
            <w:pPr>
              <w:ind w:left="320"/>
              <w:spacing w:after="0" w:line="202" w:lineRule="exact"/>
              <w:rPr>
                <w:sz w:val="20"/>
                <w:szCs w:val="20"/>
                <w:color w:val="auto"/>
              </w:rPr>
            </w:pPr>
            <w:r>
              <w:rPr>
                <w:rFonts w:ascii="Arial" w:cs="Arial" w:eastAsia="Arial" w:hAnsi="Arial"/>
                <w:sz w:val="18"/>
                <w:szCs w:val="18"/>
                <w:color w:val="auto"/>
                <w:w w:val="96"/>
              </w:rPr>
              <w:t>6901 Professional Parkway East</w:t>
            </w:r>
          </w:p>
        </w:tc>
      </w:tr>
      <w:tr>
        <w:trPr>
          <w:trHeight w:val="203"/>
        </w:trPr>
        <w:tc>
          <w:tcPr>
            <w:tcW w:w="2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40" w:type="dxa"/>
            <w:vAlign w:val="bottom"/>
          </w:tcPr>
          <w:p>
            <w:pPr>
              <w:ind w:left="320"/>
              <w:spacing w:after="0" w:line="202" w:lineRule="exact"/>
              <w:rPr>
                <w:sz w:val="20"/>
                <w:szCs w:val="20"/>
                <w:color w:val="auto"/>
              </w:rPr>
            </w:pPr>
            <w:r>
              <w:rPr>
                <w:rFonts w:ascii="Arial" w:cs="Arial" w:eastAsia="Arial" w:hAnsi="Arial"/>
                <w:sz w:val="18"/>
                <w:szCs w:val="18"/>
                <w:color w:val="auto"/>
              </w:rPr>
              <w:t>Suite 200</w:t>
            </w:r>
          </w:p>
        </w:tc>
      </w:tr>
      <w:tr>
        <w:trPr>
          <w:trHeight w:val="237"/>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Sarasota, Florida 34240</w:t>
            </w:r>
          </w:p>
        </w:tc>
      </w:tr>
    </w:tbl>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VOTING MATTERS AND BOARD RECOMMENDATIONS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80" w:type="dxa"/>
            <w:vAlign w:val="bottom"/>
            <w:shd w:val="clear" w:color="auto" w:fill="225CAB"/>
          </w:tcPr>
          <w:p>
            <w:pPr>
              <w:spacing w:after="0"/>
              <w:rPr>
                <w:sz w:val="14"/>
                <w:szCs w:val="14"/>
                <w:color w:val="auto"/>
              </w:rPr>
            </w:pPr>
          </w:p>
        </w:tc>
        <w:tc>
          <w:tcPr>
            <w:tcW w:w="4120" w:type="dxa"/>
            <w:vAlign w:val="bottom"/>
            <w:shd w:val="clear" w:color="auto" w:fill="225CAB"/>
          </w:tcPr>
          <w:p>
            <w:pPr>
              <w:jc w:val="center"/>
              <w:ind w:left="2126"/>
              <w:spacing w:after="0"/>
              <w:rPr>
                <w:sz w:val="20"/>
                <w:szCs w:val="20"/>
                <w:color w:val="auto"/>
              </w:rPr>
            </w:pPr>
            <w:r>
              <w:rPr>
                <w:rFonts w:ascii="Arial" w:cs="Arial" w:eastAsia="Arial" w:hAnsi="Arial"/>
                <w:sz w:val="14"/>
                <w:szCs w:val="14"/>
                <w:color w:val="FFFFFF"/>
                <w:w w:val="96"/>
              </w:rPr>
              <w:t>Board</w:t>
            </w:r>
          </w:p>
        </w:tc>
        <w:tc>
          <w:tcPr>
            <w:tcW w:w="2460" w:type="dxa"/>
            <w:vAlign w:val="bottom"/>
            <w:shd w:val="clear" w:color="auto" w:fill="225CAB"/>
          </w:tcPr>
          <w:p>
            <w:pPr>
              <w:jc w:val="center"/>
              <w:ind w:left="246"/>
              <w:spacing w:after="0"/>
              <w:rPr>
                <w:sz w:val="20"/>
                <w:szCs w:val="20"/>
                <w:color w:val="auto"/>
              </w:rPr>
            </w:pPr>
            <w:r>
              <w:rPr>
                <w:rFonts w:ascii="Arial" w:cs="Arial" w:eastAsia="Arial" w:hAnsi="Arial"/>
                <w:sz w:val="14"/>
                <w:szCs w:val="14"/>
                <w:color w:val="FFFFFF"/>
                <w:w w:val="90"/>
              </w:rPr>
              <w:t>Vote</w:t>
            </w:r>
          </w:p>
        </w:tc>
      </w:tr>
      <w:tr>
        <w:trPr>
          <w:trHeight w:val="179"/>
        </w:trPr>
        <w:tc>
          <w:tcPr>
            <w:tcW w:w="4480" w:type="dxa"/>
            <w:vAlign w:val="bottom"/>
            <w:shd w:val="clear" w:color="auto" w:fill="225CAB"/>
          </w:tcPr>
          <w:p>
            <w:pPr>
              <w:spacing w:after="0"/>
              <w:rPr>
                <w:sz w:val="20"/>
                <w:szCs w:val="20"/>
                <w:color w:val="auto"/>
              </w:rPr>
            </w:pPr>
            <w:r>
              <w:rPr>
                <w:rFonts w:ascii="Arial" w:cs="Arial" w:eastAsia="Arial" w:hAnsi="Arial"/>
                <w:sz w:val="14"/>
                <w:szCs w:val="14"/>
                <w:color w:val="FFFFFF"/>
              </w:rPr>
              <w:t>Proposals</w:t>
            </w:r>
          </w:p>
        </w:tc>
        <w:tc>
          <w:tcPr>
            <w:tcW w:w="4120" w:type="dxa"/>
            <w:vAlign w:val="bottom"/>
            <w:shd w:val="clear" w:color="auto" w:fill="225CAB"/>
          </w:tcPr>
          <w:p>
            <w:pPr>
              <w:jc w:val="center"/>
              <w:ind w:left="2146"/>
              <w:spacing w:after="0"/>
              <w:rPr>
                <w:sz w:val="20"/>
                <w:szCs w:val="20"/>
                <w:color w:val="auto"/>
              </w:rPr>
            </w:pPr>
            <w:r>
              <w:rPr>
                <w:rFonts w:ascii="Arial" w:cs="Arial" w:eastAsia="Arial" w:hAnsi="Arial"/>
                <w:sz w:val="14"/>
                <w:szCs w:val="14"/>
                <w:color w:val="FFFFFF"/>
                <w:w w:val="96"/>
              </w:rPr>
              <w:t>Recommendation</w:t>
            </w:r>
          </w:p>
        </w:tc>
        <w:tc>
          <w:tcPr>
            <w:tcW w:w="2460" w:type="dxa"/>
            <w:vAlign w:val="bottom"/>
            <w:shd w:val="clear" w:color="auto" w:fill="225CAB"/>
          </w:tcPr>
          <w:p>
            <w:pPr>
              <w:jc w:val="center"/>
              <w:ind w:left="246"/>
              <w:spacing w:after="0"/>
              <w:rPr>
                <w:sz w:val="20"/>
                <w:szCs w:val="20"/>
                <w:color w:val="auto"/>
              </w:rPr>
            </w:pPr>
            <w:r>
              <w:rPr>
                <w:rFonts w:ascii="Arial" w:cs="Arial" w:eastAsia="Arial" w:hAnsi="Arial"/>
                <w:sz w:val="14"/>
                <w:szCs w:val="14"/>
                <w:color w:val="FFFFFF"/>
                <w:w w:val="94"/>
              </w:rPr>
              <w:t>Required</w:t>
            </w:r>
          </w:p>
        </w:tc>
      </w:tr>
      <w:tr>
        <w:trPr>
          <w:trHeight w:val="219"/>
        </w:trPr>
        <w:tc>
          <w:tcPr>
            <w:tcW w:w="448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seven directors</w:t>
            </w:r>
          </w:p>
        </w:tc>
        <w:tc>
          <w:tcPr>
            <w:tcW w:w="4120" w:type="dxa"/>
            <w:vAlign w:val="bottom"/>
          </w:tcPr>
          <w:p>
            <w:pPr>
              <w:ind w:left="2000"/>
              <w:spacing w:after="0"/>
              <w:rPr>
                <w:sz w:val="20"/>
                <w:szCs w:val="20"/>
                <w:color w:val="auto"/>
              </w:rPr>
            </w:pPr>
            <w:r>
              <w:rPr>
                <w:rFonts w:ascii="Arial" w:cs="Arial" w:eastAsia="Arial" w:hAnsi="Arial"/>
                <w:sz w:val="18"/>
                <w:szCs w:val="18"/>
                <w:b w:val="1"/>
                <w:bCs w:val="1"/>
                <w:color w:val="auto"/>
              </w:rPr>
              <w:t>FOR EACH NOMINEE</w:t>
            </w:r>
          </w:p>
        </w:tc>
        <w:tc>
          <w:tcPr>
            <w:tcW w:w="2460" w:type="dxa"/>
            <w:vAlign w:val="bottom"/>
          </w:tcPr>
          <w:p>
            <w:pPr>
              <w:ind w:left="320"/>
              <w:spacing w:after="0"/>
              <w:rPr>
                <w:sz w:val="20"/>
                <w:szCs w:val="20"/>
                <w:color w:val="auto"/>
              </w:rPr>
            </w:pPr>
            <w:r>
              <w:rPr>
                <w:rFonts w:ascii="Arial" w:cs="Arial" w:eastAsia="Arial" w:hAnsi="Arial"/>
                <w:sz w:val="18"/>
                <w:szCs w:val="18"/>
                <w:color w:val="auto"/>
              </w:rPr>
              <w:t>Majority of votes cast</w:t>
            </w:r>
          </w:p>
        </w:tc>
      </w:tr>
    </w:tbl>
    <w:p>
      <w:pPr>
        <w:ind w:left="620" w:hanging="423"/>
        <w:spacing w:after="0" w:line="234"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Advisory vote to approve the compensation paid to our named executive</w:t>
      </w:r>
    </w:p>
    <w:p>
      <w:pPr>
        <w:spacing w:after="0" w:line="1" w:lineRule="exact"/>
        <w:rPr>
          <w:sz w:val="20"/>
          <w:szCs w:val="20"/>
          <w:color w:val="auto"/>
        </w:rPr>
      </w:pPr>
    </w:p>
    <w:p>
      <w:pPr>
        <w:ind w:left="620"/>
        <w:spacing w:after="0"/>
        <w:tabs>
          <w:tab w:leader="none" w:pos="6660" w:val="left"/>
          <w:tab w:leader="none" w:pos="9100" w:val="left"/>
        </w:tabs>
        <w:rPr>
          <w:sz w:val="20"/>
          <w:szCs w:val="20"/>
          <w:color w:val="auto"/>
        </w:rPr>
      </w:pPr>
      <w:r>
        <w:rPr>
          <w:rFonts w:ascii="Arial" w:cs="Arial" w:eastAsia="Arial" w:hAnsi="Arial"/>
          <w:sz w:val="18"/>
          <w:szCs w:val="18"/>
          <w:color w:val="auto"/>
        </w:rPr>
        <w:t>officers</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6"/>
          <w:szCs w:val="16"/>
          <w:color w:val="auto"/>
        </w:rPr>
        <w:t>Majority of votes</w:t>
      </w:r>
    </w:p>
    <w:p>
      <w:pPr>
        <w:spacing w:after="0" w:line="5" w:lineRule="exact"/>
        <w:rPr>
          <w:sz w:val="20"/>
          <w:szCs w:val="20"/>
          <w:color w:val="auto"/>
        </w:rPr>
      </w:pPr>
    </w:p>
    <w:p>
      <w:pPr>
        <w:ind w:left="620" w:hanging="423"/>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Ratification of the appointment of PricewaterhouseCoopers LLC as our</w:t>
      </w:r>
    </w:p>
    <w:tbl>
      <w:tblPr>
        <w:tblLayout w:type="fixed"/>
        <w:tblInd w:w="200" w:type="dxa"/>
        <w:tblCellMar>
          <w:top w:w="0" w:type="dxa"/>
          <w:left w:w="0" w:type="dxa"/>
          <w:bottom w:w="0" w:type="dxa"/>
          <w:right w:w="0" w:type="dxa"/>
        </w:tblCellMar>
      </w:tblPr>
      <w:tr>
        <w:trPr>
          <w:trHeight w:val="199"/>
        </w:trPr>
        <w:tc>
          <w:tcPr>
            <w:tcW w:w="300" w:type="dxa"/>
            <w:vAlign w:val="bottom"/>
            <w:tcBorders>
              <w:bottom w:val="single" w:sz="8" w:color="225CAB"/>
            </w:tcBorders>
          </w:tcPr>
          <w:p>
            <w:pPr>
              <w:spacing w:after="0"/>
              <w:rPr>
                <w:sz w:val="17"/>
                <w:szCs w:val="17"/>
                <w:color w:val="auto"/>
              </w:rPr>
            </w:pPr>
          </w:p>
        </w:tc>
        <w:tc>
          <w:tcPr>
            <w:tcW w:w="572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independent registered accounting firm</w:t>
            </w:r>
          </w:p>
        </w:tc>
        <w:tc>
          <w:tcPr>
            <w:tcW w:w="2080" w:type="dxa"/>
            <w:vAlign w:val="bottom"/>
            <w:tcBorders>
              <w:bottom w:val="single" w:sz="8" w:color="225CAB"/>
            </w:tcBorders>
          </w:tcPr>
          <w:p>
            <w:pPr>
              <w:ind w:left="460"/>
              <w:spacing w:after="0" w:line="200" w:lineRule="exact"/>
              <w:rPr>
                <w:sz w:val="20"/>
                <w:szCs w:val="20"/>
                <w:color w:val="auto"/>
              </w:rPr>
            </w:pPr>
            <w:r>
              <w:rPr>
                <w:rFonts w:ascii="Arial" w:cs="Arial" w:eastAsia="Arial" w:hAnsi="Arial"/>
                <w:sz w:val="18"/>
                <w:szCs w:val="18"/>
                <w:b w:val="1"/>
                <w:bCs w:val="1"/>
                <w:color w:val="auto"/>
              </w:rPr>
              <w:t>FOR</w:t>
            </w:r>
          </w:p>
        </w:tc>
        <w:tc>
          <w:tcPr>
            <w:tcW w:w="2960" w:type="dxa"/>
            <w:vAlign w:val="bottom"/>
            <w:tcBorders>
              <w:bottom w:val="single" w:sz="8" w:color="225CAB"/>
            </w:tcBorders>
          </w:tcPr>
          <w:p>
            <w:pPr>
              <w:ind w:left="820"/>
              <w:spacing w:after="0" w:line="200" w:lineRule="exact"/>
              <w:rPr>
                <w:sz w:val="20"/>
                <w:szCs w:val="20"/>
                <w:color w:val="auto"/>
              </w:rPr>
            </w:pPr>
            <w:r>
              <w:rPr>
                <w:rFonts w:ascii="Arial" w:cs="Arial" w:eastAsia="Arial" w:hAnsi="Arial"/>
                <w:sz w:val="18"/>
                <w:szCs w:val="18"/>
                <w:color w:val="auto"/>
              </w:rPr>
              <w:t>Majority of votes</w:t>
            </w:r>
          </w:p>
        </w:tc>
      </w:tr>
      <w:tr>
        <w:trPr>
          <w:trHeight w:val="196"/>
        </w:trPr>
        <w:tc>
          <w:tcPr>
            <w:tcW w:w="300" w:type="dxa"/>
            <w:vAlign w:val="bottom"/>
            <w:tcBorders>
              <w:bottom w:val="single" w:sz="8" w:color="225CAB"/>
            </w:tcBorders>
          </w:tcPr>
          <w:p>
            <w:pPr>
              <w:jc w:val="right"/>
              <w:ind w:right="52"/>
              <w:spacing w:after="0" w:line="196" w:lineRule="exact"/>
              <w:rPr>
                <w:sz w:val="20"/>
                <w:szCs w:val="20"/>
                <w:color w:val="auto"/>
              </w:rPr>
            </w:pPr>
            <w:r>
              <w:rPr>
                <w:rFonts w:ascii="Arial" w:cs="Arial" w:eastAsia="Arial" w:hAnsi="Arial"/>
                <w:sz w:val="18"/>
                <w:szCs w:val="18"/>
                <w:b w:val="1"/>
                <w:bCs w:val="1"/>
                <w:color w:val="auto"/>
                <w:w w:val="87"/>
              </w:rPr>
              <w:t>4:</w:t>
            </w:r>
          </w:p>
        </w:tc>
        <w:tc>
          <w:tcPr>
            <w:tcW w:w="5720" w:type="dxa"/>
            <w:vAlign w:val="bottom"/>
            <w:tcBorders>
              <w:bottom w:val="single" w:sz="8" w:color="225CAB"/>
            </w:tcBorders>
          </w:tcPr>
          <w:p>
            <w:pPr>
              <w:ind w:left="120"/>
              <w:spacing w:after="0" w:line="196" w:lineRule="exact"/>
              <w:rPr>
                <w:sz w:val="20"/>
                <w:szCs w:val="20"/>
                <w:color w:val="auto"/>
              </w:rPr>
            </w:pPr>
            <w:r>
              <w:rPr>
                <w:rFonts w:ascii="Arial" w:cs="Arial" w:eastAsia="Arial" w:hAnsi="Arial"/>
                <w:sz w:val="18"/>
                <w:szCs w:val="18"/>
                <w:color w:val="auto"/>
              </w:rPr>
              <w:t>Shareholder proposal, if properly presented at the Annual Meeting</w:t>
            </w:r>
          </w:p>
        </w:tc>
        <w:tc>
          <w:tcPr>
            <w:tcW w:w="2080" w:type="dxa"/>
            <w:vAlign w:val="bottom"/>
            <w:tcBorders>
              <w:bottom w:val="single" w:sz="8" w:color="225CAB"/>
            </w:tcBorders>
          </w:tcPr>
          <w:p>
            <w:pPr>
              <w:ind w:left="460"/>
              <w:spacing w:after="0" w:line="196" w:lineRule="exact"/>
              <w:rPr>
                <w:sz w:val="20"/>
                <w:szCs w:val="20"/>
                <w:color w:val="auto"/>
              </w:rPr>
            </w:pPr>
            <w:r>
              <w:rPr>
                <w:rFonts w:ascii="Arial" w:cs="Arial" w:eastAsia="Arial" w:hAnsi="Arial"/>
                <w:sz w:val="18"/>
                <w:szCs w:val="18"/>
                <w:b w:val="1"/>
                <w:bCs w:val="1"/>
                <w:color w:val="auto"/>
              </w:rPr>
              <w:t>AGAINST</w:t>
            </w:r>
          </w:p>
        </w:tc>
        <w:tc>
          <w:tcPr>
            <w:tcW w:w="2960" w:type="dxa"/>
            <w:vAlign w:val="bottom"/>
            <w:tcBorders>
              <w:bottom w:val="single" w:sz="8" w:color="225CAB"/>
            </w:tcBorders>
          </w:tcPr>
          <w:p>
            <w:pPr>
              <w:ind w:left="820"/>
              <w:spacing w:after="0" w:line="196" w:lineRule="exact"/>
              <w:rPr>
                <w:sz w:val="20"/>
                <w:szCs w:val="20"/>
                <w:color w:val="auto"/>
              </w:rPr>
            </w:pPr>
            <w:r>
              <w:rPr>
                <w:rFonts w:ascii="Arial" w:cs="Arial" w:eastAsia="Arial" w:hAnsi="Arial"/>
                <w:sz w:val="18"/>
                <w:szCs w:val="18"/>
                <w:color w:val="auto"/>
              </w:rPr>
              <w:t>Majority of votes</w:t>
            </w:r>
          </w:p>
        </w:tc>
      </w:tr>
    </w:tbl>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2015 DIRECTOR NOMINEES</w:t>
      </w:r>
    </w:p>
    <w:p>
      <w:pPr>
        <w:spacing w:after="0" w:line="160" w:lineRule="exact"/>
        <w:rPr>
          <w:sz w:val="20"/>
          <w:szCs w:val="20"/>
          <w:color w:val="auto"/>
        </w:rPr>
      </w:pPr>
    </w:p>
    <w:p>
      <w:pPr>
        <w:ind w:left="200" w:right="160"/>
        <w:spacing w:after="0" w:line="252" w:lineRule="auto"/>
        <w:rPr>
          <w:sz w:val="20"/>
          <w:szCs w:val="20"/>
          <w:color w:val="auto"/>
        </w:rPr>
      </w:pPr>
      <w:r>
        <w:rPr>
          <w:rFonts w:ascii="Arial" w:cs="Arial" w:eastAsia="Arial" w:hAnsi="Arial"/>
          <w:sz w:val="18"/>
          <w:szCs w:val="18"/>
          <w:color w:val="auto"/>
        </w:rPr>
        <w:t>We continue with the declassification of our Board, which our shareholders approved at the 2013 Annual Meeting upon our Board’s unanimous recommendation. The phasing-in of the declassification began in 2014 and will be completed next year. This year shareholders are electing seven directors who will serve for a one-year term.</w:t>
      </w:r>
    </w:p>
    <w:p>
      <w:pPr>
        <w:spacing w:after="0" w:line="299" w:lineRule="exact"/>
        <w:rPr>
          <w:sz w:val="20"/>
          <w:szCs w:val="20"/>
          <w:color w:val="auto"/>
        </w:rPr>
      </w:pPr>
    </w:p>
    <w:tbl>
      <w:tblPr>
        <w:tblLayout w:type="fixed"/>
        <w:tblInd w:w="7020" w:type="dxa"/>
        <w:tblCellMar>
          <w:top w:w="0" w:type="dxa"/>
          <w:left w:w="0" w:type="dxa"/>
          <w:bottom w:w="0" w:type="dxa"/>
          <w:right w:w="0" w:type="dxa"/>
        </w:tblCellMar>
      </w:tblPr>
      <w:tr>
        <w:trPr>
          <w:trHeight w:val="321"/>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300" w:type="dxa"/>
            <w:vAlign w:val="bottom"/>
          </w:tcPr>
          <w:p>
            <w:pPr>
              <w:ind w:left="260"/>
              <w:spacing w:after="0"/>
              <w:rPr>
                <w:sz w:val="20"/>
                <w:szCs w:val="20"/>
                <w:color w:val="auto"/>
              </w:rPr>
            </w:pPr>
            <w:r>
              <w:rPr>
                <w:rFonts w:ascii="Arial" w:cs="Arial" w:eastAsia="Arial" w:hAnsi="Arial"/>
                <w:sz w:val="10"/>
                <w:szCs w:val="10"/>
                <w:b w:val="1"/>
                <w:bCs w:val="1"/>
                <w:color w:val="225CAB"/>
                <w:w w:val="70"/>
              </w:rPr>
              <w:t>i</w:t>
            </w:r>
          </w:p>
        </w:tc>
      </w:tr>
      <w:tr>
        <w:trPr>
          <w:trHeight w:val="71"/>
        </w:trPr>
        <w:tc>
          <w:tcPr>
            <w:tcW w:w="4100" w:type="dxa"/>
            <w:vAlign w:val="bottom"/>
            <w:tcBorders>
              <w:right w:val="single" w:sz="8" w:color="225CAB"/>
            </w:tcBorders>
          </w:tcPr>
          <w:p>
            <w:pPr>
              <w:spacing w:after="0"/>
              <w:rPr>
                <w:sz w:val="6"/>
                <w:szCs w:val="6"/>
                <w:color w:val="auto"/>
              </w:rPr>
            </w:pPr>
          </w:p>
        </w:tc>
        <w:tc>
          <w:tcPr>
            <w:tcW w:w="3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-213995</wp:posOffset>
            </wp:positionV>
            <wp:extent cx="42037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PROXY STATEMENT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76465" cy="509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098415"/>
                    </a:xfrm>
                    <a:prstGeom prst="rect">
                      <a:avLst/>
                    </a:prstGeom>
                    <a:noFill/>
                  </pic:spPr>
                </pic:pic>
              </a:graphicData>
            </a:graphic>
          </wp:anchor>
        </w:drawing>
      </w:r>
    </w:p>
    <w:p>
      <w:pPr>
        <w:spacing w:after="0" w:line="313" w:lineRule="exact"/>
        <w:rPr>
          <w:sz w:val="20"/>
          <w:szCs w:val="20"/>
          <w:color w:val="auto"/>
        </w:rPr>
      </w:pPr>
    </w:p>
    <w:p>
      <w:pPr>
        <w:jc w:val="both"/>
        <w:ind w:left="200" w:right="680"/>
        <w:spacing w:after="0" w:line="252" w:lineRule="auto"/>
        <w:rPr>
          <w:sz w:val="20"/>
          <w:szCs w:val="20"/>
          <w:color w:val="auto"/>
        </w:rPr>
      </w:pPr>
      <w:r>
        <w:rPr>
          <w:rFonts w:ascii="Arial" w:cs="Arial" w:eastAsia="Arial" w:hAnsi="Arial"/>
          <w:sz w:val="18"/>
          <w:szCs w:val="18"/>
          <w:color w:val="auto"/>
        </w:rPr>
        <w:t>The following individuals are the director nominees for a term expiring at the Annual Meeting in 2016. In addition to our five incumbent directors and as a result of our Board processes that focus on Board refreshment, the Board has unanimously recommended two new nominees to stand for election by shareholders, Amy Woods Brinkley and Laura G. Thatcher.</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80" w:type="dxa"/>
            <w:vAlign w:val="bottom"/>
            <w:shd w:val="clear" w:color="auto" w:fill="225CAB"/>
          </w:tcPr>
          <w:p>
            <w:pPr>
              <w:spacing w:after="0"/>
              <w:rPr>
                <w:sz w:val="14"/>
                <w:szCs w:val="14"/>
                <w:color w:val="auto"/>
              </w:rPr>
            </w:pPr>
          </w:p>
        </w:tc>
        <w:tc>
          <w:tcPr>
            <w:tcW w:w="3760" w:type="dxa"/>
            <w:vAlign w:val="bottom"/>
            <w:shd w:val="clear" w:color="auto" w:fill="225CAB"/>
          </w:tcPr>
          <w:p>
            <w:pPr>
              <w:spacing w:after="0"/>
              <w:rPr>
                <w:sz w:val="14"/>
                <w:szCs w:val="14"/>
                <w:color w:val="auto"/>
              </w:rPr>
            </w:pPr>
          </w:p>
        </w:tc>
        <w:tc>
          <w:tcPr>
            <w:tcW w:w="840" w:type="dxa"/>
            <w:vAlign w:val="bottom"/>
            <w:shd w:val="clear" w:color="auto" w:fill="225CAB"/>
          </w:tcPr>
          <w:p>
            <w:pPr>
              <w:spacing w:after="0"/>
              <w:rPr>
                <w:sz w:val="14"/>
                <w:szCs w:val="14"/>
                <w:color w:val="auto"/>
              </w:rPr>
            </w:pPr>
          </w:p>
        </w:tc>
        <w:tc>
          <w:tcPr>
            <w:tcW w:w="1000" w:type="dxa"/>
            <w:vAlign w:val="bottom"/>
            <w:shd w:val="clear" w:color="auto" w:fill="225CAB"/>
          </w:tcPr>
          <w:p>
            <w:pPr>
              <w:spacing w:after="0"/>
              <w:rPr>
                <w:sz w:val="14"/>
                <w:szCs w:val="14"/>
                <w:color w:val="auto"/>
              </w:rPr>
            </w:pPr>
          </w:p>
        </w:tc>
        <w:tc>
          <w:tcPr>
            <w:tcW w:w="560" w:type="dxa"/>
            <w:vAlign w:val="bottom"/>
            <w:shd w:val="clear" w:color="auto" w:fill="225CAB"/>
          </w:tcPr>
          <w:p>
            <w:pPr>
              <w:spacing w:after="0"/>
              <w:rPr>
                <w:sz w:val="14"/>
                <w:szCs w:val="14"/>
                <w:color w:val="auto"/>
              </w:rPr>
            </w:pPr>
          </w:p>
        </w:tc>
        <w:tc>
          <w:tcPr>
            <w:tcW w:w="2160" w:type="dxa"/>
            <w:vAlign w:val="bottom"/>
            <w:gridSpan w:val="2"/>
            <w:shd w:val="clear" w:color="auto" w:fill="225CAB"/>
          </w:tcPr>
          <w:p>
            <w:pPr>
              <w:ind w:left="880"/>
              <w:spacing w:after="0"/>
              <w:rPr>
                <w:sz w:val="20"/>
                <w:szCs w:val="20"/>
                <w:color w:val="auto"/>
              </w:rPr>
            </w:pPr>
            <w:r>
              <w:rPr>
                <w:rFonts w:ascii="Arial" w:cs="Arial" w:eastAsia="Arial" w:hAnsi="Arial"/>
                <w:sz w:val="14"/>
                <w:szCs w:val="14"/>
                <w:color w:val="FFFFFF"/>
              </w:rPr>
              <w:t>Committees</w:t>
            </w:r>
          </w:p>
        </w:tc>
        <w:tc>
          <w:tcPr>
            <w:tcW w:w="760" w:type="dxa"/>
            <w:vAlign w:val="bottom"/>
            <w:shd w:val="clear" w:color="auto" w:fill="225CAB"/>
          </w:tcPr>
          <w:p>
            <w:pPr>
              <w:spacing w:after="0"/>
              <w:rPr>
                <w:sz w:val="14"/>
                <w:szCs w:val="14"/>
                <w:color w:val="auto"/>
              </w:rPr>
            </w:pPr>
          </w:p>
        </w:tc>
      </w:tr>
      <w:tr>
        <w:trPr>
          <w:trHeight w:val="149"/>
        </w:trPr>
        <w:tc>
          <w:tcPr>
            <w:tcW w:w="1980" w:type="dxa"/>
            <w:vAlign w:val="bottom"/>
            <w:shd w:val="clear" w:color="auto" w:fill="225CAB"/>
          </w:tcPr>
          <w:p>
            <w:pPr>
              <w:spacing w:after="0"/>
              <w:rPr>
                <w:sz w:val="12"/>
                <w:szCs w:val="12"/>
                <w:color w:val="auto"/>
              </w:rPr>
            </w:pPr>
          </w:p>
        </w:tc>
        <w:tc>
          <w:tcPr>
            <w:tcW w:w="3760" w:type="dxa"/>
            <w:vAlign w:val="bottom"/>
            <w:shd w:val="clear" w:color="auto" w:fill="225CAB"/>
          </w:tcPr>
          <w:p>
            <w:pPr>
              <w:spacing w:after="0"/>
              <w:rPr>
                <w:sz w:val="12"/>
                <w:szCs w:val="12"/>
                <w:color w:val="auto"/>
              </w:rPr>
            </w:pPr>
          </w:p>
        </w:tc>
        <w:tc>
          <w:tcPr>
            <w:tcW w:w="840" w:type="dxa"/>
            <w:vAlign w:val="bottom"/>
            <w:shd w:val="clear" w:color="auto" w:fill="225CAB"/>
          </w:tcPr>
          <w:p>
            <w:pPr>
              <w:spacing w:after="0"/>
              <w:rPr>
                <w:sz w:val="12"/>
                <w:szCs w:val="12"/>
                <w:color w:val="auto"/>
              </w:rPr>
            </w:pPr>
          </w:p>
        </w:tc>
        <w:tc>
          <w:tcPr>
            <w:tcW w:w="1000" w:type="dxa"/>
            <w:vAlign w:val="bottom"/>
            <w:shd w:val="clear" w:color="auto" w:fill="225CAB"/>
          </w:tcPr>
          <w:p>
            <w:pPr>
              <w:spacing w:after="0"/>
              <w:rPr>
                <w:sz w:val="12"/>
                <w:szCs w:val="12"/>
                <w:color w:val="auto"/>
              </w:rPr>
            </w:pPr>
          </w:p>
        </w:tc>
        <w:tc>
          <w:tcPr>
            <w:tcW w:w="56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c>
          <w:tcPr>
            <w:tcW w:w="10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Nominating</w:t>
            </w:r>
          </w:p>
        </w:tc>
        <w:tc>
          <w:tcPr>
            <w:tcW w:w="760" w:type="dxa"/>
            <w:vAlign w:val="bottom"/>
            <w:shd w:val="clear" w:color="auto" w:fill="225CAB"/>
          </w:tcPr>
          <w:p>
            <w:pPr>
              <w:spacing w:after="0"/>
              <w:rPr>
                <w:sz w:val="12"/>
                <w:szCs w:val="12"/>
                <w:color w:val="auto"/>
              </w:rPr>
            </w:pPr>
          </w:p>
        </w:tc>
      </w:tr>
      <w:tr>
        <w:trPr>
          <w:trHeight w:val="149"/>
        </w:trPr>
        <w:tc>
          <w:tcPr>
            <w:tcW w:w="1980" w:type="dxa"/>
            <w:vAlign w:val="bottom"/>
            <w:shd w:val="clear" w:color="auto" w:fill="225CAB"/>
          </w:tcPr>
          <w:p>
            <w:pPr>
              <w:spacing w:after="0"/>
              <w:rPr>
                <w:sz w:val="12"/>
                <w:szCs w:val="12"/>
                <w:color w:val="auto"/>
              </w:rPr>
            </w:pPr>
          </w:p>
        </w:tc>
        <w:tc>
          <w:tcPr>
            <w:tcW w:w="3760" w:type="dxa"/>
            <w:vAlign w:val="bottom"/>
            <w:shd w:val="clear" w:color="auto" w:fill="225CAB"/>
          </w:tcPr>
          <w:p>
            <w:pPr>
              <w:spacing w:after="0"/>
              <w:rPr>
                <w:sz w:val="12"/>
                <w:szCs w:val="12"/>
                <w:color w:val="auto"/>
              </w:rPr>
            </w:pPr>
          </w:p>
        </w:tc>
        <w:tc>
          <w:tcPr>
            <w:tcW w:w="840" w:type="dxa"/>
            <w:vAlign w:val="bottom"/>
            <w:shd w:val="clear" w:color="auto" w:fill="225CAB"/>
          </w:tcPr>
          <w:p>
            <w:pPr>
              <w:jc w:val="center"/>
              <w:ind w:left="38"/>
              <w:spacing w:after="0" w:line="149" w:lineRule="exact"/>
              <w:rPr>
                <w:sz w:val="20"/>
                <w:szCs w:val="20"/>
                <w:color w:val="auto"/>
              </w:rPr>
            </w:pPr>
            <w:r>
              <w:rPr>
                <w:rFonts w:ascii="Arial" w:cs="Arial" w:eastAsia="Arial" w:hAnsi="Arial"/>
                <w:sz w:val="14"/>
                <w:szCs w:val="14"/>
                <w:color w:val="FFFFFF"/>
                <w:w w:val="97"/>
              </w:rPr>
              <w:t>Director</w:t>
            </w:r>
          </w:p>
        </w:tc>
        <w:tc>
          <w:tcPr>
            <w:tcW w:w="1000" w:type="dxa"/>
            <w:vAlign w:val="bottom"/>
            <w:shd w:val="clear" w:color="auto" w:fill="225CAB"/>
          </w:tcPr>
          <w:p>
            <w:pPr>
              <w:spacing w:after="0"/>
              <w:rPr>
                <w:sz w:val="12"/>
                <w:szCs w:val="12"/>
                <w:color w:val="auto"/>
              </w:rPr>
            </w:pPr>
          </w:p>
        </w:tc>
        <w:tc>
          <w:tcPr>
            <w:tcW w:w="56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c>
          <w:tcPr>
            <w:tcW w:w="10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rPr>
              <w:t>and</w:t>
            </w:r>
          </w:p>
        </w:tc>
        <w:tc>
          <w:tcPr>
            <w:tcW w:w="760" w:type="dxa"/>
            <w:vAlign w:val="bottom"/>
            <w:shd w:val="clear" w:color="auto" w:fill="225CAB"/>
          </w:tcPr>
          <w:p>
            <w:pPr>
              <w:spacing w:after="0"/>
              <w:rPr>
                <w:sz w:val="12"/>
                <w:szCs w:val="12"/>
                <w:color w:val="auto"/>
              </w:rPr>
            </w:pPr>
          </w:p>
        </w:tc>
      </w:tr>
      <w:tr>
        <w:trPr>
          <w:trHeight w:val="165"/>
        </w:trPr>
        <w:tc>
          <w:tcPr>
            <w:tcW w:w="1980" w:type="dxa"/>
            <w:vAlign w:val="bottom"/>
            <w:shd w:val="clear" w:color="auto" w:fill="225CAB"/>
          </w:tcPr>
          <w:p>
            <w:pPr>
              <w:spacing w:after="0"/>
              <w:rPr>
                <w:sz w:val="20"/>
                <w:szCs w:val="20"/>
                <w:color w:val="auto"/>
              </w:rPr>
            </w:pPr>
            <w:r>
              <w:rPr>
                <w:rFonts w:ascii="Arial" w:cs="Arial" w:eastAsia="Arial" w:hAnsi="Arial"/>
                <w:sz w:val="14"/>
                <w:szCs w:val="14"/>
                <w:color w:val="FFFFFF"/>
              </w:rPr>
              <w:t>Name</w:t>
            </w:r>
          </w:p>
        </w:tc>
        <w:tc>
          <w:tcPr>
            <w:tcW w:w="3760" w:type="dxa"/>
            <w:vAlign w:val="bottom"/>
            <w:shd w:val="clear" w:color="auto" w:fill="225CAB"/>
          </w:tcPr>
          <w:p>
            <w:pPr>
              <w:ind w:left="1760"/>
              <w:spacing w:after="0"/>
              <w:rPr>
                <w:sz w:val="20"/>
                <w:szCs w:val="20"/>
                <w:color w:val="auto"/>
              </w:rPr>
            </w:pPr>
            <w:r>
              <w:rPr>
                <w:rFonts w:ascii="Arial" w:cs="Arial" w:eastAsia="Arial" w:hAnsi="Arial"/>
                <w:sz w:val="14"/>
                <w:szCs w:val="14"/>
                <w:color w:val="FFFFFF"/>
              </w:rPr>
              <w:t>Position</w:t>
            </w:r>
          </w:p>
        </w:tc>
        <w:tc>
          <w:tcPr>
            <w:tcW w:w="840" w:type="dxa"/>
            <w:vAlign w:val="bottom"/>
            <w:shd w:val="clear" w:color="auto" w:fill="225CAB"/>
          </w:tcPr>
          <w:p>
            <w:pPr>
              <w:jc w:val="center"/>
              <w:ind w:left="18"/>
              <w:spacing w:after="0"/>
              <w:rPr>
                <w:sz w:val="20"/>
                <w:szCs w:val="20"/>
                <w:color w:val="auto"/>
              </w:rPr>
            </w:pPr>
            <w:r>
              <w:rPr>
                <w:rFonts w:ascii="Arial" w:cs="Arial" w:eastAsia="Arial" w:hAnsi="Arial"/>
                <w:sz w:val="14"/>
                <w:szCs w:val="14"/>
                <w:color w:val="FFFFFF"/>
                <w:w w:val="96"/>
              </w:rPr>
              <w:t>Since</w:t>
            </w:r>
          </w:p>
        </w:tc>
        <w:tc>
          <w:tcPr>
            <w:tcW w:w="100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Independent</w:t>
            </w:r>
          </w:p>
        </w:tc>
        <w:tc>
          <w:tcPr>
            <w:tcW w:w="560" w:type="dxa"/>
            <w:vAlign w:val="bottom"/>
            <w:shd w:val="clear" w:color="auto" w:fill="225CAB"/>
          </w:tcPr>
          <w:p>
            <w:pPr>
              <w:jc w:val="center"/>
              <w:spacing w:after="0"/>
              <w:rPr>
                <w:sz w:val="20"/>
                <w:szCs w:val="20"/>
                <w:color w:val="auto"/>
              </w:rPr>
            </w:pPr>
            <w:r>
              <w:rPr>
                <w:rFonts w:ascii="Arial" w:cs="Arial" w:eastAsia="Arial" w:hAnsi="Arial"/>
                <w:sz w:val="14"/>
                <w:szCs w:val="14"/>
                <w:color w:val="FFFFFF"/>
              </w:rPr>
              <w:t>Audit</w:t>
            </w:r>
          </w:p>
        </w:tc>
        <w:tc>
          <w:tcPr>
            <w:tcW w:w="114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5"/>
              </w:rPr>
              <w:t>Compensation</w:t>
            </w:r>
          </w:p>
        </w:tc>
        <w:tc>
          <w:tcPr>
            <w:tcW w:w="10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4"/>
              </w:rPr>
              <w:t>Governance</w:t>
            </w:r>
          </w:p>
        </w:tc>
        <w:tc>
          <w:tcPr>
            <w:tcW w:w="760" w:type="dxa"/>
            <w:vAlign w:val="bottom"/>
            <w:shd w:val="clear" w:color="auto" w:fill="225CAB"/>
          </w:tcPr>
          <w:p>
            <w:pPr>
              <w:jc w:val="center"/>
              <w:ind w:left="39"/>
              <w:spacing w:after="0"/>
              <w:rPr>
                <w:sz w:val="20"/>
                <w:szCs w:val="20"/>
                <w:color w:val="auto"/>
              </w:rPr>
            </w:pPr>
            <w:r>
              <w:rPr>
                <w:rFonts w:ascii="Arial" w:cs="Arial" w:eastAsia="Arial" w:hAnsi="Arial"/>
                <w:sz w:val="14"/>
                <w:szCs w:val="14"/>
                <w:color w:val="FFFFFF"/>
                <w:w w:val="98"/>
              </w:rPr>
              <w:t>Executive</w:t>
            </w:r>
          </w:p>
        </w:tc>
      </w:tr>
      <w:tr>
        <w:trPr>
          <w:trHeight w:val="203"/>
        </w:trPr>
        <w:tc>
          <w:tcPr>
            <w:tcW w:w="198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Amy Woods Brinkley</w:t>
            </w:r>
          </w:p>
        </w:tc>
        <w:tc>
          <w:tcPr>
            <w:tcW w:w="3760" w:type="dxa"/>
            <w:vAlign w:val="bottom"/>
            <w:tcBorders>
              <w:bottom w:val="single" w:sz="8" w:color="225CAB"/>
            </w:tcBorders>
          </w:tcPr>
          <w:p>
            <w:pPr>
              <w:ind w:left="220"/>
              <w:spacing w:after="0" w:line="202" w:lineRule="exact"/>
              <w:rPr>
                <w:sz w:val="20"/>
                <w:szCs w:val="20"/>
                <w:color w:val="auto"/>
              </w:rPr>
            </w:pPr>
            <w:r>
              <w:rPr>
                <w:rFonts w:ascii="Arial" w:cs="Arial" w:eastAsia="Arial" w:hAnsi="Arial"/>
                <w:sz w:val="18"/>
                <w:szCs w:val="18"/>
                <w:color w:val="auto"/>
              </w:rPr>
              <w:t>Founder, AWB Consulting, LLC</w:t>
            </w:r>
          </w:p>
        </w:tc>
        <w:tc>
          <w:tcPr>
            <w:tcW w:w="840" w:type="dxa"/>
            <w:vAlign w:val="bottom"/>
            <w:tcBorders>
              <w:bottom w:val="single" w:sz="8" w:color="225CAB"/>
            </w:tcBorders>
          </w:tcPr>
          <w:p>
            <w:pPr>
              <w:spacing w:after="0"/>
              <w:rPr>
                <w:sz w:val="17"/>
                <w:szCs w:val="17"/>
                <w:color w:val="auto"/>
              </w:rPr>
            </w:pPr>
          </w:p>
        </w:tc>
        <w:tc>
          <w:tcPr>
            <w:tcW w:w="100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9"/>
              </w:rPr>
              <w:t>X</w:t>
            </w:r>
          </w:p>
        </w:tc>
        <w:tc>
          <w:tcPr>
            <w:tcW w:w="560" w:type="dxa"/>
            <w:vAlign w:val="bottom"/>
            <w:tcBorders>
              <w:bottom w:val="single" w:sz="8" w:color="225CAB"/>
            </w:tcBorders>
          </w:tcPr>
          <w:p>
            <w:pPr>
              <w:spacing w:after="0"/>
              <w:rPr>
                <w:sz w:val="17"/>
                <w:szCs w:val="17"/>
                <w:color w:val="auto"/>
              </w:rPr>
            </w:pPr>
          </w:p>
        </w:tc>
        <w:tc>
          <w:tcPr>
            <w:tcW w:w="114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spacing w:after="0"/>
              <w:rPr>
                <w:sz w:val="17"/>
                <w:szCs w:val="17"/>
                <w:color w:val="auto"/>
              </w:rPr>
            </w:pPr>
          </w:p>
        </w:tc>
        <w:tc>
          <w:tcPr>
            <w:tcW w:w="760" w:type="dxa"/>
            <w:vAlign w:val="bottom"/>
            <w:tcBorders>
              <w:bottom w:val="single" w:sz="8" w:color="225CAB"/>
            </w:tcBorders>
          </w:tcPr>
          <w:p>
            <w:pPr>
              <w:spacing w:after="0"/>
              <w:rPr>
                <w:sz w:val="17"/>
                <w:szCs w:val="17"/>
                <w:color w:val="auto"/>
              </w:rPr>
            </w:pPr>
          </w:p>
        </w:tc>
      </w:tr>
      <w:tr>
        <w:trPr>
          <w:trHeight w:val="177"/>
        </w:trPr>
        <w:tc>
          <w:tcPr>
            <w:tcW w:w="1980" w:type="dxa"/>
            <w:vAlign w:val="bottom"/>
          </w:tcPr>
          <w:p>
            <w:pPr>
              <w:spacing w:after="0" w:line="177" w:lineRule="exact"/>
              <w:rPr>
                <w:sz w:val="20"/>
                <w:szCs w:val="20"/>
                <w:color w:val="auto"/>
              </w:rPr>
            </w:pPr>
            <w:r>
              <w:rPr>
                <w:rFonts w:ascii="Arial" w:cs="Arial" w:eastAsia="Arial" w:hAnsi="Arial"/>
                <w:sz w:val="18"/>
                <w:szCs w:val="18"/>
                <w:color w:val="225CAB"/>
              </w:rPr>
              <w:t>Robert D. Johnson</w:t>
            </w:r>
          </w:p>
        </w:tc>
        <w:tc>
          <w:tcPr>
            <w:tcW w:w="3760" w:type="dxa"/>
            <w:vAlign w:val="bottom"/>
          </w:tcPr>
          <w:p>
            <w:pPr>
              <w:ind w:left="220"/>
              <w:spacing w:after="0" w:line="177" w:lineRule="exact"/>
              <w:rPr>
                <w:sz w:val="20"/>
                <w:szCs w:val="20"/>
                <w:color w:val="auto"/>
              </w:rPr>
            </w:pPr>
            <w:r>
              <w:rPr>
                <w:rFonts w:ascii="Arial" w:cs="Arial" w:eastAsia="Arial" w:hAnsi="Arial"/>
                <w:sz w:val="18"/>
                <w:szCs w:val="18"/>
                <w:color w:val="auto"/>
              </w:rPr>
              <w:t>Former CEO, Dubai Aerospace Enterprise</w:t>
            </w:r>
          </w:p>
        </w:tc>
        <w:tc>
          <w:tcPr>
            <w:tcW w:w="840" w:type="dxa"/>
            <w:vAlign w:val="bottom"/>
          </w:tcPr>
          <w:p>
            <w:pPr>
              <w:jc w:val="center"/>
              <w:ind w:left="18"/>
              <w:spacing w:after="0" w:line="177" w:lineRule="exact"/>
              <w:rPr>
                <w:sz w:val="20"/>
                <w:szCs w:val="20"/>
                <w:color w:val="auto"/>
              </w:rPr>
            </w:pPr>
            <w:r>
              <w:rPr>
                <w:rFonts w:ascii="Arial" w:cs="Arial" w:eastAsia="Arial" w:hAnsi="Arial"/>
                <w:sz w:val="18"/>
                <w:szCs w:val="18"/>
                <w:color w:val="auto"/>
                <w:w w:val="94"/>
              </w:rPr>
              <w:t>2005</w:t>
            </w:r>
          </w:p>
        </w:tc>
        <w:tc>
          <w:tcPr>
            <w:tcW w:w="100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5"/>
                <w:szCs w:val="15"/>
                <w:color w:val="auto"/>
              </w:rPr>
            </w:pPr>
          </w:p>
        </w:tc>
        <w:tc>
          <w:tcPr>
            <w:tcW w:w="114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1980" w:type="dxa"/>
            <w:vAlign w:val="bottom"/>
            <w:tcBorders>
              <w:bottom w:val="single" w:sz="8" w:color="225CAB"/>
            </w:tcBorders>
          </w:tcPr>
          <w:p>
            <w:pPr>
              <w:spacing w:after="0"/>
              <w:rPr>
                <w:sz w:val="19"/>
                <w:szCs w:val="19"/>
                <w:color w:val="auto"/>
              </w:rPr>
            </w:pPr>
          </w:p>
        </w:tc>
        <w:tc>
          <w:tcPr>
            <w:tcW w:w="3760" w:type="dxa"/>
            <w:vAlign w:val="bottom"/>
            <w:tcBorders>
              <w:bottom w:val="single" w:sz="8" w:color="225CAB"/>
            </w:tcBorders>
          </w:tcPr>
          <w:p>
            <w:pPr>
              <w:ind w:left="220"/>
              <w:spacing w:after="0"/>
              <w:rPr>
                <w:sz w:val="20"/>
                <w:szCs w:val="20"/>
                <w:color w:val="auto"/>
              </w:rPr>
            </w:pPr>
            <w:r>
              <w:rPr>
                <w:rFonts w:ascii="Arial" w:cs="Arial" w:eastAsia="Arial" w:hAnsi="Arial"/>
                <w:sz w:val="18"/>
                <w:szCs w:val="18"/>
                <w:color w:val="auto"/>
              </w:rPr>
              <w:t>Ltd.</w:t>
            </w:r>
          </w:p>
        </w:tc>
        <w:tc>
          <w:tcPr>
            <w:tcW w:w="840" w:type="dxa"/>
            <w:vAlign w:val="bottom"/>
            <w:tcBorders>
              <w:bottom w:val="single" w:sz="8" w:color="225CAB"/>
            </w:tcBorders>
          </w:tcPr>
          <w:p>
            <w:pPr>
              <w:spacing w:after="0"/>
              <w:rPr>
                <w:sz w:val="19"/>
                <w:szCs w:val="19"/>
                <w:color w:val="auto"/>
              </w:rPr>
            </w:pPr>
          </w:p>
        </w:tc>
        <w:tc>
          <w:tcPr>
            <w:tcW w:w="1000" w:type="dxa"/>
            <w:vAlign w:val="bottom"/>
            <w:tcBorders>
              <w:bottom w:val="single" w:sz="8" w:color="225CAB"/>
            </w:tcBorders>
          </w:tcPr>
          <w:p>
            <w:pPr>
              <w:spacing w:after="0"/>
              <w:rPr>
                <w:sz w:val="19"/>
                <w:szCs w:val="19"/>
                <w:color w:val="auto"/>
              </w:rPr>
            </w:pPr>
          </w:p>
        </w:tc>
        <w:tc>
          <w:tcPr>
            <w:tcW w:w="560" w:type="dxa"/>
            <w:vAlign w:val="bottom"/>
            <w:tcBorders>
              <w:bottom w:val="single" w:sz="8" w:color="225CAB"/>
            </w:tcBorders>
          </w:tcPr>
          <w:p>
            <w:pPr>
              <w:spacing w:after="0"/>
              <w:rPr>
                <w:sz w:val="19"/>
                <w:szCs w:val="19"/>
                <w:color w:val="auto"/>
              </w:rPr>
            </w:pPr>
          </w:p>
        </w:tc>
        <w:tc>
          <w:tcPr>
            <w:tcW w:w="1140" w:type="dxa"/>
            <w:vAlign w:val="bottom"/>
            <w:tcBorders>
              <w:bottom w:val="single" w:sz="8" w:color="225CAB"/>
            </w:tcBorders>
          </w:tcPr>
          <w:p>
            <w:pPr>
              <w:spacing w:after="0"/>
              <w:rPr>
                <w:sz w:val="19"/>
                <w:szCs w:val="19"/>
                <w:color w:val="auto"/>
              </w:rPr>
            </w:pPr>
          </w:p>
        </w:tc>
        <w:tc>
          <w:tcPr>
            <w:tcW w:w="1020" w:type="dxa"/>
            <w:vAlign w:val="bottom"/>
            <w:tcBorders>
              <w:bottom w:val="single" w:sz="8" w:color="225CAB"/>
            </w:tcBorders>
          </w:tcPr>
          <w:p>
            <w:pPr>
              <w:spacing w:after="0"/>
              <w:rPr>
                <w:sz w:val="19"/>
                <w:szCs w:val="19"/>
                <w:color w:val="auto"/>
              </w:rPr>
            </w:pPr>
          </w:p>
        </w:tc>
        <w:tc>
          <w:tcPr>
            <w:tcW w:w="760" w:type="dxa"/>
            <w:vAlign w:val="bottom"/>
            <w:tcBorders>
              <w:bottom w:val="single" w:sz="8" w:color="225CAB"/>
            </w:tcBorders>
          </w:tcPr>
          <w:p>
            <w:pPr>
              <w:spacing w:after="0"/>
              <w:rPr>
                <w:sz w:val="19"/>
                <w:szCs w:val="19"/>
                <w:color w:val="auto"/>
              </w:rPr>
            </w:pPr>
          </w:p>
        </w:tc>
      </w:tr>
      <w:tr>
        <w:trPr>
          <w:trHeight w:val="196"/>
        </w:trPr>
        <w:tc>
          <w:tcPr>
            <w:tcW w:w="19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w:t>
            </w:r>
          </w:p>
        </w:tc>
        <w:tc>
          <w:tcPr>
            <w:tcW w:w="3760" w:type="dxa"/>
            <w:vAlign w:val="bottom"/>
            <w:tcBorders>
              <w:bottom w:val="single" w:sz="8" w:color="225CAB"/>
            </w:tcBorders>
          </w:tcPr>
          <w:p>
            <w:pPr>
              <w:ind w:left="220"/>
              <w:spacing w:after="0" w:line="196" w:lineRule="exact"/>
              <w:rPr>
                <w:sz w:val="20"/>
                <w:szCs w:val="20"/>
                <w:color w:val="auto"/>
              </w:rPr>
            </w:pPr>
            <w:r>
              <w:rPr>
                <w:rFonts w:ascii="Arial" w:cs="Arial" w:eastAsia="Arial" w:hAnsi="Arial"/>
                <w:sz w:val="18"/>
                <w:szCs w:val="18"/>
                <w:color w:val="auto"/>
              </w:rPr>
              <w:t>Chairman, Eagles Landing Partners</w:t>
            </w:r>
          </w:p>
        </w:tc>
        <w:tc>
          <w:tcPr>
            <w:tcW w:w="840" w:type="dxa"/>
            <w:vAlign w:val="bottom"/>
            <w:tcBorders>
              <w:bottom w:val="single" w:sz="8" w:color="225CAB"/>
            </w:tcBorders>
          </w:tcPr>
          <w:p>
            <w:pPr>
              <w:jc w:val="center"/>
              <w:ind w:left="18"/>
              <w:spacing w:after="0" w:line="196" w:lineRule="exact"/>
              <w:rPr>
                <w:sz w:val="20"/>
                <w:szCs w:val="20"/>
                <w:color w:val="auto"/>
              </w:rPr>
            </w:pPr>
            <w:r>
              <w:rPr>
                <w:rFonts w:ascii="Arial" w:cs="Arial" w:eastAsia="Arial" w:hAnsi="Arial"/>
                <w:sz w:val="18"/>
                <w:szCs w:val="18"/>
                <w:color w:val="auto"/>
                <w:w w:val="94"/>
              </w:rPr>
              <w:t>2008</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560" w:type="dxa"/>
            <w:vAlign w:val="bottom"/>
            <w:tcBorders>
              <w:bottom w:val="single" w:sz="8" w:color="225CAB"/>
            </w:tcBorders>
          </w:tcPr>
          <w:p>
            <w:pPr>
              <w:spacing w:after="0"/>
              <w:rPr>
                <w:sz w:val="17"/>
                <w:szCs w:val="17"/>
                <w:color w:val="auto"/>
              </w:rPr>
            </w:pPr>
          </w:p>
        </w:tc>
        <w:tc>
          <w:tcPr>
            <w:tcW w:w="114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1020" w:type="dxa"/>
            <w:vAlign w:val="bottom"/>
            <w:tcBorders>
              <w:bottom w:val="single" w:sz="8" w:color="225CAB"/>
            </w:tcBorders>
          </w:tcPr>
          <w:p>
            <w:pPr>
              <w:spacing w:after="0"/>
              <w:rPr>
                <w:sz w:val="17"/>
                <w:szCs w:val="17"/>
                <w:color w:val="auto"/>
              </w:rPr>
            </w:pPr>
          </w:p>
        </w:tc>
        <w:tc>
          <w:tcPr>
            <w:tcW w:w="760" w:type="dxa"/>
            <w:vAlign w:val="bottom"/>
            <w:tcBorders>
              <w:bottom w:val="single" w:sz="8" w:color="225CAB"/>
            </w:tcBorders>
          </w:tcPr>
          <w:p>
            <w:pPr>
              <w:jc w:val="center"/>
              <w:ind w:left="39"/>
              <w:spacing w:after="0" w:line="196" w:lineRule="exact"/>
              <w:rPr>
                <w:sz w:val="20"/>
                <w:szCs w:val="20"/>
                <w:color w:val="auto"/>
              </w:rPr>
            </w:pPr>
            <w:r>
              <w:rPr>
                <w:rFonts w:ascii="Arial" w:cs="Arial" w:eastAsia="Arial" w:hAnsi="Arial"/>
                <w:sz w:val="18"/>
                <w:szCs w:val="18"/>
                <w:color w:val="auto"/>
                <w:w w:val="99"/>
              </w:rPr>
              <w:t>X</w:t>
            </w:r>
          </w:p>
        </w:tc>
      </w:tr>
      <w:tr>
        <w:trPr>
          <w:trHeight w:val="177"/>
        </w:trPr>
        <w:tc>
          <w:tcPr>
            <w:tcW w:w="1980" w:type="dxa"/>
            <w:vAlign w:val="bottom"/>
          </w:tcPr>
          <w:p>
            <w:pPr>
              <w:spacing w:after="0" w:line="177" w:lineRule="exact"/>
              <w:rPr>
                <w:sz w:val="20"/>
                <w:szCs w:val="20"/>
                <w:color w:val="auto"/>
              </w:rPr>
            </w:pPr>
            <w:r>
              <w:rPr>
                <w:rFonts w:ascii="Arial" w:cs="Arial" w:eastAsia="Arial" w:hAnsi="Arial"/>
                <w:sz w:val="18"/>
                <w:szCs w:val="18"/>
                <w:color w:val="225CAB"/>
              </w:rPr>
              <w:t>Wilbur J. Prezzano</w:t>
            </w:r>
          </w:p>
        </w:tc>
        <w:tc>
          <w:tcPr>
            <w:tcW w:w="3760" w:type="dxa"/>
            <w:vAlign w:val="bottom"/>
          </w:tcPr>
          <w:p>
            <w:pPr>
              <w:ind w:left="220"/>
              <w:spacing w:after="0" w:line="177" w:lineRule="exact"/>
              <w:rPr>
                <w:sz w:val="20"/>
                <w:szCs w:val="20"/>
                <w:color w:val="auto"/>
              </w:rPr>
            </w:pPr>
            <w:r>
              <w:rPr>
                <w:rFonts w:ascii="Arial" w:cs="Arial" w:eastAsia="Arial" w:hAnsi="Arial"/>
                <w:sz w:val="18"/>
                <w:szCs w:val="18"/>
                <w:color w:val="auto"/>
              </w:rPr>
              <w:t>Former Vice-Chairman, Eastman Kodak</w:t>
            </w:r>
          </w:p>
        </w:tc>
        <w:tc>
          <w:tcPr>
            <w:tcW w:w="840" w:type="dxa"/>
            <w:vAlign w:val="bottom"/>
          </w:tcPr>
          <w:p>
            <w:pPr>
              <w:jc w:val="center"/>
              <w:ind w:left="18"/>
              <w:spacing w:after="0" w:line="177" w:lineRule="exact"/>
              <w:rPr>
                <w:sz w:val="20"/>
                <w:szCs w:val="20"/>
                <w:color w:val="auto"/>
              </w:rPr>
            </w:pPr>
            <w:r>
              <w:rPr>
                <w:rFonts w:ascii="Arial" w:cs="Arial" w:eastAsia="Arial" w:hAnsi="Arial"/>
                <w:sz w:val="18"/>
                <w:szCs w:val="18"/>
                <w:color w:val="auto"/>
                <w:w w:val="94"/>
              </w:rPr>
              <w:t>1997</w:t>
            </w:r>
          </w:p>
        </w:tc>
        <w:tc>
          <w:tcPr>
            <w:tcW w:w="100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5"/>
                <w:szCs w:val="15"/>
                <w:color w:val="auto"/>
              </w:rPr>
            </w:pPr>
          </w:p>
        </w:tc>
        <w:tc>
          <w:tcPr>
            <w:tcW w:w="114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102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5"/>
                <w:szCs w:val="15"/>
                <w:color w:val="auto"/>
              </w:rPr>
            </w:pPr>
          </w:p>
        </w:tc>
      </w:tr>
      <w:tr>
        <w:trPr>
          <w:trHeight w:val="221"/>
        </w:trPr>
        <w:tc>
          <w:tcPr>
            <w:tcW w:w="1980" w:type="dxa"/>
            <w:vAlign w:val="bottom"/>
            <w:tcBorders>
              <w:bottom w:val="single" w:sz="8" w:color="225CAB"/>
            </w:tcBorders>
          </w:tcPr>
          <w:p>
            <w:pPr>
              <w:spacing w:after="0"/>
              <w:rPr>
                <w:sz w:val="19"/>
                <w:szCs w:val="19"/>
                <w:color w:val="auto"/>
              </w:rPr>
            </w:pPr>
          </w:p>
        </w:tc>
        <w:tc>
          <w:tcPr>
            <w:tcW w:w="3760" w:type="dxa"/>
            <w:vAlign w:val="bottom"/>
            <w:tcBorders>
              <w:bottom w:val="single" w:sz="8" w:color="225CAB"/>
            </w:tcBorders>
          </w:tcPr>
          <w:p>
            <w:pPr>
              <w:ind w:left="220"/>
              <w:spacing w:after="0"/>
              <w:rPr>
                <w:sz w:val="20"/>
                <w:szCs w:val="20"/>
                <w:color w:val="auto"/>
              </w:rPr>
            </w:pPr>
            <w:r>
              <w:rPr>
                <w:rFonts w:ascii="Arial" w:cs="Arial" w:eastAsia="Arial" w:hAnsi="Arial"/>
                <w:sz w:val="18"/>
                <w:szCs w:val="18"/>
                <w:color w:val="auto"/>
              </w:rPr>
              <w:t>Company</w:t>
            </w:r>
          </w:p>
        </w:tc>
        <w:tc>
          <w:tcPr>
            <w:tcW w:w="840" w:type="dxa"/>
            <w:vAlign w:val="bottom"/>
            <w:tcBorders>
              <w:bottom w:val="single" w:sz="8" w:color="225CAB"/>
            </w:tcBorders>
          </w:tcPr>
          <w:p>
            <w:pPr>
              <w:spacing w:after="0"/>
              <w:rPr>
                <w:sz w:val="19"/>
                <w:szCs w:val="19"/>
                <w:color w:val="auto"/>
              </w:rPr>
            </w:pPr>
          </w:p>
        </w:tc>
        <w:tc>
          <w:tcPr>
            <w:tcW w:w="1000" w:type="dxa"/>
            <w:vAlign w:val="bottom"/>
            <w:tcBorders>
              <w:bottom w:val="single" w:sz="8" w:color="225CAB"/>
            </w:tcBorders>
          </w:tcPr>
          <w:p>
            <w:pPr>
              <w:spacing w:after="0"/>
              <w:rPr>
                <w:sz w:val="19"/>
                <w:szCs w:val="19"/>
                <w:color w:val="auto"/>
              </w:rPr>
            </w:pPr>
          </w:p>
        </w:tc>
        <w:tc>
          <w:tcPr>
            <w:tcW w:w="560" w:type="dxa"/>
            <w:vAlign w:val="bottom"/>
            <w:tcBorders>
              <w:bottom w:val="single" w:sz="8" w:color="225CAB"/>
            </w:tcBorders>
          </w:tcPr>
          <w:p>
            <w:pPr>
              <w:spacing w:after="0"/>
              <w:rPr>
                <w:sz w:val="19"/>
                <w:szCs w:val="19"/>
                <w:color w:val="auto"/>
              </w:rPr>
            </w:pPr>
          </w:p>
        </w:tc>
        <w:tc>
          <w:tcPr>
            <w:tcW w:w="1140" w:type="dxa"/>
            <w:vAlign w:val="bottom"/>
            <w:tcBorders>
              <w:bottom w:val="single" w:sz="8" w:color="225CAB"/>
            </w:tcBorders>
          </w:tcPr>
          <w:p>
            <w:pPr>
              <w:spacing w:after="0"/>
              <w:rPr>
                <w:sz w:val="19"/>
                <w:szCs w:val="19"/>
                <w:color w:val="auto"/>
              </w:rPr>
            </w:pPr>
          </w:p>
        </w:tc>
        <w:tc>
          <w:tcPr>
            <w:tcW w:w="1020" w:type="dxa"/>
            <w:vAlign w:val="bottom"/>
            <w:tcBorders>
              <w:bottom w:val="single" w:sz="8" w:color="225CAB"/>
            </w:tcBorders>
          </w:tcPr>
          <w:p>
            <w:pPr>
              <w:spacing w:after="0"/>
              <w:rPr>
                <w:sz w:val="19"/>
                <w:szCs w:val="19"/>
                <w:color w:val="auto"/>
              </w:rPr>
            </w:pPr>
          </w:p>
        </w:tc>
        <w:tc>
          <w:tcPr>
            <w:tcW w:w="760" w:type="dxa"/>
            <w:vAlign w:val="bottom"/>
            <w:tcBorders>
              <w:bottom w:val="single" w:sz="8" w:color="225CAB"/>
            </w:tcBorders>
          </w:tcPr>
          <w:p>
            <w:pPr>
              <w:spacing w:after="0"/>
              <w:rPr>
                <w:sz w:val="19"/>
                <w:szCs w:val="19"/>
                <w:color w:val="auto"/>
              </w:rPr>
            </w:pPr>
          </w:p>
        </w:tc>
      </w:tr>
      <w:tr>
        <w:trPr>
          <w:trHeight w:val="177"/>
        </w:trPr>
        <w:tc>
          <w:tcPr>
            <w:tcW w:w="1980" w:type="dxa"/>
            <w:vAlign w:val="bottom"/>
          </w:tcPr>
          <w:p>
            <w:pPr>
              <w:spacing w:after="0" w:line="177" w:lineRule="exact"/>
              <w:rPr>
                <w:sz w:val="20"/>
                <w:szCs w:val="20"/>
                <w:color w:val="auto"/>
              </w:rPr>
            </w:pPr>
            <w:r>
              <w:rPr>
                <w:rFonts w:ascii="Arial" w:cs="Arial" w:eastAsia="Arial" w:hAnsi="Arial"/>
                <w:sz w:val="18"/>
                <w:szCs w:val="18"/>
                <w:color w:val="225CAB"/>
              </w:rPr>
              <w:t>Laura G. Thatcher</w:t>
            </w:r>
          </w:p>
        </w:tc>
        <w:tc>
          <w:tcPr>
            <w:tcW w:w="3760" w:type="dxa"/>
            <w:vAlign w:val="bottom"/>
          </w:tcPr>
          <w:p>
            <w:pPr>
              <w:ind w:left="220"/>
              <w:spacing w:after="0" w:line="177" w:lineRule="exact"/>
              <w:rPr>
                <w:sz w:val="20"/>
                <w:szCs w:val="20"/>
                <w:color w:val="auto"/>
              </w:rPr>
            </w:pPr>
            <w:r>
              <w:rPr>
                <w:rFonts w:ascii="Arial" w:cs="Arial" w:eastAsia="Arial" w:hAnsi="Arial"/>
                <w:sz w:val="18"/>
                <w:szCs w:val="18"/>
                <w:color w:val="auto"/>
              </w:rPr>
              <w:t>Retired Head of Executive Compensation</w:t>
            </w:r>
          </w:p>
        </w:tc>
        <w:tc>
          <w:tcPr>
            <w:tcW w:w="84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1980" w:type="dxa"/>
            <w:vAlign w:val="bottom"/>
            <w:tcBorders>
              <w:bottom w:val="single" w:sz="8" w:color="225CAB"/>
            </w:tcBorders>
          </w:tcPr>
          <w:p>
            <w:pPr>
              <w:spacing w:after="0"/>
              <w:rPr>
                <w:sz w:val="19"/>
                <w:szCs w:val="19"/>
                <w:color w:val="auto"/>
              </w:rPr>
            </w:pPr>
          </w:p>
        </w:tc>
        <w:tc>
          <w:tcPr>
            <w:tcW w:w="3760" w:type="dxa"/>
            <w:vAlign w:val="bottom"/>
            <w:tcBorders>
              <w:bottom w:val="single" w:sz="8" w:color="225CAB"/>
            </w:tcBorders>
          </w:tcPr>
          <w:p>
            <w:pPr>
              <w:ind w:left="220"/>
              <w:spacing w:after="0"/>
              <w:rPr>
                <w:sz w:val="20"/>
                <w:szCs w:val="20"/>
                <w:color w:val="auto"/>
              </w:rPr>
            </w:pPr>
            <w:r>
              <w:rPr>
                <w:rFonts w:ascii="Arial" w:cs="Arial" w:eastAsia="Arial" w:hAnsi="Arial"/>
                <w:sz w:val="18"/>
                <w:szCs w:val="18"/>
                <w:color w:val="auto"/>
              </w:rPr>
              <w:t>Practice, Alston &amp; Bird LLP</w:t>
            </w:r>
          </w:p>
        </w:tc>
        <w:tc>
          <w:tcPr>
            <w:tcW w:w="840" w:type="dxa"/>
            <w:vAlign w:val="bottom"/>
            <w:tcBorders>
              <w:bottom w:val="single" w:sz="8" w:color="225CAB"/>
            </w:tcBorders>
          </w:tcPr>
          <w:p>
            <w:pPr>
              <w:spacing w:after="0"/>
              <w:rPr>
                <w:sz w:val="19"/>
                <w:szCs w:val="19"/>
                <w:color w:val="auto"/>
              </w:rPr>
            </w:pPr>
          </w:p>
        </w:tc>
        <w:tc>
          <w:tcPr>
            <w:tcW w:w="1000" w:type="dxa"/>
            <w:vAlign w:val="bottom"/>
            <w:tcBorders>
              <w:bottom w:val="single" w:sz="8" w:color="225CAB"/>
            </w:tcBorders>
          </w:tcPr>
          <w:p>
            <w:pPr>
              <w:spacing w:after="0"/>
              <w:rPr>
                <w:sz w:val="19"/>
                <w:szCs w:val="19"/>
                <w:color w:val="auto"/>
              </w:rPr>
            </w:pPr>
          </w:p>
        </w:tc>
        <w:tc>
          <w:tcPr>
            <w:tcW w:w="560" w:type="dxa"/>
            <w:vAlign w:val="bottom"/>
            <w:tcBorders>
              <w:bottom w:val="single" w:sz="8" w:color="225CAB"/>
            </w:tcBorders>
          </w:tcPr>
          <w:p>
            <w:pPr>
              <w:spacing w:after="0"/>
              <w:rPr>
                <w:sz w:val="19"/>
                <w:szCs w:val="19"/>
                <w:color w:val="auto"/>
              </w:rPr>
            </w:pPr>
          </w:p>
        </w:tc>
        <w:tc>
          <w:tcPr>
            <w:tcW w:w="1140" w:type="dxa"/>
            <w:vAlign w:val="bottom"/>
            <w:tcBorders>
              <w:bottom w:val="single" w:sz="8" w:color="225CAB"/>
            </w:tcBorders>
          </w:tcPr>
          <w:p>
            <w:pPr>
              <w:spacing w:after="0"/>
              <w:rPr>
                <w:sz w:val="19"/>
                <w:szCs w:val="19"/>
                <w:color w:val="auto"/>
              </w:rPr>
            </w:pPr>
          </w:p>
        </w:tc>
        <w:tc>
          <w:tcPr>
            <w:tcW w:w="1020" w:type="dxa"/>
            <w:vAlign w:val="bottom"/>
            <w:tcBorders>
              <w:bottom w:val="single" w:sz="8" w:color="225CAB"/>
            </w:tcBorders>
          </w:tcPr>
          <w:p>
            <w:pPr>
              <w:spacing w:after="0"/>
              <w:rPr>
                <w:sz w:val="19"/>
                <w:szCs w:val="19"/>
                <w:color w:val="auto"/>
              </w:rPr>
            </w:pPr>
          </w:p>
        </w:tc>
        <w:tc>
          <w:tcPr>
            <w:tcW w:w="760" w:type="dxa"/>
            <w:vAlign w:val="bottom"/>
            <w:tcBorders>
              <w:bottom w:val="single" w:sz="8" w:color="225CAB"/>
            </w:tcBorders>
          </w:tcPr>
          <w:p>
            <w:pPr>
              <w:spacing w:after="0"/>
              <w:rPr>
                <w:sz w:val="19"/>
                <w:szCs w:val="19"/>
                <w:color w:val="auto"/>
              </w:rPr>
            </w:pPr>
          </w:p>
        </w:tc>
      </w:tr>
      <w:tr>
        <w:trPr>
          <w:trHeight w:val="177"/>
        </w:trPr>
        <w:tc>
          <w:tcPr>
            <w:tcW w:w="1980" w:type="dxa"/>
            <w:vAlign w:val="bottom"/>
          </w:tcPr>
          <w:p>
            <w:pPr>
              <w:spacing w:after="0" w:line="177" w:lineRule="exact"/>
              <w:rPr>
                <w:sz w:val="20"/>
                <w:szCs w:val="20"/>
                <w:color w:val="auto"/>
              </w:rPr>
            </w:pPr>
            <w:r>
              <w:rPr>
                <w:rFonts w:ascii="Arial" w:cs="Arial" w:eastAsia="Arial" w:hAnsi="Arial"/>
                <w:sz w:val="18"/>
                <w:szCs w:val="18"/>
                <w:color w:val="225CAB"/>
              </w:rPr>
              <w:t>Richard F. Wallman</w:t>
            </w:r>
          </w:p>
        </w:tc>
        <w:tc>
          <w:tcPr>
            <w:tcW w:w="3760" w:type="dxa"/>
            <w:vAlign w:val="bottom"/>
          </w:tcPr>
          <w:p>
            <w:pPr>
              <w:ind w:left="220"/>
              <w:spacing w:after="0" w:line="177" w:lineRule="exact"/>
              <w:rPr>
                <w:sz w:val="20"/>
                <w:szCs w:val="20"/>
                <w:color w:val="auto"/>
              </w:rPr>
            </w:pPr>
            <w:r>
              <w:rPr>
                <w:rFonts w:ascii="Arial" w:cs="Arial" w:eastAsia="Arial" w:hAnsi="Arial"/>
                <w:sz w:val="18"/>
                <w:szCs w:val="18"/>
                <w:color w:val="auto"/>
              </w:rPr>
              <w:t>Former CFO and SVP,</w:t>
            </w:r>
          </w:p>
        </w:tc>
        <w:tc>
          <w:tcPr>
            <w:tcW w:w="840" w:type="dxa"/>
            <w:vAlign w:val="bottom"/>
          </w:tcPr>
          <w:p>
            <w:pPr>
              <w:jc w:val="center"/>
              <w:ind w:left="18"/>
              <w:spacing w:after="0" w:line="177" w:lineRule="exact"/>
              <w:rPr>
                <w:sz w:val="20"/>
                <w:szCs w:val="20"/>
                <w:color w:val="auto"/>
              </w:rPr>
            </w:pPr>
            <w:r>
              <w:rPr>
                <w:rFonts w:ascii="Arial" w:cs="Arial" w:eastAsia="Arial" w:hAnsi="Arial"/>
                <w:sz w:val="18"/>
                <w:szCs w:val="18"/>
                <w:color w:val="auto"/>
                <w:w w:val="94"/>
              </w:rPr>
              <w:t>2007</w:t>
            </w:r>
          </w:p>
        </w:tc>
        <w:tc>
          <w:tcPr>
            <w:tcW w:w="1000" w:type="dxa"/>
            <w:vAlign w:val="bottom"/>
          </w:tcPr>
          <w:p>
            <w:pPr>
              <w:jc w:val="center"/>
              <w:spacing w:after="0" w:line="177" w:lineRule="exact"/>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8"/>
                <w:szCs w:val="18"/>
                <w:color w:val="auto"/>
                <w:w w:val="97"/>
              </w:rPr>
              <w:t>Chair</w:t>
            </w:r>
          </w:p>
        </w:tc>
        <w:tc>
          <w:tcPr>
            <w:tcW w:w="760" w:type="dxa"/>
            <w:vAlign w:val="bottom"/>
          </w:tcPr>
          <w:p>
            <w:pPr>
              <w:jc w:val="center"/>
              <w:ind w:left="39"/>
              <w:spacing w:after="0" w:line="177" w:lineRule="exact"/>
              <w:rPr>
                <w:sz w:val="20"/>
                <w:szCs w:val="20"/>
                <w:color w:val="auto"/>
              </w:rPr>
            </w:pPr>
            <w:r>
              <w:rPr>
                <w:rFonts w:ascii="Arial" w:cs="Arial" w:eastAsia="Arial" w:hAnsi="Arial"/>
                <w:sz w:val="18"/>
                <w:szCs w:val="18"/>
                <w:color w:val="auto"/>
                <w:w w:val="99"/>
              </w:rPr>
              <w:t>X</w:t>
            </w:r>
          </w:p>
        </w:tc>
      </w:tr>
      <w:tr>
        <w:trPr>
          <w:trHeight w:val="221"/>
        </w:trPr>
        <w:tc>
          <w:tcPr>
            <w:tcW w:w="1980" w:type="dxa"/>
            <w:vAlign w:val="bottom"/>
            <w:tcBorders>
              <w:bottom w:val="single" w:sz="8" w:color="225CAB"/>
            </w:tcBorders>
          </w:tcPr>
          <w:p>
            <w:pPr>
              <w:spacing w:after="0"/>
              <w:rPr>
                <w:sz w:val="19"/>
                <w:szCs w:val="19"/>
                <w:color w:val="auto"/>
              </w:rPr>
            </w:pPr>
          </w:p>
        </w:tc>
        <w:tc>
          <w:tcPr>
            <w:tcW w:w="3760" w:type="dxa"/>
            <w:vAlign w:val="bottom"/>
            <w:tcBorders>
              <w:bottom w:val="single" w:sz="8" w:color="225CAB"/>
            </w:tcBorders>
          </w:tcPr>
          <w:p>
            <w:pPr>
              <w:ind w:left="220"/>
              <w:spacing w:after="0"/>
              <w:rPr>
                <w:sz w:val="20"/>
                <w:szCs w:val="20"/>
                <w:color w:val="auto"/>
              </w:rPr>
            </w:pPr>
            <w:r>
              <w:rPr>
                <w:rFonts w:ascii="Arial" w:cs="Arial" w:eastAsia="Arial" w:hAnsi="Arial"/>
                <w:sz w:val="18"/>
                <w:szCs w:val="18"/>
                <w:color w:val="auto"/>
              </w:rPr>
              <w:t>Honeywell International Inc.</w:t>
            </w:r>
          </w:p>
        </w:tc>
        <w:tc>
          <w:tcPr>
            <w:tcW w:w="840" w:type="dxa"/>
            <w:vAlign w:val="bottom"/>
            <w:tcBorders>
              <w:bottom w:val="single" w:sz="8" w:color="225CAB"/>
            </w:tcBorders>
          </w:tcPr>
          <w:p>
            <w:pPr>
              <w:spacing w:after="0"/>
              <w:rPr>
                <w:sz w:val="19"/>
                <w:szCs w:val="19"/>
                <w:color w:val="auto"/>
              </w:rPr>
            </w:pPr>
          </w:p>
        </w:tc>
        <w:tc>
          <w:tcPr>
            <w:tcW w:w="1000" w:type="dxa"/>
            <w:vAlign w:val="bottom"/>
            <w:tcBorders>
              <w:bottom w:val="single" w:sz="8" w:color="225CAB"/>
            </w:tcBorders>
          </w:tcPr>
          <w:p>
            <w:pPr>
              <w:spacing w:after="0"/>
              <w:rPr>
                <w:sz w:val="19"/>
                <w:szCs w:val="19"/>
                <w:color w:val="auto"/>
              </w:rPr>
            </w:pPr>
          </w:p>
        </w:tc>
        <w:tc>
          <w:tcPr>
            <w:tcW w:w="560" w:type="dxa"/>
            <w:vAlign w:val="bottom"/>
            <w:tcBorders>
              <w:bottom w:val="single" w:sz="8" w:color="225CAB"/>
            </w:tcBorders>
          </w:tcPr>
          <w:p>
            <w:pPr>
              <w:spacing w:after="0"/>
              <w:rPr>
                <w:sz w:val="19"/>
                <w:szCs w:val="19"/>
                <w:color w:val="auto"/>
              </w:rPr>
            </w:pPr>
          </w:p>
        </w:tc>
        <w:tc>
          <w:tcPr>
            <w:tcW w:w="1140" w:type="dxa"/>
            <w:vAlign w:val="bottom"/>
            <w:tcBorders>
              <w:bottom w:val="single" w:sz="8" w:color="225CAB"/>
            </w:tcBorders>
          </w:tcPr>
          <w:p>
            <w:pPr>
              <w:spacing w:after="0"/>
              <w:rPr>
                <w:sz w:val="19"/>
                <w:szCs w:val="19"/>
                <w:color w:val="auto"/>
              </w:rPr>
            </w:pPr>
          </w:p>
        </w:tc>
        <w:tc>
          <w:tcPr>
            <w:tcW w:w="1020" w:type="dxa"/>
            <w:vAlign w:val="bottom"/>
            <w:tcBorders>
              <w:bottom w:val="single" w:sz="8" w:color="225CAB"/>
            </w:tcBorders>
          </w:tcPr>
          <w:p>
            <w:pPr>
              <w:spacing w:after="0"/>
              <w:rPr>
                <w:sz w:val="19"/>
                <w:szCs w:val="19"/>
                <w:color w:val="auto"/>
              </w:rPr>
            </w:pPr>
          </w:p>
        </w:tc>
        <w:tc>
          <w:tcPr>
            <w:tcW w:w="760" w:type="dxa"/>
            <w:vAlign w:val="bottom"/>
            <w:tcBorders>
              <w:bottom w:val="single" w:sz="8" w:color="225CAB"/>
            </w:tcBorders>
          </w:tcPr>
          <w:p>
            <w:pPr>
              <w:spacing w:after="0"/>
              <w:rPr>
                <w:sz w:val="19"/>
                <w:szCs w:val="19"/>
                <w:color w:val="auto"/>
              </w:rPr>
            </w:pPr>
          </w:p>
        </w:tc>
      </w:tr>
      <w:tr>
        <w:trPr>
          <w:trHeight w:val="196"/>
        </w:trPr>
        <w:tc>
          <w:tcPr>
            <w:tcW w:w="19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Christopher Wright</w:t>
            </w:r>
          </w:p>
        </w:tc>
        <w:tc>
          <w:tcPr>
            <w:tcW w:w="3760" w:type="dxa"/>
            <w:vAlign w:val="bottom"/>
            <w:tcBorders>
              <w:bottom w:val="single" w:sz="8" w:color="225CAB"/>
            </w:tcBorders>
          </w:tcPr>
          <w:p>
            <w:pPr>
              <w:ind w:left="220"/>
              <w:spacing w:after="0" w:line="196" w:lineRule="exact"/>
              <w:rPr>
                <w:sz w:val="20"/>
                <w:szCs w:val="20"/>
                <w:color w:val="auto"/>
              </w:rPr>
            </w:pPr>
            <w:r>
              <w:rPr>
                <w:rFonts w:ascii="Arial" w:cs="Arial" w:eastAsia="Arial" w:hAnsi="Arial"/>
                <w:sz w:val="18"/>
                <w:szCs w:val="18"/>
                <w:color w:val="auto"/>
              </w:rPr>
              <w:t>Chairman, EMAlternatives LLC</w:t>
            </w:r>
          </w:p>
        </w:tc>
        <w:tc>
          <w:tcPr>
            <w:tcW w:w="840" w:type="dxa"/>
            <w:vAlign w:val="bottom"/>
            <w:tcBorders>
              <w:bottom w:val="single" w:sz="8" w:color="225CAB"/>
            </w:tcBorders>
          </w:tcPr>
          <w:p>
            <w:pPr>
              <w:jc w:val="center"/>
              <w:ind w:left="18"/>
              <w:spacing w:after="0" w:line="196" w:lineRule="exact"/>
              <w:rPr>
                <w:sz w:val="20"/>
                <w:szCs w:val="20"/>
                <w:color w:val="auto"/>
              </w:rPr>
            </w:pPr>
            <w:r>
              <w:rPr>
                <w:rFonts w:ascii="Arial" w:cs="Arial" w:eastAsia="Arial" w:hAnsi="Arial"/>
                <w:sz w:val="18"/>
                <w:szCs w:val="18"/>
                <w:color w:val="auto"/>
                <w:w w:val="94"/>
              </w:rPr>
              <w:t>1991</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56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760" w:type="dxa"/>
            <w:vAlign w:val="bottom"/>
            <w:tcBorders>
              <w:bottom w:val="single" w:sz="8" w:color="225CAB"/>
            </w:tcBorders>
          </w:tcPr>
          <w:p>
            <w:pPr>
              <w:spacing w:after="0"/>
              <w:rPr>
                <w:sz w:val="17"/>
                <w:szCs w:val="17"/>
                <w:color w:val="auto"/>
              </w:rPr>
            </w:pPr>
          </w:p>
        </w:tc>
      </w:tr>
    </w:tbl>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CORPORATE GOVERNANCE</w:t>
      </w:r>
    </w:p>
    <w:p>
      <w:pPr>
        <w:spacing w:after="0" w:line="160" w:lineRule="exact"/>
        <w:rPr>
          <w:sz w:val="20"/>
          <w:szCs w:val="20"/>
          <w:color w:val="auto"/>
        </w:rPr>
      </w:pPr>
    </w:p>
    <w:p>
      <w:pPr>
        <w:ind w:left="200" w:right="180"/>
        <w:spacing w:after="0" w:line="269" w:lineRule="auto"/>
        <w:rPr>
          <w:sz w:val="20"/>
          <w:szCs w:val="20"/>
          <w:color w:val="auto"/>
        </w:rPr>
      </w:pPr>
      <w:r>
        <w:rPr>
          <w:rFonts w:ascii="Arial" w:cs="Arial" w:eastAsia="Arial" w:hAnsi="Arial"/>
          <w:sz w:val="18"/>
          <w:szCs w:val="18"/>
          <w:color w:val="auto"/>
        </w:rPr>
        <w:t>We strive to maintain effective corporate governance practices and policies. We believe that the following practices and policies contribute to our strong governance profile:</w:t>
      </w:r>
    </w:p>
    <w:p>
      <w:pPr>
        <w:spacing w:after="0" w:line="22" w:lineRule="exact"/>
        <w:rPr>
          <w:sz w:val="20"/>
          <w:szCs w:val="20"/>
          <w:color w:val="auto"/>
        </w:rPr>
      </w:pPr>
    </w:p>
    <w:p>
      <w:pPr>
        <w:ind w:left="520" w:hanging="2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declassified Board phase-in continues, with directors elected in 2015 to serve one-year terms, and will be completed in 2016;</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7 of our 8 current directors are independent;</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Lead Independent Director;</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require the resignation of an incumbent director who fails to obtain a majority of votes cast in an uncontested election;</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members of the Audit, Compensation, and Nominating and Governance Committees are independent; and</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an anti-hedging and anti-pledging policy.</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BUSINESS HIGHLIGHTS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achieved another year of record sales, net earnings and cash flow in 2014.</w:t>
      </w:r>
    </w:p>
    <w:p>
      <w:pPr>
        <w:spacing w:after="0" w:line="77" w:lineRule="exact"/>
        <w:rPr>
          <w:sz w:val="20"/>
          <w:szCs w:val="20"/>
          <w:color w:val="auto"/>
        </w:rPr>
      </w:pPr>
    </w:p>
    <w:p>
      <w:pPr>
        <w:ind w:left="520" w:hanging="215"/>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compound annual shareholder return over the past decade has been 18.5% and, over the last five years, 25.2%;</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were $3.55 billion, up 10% from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4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rPr>
              <w:t>ii</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2015 Proxy Statement</w:t>
            </w:r>
          </w:p>
        </w:tc>
      </w:tr>
      <w:tr>
        <w:trPr>
          <w:trHeight w:val="98"/>
        </w:trPr>
        <w:tc>
          <w:tcPr>
            <w:tcW w:w="240" w:type="dxa"/>
            <w:vAlign w:val="bottom"/>
            <w:tcBorders>
              <w:right w:val="single" w:sz="8" w:color="225CAB"/>
            </w:tcBorders>
          </w:tcPr>
          <w:p>
            <w:pPr>
              <w:spacing w:after="0"/>
              <w:rPr>
                <w:sz w:val="8"/>
                <w:szCs w:val="8"/>
                <w:color w:val="auto"/>
              </w:rPr>
            </w:pPr>
          </w:p>
        </w:tc>
        <w:tc>
          <w:tcPr>
            <w:tcW w:w="5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60"/>
          </w:cols>
          <w:pgMar w:left="240" w:top="455"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PROXY STATEMENT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76465" cy="383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394" w:lineRule="exact"/>
        <w:rPr>
          <w:sz w:val="20"/>
          <w:szCs w:val="20"/>
          <w:color w:val="auto"/>
        </w:rPr>
      </w:pPr>
    </w:p>
    <w:p>
      <w:pPr>
        <w:ind w:left="520" w:hanging="21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earnings were $646 million, a 20% increase over 2013;</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rose to 59.2% and our EBITDA margin expanded to 33.7%;</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free cash flow was $803 million in 2014 representing 23% of sales;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three businesses to expand upon existing software and medical platforms.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increased by 20% for the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consecutive year.</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COMPENSATION HIGHLIGHTS</w:t>
      </w:r>
    </w:p>
    <w:p>
      <w:pPr>
        <w:spacing w:after="0" w:line="160" w:lineRule="exact"/>
        <w:rPr>
          <w:sz w:val="20"/>
          <w:szCs w:val="20"/>
          <w:color w:val="auto"/>
        </w:rPr>
      </w:pPr>
    </w:p>
    <w:p>
      <w:pPr>
        <w:ind w:left="200" w:right="460"/>
        <w:spacing w:after="0" w:line="269" w:lineRule="auto"/>
        <w:rPr>
          <w:sz w:val="20"/>
          <w:szCs w:val="20"/>
          <w:color w:val="auto"/>
        </w:rPr>
      </w:pPr>
      <w:r>
        <w:rPr>
          <w:rFonts w:ascii="Arial" w:cs="Arial" w:eastAsia="Arial" w:hAnsi="Arial"/>
          <w:sz w:val="18"/>
          <w:szCs w:val="18"/>
          <w:color w:val="auto"/>
        </w:rPr>
        <w:t>The creation of shareholder value is the foundation and driver of our executive compensation program. Aspects of our program that closely align the compensation of our executive officers with the long-term interests of our investors include the following:</w:t>
      </w:r>
    </w:p>
    <w:p>
      <w:pPr>
        <w:spacing w:after="0" w:line="22" w:lineRule="exact"/>
        <w:rPr>
          <w:sz w:val="20"/>
          <w:szCs w:val="20"/>
          <w:color w:val="auto"/>
        </w:rPr>
      </w:pPr>
    </w:p>
    <w:p>
      <w:pPr>
        <w:ind w:left="520" w:right="380" w:hanging="215"/>
        <w:spacing w:after="0" w:line="269"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is almost completely tied to pre-set, objective performance criteria and long-term shareholder value creation; 95% for the Chief Executive Officer in 2014.</w:t>
      </w:r>
    </w:p>
    <w:p>
      <w:pPr>
        <w:spacing w:after="0" w:line="22"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“Double trigger” vesting of equity awards if a change in control.</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excise tax gross-ups for change-in-control payments.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share ownership and retention guidelines for our executive officers and non-employee directors.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Overhang and dilution from equity incentives at Roper are very low relative to its peers.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Clawback policy to recoup erroneously paid compensation.</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on restricted shares awarded after 2014 will be paid only if the shares are earned.</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Caps on annual bonuses to avoid encouraging a short-term focus.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Repricing of stock options is prohibited.</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Anti-hedging and anti-pledging policies are in place.</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defined pension benefit plan, few perquisites, and limited severance agreements.</w:t>
      </w:r>
    </w:p>
    <w:p>
      <w:pPr>
        <w:spacing w:after="0" w:line="339" w:lineRule="exact"/>
        <w:rPr>
          <w:sz w:val="20"/>
          <w:szCs w:val="20"/>
          <w:color w:val="auto"/>
        </w:rPr>
      </w:pPr>
    </w:p>
    <w:tbl>
      <w:tblPr>
        <w:tblLayout w:type="fixed"/>
        <w:tblInd w:w="694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225CAB"/>
                <w:w w:val="79"/>
              </w:rPr>
              <w:t>iii</w:t>
            </w:r>
          </w:p>
        </w:tc>
      </w:tr>
      <w:tr>
        <w:trPr>
          <w:trHeight w:val="71"/>
        </w:trPr>
        <w:tc>
          <w:tcPr>
            <w:tcW w:w="4080" w:type="dxa"/>
            <w:vAlign w:val="bottom"/>
            <w:tcBorders>
              <w:right w:val="single" w:sz="8" w:color="225CAB"/>
            </w:tcBorders>
          </w:tcPr>
          <w:p>
            <w:pPr>
              <w:spacing w:after="0"/>
              <w:rPr>
                <w:sz w:val="6"/>
                <w:szCs w:val="6"/>
                <w:color w:val="auto"/>
              </w:rPr>
            </w:pPr>
          </w:p>
        </w:tc>
        <w:tc>
          <w:tcPr>
            <w:tcW w:w="4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-213995</wp:posOffset>
            </wp:positionV>
            <wp:extent cx="42037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ANNUAL MEETING AND VOTING INFORMATION</w:t>
      </w:r>
    </w:p>
    <w:p>
      <w:pPr>
        <w:spacing w:after="0" w:line="273"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The Board of Directors of Roper Technologies, Inc. (the “Company” or “we, “us” or “our” in this Proxy Statement) is soliciting the enclosed proxy for use at the 2015 Annual Meeting of Shareholders. This Proxy Statement and the enclosed proxy card are being mailed or otherwise made available to shareholders on or about April 29, 2015.</w:t>
      </w:r>
    </w:p>
    <w:p>
      <w:pPr>
        <w:spacing w:after="0" w:line="118"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We are concurrently mailing to shareholders a copy of our 2014 Annual Report, which includes our Form 10-K for the year ended December 31, 2014. Our Form 10-K and its exhibits are available on the internet at www.sec.gov. The Annual Report and Form 10-K are not part of these proxy soliciting materials.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contains important information for you to consider when deciding how to vote. Please read this information carefully.</w:t>
      </w:r>
    </w:p>
    <w:p>
      <w:pPr>
        <w:sectPr>
          <w:pgSz w:w="11900" w:h="16838" w:orient="portrait"/>
          <w:cols w:equalWidth="0" w:num="1">
            <w:col w:w="11420"/>
          </w:cols>
          <w:pgMar w:left="240" w:top="455" w:right="239" w:bottom="1440" w:gutter="0" w:footer="0" w:header="0"/>
        </w:sectPr>
      </w:pPr>
    </w:p>
    <w:p>
      <w:pPr>
        <w:spacing w:after="0" w:line="224" w:lineRule="auto"/>
        <w:rPr>
          <w:sz w:val="20"/>
          <w:szCs w:val="20"/>
          <w:color w:val="auto"/>
        </w:rPr>
      </w:pPr>
      <w:r>
        <w:rPr>
          <w:rFonts w:ascii="Arial" w:cs="Arial" w:eastAsia="Arial" w:hAnsi="Arial"/>
          <w:sz w:val="64"/>
          <w:szCs w:val="64"/>
          <w:b w:val="1"/>
          <w:bCs w:val="1"/>
          <w:color w:val="225CAB"/>
          <w:vertAlign w:val="subscript"/>
        </w:rPr>
        <w:t>Q:</w:t>
      </w:r>
      <w:r>
        <w:rPr>
          <w:rFonts w:ascii="Arial" w:cs="Arial" w:eastAsia="Arial" w:hAnsi="Arial"/>
          <w:sz w:val="22"/>
          <w:szCs w:val="22"/>
          <w:b w:val="1"/>
          <w:bCs w:val="1"/>
          <w:color w:val="225CAB"/>
        </w:rPr>
        <w:t>When is the Annual Meeting?</w:t>
      </w:r>
    </w:p>
    <w:p>
      <w:pPr>
        <w:spacing w:after="0" w:line="24"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225CAB"/>
        </w:rPr>
      </w:pPr>
      <w:r>
        <w:rPr>
          <w:rFonts w:ascii="Arial" w:cs="Arial" w:eastAsia="Arial" w:hAnsi="Arial"/>
          <w:sz w:val="18"/>
          <w:szCs w:val="18"/>
          <w:b w:val="1"/>
          <w:bCs w:val="1"/>
          <w:i w:val="1"/>
          <w:iCs w:val="1"/>
          <w:color w:val="auto"/>
        </w:rPr>
        <w:t>Date &amp; Time:</w:t>
      </w:r>
    </w:p>
    <w:p>
      <w:pPr>
        <w:spacing w:after="0" w:line="17" w:lineRule="exact"/>
        <w:rPr>
          <w:rFonts w:ascii="Arial" w:cs="Arial" w:eastAsia="Arial" w:hAnsi="Arial"/>
          <w:sz w:val="18"/>
          <w:szCs w:val="18"/>
          <w:color w:val="225CAB"/>
        </w:rPr>
      </w:pPr>
    </w:p>
    <w:p>
      <w:pPr>
        <w:jc w:val="both"/>
        <w:ind w:left="400" w:right="2380"/>
        <w:spacing w:after="0" w:line="302" w:lineRule="auto"/>
        <w:rPr>
          <w:rFonts w:ascii="Arial" w:cs="Arial" w:eastAsia="Arial" w:hAnsi="Arial"/>
          <w:sz w:val="18"/>
          <w:szCs w:val="18"/>
          <w:color w:val="225CAB"/>
        </w:rPr>
      </w:pPr>
      <w:r>
        <w:rPr>
          <w:rFonts w:ascii="Arial" w:cs="Arial" w:eastAsia="Arial" w:hAnsi="Arial"/>
          <w:sz w:val="16"/>
          <w:szCs w:val="16"/>
          <w:color w:val="auto"/>
        </w:rPr>
        <w:t>Friday, May 29, 2015 at 11:30 a.m. (and at any adjournments thereof)</w:t>
      </w:r>
    </w:p>
    <w:p>
      <w:pPr>
        <w:spacing w:after="0" w:line="1" w:lineRule="exact"/>
        <w:rPr>
          <w:rFonts w:ascii="Arial" w:cs="Arial" w:eastAsia="Arial" w:hAnsi="Arial"/>
          <w:sz w:val="18"/>
          <w:szCs w:val="18"/>
          <w:color w:val="225CAB"/>
        </w:rPr>
      </w:pPr>
    </w:p>
    <w:p>
      <w:pPr>
        <w:ind w:left="400"/>
        <w:spacing w:after="0"/>
        <w:rPr>
          <w:rFonts w:ascii="Arial" w:cs="Arial" w:eastAsia="Arial" w:hAnsi="Arial"/>
          <w:sz w:val="18"/>
          <w:szCs w:val="18"/>
          <w:color w:val="225CAB"/>
        </w:rPr>
      </w:pPr>
      <w:r>
        <w:rPr>
          <w:rFonts w:ascii="Arial" w:cs="Arial" w:eastAsia="Arial" w:hAnsi="Arial"/>
          <w:sz w:val="18"/>
          <w:szCs w:val="18"/>
          <w:b w:val="1"/>
          <w:bCs w:val="1"/>
          <w:i w:val="1"/>
          <w:iCs w:val="1"/>
          <w:color w:val="auto"/>
        </w:rPr>
        <w:t>Place:</w:t>
      </w:r>
    </w:p>
    <w:p>
      <w:pPr>
        <w:spacing w:after="0" w:line="17" w:lineRule="exact"/>
        <w:rPr>
          <w:rFonts w:ascii="Arial" w:cs="Arial" w:eastAsia="Arial" w:hAnsi="Arial"/>
          <w:sz w:val="18"/>
          <w:szCs w:val="18"/>
          <w:color w:val="225CAB"/>
        </w:rPr>
      </w:pPr>
    </w:p>
    <w:p>
      <w:pPr>
        <w:ind w:left="400"/>
        <w:spacing w:after="0" w:line="234" w:lineRule="auto"/>
        <w:rPr>
          <w:rFonts w:ascii="Arial" w:cs="Arial" w:eastAsia="Arial" w:hAnsi="Arial"/>
          <w:sz w:val="18"/>
          <w:szCs w:val="18"/>
          <w:color w:val="225CAB"/>
        </w:rPr>
      </w:pPr>
      <w:r>
        <w:rPr>
          <w:rFonts w:ascii="Arial" w:cs="Arial" w:eastAsia="Arial" w:hAnsi="Arial"/>
          <w:sz w:val="18"/>
          <w:szCs w:val="18"/>
          <w:color w:val="auto"/>
        </w:rPr>
        <w:t>Our corporate office located at:</w:t>
      </w:r>
    </w:p>
    <w:p>
      <w:pPr>
        <w:ind w:left="800" w:right="2120"/>
        <w:spacing w:after="0" w:line="234" w:lineRule="auto"/>
        <w:rPr>
          <w:rFonts w:ascii="Arial" w:cs="Arial" w:eastAsia="Arial" w:hAnsi="Arial"/>
          <w:sz w:val="18"/>
          <w:szCs w:val="18"/>
          <w:color w:val="225CAB"/>
        </w:rPr>
      </w:pPr>
      <w:r>
        <w:rPr>
          <w:rFonts w:ascii="Arial" w:cs="Arial" w:eastAsia="Arial" w:hAnsi="Arial"/>
          <w:sz w:val="18"/>
          <w:szCs w:val="18"/>
          <w:color w:val="auto"/>
        </w:rPr>
        <w:t>6901 Professional Parkway East, Suite 200,</w:t>
      </w:r>
    </w:p>
    <w:p>
      <w:pPr>
        <w:spacing w:after="0" w:line="1" w:lineRule="exact"/>
        <w:rPr>
          <w:rFonts w:ascii="Arial" w:cs="Arial" w:eastAsia="Arial" w:hAnsi="Arial"/>
          <w:sz w:val="18"/>
          <w:szCs w:val="18"/>
          <w:color w:val="225CAB"/>
        </w:rPr>
      </w:pPr>
    </w:p>
    <w:p>
      <w:pPr>
        <w:ind w:left="800"/>
        <w:spacing w:after="0"/>
        <w:rPr>
          <w:rFonts w:ascii="Arial" w:cs="Arial" w:eastAsia="Arial" w:hAnsi="Arial"/>
          <w:sz w:val="18"/>
          <w:szCs w:val="18"/>
          <w:color w:val="225CAB"/>
        </w:rPr>
      </w:pPr>
      <w:r>
        <w:rPr>
          <w:rFonts w:ascii="Arial" w:cs="Arial" w:eastAsia="Arial" w:hAnsi="Arial"/>
          <w:sz w:val="18"/>
          <w:szCs w:val="18"/>
          <w:color w:val="auto"/>
        </w:rPr>
        <w:t>Sarasota, Florida 34240</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the purpose of this meeting?</w:t>
      </w:r>
    </w:p>
    <w:p>
      <w:pPr>
        <w:spacing w:after="0" w:line="89" w:lineRule="exact"/>
        <w:rPr>
          <w:sz w:val="20"/>
          <w:szCs w:val="20"/>
          <w:color w:val="auto"/>
        </w:rPr>
      </w:pPr>
    </w:p>
    <w:p>
      <w:pPr>
        <w:ind w:left="400" w:right="140" w:hanging="392"/>
        <w:spacing w:after="0" w:line="269" w:lineRule="auto"/>
        <w:tabs>
          <w:tab w:leader="none" w:pos="400" w:val="left"/>
        </w:tabs>
        <w:numPr>
          <w:ilvl w:val="0"/>
          <w:numId w:val="14"/>
        </w:numPr>
        <w:rPr>
          <w:rFonts w:ascii="Arial" w:cs="Arial" w:eastAsia="Arial" w:hAnsi="Arial"/>
          <w:sz w:val="18"/>
          <w:szCs w:val="18"/>
          <w:color w:val="225CAB"/>
        </w:rPr>
      </w:pPr>
      <w:r>
        <w:rPr>
          <w:rFonts w:ascii="Arial" w:cs="Arial" w:eastAsia="Arial" w:hAnsi="Arial"/>
          <w:sz w:val="18"/>
          <w:szCs w:val="18"/>
          <w:color w:val="auto"/>
        </w:rPr>
        <w:t>This is the Annual Meeting of our shareholders. At this meeting, we will be voting on the following matters:</w:t>
      </w:r>
    </w:p>
    <w:p>
      <w:pPr>
        <w:spacing w:after="0" w:line="22" w:lineRule="exact"/>
        <w:rPr>
          <w:rFonts w:ascii="Arial" w:cs="Arial" w:eastAsia="Arial" w:hAnsi="Arial"/>
          <w:sz w:val="18"/>
          <w:szCs w:val="18"/>
          <w:color w:val="225CAB"/>
        </w:rPr>
      </w:pPr>
    </w:p>
    <w:p>
      <w:pPr>
        <w:ind w:left="780" w:hanging="380"/>
        <w:spacing w:after="0"/>
        <w:tabs>
          <w:tab w:leader="none" w:pos="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election of seven directors;</w:t>
      </w:r>
    </w:p>
    <w:p>
      <w:pPr>
        <w:spacing w:after="0" w:line="76" w:lineRule="exact"/>
        <w:rPr>
          <w:rFonts w:ascii="Arial" w:cs="Arial" w:eastAsia="Arial" w:hAnsi="Arial"/>
          <w:sz w:val="18"/>
          <w:szCs w:val="18"/>
          <w:color w:val="auto"/>
        </w:rPr>
      </w:pPr>
    </w:p>
    <w:p>
      <w:pPr>
        <w:ind w:left="780" w:right="900" w:hanging="380"/>
        <w:spacing w:after="0" w:line="317" w:lineRule="auto"/>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Approval of, on a non-binding advisory basis, the compensation of our named executive officers;</w:t>
      </w:r>
    </w:p>
    <w:p>
      <w:pPr>
        <w:ind w:left="780" w:right="20" w:hanging="380"/>
        <w:spacing w:after="0" w:line="252" w:lineRule="auto"/>
        <w:tabs>
          <w:tab w:leader="none" w:pos="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our independent registered accounting firm for 2015; and</w:t>
      </w:r>
    </w:p>
    <w:p>
      <w:pPr>
        <w:spacing w:after="0" w:line="36" w:lineRule="exact"/>
        <w:rPr>
          <w:rFonts w:ascii="Arial" w:cs="Arial" w:eastAsia="Arial" w:hAnsi="Arial"/>
          <w:sz w:val="18"/>
          <w:szCs w:val="18"/>
          <w:color w:val="auto"/>
        </w:rPr>
      </w:pPr>
    </w:p>
    <w:p>
      <w:pPr>
        <w:ind w:left="780" w:right="240" w:hanging="380"/>
        <w:spacing w:after="0" w:line="269" w:lineRule="auto"/>
        <w:tabs>
          <w:tab w:leader="none" w:pos="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Shareholder proposal, if properly presented at the Annual Meeting.</w:t>
      </w:r>
    </w:p>
    <w:p>
      <w:pPr>
        <w:spacing w:after="0" w:line="22" w:lineRule="exact"/>
        <w:rPr>
          <w:sz w:val="20"/>
          <w:szCs w:val="20"/>
          <w:color w:val="auto"/>
        </w:rPr>
      </w:pPr>
    </w:p>
    <w:p>
      <w:pPr>
        <w:ind w:left="400" w:right="80"/>
        <w:spacing w:after="0" w:line="269" w:lineRule="auto"/>
        <w:rPr>
          <w:sz w:val="20"/>
          <w:szCs w:val="20"/>
          <w:color w:val="auto"/>
        </w:rPr>
      </w:pPr>
      <w:r>
        <w:rPr>
          <w:rFonts w:ascii="Arial" w:cs="Arial" w:eastAsia="Arial" w:hAnsi="Arial"/>
          <w:sz w:val="18"/>
          <w:szCs w:val="18"/>
          <w:color w:val="auto"/>
        </w:rPr>
        <w:t>We will also transact any other business properly brought before the meeting.</w:t>
      </w:r>
    </w:p>
    <w:p>
      <w:pPr>
        <w:spacing w:after="0" w:line="22" w:lineRule="exact"/>
        <w:rPr>
          <w:sz w:val="20"/>
          <w:szCs w:val="20"/>
          <w:color w:val="auto"/>
        </w:rPr>
      </w:pPr>
    </w:p>
    <w:p>
      <w:pPr>
        <w:ind w:left="400"/>
        <w:spacing w:after="0" w:line="243" w:lineRule="auto"/>
        <w:rPr>
          <w:sz w:val="20"/>
          <w:szCs w:val="20"/>
          <w:color w:val="auto"/>
        </w:rPr>
      </w:pPr>
      <w:r>
        <w:rPr>
          <w:rFonts w:ascii="Arial" w:cs="Arial" w:eastAsia="Arial" w:hAnsi="Arial"/>
          <w:sz w:val="18"/>
          <w:szCs w:val="18"/>
          <w:color w:val="auto"/>
        </w:rPr>
        <w:t>Our Board of Directors strongly encourages you to exercise your right to vote on these matters. Your vote is important. Voting early through the internet, by telephone or by a proxy or voting instruction card helps ensure that we receive a quorum of shares necessary to hold the meeting.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86" w:right="240" w:hanging="386"/>
        <w:spacing w:after="0" w:line="277" w:lineRule="auto"/>
        <w:tabs>
          <w:tab w:leader="none" w:pos="386" w:val="left"/>
        </w:tabs>
        <w:numPr>
          <w:ilvl w:val="0"/>
          <w:numId w:val="15"/>
        </w:numPr>
        <w:rPr>
          <w:rFonts w:ascii="Arial" w:cs="Arial" w:eastAsia="Arial" w:hAnsi="Arial"/>
          <w:sz w:val="22"/>
          <w:szCs w:val="22"/>
          <w:b w:val="1"/>
          <w:bCs w:val="1"/>
          <w:color w:val="225CAB"/>
        </w:rPr>
      </w:pPr>
      <w:r>
        <w:rPr>
          <w:rFonts w:ascii="Arial" w:cs="Arial" w:eastAsia="Arial" w:hAnsi="Arial"/>
          <w:sz w:val="22"/>
          <w:szCs w:val="22"/>
          <w:b w:val="1"/>
          <w:bCs w:val="1"/>
          <w:color w:val="225CAB"/>
        </w:rPr>
        <w:t>What happens if additional matters are presented at the Annual Meeting?</w:t>
      </w:r>
    </w:p>
    <w:p>
      <w:pPr>
        <w:spacing w:after="0" w:line="1" w:lineRule="exact"/>
        <w:rPr>
          <w:sz w:val="20"/>
          <w:szCs w:val="20"/>
          <w:color w:val="auto"/>
        </w:rPr>
      </w:pPr>
    </w:p>
    <w:p>
      <w:pPr>
        <w:ind w:left="386" w:right="160" w:hanging="386"/>
        <w:spacing w:after="0" w:line="238" w:lineRule="auto"/>
        <w:tabs>
          <w:tab w:leader="none" w:pos="386" w:val="left"/>
        </w:tabs>
        <w:numPr>
          <w:ilvl w:val="0"/>
          <w:numId w:val="16"/>
        </w:numPr>
        <w:rPr>
          <w:rFonts w:ascii="Arial" w:cs="Arial" w:eastAsia="Arial" w:hAnsi="Arial"/>
          <w:sz w:val="18"/>
          <w:szCs w:val="18"/>
          <w:color w:val="225CAB"/>
        </w:rPr>
      </w:pPr>
      <w:r>
        <w:rPr>
          <w:rFonts w:ascii="Arial" w:cs="Arial" w:eastAsia="Arial" w:hAnsi="Arial"/>
          <w:sz w:val="18"/>
          <w:szCs w:val="18"/>
          <w:color w:val="auto"/>
        </w:rPr>
        <w:t>We are not aware of any matters to be acted upon at the Annual Meeting other than the proposals described in this Proxy Statement. The Board of Directors has named Brian D. Jellison and David B. Liner as proxy holders for this Annual Meeting. If you submit a properly executed proxy, the proxy holders will have the discretion to vote your shares on any additional matters properly presented for a vote at the Annual Meeting or at any adjournment or postponement of the meeting. If for any reason a director nominee is not available as a candidate, the proxy holders may vote your shares for another candidate who may be nominated by the Board, or the Board may reduce its size.</w:t>
      </w:r>
    </w:p>
    <w:p>
      <w:pPr>
        <w:spacing w:after="0" w:line="51" w:lineRule="exact"/>
        <w:rPr>
          <w:rFonts w:ascii="Arial" w:cs="Arial" w:eastAsia="Arial" w:hAnsi="Arial"/>
          <w:sz w:val="18"/>
          <w:szCs w:val="18"/>
          <w:color w:val="225CAB"/>
        </w:rPr>
      </w:pPr>
    </w:p>
    <w:p>
      <w:pPr>
        <w:ind w:left="386" w:right="120"/>
        <w:spacing w:after="0" w:line="243" w:lineRule="auto"/>
        <w:rPr>
          <w:rFonts w:ascii="Arial" w:cs="Arial" w:eastAsia="Arial" w:hAnsi="Arial"/>
          <w:sz w:val="18"/>
          <w:szCs w:val="18"/>
          <w:color w:val="225CAB"/>
        </w:rPr>
      </w:pPr>
      <w:r>
        <w:rPr>
          <w:rFonts w:ascii="Arial" w:cs="Arial" w:eastAsia="Arial" w:hAnsi="Arial"/>
          <w:sz w:val="18"/>
          <w:szCs w:val="18"/>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46" w:lineRule="exact"/>
        <w:rPr>
          <w:rFonts w:ascii="Arial" w:cs="Arial" w:eastAsia="Arial" w:hAnsi="Arial"/>
          <w:sz w:val="18"/>
          <w:szCs w:val="18"/>
          <w:color w:val="225CAB"/>
        </w:rPr>
      </w:pPr>
    </w:p>
    <w:p>
      <w:pPr>
        <w:ind w:left="386"/>
        <w:spacing w:after="0"/>
        <w:rPr>
          <w:rFonts w:ascii="Arial" w:cs="Arial" w:eastAsia="Arial" w:hAnsi="Arial"/>
          <w:sz w:val="18"/>
          <w:szCs w:val="18"/>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each director nominee;</w:t>
      </w:r>
    </w:p>
    <w:p>
      <w:pPr>
        <w:spacing w:after="0" w:line="76" w:lineRule="exact"/>
        <w:rPr>
          <w:rFonts w:ascii="Arial" w:cs="Arial" w:eastAsia="Arial" w:hAnsi="Arial"/>
          <w:sz w:val="18"/>
          <w:szCs w:val="18"/>
          <w:color w:val="225CAB"/>
        </w:rPr>
      </w:pPr>
    </w:p>
    <w:p>
      <w:pPr>
        <w:ind w:left="386"/>
        <w:spacing w:after="0"/>
        <w:rPr>
          <w:rFonts w:ascii="Arial" w:cs="Arial" w:eastAsia="Arial" w:hAnsi="Arial"/>
          <w:sz w:val="18"/>
          <w:szCs w:val="18"/>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advisory approval of our executive compensation;</w:t>
      </w:r>
    </w:p>
    <w:p>
      <w:pPr>
        <w:spacing w:after="0" w:line="76" w:lineRule="exact"/>
        <w:rPr>
          <w:rFonts w:ascii="Arial" w:cs="Arial" w:eastAsia="Arial" w:hAnsi="Arial"/>
          <w:sz w:val="18"/>
          <w:szCs w:val="18"/>
          <w:color w:val="225CAB"/>
        </w:rPr>
      </w:pPr>
    </w:p>
    <w:p>
      <w:pPr>
        <w:ind w:left="386" w:right="960"/>
        <w:spacing w:after="0" w:line="252" w:lineRule="auto"/>
        <w:rPr>
          <w:rFonts w:ascii="Arial" w:cs="Arial" w:eastAsia="Arial" w:hAnsi="Arial"/>
          <w:sz w:val="18"/>
          <w:szCs w:val="18"/>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ratification of the appointment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PricewaterhouseCoopers as our independent registered accounting firm; and</w:t>
      </w:r>
    </w:p>
    <w:p>
      <w:pPr>
        <w:spacing w:after="0" w:line="36" w:lineRule="exact"/>
        <w:rPr>
          <w:rFonts w:ascii="Arial" w:cs="Arial" w:eastAsia="Arial" w:hAnsi="Arial"/>
          <w:sz w:val="18"/>
          <w:szCs w:val="18"/>
          <w:color w:val="225CAB"/>
        </w:rPr>
      </w:pPr>
    </w:p>
    <w:p>
      <w:pPr>
        <w:ind w:left="386"/>
        <w:spacing w:after="0"/>
        <w:rPr>
          <w:rFonts w:ascii="Arial" w:cs="Arial" w:eastAsia="Arial" w:hAnsi="Arial"/>
          <w:sz w:val="18"/>
          <w:szCs w:val="18"/>
          <w:color w:val="225CAB"/>
        </w:rPr>
      </w:pPr>
      <w:r>
        <w:rPr>
          <w:rFonts w:ascii="Arial" w:cs="Arial" w:eastAsia="Arial" w:hAnsi="Arial"/>
          <w:sz w:val="18"/>
          <w:szCs w:val="18"/>
          <w:b w:val="1"/>
          <w:bCs w:val="1"/>
          <w:i w:val="1"/>
          <w:iCs w:val="1"/>
          <w:color w:val="auto"/>
        </w:rPr>
        <w:t xml:space="preserve">AGAINST </w:t>
      </w:r>
      <w:r>
        <w:rPr>
          <w:rFonts w:ascii="Arial" w:cs="Arial" w:eastAsia="Arial" w:hAnsi="Arial"/>
          <w:sz w:val="18"/>
          <w:szCs w:val="18"/>
          <w:color w:val="auto"/>
        </w:rPr>
        <w:t>the shareholder proposal.</w:t>
      </w:r>
    </w:p>
    <w:p>
      <w:pPr>
        <w:spacing w:after="0" w:line="1419" w:lineRule="exact"/>
        <w:rPr>
          <w:sz w:val="20"/>
          <w:szCs w:val="20"/>
          <w:color w:val="auto"/>
        </w:rPr>
      </w:pPr>
    </w:p>
    <w:p>
      <w:pPr>
        <w:sectPr>
          <w:pgSz w:w="11900" w:h="16838" w:orient="portrait"/>
          <w:cols w:equalWidth="0" w:num="2">
            <w:col w:w="5480" w:space="234"/>
            <w:col w:w="5706"/>
          </w:cols>
          <w:pgMar w:left="240" w:top="455" w:right="239" w:bottom="1440" w:gutter="0" w:footer="0" w:header="0"/>
          <w:type w:val="continuous"/>
        </w:sectPr>
      </w:pPr>
    </w:p>
    <w:p>
      <w:pPr>
        <w:spacing w:after="0" w:line="81" w:lineRule="exact"/>
        <w:rPr>
          <w:sz w:val="20"/>
          <w:szCs w:val="20"/>
          <w:color w:val="auto"/>
        </w:rPr>
      </w:pPr>
    </w:p>
    <w:tbl>
      <w:tblPr>
        <w:tblLayout w:type="fixed"/>
        <w:tblInd w:w="6980" w:type="dxa"/>
        <w:tblCellMar>
          <w:top w:w="0" w:type="dxa"/>
          <w:left w:w="0" w:type="dxa"/>
          <w:bottom w:w="0" w:type="dxa"/>
          <w:right w:w="0" w:type="dxa"/>
        </w:tblCellMar>
      </w:tblPr>
      <w:tr>
        <w:trPr>
          <w:trHeight w:val="321"/>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1</w:t>
            </w:r>
          </w:p>
        </w:tc>
      </w:tr>
      <w:tr>
        <w:trPr>
          <w:trHeight w:val="71"/>
        </w:trPr>
        <w:tc>
          <w:tcPr>
            <w:tcW w:w="4100" w:type="dxa"/>
            <w:vAlign w:val="bottom"/>
            <w:tcBorders>
              <w:right w:val="single" w:sz="8" w:color="225CAB"/>
            </w:tcBorders>
          </w:tcPr>
          <w:p>
            <w:pPr>
              <w:spacing w:after="0"/>
              <w:rPr>
                <w:sz w:val="6"/>
                <w:szCs w:val="6"/>
                <w:color w:val="auto"/>
              </w:rPr>
            </w:pPr>
          </w:p>
        </w:tc>
        <w:tc>
          <w:tcPr>
            <w:tcW w:w="3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ANNUAL MEETING AND VOTING INFORMATION </w:t>
      </w:r>
      <w:r>
        <w:rPr>
          <w:rFonts w:ascii="Arial" w:cs="Arial" w:eastAsia="Arial" w:hAnsi="Arial"/>
          <w:sz w:val="18"/>
          <w:szCs w:val="18"/>
          <w:i w:val="1"/>
          <w:iCs w:val="1"/>
          <w:color w:val="225CAB"/>
        </w:rPr>
        <w:t>(CONTINUED)</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Who may vote at the Annual Meeting?</w:t>
      </w:r>
    </w:p>
    <w:p>
      <w:pPr>
        <w:spacing w:after="0" w:line="89" w:lineRule="exact"/>
        <w:rPr>
          <w:sz w:val="20"/>
          <w:szCs w:val="20"/>
          <w:color w:val="auto"/>
        </w:rPr>
      </w:pPr>
    </w:p>
    <w:p>
      <w:pPr>
        <w:ind w:left="400" w:right="180" w:hanging="392"/>
        <w:spacing w:after="0" w:line="243" w:lineRule="auto"/>
        <w:tabs>
          <w:tab w:leader="none" w:pos="400" w:val="left"/>
        </w:tabs>
        <w:numPr>
          <w:ilvl w:val="0"/>
          <w:numId w:val="17"/>
        </w:numPr>
        <w:rPr>
          <w:rFonts w:ascii="Arial" w:cs="Arial" w:eastAsia="Arial" w:hAnsi="Arial"/>
          <w:sz w:val="18"/>
          <w:szCs w:val="18"/>
          <w:color w:val="225CAB"/>
        </w:rPr>
      </w:pPr>
      <w:r>
        <w:rPr>
          <w:rFonts w:ascii="Arial" w:cs="Arial" w:eastAsia="Arial" w:hAnsi="Arial"/>
          <w:sz w:val="18"/>
          <w:szCs w:val="18"/>
          <w:color w:val="auto"/>
        </w:rPr>
        <w:t>Only shareholders of record at the close of business on the record date will be entitled to vote at the Annual Meeting or any adjourned meeting, and these shareholders will be entitled to vote whether or not they have transferred any of their shares of Roper’s common stock since that date.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the record date?</w:t>
      </w:r>
    </w:p>
    <w:p>
      <w:pPr>
        <w:spacing w:after="0" w:line="89" w:lineRule="exact"/>
        <w:rPr>
          <w:sz w:val="20"/>
          <w:szCs w:val="20"/>
          <w:color w:val="auto"/>
        </w:rPr>
      </w:pPr>
    </w:p>
    <w:p>
      <w:pPr>
        <w:ind w:left="400" w:right="60" w:hanging="392"/>
        <w:spacing w:after="0" w:line="274" w:lineRule="auto"/>
        <w:tabs>
          <w:tab w:leader="none" w:pos="400" w:val="left"/>
        </w:tabs>
        <w:numPr>
          <w:ilvl w:val="0"/>
          <w:numId w:val="18"/>
        </w:numPr>
        <w:rPr>
          <w:rFonts w:ascii="Arial" w:cs="Arial" w:eastAsia="Arial" w:hAnsi="Arial"/>
          <w:sz w:val="16"/>
          <w:szCs w:val="16"/>
          <w:color w:val="225CAB"/>
        </w:rPr>
      </w:pPr>
      <w:r>
        <w:rPr>
          <w:rFonts w:ascii="Arial" w:cs="Arial" w:eastAsia="Arial" w:hAnsi="Arial"/>
          <w:sz w:val="16"/>
          <w:szCs w:val="16"/>
          <w:color w:val="auto"/>
        </w:rPr>
        <w:t>Our Board has established the close of business on March 31, 2015 as the record date to determine the shareholders of record entitled to receive a notice of, and to vote at, our Annual Meeting or any adjournment or postponement of the meeting. On the record date, there were 100,444,563 shares of our common stock, $1 par value, outstanding and entitled to vote. Each share of our common stock is entitled to one vote that may be voted on each matter to be acted upon at this Annual Meeting.</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a shareholder of record?</w:t>
      </w:r>
    </w:p>
    <w:p>
      <w:pPr>
        <w:spacing w:after="0" w:line="89" w:lineRule="exact"/>
        <w:rPr>
          <w:sz w:val="20"/>
          <w:szCs w:val="20"/>
          <w:color w:val="auto"/>
        </w:rPr>
      </w:pPr>
    </w:p>
    <w:p>
      <w:pPr>
        <w:ind w:left="400" w:hanging="392"/>
        <w:spacing w:after="0" w:line="232" w:lineRule="auto"/>
        <w:tabs>
          <w:tab w:leader="none" w:pos="400" w:val="left"/>
        </w:tabs>
        <w:numPr>
          <w:ilvl w:val="0"/>
          <w:numId w:val="19"/>
        </w:numPr>
        <w:rPr>
          <w:rFonts w:ascii="Arial" w:cs="Arial" w:eastAsia="Arial" w:hAnsi="Arial"/>
          <w:sz w:val="22"/>
          <w:szCs w:val="22"/>
          <w:color w:val="225CAB"/>
        </w:rPr>
      </w:pPr>
      <w:r>
        <w:rPr>
          <w:rFonts w:ascii="Arial" w:cs="Arial" w:eastAsia="Arial" w:hAnsi="Arial"/>
          <w:sz w:val="18"/>
          <w:szCs w:val="18"/>
          <w:color w:val="auto"/>
        </w:rPr>
        <w:t>A shareholder of record or a registered shareholder is a shareholder whose ownership of Roper Technologies, Inc. common stock is reflected directly on the books and records of our transfer agent, American Stock Transfer &amp; Trust Company. If you are a shareholder of record, we are providing these materials directly to you.</w:t>
      </w:r>
    </w:p>
    <w:p>
      <w:pPr>
        <w:spacing w:after="0" w:line="51" w:lineRule="exact"/>
        <w:rPr>
          <w:rFonts w:ascii="Arial" w:cs="Arial" w:eastAsia="Arial" w:hAnsi="Arial"/>
          <w:sz w:val="22"/>
          <w:szCs w:val="22"/>
          <w:color w:val="225CAB"/>
        </w:rPr>
      </w:pPr>
    </w:p>
    <w:p>
      <w:pPr>
        <w:ind w:left="400" w:right="60"/>
        <w:spacing w:after="0" w:line="273" w:lineRule="auto"/>
        <w:rPr>
          <w:rFonts w:ascii="Arial" w:cs="Arial" w:eastAsia="Arial" w:hAnsi="Arial"/>
          <w:sz w:val="22"/>
          <w:szCs w:val="22"/>
          <w:color w:val="225CAB"/>
        </w:rPr>
      </w:pPr>
      <w:r>
        <w:rPr>
          <w:rFonts w:ascii="Arial" w:cs="Arial" w:eastAsia="Arial" w:hAnsi="Arial"/>
          <w:sz w:val="16"/>
          <w:szCs w:val="16"/>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How can I submit my vote?</w:t>
      </w:r>
    </w:p>
    <w:p>
      <w:pPr>
        <w:spacing w:after="0" w:line="89" w:lineRule="exact"/>
        <w:rPr>
          <w:sz w:val="20"/>
          <w:szCs w:val="20"/>
          <w:color w:val="auto"/>
        </w:rPr>
      </w:pPr>
    </w:p>
    <w:p>
      <w:pPr>
        <w:ind w:left="400" w:right="20" w:hanging="392"/>
        <w:spacing w:after="0" w:line="246" w:lineRule="auto"/>
        <w:tabs>
          <w:tab w:leader="none" w:pos="400" w:val="left"/>
        </w:tabs>
        <w:numPr>
          <w:ilvl w:val="0"/>
          <w:numId w:val="20"/>
        </w:numPr>
        <w:rPr>
          <w:rFonts w:ascii="Arial" w:cs="Arial" w:eastAsia="Arial" w:hAnsi="Arial"/>
          <w:sz w:val="18"/>
          <w:szCs w:val="18"/>
          <w:color w:val="225CAB"/>
        </w:rPr>
      </w:pPr>
      <w:r>
        <w:rPr>
          <w:rFonts w:ascii="Arial" w:cs="Arial" w:eastAsia="Arial" w:hAnsi="Arial"/>
          <w:sz w:val="18"/>
          <w:szCs w:val="18"/>
          <w:color w:val="auto"/>
        </w:rPr>
        <w:t>There are four ways to vote: by internet, by telephone, by mail or in person. Submitting your proxy by internet, telephone or mail will not affect your right to attend the Annual Meeting and change your vote. Unless you are voting in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2</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2015 Proxy Statement</w:t>
            </w:r>
          </w:p>
        </w:tc>
      </w:tr>
      <w:tr>
        <w:trPr>
          <w:trHeight w:val="98"/>
        </w:trPr>
        <w:tc>
          <w:tcPr>
            <w:tcW w:w="240" w:type="dxa"/>
            <w:vAlign w:val="bottom"/>
            <w:tcBorders>
              <w:right w:val="single" w:sz="8" w:color="225CAB"/>
            </w:tcBorders>
          </w:tcPr>
          <w:p>
            <w:pPr>
              <w:spacing w:after="0"/>
              <w:rPr>
                <w:sz w:val="8"/>
                <w:szCs w:val="8"/>
                <w:color w:val="auto"/>
              </w:rPr>
            </w:pPr>
          </w:p>
        </w:tc>
        <w:tc>
          <w:tcPr>
            <w:tcW w:w="5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6" w:right="20"/>
        <w:spacing w:after="0" w:line="269" w:lineRule="auto"/>
        <w:rPr>
          <w:sz w:val="20"/>
          <w:szCs w:val="20"/>
          <w:color w:val="auto"/>
        </w:rPr>
      </w:pPr>
      <w:r>
        <w:rPr>
          <w:rFonts w:ascii="Arial" w:cs="Arial" w:eastAsia="Arial" w:hAnsi="Arial"/>
          <w:sz w:val="18"/>
          <w:szCs w:val="18"/>
          <w:color w:val="auto"/>
        </w:rPr>
        <w:t>person, your vote must be received by 11:59 p.m. Eastern Time on May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-1208405</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6" w:right="500" w:hanging="195"/>
        <w:spacing w:after="0" w:line="271" w:lineRule="auto"/>
        <w:tabs>
          <w:tab w:leader="none" w:pos="58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Have your proxy card available and log on to</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18" w:lineRule="exact"/>
        <w:rPr>
          <w:rFonts w:ascii="Arial" w:cs="Arial" w:eastAsia="Arial" w:hAnsi="Arial"/>
          <w:sz w:val="18"/>
          <w:szCs w:val="18"/>
          <w:color w:val="auto"/>
        </w:rPr>
      </w:pPr>
    </w:p>
    <w:p>
      <w:pPr>
        <w:ind w:left="586" w:right="300" w:hanging="195"/>
        <w:spacing w:after="0" w:line="317" w:lineRule="auto"/>
        <w:tabs>
          <w:tab w:leader="none" w:pos="586"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Have your proxy card available and call 800-690-6903 toll free (US only) from a touchtone telephone</w:t>
      </w:r>
    </w:p>
    <w:p>
      <w:pPr>
        <w:ind w:left="586" w:right="20" w:hanging="195"/>
        <w:spacing w:after="0" w:line="253" w:lineRule="auto"/>
        <w:tabs>
          <w:tab w:leader="none" w:pos="58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Mark, date, sign, and promptly mail the enclosed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in the postage-paid envelope provided for mailing in the United States.</w:t>
      </w:r>
    </w:p>
    <w:p>
      <w:pPr>
        <w:spacing w:after="0" w:line="34" w:lineRule="exact"/>
        <w:rPr>
          <w:rFonts w:ascii="Arial" w:cs="Arial" w:eastAsia="Arial" w:hAnsi="Arial"/>
          <w:sz w:val="18"/>
          <w:szCs w:val="18"/>
          <w:color w:val="auto"/>
        </w:rPr>
      </w:pPr>
    </w:p>
    <w:p>
      <w:pPr>
        <w:ind w:left="586" w:right="140" w:hanging="195"/>
        <w:spacing w:after="0" w:line="247" w:lineRule="auto"/>
        <w:tabs>
          <w:tab w:leader="none" w:pos="58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You may vote by ballot in person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Bring your proxy card if you received one by mail, otherwise we will provide shareholders of record a ballot at the Annual Meeting.</w:t>
      </w:r>
    </w:p>
    <w:p>
      <w:pPr>
        <w:spacing w:after="0" w:line="41" w:lineRule="exact"/>
        <w:rPr>
          <w:sz w:val="20"/>
          <w:szCs w:val="20"/>
          <w:color w:val="auto"/>
        </w:rPr>
      </w:pPr>
    </w:p>
    <w:p>
      <w:pPr>
        <w:ind w:left="386"/>
        <w:spacing w:after="0" w:line="239" w:lineRule="auto"/>
        <w:rPr>
          <w:sz w:val="20"/>
          <w:szCs w:val="20"/>
          <w:color w:val="auto"/>
        </w:rPr>
      </w:pPr>
      <w:r>
        <w:rPr>
          <w:rFonts w:ascii="Arial" w:cs="Arial" w:eastAsia="Arial" w:hAnsi="Arial"/>
          <w:sz w:val="18"/>
          <w:szCs w:val="18"/>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225CAB"/>
        </w:rPr>
        <w:t>Q:  What is a broker non-vote?</w:t>
      </w:r>
    </w:p>
    <w:p>
      <w:pPr>
        <w:spacing w:after="0" w:line="89" w:lineRule="exact"/>
        <w:rPr>
          <w:sz w:val="20"/>
          <w:szCs w:val="20"/>
          <w:color w:val="auto"/>
        </w:rPr>
      </w:pPr>
    </w:p>
    <w:p>
      <w:pPr>
        <w:ind w:left="386" w:right="200" w:hanging="386"/>
        <w:spacing w:after="0" w:line="233" w:lineRule="auto"/>
        <w:tabs>
          <w:tab w:leader="none" w:pos="386" w:val="left"/>
        </w:tabs>
        <w:numPr>
          <w:ilvl w:val="0"/>
          <w:numId w:val="22"/>
        </w:numPr>
        <w:rPr>
          <w:rFonts w:ascii="Arial" w:cs="Arial" w:eastAsia="Arial" w:hAnsi="Arial"/>
          <w:sz w:val="22"/>
          <w:szCs w:val="22"/>
          <w:color w:val="225CAB"/>
        </w:rPr>
      </w:pPr>
      <w:r>
        <w:rPr>
          <w:rFonts w:ascii="Arial" w:cs="Arial" w:eastAsia="Arial" w:hAnsi="Arial"/>
          <w:sz w:val="18"/>
          <w:szCs w:val="18"/>
          <w:color w:val="auto"/>
        </w:rPr>
        <w:t>If your shares are held in street name through a bank, broker or other intermediary, you must provide voting instructions to that institution. Under the rules of the New York Stock Exchange (the “NYSE”), if you do not provide voting instructions, the institution may vote in its discretion on routine proposals, but not on non-routine proposals, or leave the shares unvoted, which is called a “broker non-vote.”</w:t>
      </w:r>
    </w:p>
    <w:p>
      <w:pPr>
        <w:spacing w:after="0" w:line="47" w:lineRule="exact"/>
        <w:rPr>
          <w:rFonts w:ascii="Arial" w:cs="Arial" w:eastAsia="Arial" w:hAnsi="Arial"/>
          <w:sz w:val="22"/>
          <w:szCs w:val="22"/>
          <w:color w:val="225CAB"/>
        </w:rPr>
      </w:pPr>
    </w:p>
    <w:p>
      <w:pPr>
        <w:ind w:left="386" w:right="100"/>
        <w:spacing w:after="0" w:line="272" w:lineRule="auto"/>
        <w:rPr>
          <w:rFonts w:ascii="Arial" w:cs="Arial" w:eastAsia="Arial" w:hAnsi="Arial"/>
          <w:sz w:val="22"/>
          <w:szCs w:val="22"/>
          <w:color w:val="225CAB"/>
        </w:rPr>
      </w:pPr>
      <w:r>
        <w:rPr>
          <w:rFonts w:ascii="Arial" w:cs="Arial" w:eastAsia="Arial" w:hAnsi="Arial"/>
          <w:sz w:val="16"/>
          <w:szCs w:val="16"/>
          <w:color w:val="auto"/>
        </w:rPr>
        <w:t>The following proposals are not considered routine proposals, so banks, brokers and other intermediaries do not have discretionary authority to vote on these matters if they have not received voting instructions from you: (i) the election of directors, (ii) the advisory vote on the approval of compensation to our named executive officers, and (iii) the shareholder proposal. The ratification of the appointment of the independent registered accounting firm is considered a routine proposal, so if you do not provide voting instructions, the institution holding your shares may either leave</w:t>
      </w:r>
    </w:p>
    <w:p>
      <w:pPr>
        <w:sectPr>
          <w:pgSz w:w="11900" w:h="16838" w:orient="portrait"/>
          <w:cols w:equalWidth="0" w:num="2">
            <w:col w:w="5480" w:space="234"/>
            <w:col w:w="5586"/>
          </w:cols>
          <w:pgMar w:left="240" w:top="455" w:right="3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ANNUAL MEETING AND VOTING INFORMATION </w:t>
      </w:r>
      <w:r>
        <w:rPr>
          <w:rFonts w:ascii="Arial" w:cs="Arial" w:eastAsia="Arial" w:hAnsi="Arial"/>
          <w:sz w:val="18"/>
          <w:szCs w:val="18"/>
          <w:i w:val="1"/>
          <w:iCs w:val="1"/>
          <w:color w:val="225CAB"/>
        </w:rPr>
        <w:t>(CONTINUED)</w:t>
      </w:r>
    </w:p>
    <w:p>
      <w:pPr>
        <w:spacing w:after="0" w:line="198" w:lineRule="exact"/>
        <w:rPr>
          <w:sz w:val="20"/>
          <w:szCs w:val="20"/>
          <w:color w:val="auto"/>
        </w:rPr>
      </w:pPr>
    </w:p>
    <w:p>
      <w:pPr>
        <w:ind w:left="400" w:right="80"/>
        <w:spacing w:after="0"/>
        <w:rPr>
          <w:sz w:val="20"/>
          <w:szCs w:val="20"/>
          <w:color w:val="auto"/>
        </w:rPr>
      </w:pPr>
      <w:r>
        <w:rPr>
          <w:rFonts w:ascii="Arial" w:cs="Arial" w:eastAsia="Arial" w:hAnsi="Arial"/>
          <w:sz w:val="18"/>
          <w:szCs w:val="18"/>
          <w:color w:val="auto"/>
        </w:rPr>
        <w:t>the shares unvoted or vote the shares in its discretion. If your shares are held through a bank, broker, or other intermediary, please follow the voting instructions that you receive from that institution. The institution will not be able to vote your shares on any of the proposals except the appointment of PricewaterhouseCoopers LLP unless you have provided voting instructions.</w:t>
      </w:r>
    </w:p>
    <w:p>
      <w:pPr>
        <w:spacing w:after="0" w:line="154" w:lineRule="exact"/>
        <w:rPr>
          <w:sz w:val="20"/>
          <w:szCs w:val="20"/>
          <w:color w:val="auto"/>
        </w:rPr>
      </w:pPr>
    </w:p>
    <w:p>
      <w:pPr>
        <w:ind w:left="400" w:right="620" w:hanging="392"/>
        <w:spacing w:after="0" w:line="277" w:lineRule="auto"/>
        <w:tabs>
          <w:tab w:leader="none" w:pos="400" w:val="left"/>
        </w:tabs>
        <w:numPr>
          <w:ilvl w:val="0"/>
          <w:numId w:val="23"/>
        </w:numPr>
        <w:rPr>
          <w:rFonts w:ascii="Arial" w:cs="Arial" w:eastAsia="Arial" w:hAnsi="Arial"/>
          <w:sz w:val="22"/>
          <w:szCs w:val="22"/>
          <w:b w:val="1"/>
          <w:bCs w:val="1"/>
          <w:color w:val="225CAB"/>
        </w:rPr>
      </w:pPr>
      <w:r>
        <w:rPr>
          <w:rFonts w:ascii="Arial" w:cs="Arial" w:eastAsia="Arial" w:hAnsi="Arial"/>
          <w:sz w:val="22"/>
          <w:szCs w:val="22"/>
          <w:b w:val="1"/>
          <w:bCs w:val="1"/>
          <w:color w:val="225CAB"/>
        </w:rPr>
        <w:t>How are broker non-votes and abstentions treated?</w:t>
      </w:r>
    </w:p>
    <w:p>
      <w:pPr>
        <w:spacing w:after="0" w:line="1" w:lineRule="exact"/>
        <w:rPr>
          <w:sz w:val="20"/>
          <w:szCs w:val="20"/>
          <w:color w:val="auto"/>
        </w:rPr>
      </w:pPr>
    </w:p>
    <w:p>
      <w:pPr>
        <w:ind w:left="400" w:right="40" w:hanging="392"/>
        <w:spacing w:after="0" w:line="273" w:lineRule="auto"/>
        <w:tabs>
          <w:tab w:leader="none" w:pos="400" w:val="left"/>
        </w:tabs>
        <w:numPr>
          <w:ilvl w:val="0"/>
          <w:numId w:val="24"/>
        </w:numPr>
        <w:rPr>
          <w:rFonts w:ascii="Arial" w:cs="Arial" w:eastAsia="Arial" w:hAnsi="Arial"/>
          <w:sz w:val="16"/>
          <w:szCs w:val="16"/>
          <w:color w:val="225CAB"/>
        </w:rPr>
      </w:pPr>
      <w:r>
        <w:rPr>
          <w:rFonts w:ascii="Arial" w:cs="Arial" w:eastAsia="Arial" w:hAnsi="Arial"/>
          <w:sz w:val="16"/>
          <w:szCs w:val="16"/>
          <w:color w:val="auto"/>
        </w:rPr>
        <w:t>Broker non-votes are not treated as votes cast for any of the matters on the agenda, so they will not have any effect on those proposals. Abstentions are treated as present and entitled to vote, so they will have the effect of a vote cast against the approval of the compensation of our named executive officers and against the ratification of the appointment of PricewaterhouseCoopers LLP as our independent registered accounting firm. Abstentions are not treated as votes cast, so they will have no effect on the election of directors.</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constitutes a quorum?</w:t>
      </w:r>
    </w:p>
    <w:p>
      <w:pPr>
        <w:spacing w:after="0" w:line="89" w:lineRule="exact"/>
        <w:rPr>
          <w:sz w:val="20"/>
          <w:szCs w:val="20"/>
          <w:color w:val="auto"/>
        </w:rPr>
      </w:pPr>
    </w:p>
    <w:p>
      <w:pPr>
        <w:ind w:left="400" w:hanging="392"/>
        <w:spacing w:after="0" w:line="273" w:lineRule="auto"/>
        <w:tabs>
          <w:tab w:leader="none" w:pos="400" w:val="left"/>
        </w:tabs>
        <w:numPr>
          <w:ilvl w:val="0"/>
          <w:numId w:val="25"/>
        </w:numPr>
        <w:rPr>
          <w:rFonts w:ascii="Arial" w:cs="Arial" w:eastAsia="Arial" w:hAnsi="Arial"/>
          <w:sz w:val="16"/>
          <w:szCs w:val="16"/>
          <w:color w:val="225CAB"/>
        </w:rPr>
      </w:pPr>
      <w:r>
        <w:rPr>
          <w:rFonts w:ascii="Arial" w:cs="Arial" w:eastAsia="Arial" w:hAnsi="Arial"/>
          <w:sz w:val="16"/>
          <w:szCs w:val="16"/>
          <w:color w:val="auto"/>
        </w:rPr>
        <w:t>To conduct business at our Annual Meeting, we must have a 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adjourned or postponed to permit the further solicitation of proxies.</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How many votes are needed for each proposal?</w:t>
      </w:r>
    </w:p>
    <w:p>
      <w:pPr>
        <w:spacing w:after="0" w:line="89" w:lineRule="exact"/>
        <w:rPr>
          <w:sz w:val="20"/>
          <w:szCs w:val="20"/>
          <w:color w:val="auto"/>
        </w:rPr>
      </w:pPr>
    </w:p>
    <w:p>
      <w:pPr>
        <w:ind w:left="400" w:right="20" w:hanging="392"/>
        <w:spacing w:after="0" w:line="278" w:lineRule="auto"/>
        <w:tabs>
          <w:tab w:leader="none" w:pos="400" w:val="left"/>
        </w:tabs>
        <w:numPr>
          <w:ilvl w:val="0"/>
          <w:numId w:val="26"/>
        </w:numPr>
        <w:rPr>
          <w:rFonts w:ascii="Arial" w:cs="Arial" w:eastAsia="Arial" w:hAnsi="Arial"/>
          <w:sz w:val="16"/>
          <w:szCs w:val="16"/>
          <w:color w:val="225CAB"/>
        </w:rPr>
      </w:pPr>
      <w:r>
        <w:rPr>
          <w:rFonts w:ascii="Arial" w:cs="Arial" w:eastAsia="Arial" w:hAnsi="Arial"/>
          <w:sz w:val="16"/>
          <w:szCs w:val="16"/>
          <w:color w:val="auto"/>
        </w:rPr>
        <w:t>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6" w:right="240"/>
        <w:spacing w:after="0" w:line="239" w:lineRule="auto"/>
        <w:rPr>
          <w:sz w:val="20"/>
          <w:szCs w:val="20"/>
          <w:color w:val="auto"/>
        </w:rPr>
      </w:pPr>
      <w:r>
        <w:rPr>
          <w:rFonts w:ascii="Arial" w:cs="Arial" w:eastAsia="Arial" w:hAnsi="Arial"/>
          <w:sz w:val="18"/>
          <w:szCs w:val="18"/>
          <w:color w:val="auto"/>
        </w:rPr>
        <w:t>abstentions will have no impact as they are not counted as votes cast for the election of directors. If an incumbent director fails to receive a majority of the votes cast, the director will tender his or her resignation to the Board. The Nominating and Governance Committee or another committee will consider the director’s resignation and recommend to the Board whether to accept or reject the resignation. The Board will publicly disclose its decision regarding the resignation within 90 days after the election results are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-1962785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 w:lineRule="exact"/>
        <w:rPr>
          <w:sz w:val="20"/>
          <w:szCs w:val="20"/>
          <w:color w:val="auto"/>
        </w:rPr>
      </w:pPr>
    </w:p>
    <w:p>
      <w:pPr>
        <w:ind w:left="386" w:right="120"/>
        <w:spacing w:after="0" w:line="239" w:lineRule="auto"/>
        <w:rPr>
          <w:sz w:val="20"/>
          <w:szCs w:val="20"/>
          <w:color w:val="auto"/>
        </w:rPr>
      </w:pPr>
      <w:r>
        <w:rPr>
          <w:rFonts w:ascii="Arial" w:cs="Arial" w:eastAsia="Arial" w:hAnsi="Arial"/>
          <w:sz w:val="18"/>
          <w:szCs w:val="18"/>
          <w:color w:val="auto"/>
        </w:rPr>
        <w:t>The vote on the approval of compensation to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53" w:lineRule="exact"/>
        <w:rPr>
          <w:sz w:val="20"/>
          <w:szCs w:val="20"/>
          <w:color w:val="auto"/>
        </w:rPr>
      </w:pPr>
    </w:p>
    <w:p>
      <w:pPr>
        <w:ind w:left="386" w:right="180"/>
        <w:spacing w:after="0" w:line="278" w:lineRule="auto"/>
        <w:rPr>
          <w:sz w:val="20"/>
          <w:szCs w:val="20"/>
          <w:color w:val="auto"/>
        </w:rPr>
      </w:pPr>
      <w:r>
        <w:rPr>
          <w:rFonts w:ascii="Arial" w:cs="Arial" w:eastAsia="Arial" w:hAnsi="Arial"/>
          <w:sz w:val="16"/>
          <w:szCs w:val="16"/>
          <w:color w:val="auto"/>
        </w:rPr>
        <w:t>The affirmative vote of a majority of the shares present in person or represented by proxy and entitled to vote is required to approve</w:t>
      </w:r>
    </w:p>
    <w:p>
      <w:pPr>
        <w:spacing w:after="0" w:line="1" w:lineRule="exact"/>
        <w:rPr>
          <w:sz w:val="20"/>
          <w:szCs w:val="20"/>
          <w:color w:val="auto"/>
        </w:rPr>
      </w:pPr>
    </w:p>
    <w:p>
      <w:pPr>
        <w:ind w:left="386" w:right="280"/>
        <w:spacing w:after="0" w:line="271" w:lineRule="auto"/>
        <w:rPr>
          <w:sz w:val="20"/>
          <w:szCs w:val="20"/>
          <w:color w:val="auto"/>
        </w:rPr>
      </w:pPr>
      <w:r>
        <w:rPr>
          <w:rFonts w:ascii="Arial" w:cs="Arial" w:eastAsia="Arial" w:hAnsi="Arial"/>
          <w:sz w:val="16"/>
          <w:szCs w:val="16"/>
          <w:color w:val="auto"/>
        </w:rPr>
        <w:t>(i) the ratification of the appointment of PricewaterhouseCoopers LLP as the independent registered accounting firm of the Company, and (ii) the shareholder proposal, if it is properly presented at the Annual Meeting. Abstentions will have the effect of a vote against these proposals. Broker non-votes will be excluded from the calculation and will have no effect on the outcome of the voting.</w:t>
      </w:r>
    </w:p>
    <w:p>
      <w:pPr>
        <w:spacing w:after="0" w:line="334" w:lineRule="exact"/>
        <w:rPr>
          <w:sz w:val="20"/>
          <w:szCs w:val="20"/>
          <w:color w:val="auto"/>
        </w:rPr>
      </w:pPr>
    </w:p>
    <w:p>
      <w:pPr>
        <w:ind w:left="386" w:hanging="386"/>
        <w:spacing w:after="0"/>
        <w:tabs>
          <w:tab w:leader="none" w:pos="386" w:val="left"/>
        </w:tabs>
        <w:numPr>
          <w:ilvl w:val="0"/>
          <w:numId w:val="27"/>
        </w:numPr>
        <w:rPr>
          <w:rFonts w:ascii="Arial" w:cs="Arial" w:eastAsia="Arial" w:hAnsi="Arial"/>
          <w:sz w:val="22"/>
          <w:szCs w:val="22"/>
          <w:b w:val="1"/>
          <w:bCs w:val="1"/>
          <w:color w:val="225CAB"/>
        </w:rPr>
      </w:pPr>
      <w:r>
        <w:rPr>
          <w:rFonts w:ascii="Arial" w:cs="Arial" w:eastAsia="Arial" w:hAnsi="Arial"/>
          <w:sz w:val="22"/>
          <w:szCs w:val="22"/>
          <w:b w:val="1"/>
          <w:bCs w:val="1"/>
          <w:color w:val="225CAB"/>
        </w:rPr>
        <w:t>Is my proxy revocable?</w:t>
      </w:r>
    </w:p>
    <w:p>
      <w:pPr>
        <w:spacing w:after="0" w:line="89" w:lineRule="exact"/>
        <w:rPr>
          <w:sz w:val="20"/>
          <w:szCs w:val="20"/>
          <w:color w:val="auto"/>
        </w:rPr>
      </w:pPr>
    </w:p>
    <w:p>
      <w:pPr>
        <w:ind w:left="386" w:right="160" w:hanging="386"/>
        <w:spacing w:after="0" w:line="239" w:lineRule="auto"/>
        <w:tabs>
          <w:tab w:leader="none" w:pos="386" w:val="left"/>
        </w:tabs>
        <w:numPr>
          <w:ilvl w:val="0"/>
          <w:numId w:val="28"/>
        </w:numPr>
        <w:rPr>
          <w:rFonts w:ascii="Arial" w:cs="Arial" w:eastAsia="Arial" w:hAnsi="Arial"/>
          <w:sz w:val="18"/>
          <w:szCs w:val="18"/>
          <w:color w:val="225CAB"/>
        </w:rPr>
      </w:pPr>
      <w:r>
        <w:rPr>
          <w:rFonts w:ascii="Arial" w:cs="Arial" w:eastAsia="Arial" w:hAnsi="Arial"/>
          <w:sz w:val="18"/>
          <w:szCs w:val="18"/>
          <w:color w:val="auto"/>
        </w:rPr>
        <w:t>You may revoke your proxy before it is exercised by voting in person at the Annual Meeting, by timely delivering a subsequent proxy or by notifying us in writing of such revocation to the attention of the Secretary, Roper Technologies, Inc., 6901 Professional Parkway East, Suite 200, Sarasota, Florida 34240. If you are not the shareholder of record, you will need documentation from your record holder stating your ownership to vote personally at the Annual Meeting. See “What is a shareholder of record?”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66" w:type="dxa"/>
        <w:tblCellMar>
          <w:top w:w="0" w:type="dxa"/>
          <w:left w:w="0" w:type="dxa"/>
          <w:bottom w:w="0" w:type="dxa"/>
          <w:right w:w="0" w:type="dxa"/>
        </w:tblCellMar>
      </w:tblPr>
      <w:tr>
        <w:trPr>
          <w:trHeight w:val="321"/>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3</w:t>
            </w:r>
          </w:p>
        </w:tc>
      </w:tr>
      <w:tr>
        <w:trPr>
          <w:trHeight w:val="71"/>
        </w:trPr>
        <w:tc>
          <w:tcPr>
            <w:tcW w:w="4100" w:type="dxa"/>
            <w:vAlign w:val="bottom"/>
            <w:tcBorders>
              <w:right w:val="single" w:sz="8" w:color="225CAB"/>
            </w:tcBorders>
          </w:tcPr>
          <w:p>
            <w:pPr>
              <w:spacing w:after="0"/>
              <w:rPr>
                <w:sz w:val="6"/>
                <w:szCs w:val="6"/>
                <w:color w:val="auto"/>
              </w:rPr>
            </w:pPr>
          </w:p>
        </w:tc>
        <w:tc>
          <w:tcPr>
            <w:tcW w:w="3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-213995</wp:posOffset>
            </wp:positionV>
            <wp:extent cx="42037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00" w:space="314"/>
            <w:col w:w="5706"/>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ANNUAL MEETING AND VOTING INFORMATION </w:t>
      </w:r>
      <w:r>
        <w:rPr>
          <w:rFonts w:ascii="Arial" w:cs="Arial" w:eastAsia="Arial" w:hAnsi="Arial"/>
          <w:sz w:val="18"/>
          <w:szCs w:val="18"/>
          <w:i w:val="1"/>
          <w:iCs w:val="1"/>
          <w:color w:val="225CAB"/>
        </w:rPr>
        <w:t>(CONTINUED)</w:t>
      </w:r>
    </w:p>
    <w:p>
      <w:pPr>
        <w:spacing w:after="0" w:line="383" w:lineRule="exact"/>
        <w:rPr>
          <w:sz w:val="20"/>
          <w:szCs w:val="20"/>
          <w:color w:val="auto"/>
        </w:rPr>
      </w:pPr>
    </w:p>
    <w:p>
      <w:pPr>
        <w:ind w:left="400" w:right="280" w:hanging="392"/>
        <w:spacing w:after="0" w:line="277" w:lineRule="auto"/>
        <w:tabs>
          <w:tab w:leader="none" w:pos="400" w:val="left"/>
        </w:tabs>
        <w:numPr>
          <w:ilvl w:val="0"/>
          <w:numId w:val="29"/>
        </w:numPr>
        <w:rPr>
          <w:rFonts w:ascii="Arial" w:cs="Arial" w:eastAsia="Arial" w:hAnsi="Arial"/>
          <w:sz w:val="22"/>
          <w:szCs w:val="22"/>
          <w:b w:val="1"/>
          <w:bCs w:val="1"/>
          <w:color w:val="225CAB"/>
        </w:rPr>
      </w:pPr>
      <w:r>
        <w:rPr>
          <w:rFonts w:ascii="Arial" w:cs="Arial" w:eastAsia="Arial" w:hAnsi="Arial"/>
          <w:sz w:val="22"/>
          <w:szCs w:val="22"/>
          <w:b w:val="1"/>
          <w:bCs w:val="1"/>
          <w:color w:val="225CAB"/>
        </w:rPr>
        <w:t>What is “householding” and how does it affect me?</w:t>
      </w:r>
    </w:p>
    <w:p>
      <w:pPr>
        <w:spacing w:after="0" w:line="1" w:lineRule="exact"/>
        <w:rPr>
          <w:sz w:val="20"/>
          <w:szCs w:val="20"/>
          <w:color w:val="auto"/>
        </w:rPr>
      </w:pPr>
    </w:p>
    <w:p>
      <w:pPr>
        <w:ind w:left="400" w:right="20" w:hanging="392"/>
        <w:spacing w:after="0" w:line="239" w:lineRule="auto"/>
        <w:tabs>
          <w:tab w:leader="none" w:pos="400" w:val="left"/>
        </w:tabs>
        <w:numPr>
          <w:ilvl w:val="0"/>
          <w:numId w:val="30"/>
        </w:numPr>
        <w:rPr>
          <w:rFonts w:ascii="Arial" w:cs="Arial" w:eastAsia="Arial" w:hAnsi="Arial"/>
          <w:sz w:val="18"/>
          <w:szCs w:val="18"/>
          <w:color w:val="225CAB"/>
        </w:rPr>
      </w:pPr>
      <w:r>
        <w:rPr>
          <w:rFonts w:ascii="Arial" w:cs="Arial" w:eastAsia="Arial" w:hAnsi="Arial"/>
          <w:sz w:val="18"/>
          <w:szCs w:val="18"/>
          <w:color w:val="auto"/>
        </w:rPr>
        <w:t>The proxy rules of the Securities and Exchange Commission (the “SEC”) permit companies and 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52" w:lineRule="exact"/>
        <w:rPr>
          <w:rFonts w:ascii="Arial" w:cs="Arial" w:eastAsia="Arial" w:hAnsi="Arial"/>
          <w:sz w:val="18"/>
          <w:szCs w:val="18"/>
          <w:color w:val="225CAB"/>
        </w:rPr>
      </w:pPr>
    </w:p>
    <w:p>
      <w:pPr>
        <w:ind w:left="400"/>
        <w:spacing w:after="0" w:line="237" w:lineRule="auto"/>
        <w:rPr>
          <w:rFonts w:ascii="Arial" w:cs="Arial" w:eastAsia="Arial" w:hAnsi="Arial"/>
          <w:sz w:val="18"/>
          <w:szCs w:val="18"/>
          <w:color w:val="225CAB"/>
        </w:rPr>
      </w:pPr>
      <w:r>
        <w:rPr>
          <w:rFonts w:ascii="Arial" w:cs="Arial" w:eastAsia="Arial" w:hAnsi="Arial"/>
          <w:sz w:val="18"/>
          <w:szCs w:val="18"/>
          <w:color w:val="auto"/>
        </w:rPr>
        <w:t>Where multiple shareholders share the same address, only one copy of proxy material will be mailed to that address unless we have been notified by such shareholders of their desire to receive multiple copies of proxy materials. If you share an address with another shareholder and wish to receive a separate set of materials, you may instruct us to provide a separate Proxy Statement and Annual Report by calling 941-556-2601 or by writing to the attention of the Secretary, Roper Technologies, Inc., 6901 Professional Parkway East, Suite 200, Sarasota, Florida 34240. If you share the same address with another shareholder and already receive multiple copies of the Proxy Statement and Annual Report but prefer to receive a single set of materials, you may contact us at the same address and phone number to request a single set of material.</w:t>
      </w:r>
    </w:p>
    <w:p>
      <w:pPr>
        <w:spacing w:after="0" w:line="159" w:lineRule="exact"/>
        <w:rPr>
          <w:sz w:val="20"/>
          <w:szCs w:val="20"/>
          <w:color w:val="auto"/>
        </w:rPr>
      </w:pPr>
    </w:p>
    <w:p>
      <w:pPr>
        <w:ind w:left="400" w:right="320" w:hanging="392"/>
        <w:spacing w:after="0" w:line="277" w:lineRule="auto"/>
        <w:tabs>
          <w:tab w:leader="none" w:pos="400" w:val="left"/>
        </w:tabs>
        <w:numPr>
          <w:ilvl w:val="0"/>
          <w:numId w:val="31"/>
        </w:numPr>
        <w:rPr>
          <w:rFonts w:ascii="Arial" w:cs="Arial" w:eastAsia="Arial" w:hAnsi="Arial"/>
          <w:sz w:val="22"/>
          <w:szCs w:val="22"/>
          <w:b w:val="1"/>
          <w:bCs w:val="1"/>
          <w:color w:val="225CAB"/>
        </w:rPr>
      </w:pPr>
      <w:r>
        <w:rPr>
          <w:rFonts w:ascii="Arial" w:cs="Arial" w:eastAsia="Arial" w:hAnsi="Arial"/>
          <w:sz w:val="22"/>
          <w:szCs w:val="22"/>
          <w:b w:val="1"/>
          <w:bCs w:val="1"/>
          <w:color w:val="225CAB"/>
        </w:rPr>
        <w:t>How can I find the voting results of the Annual Meeting?</w:t>
      </w:r>
    </w:p>
    <w:p>
      <w:pPr>
        <w:spacing w:after="0" w:line="1" w:lineRule="exact"/>
        <w:rPr>
          <w:sz w:val="20"/>
          <w:szCs w:val="20"/>
          <w:color w:val="auto"/>
        </w:rPr>
      </w:pPr>
    </w:p>
    <w:p>
      <w:pPr>
        <w:ind w:left="400" w:right="220" w:hanging="392"/>
        <w:spacing w:after="0" w:line="269" w:lineRule="auto"/>
        <w:tabs>
          <w:tab w:leader="none" w:pos="400" w:val="left"/>
        </w:tabs>
        <w:numPr>
          <w:ilvl w:val="0"/>
          <w:numId w:val="32"/>
        </w:numPr>
        <w:rPr>
          <w:rFonts w:ascii="Arial" w:cs="Arial" w:eastAsia="Arial" w:hAnsi="Arial"/>
          <w:sz w:val="18"/>
          <w:szCs w:val="18"/>
          <w:color w:val="225CAB"/>
        </w:rPr>
      </w:pPr>
      <w:r>
        <w:rPr>
          <w:rFonts w:ascii="Arial" w:cs="Arial" w:eastAsia="Arial" w:hAnsi="Arial"/>
          <w:sz w:val="18"/>
          <w:szCs w:val="18"/>
          <w:color w:val="auto"/>
        </w:rPr>
        <w:t>The Board of Directors has designated an inspector of election who will tabulate the votes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4</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2015 Proxy Statement</w:t>
            </w:r>
          </w:p>
        </w:tc>
      </w:tr>
      <w:tr>
        <w:trPr>
          <w:trHeight w:val="98"/>
        </w:trPr>
        <w:tc>
          <w:tcPr>
            <w:tcW w:w="240" w:type="dxa"/>
            <w:vAlign w:val="bottom"/>
            <w:tcBorders>
              <w:right w:val="single" w:sz="8" w:color="225CAB"/>
            </w:tcBorders>
          </w:tcPr>
          <w:p>
            <w:pPr>
              <w:spacing w:after="0"/>
              <w:rPr>
                <w:sz w:val="8"/>
                <w:szCs w:val="8"/>
                <w:color w:val="auto"/>
              </w:rPr>
            </w:pPr>
          </w:p>
        </w:tc>
        <w:tc>
          <w:tcPr>
            <w:tcW w:w="5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6"/>
        <w:spacing w:after="0" w:line="239" w:lineRule="auto"/>
        <w:rPr>
          <w:sz w:val="20"/>
          <w:szCs w:val="20"/>
          <w:color w:val="auto"/>
        </w:rPr>
      </w:pPr>
      <w:r>
        <w:rPr>
          <w:rFonts w:ascii="Arial" w:cs="Arial" w:eastAsia="Arial" w:hAnsi="Arial"/>
          <w:sz w:val="18"/>
          <w:szCs w:val="18"/>
          <w:color w:val="auto"/>
        </w:rPr>
        <w:t>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 available at that time, we will provide preliminary voting results in the Form 8-K and will provide the final results in an amendment to the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-1960880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7" w:lineRule="exact"/>
        <w:rPr>
          <w:sz w:val="20"/>
          <w:szCs w:val="20"/>
          <w:color w:val="auto"/>
        </w:rPr>
      </w:pPr>
    </w:p>
    <w:p>
      <w:pPr>
        <w:ind w:left="386" w:right="600" w:hanging="386"/>
        <w:spacing w:after="0" w:line="290" w:lineRule="auto"/>
        <w:tabs>
          <w:tab w:leader="none" w:pos="386" w:val="left"/>
        </w:tabs>
        <w:numPr>
          <w:ilvl w:val="0"/>
          <w:numId w:val="33"/>
        </w:numPr>
        <w:rPr>
          <w:rFonts w:ascii="Arial" w:cs="Arial" w:eastAsia="Arial" w:hAnsi="Arial"/>
          <w:sz w:val="21"/>
          <w:szCs w:val="21"/>
          <w:b w:val="1"/>
          <w:bCs w:val="1"/>
          <w:color w:val="225CAB"/>
        </w:rPr>
      </w:pPr>
      <w:r>
        <w:rPr>
          <w:rFonts w:ascii="Arial" w:cs="Arial" w:eastAsia="Arial" w:hAnsi="Arial"/>
          <w:sz w:val="21"/>
          <w:szCs w:val="21"/>
          <w:b w:val="1"/>
          <w:bCs w:val="1"/>
          <w:color w:val="225CAB"/>
        </w:rPr>
        <w:t>Who is paying for the expenses involved in preparing and mailing this Proxy Statement?</w:t>
      </w:r>
    </w:p>
    <w:p>
      <w:pPr>
        <w:spacing w:after="0" w:line="1" w:lineRule="exact"/>
        <w:rPr>
          <w:sz w:val="20"/>
          <w:szCs w:val="20"/>
          <w:color w:val="auto"/>
        </w:rPr>
      </w:pPr>
    </w:p>
    <w:p>
      <w:pPr>
        <w:ind w:left="386" w:right="60" w:hanging="386"/>
        <w:spacing w:after="0" w:line="238" w:lineRule="auto"/>
        <w:tabs>
          <w:tab w:leader="none" w:pos="386" w:val="left"/>
        </w:tabs>
        <w:numPr>
          <w:ilvl w:val="0"/>
          <w:numId w:val="34"/>
        </w:numPr>
        <w:rPr>
          <w:rFonts w:ascii="Arial" w:cs="Arial" w:eastAsia="Arial" w:hAnsi="Arial"/>
          <w:sz w:val="18"/>
          <w:szCs w:val="18"/>
          <w:color w:val="225CAB"/>
        </w:rPr>
      </w:pPr>
      <w:r>
        <w:rPr>
          <w:rFonts w:ascii="Arial" w:cs="Arial" w:eastAsia="Arial" w:hAnsi="Arial"/>
          <w:sz w:val="18"/>
          <w:szCs w:val="18"/>
          <w:color w:val="auto"/>
        </w:rPr>
        <w:t>We are paying the expenses involved in preparing, assembling and mailing these proxy material and all costs of soliciting proxies. Our directors, executive officers and other employees may solicit proxies, without additional compensation, personally or by telephone, email or other means of communication. We have also engaged Georgeson Inc. as the proxy solicitor for this Annual Meeting for a fee of approximately $10,000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153" w:lineRule="exact"/>
        <w:rPr>
          <w:sz w:val="20"/>
          <w:szCs w:val="20"/>
          <w:color w:val="auto"/>
        </w:rPr>
      </w:pPr>
    </w:p>
    <w:p>
      <w:pPr>
        <w:jc w:val="center"/>
        <w:ind w:right="234"/>
        <w:spacing w:after="0"/>
        <w:rPr>
          <w:sz w:val="20"/>
          <w:szCs w:val="20"/>
          <w:color w:val="auto"/>
        </w:rPr>
      </w:pPr>
      <w:r>
        <w:rPr>
          <w:rFonts w:ascii="Arial" w:cs="Arial" w:eastAsia="Arial" w:hAnsi="Arial"/>
          <w:sz w:val="21"/>
          <w:szCs w:val="21"/>
          <w:b w:val="1"/>
          <w:bCs w:val="1"/>
          <w:color w:val="225CAB"/>
        </w:rPr>
        <w:t>Q:  What is your website for additional information?</w:t>
      </w:r>
    </w:p>
    <w:p>
      <w:pPr>
        <w:spacing w:after="0" w:line="100" w:lineRule="exact"/>
        <w:rPr>
          <w:sz w:val="20"/>
          <w:szCs w:val="20"/>
          <w:color w:val="auto"/>
        </w:rPr>
      </w:pPr>
    </w:p>
    <w:p>
      <w:pPr>
        <w:ind w:left="386" w:right="80" w:hanging="386"/>
        <w:spacing w:after="0" w:line="252" w:lineRule="auto"/>
        <w:tabs>
          <w:tab w:leader="none" w:pos="386" w:val="left"/>
        </w:tabs>
        <w:numPr>
          <w:ilvl w:val="0"/>
          <w:numId w:val="35"/>
        </w:numPr>
        <w:rPr>
          <w:rFonts w:ascii="Arial" w:cs="Arial" w:eastAsia="Arial" w:hAnsi="Arial"/>
          <w:sz w:val="18"/>
          <w:szCs w:val="18"/>
          <w:color w:val="225CAB"/>
        </w:rPr>
      </w:pPr>
      <w:r>
        <w:rPr>
          <w:rFonts w:ascii="Arial" w:cs="Arial" w:eastAsia="Arial" w:hAnsi="Arial"/>
          <w:sz w:val="18"/>
          <w:szCs w:val="18"/>
          <w:color w:val="auto"/>
        </w:rPr>
        <w:t>We maintain a website at www.ropertech.com. The information on our website is not part of this Proxy Statement, and it is not incorporated into any other filings we make with the SEC.</w:t>
      </w:r>
    </w:p>
    <w:p>
      <w:pPr>
        <w:sectPr>
          <w:pgSz w:w="11900" w:h="16838" w:orient="portrait"/>
          <w:cols w:equalWidth="0" w:num="2">
            <w:col w:w="5480" w:space="234"/>
            <w:col w:w="5586"/>
          </w:cols>
          <w:pgMar w:left="240" w:top="455" w:right="3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PROPOSAL 1: ELECTION OF DIRECTORS</w:t>
      </w:r>
    </w:p>
    <w:p>
      <w:pPr>
        <w:spacing w:after="0" w:line="27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Certificate of Incorporation provides that the Board of Directors shall consist of such number of members as may be fixed, from time to time, by the Board of Directors, but not less than the minimum number required under Delaware law. Our Board of Directors increased the number of directors from eight to ten, effective as of the date of the Annual Meeting. We continue with the declassification of our Board, which our shareholders approved at the 2013 Annual Meeting, upon our Board’s unanimous recommendation. The phasing-in of declassification commenced last year and will be completed next year. This year shareholders are electing seven directors who will serve for a one-year term.</w:t>
      </w:r>
    </w:p>
    <w:p>
      <w:pPr>
        <w:spacing w:after="0" w:line="127"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terms of office for five incumbent directors, Robert Johnson, Robert Knowling, Wilbur Prezzano, Richard Wallman and Christopher Wright, expire at this Annual Meeting. As a result of our processes that focus on Board refreshment and after considering the recommendation of the Nominating and Governance Committee, our Board of Directors has nominated five incumbent directors for re-election and two new nominees, Amy Woods Brinkley and Laura G. Thatcher, to stand for election as directors for one-year terms expiring at the 2016 Annual Meeting of Shareholders or when their respective successors are elected and qualified. Certain information about the director nominees and the directors whose terms are continuing is set forth below under “Board of Directors.” This information includes the business experience, qualifications, attributes and skills that each individual brings to our Board.</w:t>
      </w:r>
    </w:p>
    <w:p>
      <w:pPr>
        <w:spacing w:after="0" w:line="13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Each of Ms. Brinkley and Ms. Thatcher was identified and recommended as a potential director candidate by another member of our Board, and each candidate met with the Nominating and Governance Committee as well as with other members of our Board prior to being recommended by the Nominating and Governance Committee. Ms. Brinkley and Ms. Thatcher will provide the Board with a broad perspective on issues that affect our Company. Ms. Brinkley brings extensive experience in risk management and finance, and Ms. Thatcher has extensive knowledge in corporate governance, executive compensation, mergers and acquisitions, and tax law. Information regarding each of our director nominees is set forth below under the heading “Board of Directors.”</w:t>
      </w:r>
    </w:p>
    <w:p>
      <w:pPr>
        <w:spacing w:after="0" w:line="130" w:lineRule="exact"/>
        <w:rPr>
          <w:sz w:val="20"/>
          <w:szCs w:val="20"/>
          <w:color w:val="auto"/>
        </w:rPr>
      </w:pPr>
    </w:p>
    <w:p>
      <w:pPr>
        <w:ind w:right="760"/>
        <w:spacing w:after="0" w:line="269" w:lineRule="auto"/>
        <w:rPr>
          <w:sz w:val="20"/>
          <w:szCs w:val="20"/>
          <w:color w:val="auto"/>
        </w:rPr>
      </w:pPr>
      <w:r>
        <w:rPr>
          <w:rFonts w:ascii="Arial" w:cs="Arial" w:eastAsia="Arial" w:hAnsi="Arial"/>
          <w:sz w:val="18"/>
          <w:szCs w:val="18"/>
          <w:color w:val="auto"/>
        </w:rPr>
        <w:t>If prior to the meeting a director nominee is unable to serve, which the Board of Directors does not anticipate,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49" w:lineRule="exact"/>
        <w:rPr>
          <w:sz w:val="20"/>
          <w:szCs w:val="20"/>
          <w:color w:val="auto"/>
        </w:rPr>
      </w:pPr>
    </w:p>
    <w:p>
      <w:pPr>
        <w:ind w:left="460" w:right="900"/>
        <w:spacing w:after="0" w:line="281"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shd w:val="clear" w:color="auto" w:fill="225CAB"/>
          </w:tcPr>
          <w:p>
            <w:pPr>
              <w:spacing w:after="0"/>
              <w:rPr>
                <w:sz w:val="18"/>
                <w:szCs w:val="18"/>
                <w:color w:val="auto"/>
              </w:rPr>
            </w:pPr>
          </w:p>
        </w:tc>
        <w:tc>
          <w:tcPr>
            <w:tcW w:w="920" w:type="dxa"/>
            <w:vAlign w:val="bottom"/>
            <w:shd w:val="clear" w:color="auto" w:fill="225CAB"/>
          </w:tcPr>
          <w:p>
            <w:pPr>
              <w:spacing w:after="0"/>
              <w:rPr>
                <w:sz w:val="18"/>
                <w:szCs w:val="18"/>
                <w:color w:val="auto"/>
              </w:rPr>
            </w:pPr>
          </w:p>
        </w:tc>
        <w:tc>
          <w:tcPr>
            <w:tcW w:w="1020" w:type="dxa"/>
            <w:vAlign w:val="bottom"/>
            <w:shd w:val="clear" w:color="auto" w:fill="225CAB"/>
          </w:tcPr>
          <w:p>
            <w:pPr>
              <w:jc w:val="center"/>
              <w:spacing w:after="0"/>
              <w:rPr>
                <w:sz w:val="20"/>
                <w:szCs w:val="20"/>
                <w:color w:val="auto"/>
              </w:rPr>
            </w:pPr>
            <w:r>
              <w:rPr>
                <w:rFonts w:ascii="Arial" w:cs="Arial" w:eastAsia="Arial" w:hAnsi="Arial"/>
                <w:sz w:val="18"/>
                <w:szCs w:val="18"/>
                <w:color w:val="FFFFFF"/>
                <w:w w:val="98"/>
              </w:rPr>
              <w:t>Director</w:t>
            </w:r>
          </w:p>
        </w:tc>
        <w:tc>
          <w:tcPr>
            <w:tcW w:w="1420" w:type="dxa"/>
            <w:vAlign w:val="bottom"/>
            <w:shd w:val="clear" w:color="auto" w:fill="225CAB"/>
          </w:tcPr>
          <w:p>
            <w:pPr>
              <w:spacing w:after="0"/>
              <w:rPr>
                <w:sz w:val="18"/>
                <w:szCs w:val="18"/>
                <w:color w:val="auto"/>
              </w:rPr>
            </w:pPr>
          </w:p>
        </w:tc>
        <w:tc>
          <w:tcPr>
            <w:tcW w:w="5660" w:type="dxa"/>
            <w:vAlign w:val="bottom"/>
            <w:shd w:val="clear" w:color="auto" w:fill="225CAB"/>
          </w:tcPr>
          <w:p>
            <w:pPr>
              <w:spacing w:after="0"/>
              <w:rPr>
                <w:sz w:val="18"/>
                <w:szCs w:val="18"/>
                <w:color w:val="auto"/>
              </w:rPr>
            </w:pPr>
          </w:p>
        </w:tc>
        <w:tc>
          <w:tcPr>
            <w:tcW w:w="360" w:type="dxa"/>
            <w:vAlign w:val="bottom"/>
            <w:tcBorders>
              <w:left w:val="single" w:sz="8" w:color="225CAB"/>
            </w:tcBorders>
            <w:shd w:val="clear" w:color="auto" w:fill="225CAB"/>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40" w:type="dxa"/>
            <w:vAlign w:val="bottom"/>
            <w:shd w:val="clear" w:color="auto" w:fill="225CAB"/>
          </w:tcPr>
          <w:p>
            <w:pPr>
              <w:ind w:left="800"/>
              <w:spacing w:after="0"/>
              <w:rPr>
                <w:sz w:val="20"/>
                <w:szCs w:val="20"/>
                <w:color w:val="auto"/>
              </w:rPr>
            </w:pPr>
            <w:r>
              <w:rPr>
                <w:rFonts w:ascii="Arial" w:cs="Arial" w:eastAsia="Arial" w:hAnsi="Arial"/>
                <w:sz w:val="18"/>
                <w:szCs w:val="18"/>
                <w:color w:val="FFFFFF"/>
              </w:rPr>
              <w:t>Name</w:t>
            </w:r>
          </w:p>
        </w:tc>
        <w:tc>
          <w:tcPr>
            <w:tcW w:w="920" w:type="dxa"/>
            <w:vAlign w:val="bottom"/>
            <w:shd w:val="clear" w:color="auto" w:fill="225CAB"/>
          </w:tcPr>
          <w:p>
            <w:pPr>
              <w:jc w:val="center"/>
              <w:ind w:left="152"/>
              <w:spacing w:after="0"/>
              <w:rPr>
                <w:sz w:val="20"/>
                <w:szCs w:val="20"/>
                <w:color w:val="auto"/>
              </w:rPr>
            </w:pPr>
            <w:r>
              <w:rPr>
                <w:rFonts w:ascii="Arial" w:cs="Arial" w:eastAsia="Arial" w:hAnsi="Arial"/>
                <w:sz w:val="18"/>
                <w:szCs w:val="18"/>
                <w:color w:val="FFFFFF"/>
                <w:w w:val="99"/>
              </w:rPr>
              <w:t>Age</w:t>
            </w:r>
          </w:p>
        </w:tc>
        <w:tc>
          <w:tcPr>
            <w:tcW w:w="1020" w:type="dxa"/>
            <w:vAlign w:val="bottom"/>
            <w:shd w:val="clear" w:color="auto" w:fill="225CAB"/>
          </w:tcPr>
          <w:p>
            <w:pPr>
              <w:jc w:val="center"/>
              <w:spacing w:after="0"/>
              <w:rPr>
                <w:sz w:val="20"/>
                <w:szCs w:val="20"/>
                <w:color w:val="auto"/>
              </w:rPr>
            </w:pPr>
            <w:r>
              <w:rPr>
                <w:rFonts w:ascii="Arial" w:cs="Arial" w:eastAsia="Arial" w:hAnsi="Arial"/>
                <w:sz w:val="18"/>
                <w:szCs w:val="18"/>
                <w:color w:val="FFFFFF"/>
                <w:w w:val="97"/>
              </w:rPr>
              <w:t>Since</w:t>
            </w:r>
          </w:p>
        </w:tc>
        <w:tc>
          <w:tcPr>
            <w:tcW w:w="1420" w:type="dxa"/>
            <w:vAlign w:val="bottom"/>
            <w:shd w:val="clear" w:color="auto" w:fill="225CAB"/>
          </w:tcPr>
          <w:p>
            <w:pPr>
              <w:jc w:val="center"/>
              <w:spacing w:after="0"/>
              <w:rPr>
                <w:sz w:val="20"/>
                <w:szCs w:val="20"/>
                <w:color w:val="auto"/>
              </w:rPr>
            </w:pPr>
            <w:r>
              <w:rPr>
                <w:rFonts w:ascii="Arial" w:cs="Arial" w:eastAsia="Arial" w:hAnsi="Arial"/>
                <w:sz w:val="18"/>
                <w:szCs w:val="18"/>
                <w:color w:val="FFFFFF"/>
                <w:w w:val="95"/>
              </w:rPr>
              <w:t>Independent</w:t>
            </w:r>
          </w:p>
        </w:tc>
        <w:tc>
          <w:tcPr>
            <w:tcW w:w="5660" w:type="dxa"/>
            <w:vAlign w:val="bottom"/>
            <w:shd w:val="clear" w:color="auto" w:fill="225CAB"/>
          </w:tcPr>
          <w:p>
            <w:pPr>
              <w:ind w:left="2680"/>
              <w:spacing w:after="0"/>
              <w:rPr>
                <w:sz w:val="20"/>
                <w:szCs w:val="20"/>
                <w:color w:val="auto"/>
              </w:rPr>
            </w:pPr>
            <w:r>
              <w:rPr>
                <w:rFonts w:ascii="Arial" w:cs="Arial" w:eastAsia="Arial" w:hAnsi="Arial"/>
                <w:sz w:val="18"/>
                <w:szCs w:val="18"/>
                <w:color w:val="FFFFFF"/>
              </w:rPr>
              <w:t>Occupation</w:t>
            </w:r>
          </w:p>
        </w:tc>
        <w:tc>
          <w:tcPr>
            <w:tcW w:w="360" w:type="dxa"/>
            <w:vAlign w:val="bottom"/>
            <w:tcBorders>
              <w:left w:val="single" w:sz="8" w:color="225CAB"/>
            </w:tcBorders>
            <w:shd w:val="clear" w:color="auto" w:fill="225CA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Amy Woods Brinkley</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59</w:t>
            </w:r>
          </w:p>
        </w:tc>
        <w:tc>
          <w:tcPr>
            <w:tcW w:w="1020" w:type="dxa"/>
            <w:vAlign w:val="bottom"/>
            <w:tcBorders>
              <w:bottom w:val="single" w:sz="8" w:color="225CAB"/>
            </w:tcBorders>
          </w:tcPr>
          <w:p>
            <w:pPr>
              <w:spacing w:after="0"/>
              <w:rPr>
                <w:sz w:val="18"/>
                <w:szCs w:val="18"/>
                <w:color w:val="auto"/>
              </w:rPr>
            </w:pP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rPr>
              <w:t>Founder, AWB Consulting, LLC</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Robert D. Johnson</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67</w:t>
            </w:r>
          </w:p>
        </w:tc>
        <w:tc>
          <w:tcPr>
            <w:tcW w:w="10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4"/>
              </w:rPr>
              <w:t>2005</w:t>
            </w: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rPr>
              <w:t>Former CEO, Dubai Aerospace Enterprise Ltd.</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Robert E. Knowling</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59</w:t>
            </w:r>
          </w:p>
        </w:tc>
        <w:tc>
          <w:tcPr>
            <w:tcW w:w="10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4"/>
              </w:rPr>
              <w:t>2008</w:t>
            </w: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rPr>
              <w:t>Chairman, Eagles Landing Partners</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Wilbur J. Prezzano</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74</w:t>
            </w:r>
          </w:p>
        </w:tc>
        <w:tc>
          <w:tcPr>
            <w:tcW w:w="10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4"/>
              </w:rPr>
              <w:t>1997</w:t>
            </w: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rPr>
              <w:t>Former Vice-Chairman, Eastman Kodak Company</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Laura G. Thatcher</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59</w:t>
            </w:r>
          </w:p>
        </w:tc>
        <w:tc>
          <w:tcPr>
            <w:tcW w:w="1020" w:type="dxa"/>
            <w:vAlign w:val="bottom"/>
            <w:tcBorders>
              <w:bottom w:val="single" w:sz="8" w:color="225CAB"/>
            </w:tcBorders>
          </w:tcPr>
          <w:p>
            <w:pPr>
              <w:spacing w:after="0"/>
              <w:rPr>
                <w:sz w:val="18"/>
                <w:szCs w:val="18"/>
                <w:color w:val="auto"/>
              </w:rPr>
            </w:pP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w w:val="97"/>
              </w:rPr>
              <w:t>Retired Head of Executive Compensation Practice, Alston &amp; Bird LLP</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Richard F. Wallman</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64</w:t>
            </w:r>
          </w:p>
        </w:tc>
        <w:tc>
          <w:tcPr>
            <w:tcW w:w="10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4"/>
              </w:rPr>
              <w:t>2007</w:t>
            </w: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rPr>
              <w:t>Former CFO and SVP, Honeywell International Inc.</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225CAB"/>
            </w:tcBorders>
          </w:tcPr>
          <w:p>
            <w:pPr>
              <w:spacing w:after="0"/>
              <w:rPr>
                <w:sz w:val="20"/>
                <w:szCs w:val="20"/>
                <w:color w:val="auto"/>
              </w:rPr>
            </w:pPr>
            <w:r>
              <w:rPr>
                <w:rFonts w:ascii="Arial" w:cs="Arial" w:eastAsia="Arial" w:hAnsi="Arial"/>
                <w:sz w:val="18"/>
                <w:szCs w:val="18"/>
                <w:color w:val="225CAB"/>
              </w:rPr>
              <w:t>Christopher Wright</w:t>
            </w:r>
          </w:p>
        </w:tc>
        <w:tc>
          <w:tcPr>
            <w:tcW w:w="920" w:type="dxa"/>
            <w:vAlign w:val="bottom"/>
            <w:tcBorders>
              <w:bottom w:val="single" w:sz="8" w:color="225CAB"/>
            </w:tcBorders>
          </w:tcPr>
          <w:p>
            <w:pPr>
              <w:jc w:val="center"/>
              <w:ind w:left="152"/>
              <w:spacing w:after="0"/>
              <w:rPr>
                <w:sz w:val="20"/>
                <w:szCs w:val="20"/>
                <w:color w:val="auto"/>
              </w:rPr>
            </w:pPr>
            <w:r>
              <w:rPr>
                <w:rFonts w:ascii="Arial" w:cs="Arial" w:eastAsia="Arial" w:hAnsi="Arial"/>
                <w:sz w:val="18"/>
                <w:szCs w:val="18"/>
                <w:color w:val="auto"/>
                <w:w w:val="99"/>
              </w:rPr>
              <w:t>57</w:t>
            </w:r>
          </w:p>
        </w:tc>
        <w:tc>
          <w:tcPr>
            <w:tcW w:w="10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4"/>
              </w:rPr>
              <w:t>1991</w:t>
            </w:r>
          </w:p>
        </w:tc>
        <w:tc>
          <w:tcPr>
            <w:tcW w:w="1420" w:type="dxa"/>
            <w:vAlign w:val="bottom"/>
            <w:tcBorders>
              <w:bottom w:val="single" w:sz="8" w:color="225CAB"/>
            </w:tcBorders>
          </w:tcPr>
          <w:p>
            <w:pPr>
              <w:jc w:val="center"/>
              <w:spacing w:after="0"/>
              <w:rPr>
                <w:sz w:val="20"/>
                <w:szCs w:val="20"/>
                <w:color w:val="auto"/>
              </w:rPr>
            </w:pPr>
            <w:r>
              <w:rPr>
                <w:rFonts w:ascii="Arial" w:cs="Arial" w:eastAsia="Arial" w:hAnsi="Arial"/>
                <w:sz w:val="18"/>
                <w:szCs w:val="18"/>
                <w:color w:val="auto"/>
                <w:w w:val="90"/>
              </w:rPr>
              <w:t>Yes</w:t>
            </w:r>
          </w:p>
        </w:tc>
        <w:tc>
          <w:tcPr>
            <w:tcW w:w="5660" w:type="dxa"/>
            <w:vAlign w:val="bottom"/>
            <w:tcBorders>
              <w:bottom w:val="single" w:sz="8" w:color="225CAB"/>
            </w:tcBorders>
          </w:tcPr>
          <w:p>
            <w:pPr>
              <w:ind w:left="240"/>
              <w:spacing w:after="0"/>
              <w:rPr>
                <w:sz w:val="20"/>
                <w:szCs w:val="20"/>
                <w:color w:val="auto"/>
              </w:rPr>
            </w:pPr>
            <w:r>
              <w:rPr>
                <w:rFonts w:ascii="Arial" w:cs="Arial" w:eastAsia="Arial" w:hAnsi="Arial"/>
                <w:sz w:val="18"/>
                <w:szCs w:val="18"/>
                <w:color w:val="auto"/>
              </w:rPr>
              <w:t>Chairman, EMAlternatives LLC</w:t>
            </w:r>
          </w:p>
        </w:tc>
        <w:tc>
          <w:tcPr>
            <w:tcW w:w="360" w:type="dxa"/>
            <w:vAlign w:val="bottom"/>
            <w:tcBorders>
              <w:bottom w:val="single" w:sz="8" w:color="225CAB"/>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60" w:type="dxa"/>
            <w:vAlign w:val="bottom"/>
            <w:vMerge w:val="restart"/>
          </w:tcPr>
          <w:p>
            <w:pPr>
              <w:ind w:left="1580"/>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1"/>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60" w:type="dxa"/>
            <w:vAlign w:val="bottom"/>
            <w:tcBorders>
              <w:left w:val="single" w:sz="8" w:color="225CAB"/>
            </w:tcBorders>
          </w:tcPr>
          <w:p>
            <w:pPr>
              <w:jc w:val="right"/>
              <w:spacing w:after="0"/>
              <w:rPr>
                <w:sz w:val="20"/>
                <w:szCs w:val="20"/>
                <w:color w:val="auto"/>
              </w:rPr>
            </w:pPr>
            <w:r>
              <w:rPr>
                <w:rFonts w:ascii="Arial" w:cs="Arial" w:eastAsia="Arial" w:hAnsi="Arial"/>
                <w:sz w:val="18"/>
                <w:szCs w:val="18"/>
                <w:b w:val="1"/>
                <w:bCs w:val="1"/>
                <w:color w:val="225CAB"/>
              </w:rPr>
              <w:t>5</w:t>
            </w:r>
          </w:p>
        </w:tc>
        <w:tc>
          <w:tcPr>
            <w:tcW w:w="0" w:type="dxa"/>
            <w:vAlign w:val="bottom"/>
          </w:tcPr>
          <w:p>
            <w:pPr>
              <w:spacing w:after="0"/>
              <w:rPr>
                <w:sz w:val="1"/>
                <w:szCs w:val="1"/>
                <w:color w:val="auto"/>
              </w:rPr>
            </w:pPr>
          </w:p>
        </w:tc>
      </w:tr>
      <w:tr>
        <w:trPr>
          <w:trHeight w:val="71"/>
        </w:trPr>
        <w:tc>
          <w:tcPr>
            <w:tcW w:w="20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5660" w:type="dxa"/>
            <w:vAlign w:val="bottom"/>
          </w:tcPr>
          <w:p>
            <w:pPr>
              <w:spacing w:after="0"/>
              <w:rPr>
                <w:sz w:val="6"/>
                <w:szCs w:val="6"/>
                <w:color w:val="auto"/>
              </w:rPr>
            </w:pPr>
          </w:p>
        </w:tc>
        <w:tc>
          <w:tcPr>
            <w:tcW w:w="360" w:type="dxa"/>
            <w:vAlign w:val="bottom"/>
            <w:tcBorders>
              <w:left w:val="single" w:sz="8" w:color="225CA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Nominee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for terms expiring at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2907030" cy="1191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7030" cy="1191895"/>
                    </a:xfrm>
                    <a:prstGeom prst="rect">
                      <a:avLst/>
                    </a:prstGeom>
                    <a:noFill/>
                  </pic:spPr>
                </pic:pic>
              </a:graphicData>
            </a:graphic>
          </wp:anchor>
        </w:drawing>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Amy Woods Brinkley</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Nominee</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Ms. Brinkley is the founder, owner and manager of AWB Consulting, LLC, which provides executive advising and risk management consulting services. Ms. Brinkley retired from Bank of America Corporation in 2009 after more than 30 years with the company. Ms. Brinkley served as its Chief Risk Officer from 2002 to 2009. Prior to 2002, she served as President of the company’s Consumer Products division and was responsible for the credit card, mortgage, consumer finance, telephone, and eCommerce businesses. During her employment at Bank of America Corporation, Ms. Brinkley also held the positions of Executive Vice President and Chief Marketing Officer overseeing the company’s Olympic sponsorship and its national rebranding and name change.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Ms. Brinkley is currently a director of TD Bank Group, Carter’s, Inc., and the Bank of America Charitable Foundation. She also serves as a trustee for the Princeton Theological Seminary and on the board of commissioners for the Carolinas Healthcare System.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Ms. Brinkley’s background offers the Board vast experience in risk management and a broad-based knowledge of banking, financial services, and brand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07030" cy="1191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7030" cy="1191895"/>
                    </a:xfrm>
                    <a:prstGeom prst="rect">
                      <a:avLst/>
                    </a:prstGeom>
                    <a:noFill/>
                  </pic:spPr>
                </pic:pic>
              </a:graphicData>
            </a:graphic>
          </wp:anchor>
        </w:drawing>
      </w:r>
    </w:p>
    <w:p>
      <w:pPr>
        <w:spacing w:after="0" w:line="28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Robert D. Johnson</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2005</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67</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Compensation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Mr. Johnson was Chief Executive Officer of Dubai Aerospace Enterprise Ltd., a global aviation corporation, from August 2006 to December 2008. Mr. Johnson served as Chairman of Honeywell Aerospace, the aviation segment of Honeywell International Inc., from January 2005 to January 2006, and as its President and Chief Executive Officer from 1999 to 2005. Mr. Johnson worked at Honeywell’s predecessor, AlliedSignal, rising to the position of President and Chief Executive Officer of AlliedSignal Aerospace. Mr. Johnson has held management positions with AAR Corporation and GE Aircraft Engines.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6</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2015 Proxy Statement</w:t>
            </w:r>
          </w:p>
        </w:tc>
      </w:tr>
      <w:tr>
        <w:trPr>
          <w:trHeight w:val="98"/>
        </w:trPr>
        <w:tc>
          <w:tcPr>
            <w:tcW w:w="240" w:type="dxa"/>
            <w:vAlign w:val="bottom"/>
            <w:tcBorders>
              <w:right w:val="single" w:sz="8" w:color="225CAB"/>
            </w:tcBorders>
          </w:tcPr>
          <w:p>
            <w:pPr>
              <w:spacing w:after="0"/>
              <w:rPr>
                <w:sz w:val="8"/>
                <w:szCs w:val="8"/>
                <w:color w:val="auto"/>
              </w:rPr>
            </w:pPr>
          </w:p>
        </w:tc>
        <w:tc>
          <w:tcPr>
            <w:tcW w:w="5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color w:val="auto"/>
        </w:rPr>
        <w:t>Mr. Johnson currently serves as the Chairman of the Board of Spirit AeroSystems, Inc., and as a director of Spirit Airlines, Inc. He previously served as a director of Ariba, Inc. from 2005 to 2012 and Beechcraft Corp during 2013.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Mr. Johnson brings valuable knowledge in marketing, sales and production from his diverse career experiences. His management leadership skills and his general business knowledge provide our Board with guidance in compensation and management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907030" cy="1200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0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Robert E. Knowling, Jr.</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2008</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59</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Compensation (Chair)</w:t>
      </w:r>
    </w:p>
    <w:p>
      <w:pPr>
        <w:ind w:left="1360"/>
        <w:spacing w:after="0"/>
        <w:rPr>
          <w:sz w:val="20"/>
          <w:szCs w:val="20"/>
          <w:color w:val="auto"/>
        </w:rPr>
      </w:pPr>
      <w:r>
        <w:rPr>
          <w:rFonts w:ascii="Arial" w:cs="Arial" w:eastAsia="Arial" w:hAnsi="Arial"/>
          <w:sz w:val="18"/>
          <w:szCs w:val="18"/>
          <w:color w:val="auto"/>
        </w:rPr>
        <w:t>Executive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Mr. Knowling is the Chairman of Eagles Landing Partners, a strategic management consulting company. From June 2005 to May 2009,</w:t>
      </w:r>
    </w:p>
    <w:p>
      <w:pPr>
        <w:spacing w:after="0" w:line="18"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Mr. Knowling served as Chief Executive Officer and director of Telwares, a leading provider of telecommunication spend management solutions. Mr. Knowling has served as the CEO of the NYC Leadership Academy, and in various executive capacities with SimDesk Technologies, Inc. and Covad Communications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Mr. Knowling currently serves as a director of Heidrick &amp; Struggles International and The Bartech Group. He previously served as a director of Aprimo, Inc. from 2008 to 2011 and as Lead Director of Ariba, Inc. from 2000 to 2012.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Mr. Knowling brings a unique perspective to our Board based on his involvement in telecommunications and high-growth technology companies. He also has significant operational and management skills, and insight with respect to technology matters. His experience as a director of several other public companies enables him to provide guidance on corporate governance and executive compensation issues.</w:t>
      </w:r>
    </w:p>
    <w:p>
      <w:pPr>
        <w:spacing w:after="0" w:line="123" w:lineRule="exact"/>
        <w:rPr>
          <w:sz w:val="20"/>
          <w:szCs w:val="20"/>
          <w:color w:val="auto"/>
        </w:rPr>
      </w:pPr>
    </w:p>
    <w:tbl>
      <w:tblPr>
        <w:tblLayout w:type="fixed"/>
        <w:tblInd w:w="6980" w:type="dxa"/>
        <w:tblCellMar>
          <w:top w:w="0" w:type="dxa"/>
          <w:left w:w="0" w:type="dxa"/>
          <w:bottom w:w="0" w:type="dxa"/>
          <w:right w:w="0" w:type="dxa"/>
        </w:tblCellMar>
      </w:tblPr>
      <w:tr>
        <w:trPr>
          <w:trHeight w:val="321"/>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7</w:t>
            </w:r>
          </w:p>
        </w:tc>
      </w:tr>
      <w:tr>
        <w:trPr>
          <w:trHeight w:val="71"/>
        </w:trPr>
        <w:tc>
          <w:tcPr>
            <w:tcW w:w="4100" w:type="dxa"/>
            <w:vAlign w:val="bottom"/>
            <w:tcBorders>
              <w:right w:val="single" w:sz="8" w:color="225CAB"/>
            </w:tcBorders>
          </w:tcPr>
          <w:p>
            <w:pPr>
              <w:spacing w:after="0"/>
              <w:rPr>
                <w:sz w:val="6"/>
                <w:szCs w:val="6"/>
                <w:color w:val="auto"/>
              </w:rPr>
            </w:pPr>
          </w:p>
        </w:tc>
        <w:tc>
          <w:tcPr>
            <w:tcW w:w="3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2907030" cy="1200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Wilbur J. Prezzano</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1997</w:t>
      </w:r>
    </w:p>
    <w:p>
      <w:pPr>
        <w:ind w:left="1360"/>
        <w:spacing w:after="0" w:line="234" w:lineRule="auto"/>
        <w:rPr>
          <w:sz w:val="20"/>
          <w:szCs w:val="20"/>
          <w:color w:val="auto"/>
        </w:rPr>
      </w:pPr>
      <w:r>
        <w:rPr>
          <w:rFonts w:ascii="Arial" w:cs="Arial" w:eastAsia="Arial" w:hAnsi="Arial"/>
          <w:sz w:val="18"/>
          <w:szCs w:val="18"/>
          <w:color w:val="auto"/>
        </w:rPr>
        <w:t>Lead Independent Director</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74</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Compensation</w:t>
      </w:r>
    </w:p>
    <w:p>
      <w:pPr>
        <w:ind w:left="1360"/>
        <w:spacing w:after="0"/>
        <w:rPr>
          <w:sz w:val="20"/>
          <w:szCs w:val="20"/>
          <w:color w:val="auto"/>
        </w:rPr>
      </w:pPr>
      <w:r>
        <w:rPr>
          <w:rFonts w:ascii="Arial" w:cs="Arial" w:eastAsia="Arial" w:hAnsi="Arial"/>
          <w:sz w:val="18"/>
          <w:szCs w:val="18"/>
          <w:color w:val="auto"/>
        </w:rPr>
        <w:t>Nominating and Governance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Prezzano retired in January 1997 from Eastman Kodak Company, a supplier of imaging material and services, as its board Vice-Chairman and as Chairman and President of its greater China region businesses. During his 32-year career with Eastman Kodak Company, Mr. Prezzano served in various executive capacities and also served as a director from 1992 to 1997.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Mr. Prezzano currently serves as the Board Chair of Snyder’s-Lance, Inc., and as a director of TD Bank Financial Group and TD Ameritrade Holding Corporation, and formerly served as a director of EnPro Industries,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auto"/>
        </w:rPr>
        <w:t>Mr. Prezzano has a strong background in management and experience in other international operations. Through his service on the boards of directors of several other companies in diverse industries, Mr. Prezzano provides our Board with a broad-based understanding important to the Company’s growth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907030" cy="1191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7030" cy="1191895"/>
                    </a:xfrm>
                    <a:prstGeom prst="rect">
                      <a:avLst/>
                    </a:prstGeom>
                    <a:noFill/>
                  </pic:spPr>
                </pic:pic>
              </a:graphicData>
            </a:graphic>
          </wp:anchor>
        </w:drawing>
      </w:r>
    </w:p>
    <w:p>
      <w:pPr>
        <w:spacing w:after="0" w:line="2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Laura G. Thatcher</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Nominee</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Ms. Thatcher retired in December 2013 from 33 years of legal practice at Alston &amp; Bird LLP, where she developed and headed the firm’s executive compensation practice for 18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From 1994 to 2007, Ms. Thatcher served as a director and Chair of the Compensation Committee of Batson–Cook Company, a southeast regional commercial construction and real estate development company. From 2008 to 2014, Ms. Thatcher served on the Board of Directors of The Atlanta Legal Aid Society, Inc., a non-profit organization addressing the civil legal needs of Atlanta’s lower income, elderly and disabled residents.</w:t>
      </w:r>
    </w:p>
    <w:p>
      <w:pPr>
        <w:spacing w:after="0" w:line="2" w:lineRule="exact"/>
        <w:rPr>
          <w:sz w:val="20"/>
          <w:szCs w:val="20"/>
          <w:color w:val="auto"/>
        </w:rPr>
      </w:pPr>
    </w:p>
    <w:p>
      <w:pPr>
        <w:ind w:right="1400"/>
        <w:spacing w:after="0" w:line="363" w:lineRule="auto"/>
        <w:rPr>
          <w:sz w:val="20"/>
          <w:szCs w:val="20"/>
          <w:color w:val="auto"/>
        </w:rPr>
      </w:pPr>
      <w:r>
        <w:rPr>
          <w:rFonts w:ascii="Arial" w:cs="Arial" w:eastAsia="Arial" w:hAnsi="Arial"/>
          <w:sz w:val="18"/>
          <w:szCs w:val="18"/>
          <w:color w:val="auto"/>
        </w:rPr>
        <w:t xml:space="preserve">Ms. Thatcher is a Past Chair of the Advisory Board of the Certified Equity Professional Institute (CEPI) of Santa Clara University. </w:t>
      </w:r>
      <w:r>
        <w:rPr>
          <w:rFonts w:ascii="Arial" w:cs="Arial" w:eastAsia="Arial" w:hAnsi="Arial"/>
          <w:sz w:val="18"/>
          <w:szCs w:val="18"/>
          <w:b w:val="1"/>
          <w:bCs w:val="1"/>
          <w:color w:val="auto"/>
        </w:rPr>
        <w:t>Director Qualifications</w:t>
      </w:r>
    </w:p>
    <w:p>
      <w:pPr>
        <w:spacing w:after="0" w:line="252" w:lineRule="auto"/>
        <w:rPr>
          <w:sz w:val="20"/>
          <w:szCs w:val="20"/>
          <w:color w:val="auto"/>
        </w:rPr>
      </w:pPr>
      <w:r>
        <w:rPr>
          <w:rFonts w:ascii="Arial" w:cs="Arial" w:eastAsia="Arial" w:hAnsi="Arial"/>
          <w:sz w:val="18"/>
          <w:szCs w:val="18"/>
          <w:color w:val="auto"/>
        </w:rPr>
        <w:t>Ms. Thatcher’s strong legal background in corporate, securities, compensation, mergers and acquisitions, and tax law, and her experience in advising a diverse array of public companies in these areas, offer the Board a broad-based as well as technical perspective in matters of corporate governance, executive compensation, and business acquisitions.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8</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2015 Proxy Statement</w:t>
            </w:r>
          </w:p>
        </w:tc>
      </w:tr>
      <w:tr>
        <w:trPr>
          <w:trHeight w:val="98"/>
        </w:trPr>
        <w:tc>
          <w:tcPr>
            <w:tcW w:w="240" w:type="dxa"/>
            <w:vAlign w:val="bottom"/>
            <w:tcBorders>
              <w:right w:val="single" w:sz="8" w:color="225CAB"/>
            </w:tcBorders>
          </w:tcPr>
          <w:p>
            <w:pPr>
              <w:spacing w:after="0"/>
              <w:rPr>
                <w:sz w:val="8"/>
                <w:szCs w:val="8"/>
                <w:color w:val="auto"/>
              </w:rPr>
            </w:pPr>
          </w:p>
        </w:tc>
        <w:tc>
          <w:tcPr>
            <w:tcW w:w="5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2907030" cy="1200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Richard F. Wallman</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2007</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64</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Nominating and Governance (Chair)</w:t>
      </w:r>
    </w:p>
    <w:p>
      <w:pPr>
        <w:ind w:left="1360"/>
        <w:spacing w:after="0"/>
        <w:rPr>
          <w:sz w:val="20"/>
          <w:szCs w:val="20"/>
          <w:color w:val="auto"/>
        </w:rPr>
      </w:pPr>
      <w:r>
        <w:rPr>
          <w:rFonts w:ascii="Arial" w:cs="Arial" w:eastAsia="Arial" w:hAnsi="Arial"/>
          <w:sz w:val="18"/>
          <w:szCs w:val="18"/>
          <w:color w:val="auto"/>
        </w:rPr>
        <w:t>Executive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Mr. Wallman served as the Chief Financial Officer and Senior Vice President of Honeywell International Inc., a diversified industrial technology and manufacturing company, and its predecessor AlliedSignal, from March 1995 to July 2003. Mr. Wallman has also served in senior financial positions with IBM and Chrysler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240"/>
        <w:spacing w:after="0" w:line="333" w:lineRule="auto"/>
        <w:rPr>
          <w:sz w:val="20"/>
          <w:szCs w:val="20"/>
          <w:color w:val="auto"/>
        </w:rPr>
      </w:pPr>
      <w:r>
        <w:rPr>
          <w:rFonts w:ascii="Arial" w:cs="Arial" w:eastAsia="Arial" w:hAnsi="Arial"/>
          <w:sz w:val="16"/>
          <w:szCs w:val="16"/>
          <w:color w:val="auto"/>
        </w:rPr>
        <w:t>Mr. Wallman currently serves as a director of Convergys Corporation, Extended Stay America, Inc., Tornier N.V., and Charles River Laboratories International, Inc. and has formerly served as a director of Ariba, Inc., from 2002 to 2012 and Dana Holding Corp. from 2010 to 2013.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Mr. Wallman’s extensive leadership and financial background brings to our Board a significant understanding of the financial issues and risks that affect the Company. Mr. Wallman also serves on the boards of other diverse publicly held companies, which gives him a multi-industry perspective and exposure to developments and issues that impact the management and operations of a global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907030" cy="1200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Christopher Wright</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1991</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57</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Audit</w:t>
      </w:r>
    </w:p>
    <w:p>
      <w:pPr>
        <w:ind w:left="1360"/>
        <w:spacing w:after="0"/>
        <w:rPr>
          <w:sz w:val="20"/>
          <w:szCs w:val="20"/>
          <w:color w:val="auto"/>
        </w:rPr>
      </w:pPr>
      <w:r>
        <w:rPr>
          <w:rFonts w:ascii="Arial" w:cs="Arial" w:eastAsia="Arial" w:hAnsi="Arial"/>
          <w:sz w:val="18"/>
          <w:szCs w:val="18"/>
          <w:color w:val="auto"/>
        </w:rPr>
        <w:t>Nominating and Governance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Mr. Wright is the Chairman of EMAlternatives LLC, a Washington, DC based private equity asset management firm focused on emerging markets, and a director of Merifin Capital Group, a private European investment firm. Until mid-2003 he served as Head of Global Private Equity for Dresdner Kleinwort Capital and was a Group Board Member of Dresdner Kleinwort Benson overseeing alternative assets in developed and emerging markets. He acted as Chairman of various investment funds prior to and following the latter’s integration with Allianz A.G., and as Global Head of Private Equity at Standard Bank Group from 2006 to 2007.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Mr. Wright currently serves as a director of Yatra Capital Ltd (EuroNext), and sits on the advisory boards of various investment funds. Mr. Wright is a Foundation Fellow of Corpus Christi College, Oxford.</w:t>
      </w:r>
    </w:p>
    <w:p>
      <w:pPr>
        <w:spacing w:after="0" w:line="109" w:lineRule="exact"/>
        <w:rPr>
          <w:sz w:val="20"/>
          <w:szCs w:val="20"/>
          <w:color w:val="auto"/>
        </w:rPr>
      </w:pPr>
    </w:p>
    <w:tbl>
      <w:tblPr>
        <w:tblLayout w:type="fixed"/>
        <w:tblInd w:w="6980" w:type="dxa"/>
        <w:tblCellMar>
          <w:top w:w="0" w:type="dxa"/>
          <w:left w:w="0" w:type="dxa"/>
          <w:bottom w:w="0" w:type="dxa"/>
          <w:right w:w="0" w:type="dxa"/>
        </w:tblCellMar>
      </w:tblPr>
      <w:tr>
        <w:trPr>
          <w:trHeight w:val="321"/>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9</w:t>
            </w:r>
          </w:p>
        </w:tc>
      </w:tr>
      <w:tr>
        <w:trPr>
          <w:trHeight w:val="71"/>
        </w:trPr>
        <w:tc>
          <w:tcPr>
            <w:tcW w:w="4100" w:type="dxa"/>
            <w:vAlign w:val="bottom"/>
            <w:tcBorders>
              <w:right w:val="single" w:sz="8" w:color="225CAB"/>
            </w:tcBorders>
          </w:tcPr>
          <w:p>
            <w:pPr>
              <w:spacing w:after="0"/>
              <w:rPr>
                <w:sz w:val="6"/>
                <w:szCs w:val="6"/>
                <w:color w:val="auto"/>
              </w:rPr>
            </w:pPr>
          </w:p>
        </w:tc>
        <w:tc>
          <w:tcPr>
            <w:tcW w:w="3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Mr. Wright offers a global perspective to our Board gained from his extensive international, private equity and banking experience. He is able to provide a valuable historical perspective on the development of the Company. He also provides our Board with knowledge of current financial issues and risks affecting international business operations, especially in Europe and across emerging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Continuing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whose terms expire at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898775" cy="131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1311910"/>
                    </a:xfrm>
                    <a:prstGeom prst="rect">
                      <a:avLst/>
                    </a:prstGeom>
                    <a:noFill/>
                  </pic:spPr>
                </pic:pic>
              </a:graphicData>
            </a:graphic>
          </wp:anchor>
        </w:drawing>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David W. Devonshire</w:t>
      </w:r>
    </w:p>
    <w:p>
      <w:pPr>
        <w:spacing w:after="0" w:line="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since 2002</w:t>
      </w:r>
    </w:p>
    <w:p>
      <w:pPr>
        <w:ind w:left="1340"/>
        <w:spacing w:after="0" w:line="234" w:lineRule="auto"/>
        <w:rPr>
          <w:sz w:val="20"/>
          <w:szCs w:val="20"/>
          <w:color w:val="auto"/>
        </w:rPr>
      </w:pPr>
      <w:r>
        <w:rPr>
          <w:rFonts w:ascii="Arial" w:cs="Arial" w:eastAsia="Arial" w:hAnsi="Arial"/>
          <w:sz w:val="18"/>
          <w:szCs w:val="18"/>
          <w:color w:val="auto"/>
        </w:rPr>
        <w:t>Lead Independent Director through</w:t>
      </w:r>
    </w:p>
    <w:p>
      <w:pPr>
        <w:ind w:left="1340"/>
        <w:spacing w:after="0" w:line="235" w:lineRule="auto"/>
        <w:rPr>
          <w:sz w:val="20"/>
          <w:szCs w:val="20"/>
          <w:color w:val="auto"/>
        </w:rPr>
      </w:pPr>
      <w:r>
        <w:rPr>
          <w:rFonts w:ascii="Arial" w:cs="Arial" w:eastAsia="Arial" w:hAnsi="Arial"/>
          <w:sz w:val="18"/>
          <w:szCs w:val="18"/>
          <w:color w:val="auto"/>
        </w:rPr>
        <w:t>December 2014</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Age: 69</w:t>
      </w:r>
    </w:p>
    <w:p>
      <w:pPr>
        <w:spacing w:after="0" w:line="1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Committees:</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Audit (Chair)</w:t>
      </w:r>
    </w:p>
    <w:p>
      <w:pPr>
        <w:ind w:left="1340"/>
        <w:spacing w:after="0"/>
        <w:rPr>
          <w:sz w:val="20"/>
          <w:szCs w:val="20"/>
          <w:color w:val="auto"/>
        </w:rPr>
      </w:pPr>
      <w:r>
        <w:rPr>
          <w:rFonts w:ascii="Arial" w:cs="Arial" w:eastAsia="Arial" w:hAnsi="Arial"/>
          <w:sz w:val="18"/>
          <w:szCs w:val="18"/>
          <w:color w:val="auto"/>
        </w:rPr>
        <w:t>Executive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Mr. Devonshire served as an Executive Vice President and Chief Financial Officer of Motorola, Inc., a telecommunications company, from April 2002 until his retirement in December 2007. Prior to Motorola, Mr. Devonshire served as Executive Vice President and Chief Financial Officer of Ingersoll-Rand Company, a global diversified industrial company, and as Senior Vice President and Chief Financial Officer of Owens Corning, an innovator of glass fiber technology.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Mr. Devonshire currently serves as a director of Meritor, Inc. (and served as its Lead Director from January 2013 through January 2015) and as a director of Career Education Corporation (and served as its Non-Executive Chairman from May 2013 to June 2014). He is the principal financial advisor to Harrison Street Capital, a private investment company, and also serves on the Advisory Board of CFO Magazine. Mr. Devonshire previously served as a director of Arbitron Inc. from 2007 to 2013 and on the Advisory Board of L.E.K Consulting.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Devonshire’s strong background in finance and accounting and his substantial experience as chief financial officer of diverse companies provide our Board with in-depth financial expertise and insight in the analysis and evaluation of financial statements, financial reporting, internal controls and strategy. He also brings to our Board knowledge related to IT, Strategic Planning, and mergers and acquisitions.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2907030" cy="1200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John F. Fort, III</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1995</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73</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Audit</w:t>
      </w:r>
    </w:p>
    <w:p>
      <w:pPr>
        <w:ind w:left="1360"/>
        <w:spacing w:after="0"/>
        <w:rPr>
          <w:sz w:val="20"/>
          <w:szCs w:val="20"/>
          <w:color w:val="auto"/>
        </w:rPr>
      </w:pPr>
      <w:r>
        <w:rPr>
          <w:rFonts w:ascii="Arial" w:cs="Arial" w:eastAsia="Arial" w:hAnsi="Arial"/>
          <w:sz w:val="18"/>
          <w:szCs w:val="18"/>
          <w:color w:val="auto"/>
        </w:rPr>
        <w:t>Nominating and Governance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Mr. Fort has been self-employed since 1993. Mr. Fort served as Chairman and Chief Executive Officer of Tyco International Ltd., a provider of diversified industrial products and services, from 1982 until his retirement from the company in January 1993, and served as an advisor to Tyco’s Board of Directors from March 2003 to March 2004.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79"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Mr. Fort served as a trustee of the Brown Foundation, a charitable organization primarily focused on advancing education and the arts in Texas, from 2000 to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ind w:right="780"/>
        <w:spacing w:after="0" w:line="269" w:lineRule="auto"/>
        <w:rPr>
          <w:sz w:val="20"/>
          <w:szCs w:val="20"/>
          <w:color w:val="auto"/>
        </w:rPr>
      </w:pPr>
      <w:r>
        <w:rPr>
          <w:rFonts w:ascii="Arial" w:cs="Arial" w:eastAsia="Arial" w:hAnsi="Arial"/>
          <w:sz w:val="18"/>
          <w:szCs w:val="18"/>
          <w:color w:val="auto"/>
        </w:rPr>
        <w:t>Mr. Fort’s leadership experience as the CEO of a diversified industrial company and in-depth knowledge of the Company gives our Board perspective on important issues, including business strategy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907030" cy="1191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07030" cy="1191895"/>
                    </a:xfrm>
                    <a:prstGeom prst="rect">
                      <a:avLst/>
                    </a:prstGeom>
                    <a:noFill/>
                  </pic:spPr>
                </pic:pic>
              </a:graphicData>
            </a:graphic>
          </wp:anchor>
        </w:drawing>
      </w:r>
    </w:p>
    <w:p>
      <w:pPr>
        <w:spacing w:after="0" w:line="20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Brian D. Jellison</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Chairman since 2003</w:t>
      </w:r>
    </w:p>
    <w:p>
      <w:pPr>
        <w:ind w:left="1360"/>
        <w:spacing w:after="0" w:line="234" w:lineRule="auto"/>
        <w:rPr>
          <w:sz w:val="20"/>
          <w:szCs w:val="20"/>
          <w:color w:val="auto"/>
        </w:rPr>
      </w:pPr>
      <w:r>
        <w:rPr>
          <w:rFonts w:ascii="Arial" w:cs="Arial" w:eastAsia="Arial" w:hAnsi="Arial"/>
          <w:sz w:val="18"/>
          <w:szCs w:val="18"/>
          <w:color w:val="auto"/>
        </w:rPr>
        <w:t>President and Chief Executive Officer</w:t>
      </w:r>
    </w:p>
    <w:p>
      <w:pPr>
        <w:ind w:left="1360"/>
        <w:spacing w:after="0" w:line="235" w:lineRule="auto"/>
        <w:rPr>
          <w:sz w:val="20"/>
          <w:szCs w:val="20"/>
          <w:color w:val="auto"/>
        </w:rPr>
      </w:pPr>
      <w:r>
        <w:rPr>
          <w:rFonts w:ascii="Arial" w:cs="Arial" w:eastAsia="Arial" w:hAnsi="Arial"/>
          <w:sz w:val="18"/>
          <w:szCs w:val="18"/>
          <w:color w:val="auto"/>
        </w:rPr>
        <w:t>since 2001</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69</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spacing w:after="0" w:line="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Executive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Jellison is our President and CEO. He previously served as Corporate Executive Vice President of Ingersoll-Rand, a global diversified industrial company from January 1998 to July 2001. During his 26-year career with Ingersoll-Rand, Mr. Jellison served in a variety of senior level positions and assumed the principal responsibility for completing and integrating a variety of public and private new business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9"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Mr. Jellison’s active involvement in Roper’s operations provides our Board with specific knowledge of the business and its challenges and prospects. As the Chairman of the Board, his deep understanding of the organization and its strategic focus has provided key leadership and guidance for the Company’s growth.</w:t>
      </w:r>
    </w:p>
    <w:p>
      <w:pPr>
        <w:spacing w:after="0" w:line="123"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11</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CORPORATE GOVERNANCE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Corporate Governance Guidelines</w:t>
      </w:r>
    </w:p>
    <w:p>
      <w:pPr>
        <w:spacing w:after="0" w:line="7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Our Board is committed to maintaining high standards of ethical business conduct and sound corporate governance principles and practices. Our Corporate Governance Guidelines reflect our Board of Directors’ commitment to monitoring the effectiveness of the Board and its Committees in exercising their responsibilities.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Business Code of Ethics and Standard of Conduct</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Business Code of Ethics and Standards of Conduct (the “Code of Ethics”) addresses the professional, honest and candid conduct of each director, officer and employee; conflicts of interest, disclosure process, compliance with laws, rules and regulations (including insider trading laws); and corporate opportunities, confidentiality, fair dealing, protection and proper use of Company assets, and our Code of Ethics also encourages the reporting of any illegal or unethical behavior. Any amendments to, or waivers of, the Code of Ethics will be disclosed on our website promptly following the date of such amendment or waiver as required by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Director Independence</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Corporate Governance Guidelines require that a majority of our directors qualify as “independent,” as defined by the listing standards of the NYSE. As required by the director independence standards, our Board reviewed and analyzed the independence of each director in March 2015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family members and Roper or Roper’s management. As a result of this review, on March 12, 2015, our Board affirmatively determined that all directors are independent, except for Mr. Jellison, and that each member of the Audit, Compensation, and Nominating and Governance Committees is independent for purposes of serving on such committees.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Nominating Process</w:t>
      </w:r>
    </w:p>
    <w:p>
      <w:pPr>
        <w:spacing w:after="0" w:line="7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Board unanimously recommended the five incumbent directors whose terms are expiring this year and two new director nominees for election at this Annual Meeting. The Nominating and Governance Committee, acting under its charter, determines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 w:right="60"/>
        <w:spacing w:after="0" w:line="243" w:lineRule="auto"/>
        <w:rPr>
          <w:sz w:val="20"/>
          <w:szCs w:val="20"/>
          <w:color w:val="auto"/>
        </w:rPr>
      </w:pPr>
      <w:r>
        <w:rPr>
          <w:rFonts w:ascii="Arial" w:cs="Arial" w:eastAsia="Arial" w:hAnsi="Arial"/>
          <w:sz w:val="18"/>
          <w:szCs w:val="18"/>
          <w:color w:val="auto"/>
        </w:rPr>
        <w:t>desired skills, ability, judgment, diversity (including gender and ethnicity as well as background and experience) and other criteria deemed appropriate for service as a director and is responsible for recommending new director candidates and re-nomination of existing directors based on those criteria, which includes, but is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-1647825</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ind w:left="186" w:hanging="186"/>
        <w:spacing w:after="0"/>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 personal and professional ethics;</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integrity and values;</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knowledge of our business environment;</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sound judgment and analytical ability;</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skills and experience in the context of the needs of our Board;</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breadth of business experience; and</w:t>
      </w:r>
    </w:p>
    <w:p>
      <w:pPr>
        <w:spacing w:after="0" w:line="76" w:lineRule="exact"/>
        <w:rPr>
          <w:rFonts w:ascii="Arial" w:cs="Arial" w:eastAsia="Arial" w:hAnsi="Arial"/>
          <w:sz w:val="18"/>
          <w:szCs w:val="18"/>
          <w:color w:val="auto"/>
        </w:rPr>
      </w:pPr>
    </w:p>
    <w:p>
      <w:pPr>
        <w:ind w:left="186" w:right="140" w:hanging="186"/>
        <w:spacing w:after="0" w:line="269" w:lineRule="auto"/>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candidate meets the independence requirements of the NYSE.</w:t>
      </w:r>
    </w:p>
    <w:p>
      <w:pPr>
        <w:spacing w:after="0" w:line="22" w:lineRule="exact"/>
        <w:rPr>
          <w:sz w:val="20"/>
          <w:szCs w:val="20"/>
          <w:color w:val="auto"/>
        </w:rPr>
      </w:pPr>
    </w:p>
    <w:p>
      <w:pPr>
        <w:ind w:left="6" w:right="100"/>
        <w:spacing w:after="0"/>
        <w:rPr>
          <w:sz w:val="20"/>
          <w:szCs w:val="20"/>
          <w:color w:val="auto"/>
        </w:rPr>
      </w:pPr>
      <w:r>
        <w:rPr>
          <w:rFonts w:ascii="Arial" w:cs="Arial" w:eastAsia="Arial" w:hAnsi="Arial"/>
          <w:sz w:val="18"/>
          <w:szCs w:val="18"/>
          <w:color w:val="auto"/>
        </w:rPr>
        <w:t>Our Board’s process for identifying and evaluating potential nominees includes soliciting recommendations from our directors and engaging a third party to assist in identifying potential nominees when a Board position becomes available. Our Board has no formal policy with respect to diversity, but considers racial and gender diversity when creating the pool of candidates from which it considers possible new board candidates.</w:t>
      </w:r>
    </w:p>
    <w:p>
      <w:pPr>
        <w:spacing w:after="0" w:line="50" w:lineRule="exact"/>
        <w:rPr>
          <w:sz w:val="20"/>
          <w:szCs w:val="20"/>
          <w:color w:val="auto"/>
        </w:rPr>
      </w:pPr>
    </w:p>
    <w:p>
      <w:pPr>
        <w:ind w:left="6" w:right="80"/>
        <w:spacing w:after="0" w:line="272" w:lineRule="auto"/>
        <w:rPr>
          <w:sz w:val="20"/>
          <w:szCs w:val="20"/>
          <w:color w:val="auto"/>
        </w:rPr>
      </w:pPr>
      <w:r>
        <w:rPr>
          <w:rFonts w:ascii="Arial" w:cs="Arial" w:eastAsia="Arial" w:hAnsi="Arial"/>
          <w:sz w:val="16"/>
          <w:szCs w:val="16"/>
          <w:color w:val="auto"/>
        </w:rPr>
        <w:t>Neither the Board of Directors nor the Nominating and Governance Committee has a specific policy regarding consideration of shareholder director nominees. Shareholder nominees submitted pursuant to the procedures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2016 Annual Meeting of Shareholders” for additional information regarding nominating director candidates.</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225CAB"/>
        </w:rPr>
        <w:t>Review and Approval of Related Person Transactions</w:t>
      </w:r>
    </w:p>
    <w:p>
      <w:pPr>
        <w:spacing w:after="0" w:line="79" w:lineRule="exact"/>
        <w:rPr>
          <w:sz w:val="20"/>
          <w:szCs w:val="20"/>
          <w:color w:val="auto"/>
        </w:rPr>
      </w:pPr>
    </w:p>
    <w:p>
      <w:pPr>
        <w:ind w:left="6"/>
        <w:spacing w:after="0" w:line="239" w:lineRule="auto"/>
        <w:rPr>
          <w:sz w:val="20"/>
          <w:szCs w:val="20"/>
          <w:color w:val="auto"/>
        </w:rPr>
      </w:pPr>
      <w:r>
        <w:rPr>
          <w:rFonts w:ascii="Arial" w:cs="Arial" w:eastAsia="Arial" w:hAnsi="Arial"/>
          <w:sz w:val="18"/>
          <w:szCs w:val="18"/>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2014.</w:t>
      </w:r>
    </w:p>
    <w:p>
      <w:pPr>
        <w:spacing w:after="0" w:line="250" w:lineRule="exact"/>
        <w:rPr>
          <w:sz w:val="20"/>
          <w:szCs w:val="20"/>
          <w:color w:val="auto"/>
        </w:rPr>
      </w:pPr>
    </w:p>
    <w:p>
      <w:pPr>
        <w:sectPr>
          <w:pgSz w:w="11900" w:h="16838" w:orient="portrait"/>
          <w:cols w:equalWidth="0" w:num="2">
            <w:col w:w="5460" w:space="254"/>
            <w:col w:w="5586"/>
          </w:cols>
          <w:pgMar w:left="240" w:top="455" w:right="35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00"/>
          </w:cols>
          <w:pgMar w:left="240" w:top="455" w:right="35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CORPORATE GOVERNANCE </w:t>
      </w:r>
      <w:r>
        <w:rPr>
          <w:rFonts w:ascii="Arial" w:cs="Arial" w:eastAsia="Arial" w:hAnsi="Arial"/>
          <w:sz w:val="18"/>
          <w:szCs w:val="18"/>
          <w:i w:val="1"/>
          <w:iCs w:val="1"/>
          <w:color w:val="225CAB"/>
        </w:rPr>
        <w:t>(CONTINUED)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Shareholder Communications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Shareholders or other interested parties may send written communications to our Board of Directors or the non-management members of our Board in care of the Company to the address set forth below. This process is also set forth on our website at www.ropertech.com. All communications will be kept confidential and promptly forwarded to the appropriate director. Items unrelated to a director’s duties and responsibilities as a Board member may be excluded by the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the information has been removed, and that it will be made available to such director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-1208405</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 xml:space="preserve">Our Corporate Governance Guidelines, Code of Ethics, Director Independence Standards, and By-Laws are available on our website at </w:t>
      </w:r>
      <w:r>
        <w:rPr>
          <w:rFonts w:ascii="Arial" w:cs="Arial" w:eastAsia="Arial" w:hAnsi="Arial"/>
          <w:sz w:val="16"/>
          <w:szCs w:val="16"/>
          <w:i w:val="1"/>
          <w:iCs w:val="1"/>
          <w:color w:val="auto"/>
        </w:rPr>
        <w:t>www.ropertech.com/governance-documents</w:t>
      </w:r>
      <w:r>
        <w:rPr>
          <w:rFonts w:ascii="Arial" w:cs="Arial" w:eastAsia="Arial" w:hAnsi="Arial"/>
          <w:sz w:val="16"/>
          <w:szCs w:val="16"/>
          <w:color w:val="auto"/>
        </w:rPr>
        <w:t>. Requests for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documents or of the full text of the By-Law provision regarding director candidate nominations and communications to our entire Board or non-management Board members should be addressed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Roper Technologies, Inc.</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6901 Professional Parkway East</w:t>
      </w:r>
    </w:p>
    <w:p>
      <w:pPr>
        <w:ind w:left="680"/>
        <w:spacing w:after="0" w:line="234" w:lineRule="auto"/>
        <w:rPr>
          <w:sz w:val="20"/>
          <w:szCs w:val="20"/>
          <w:color w:val="auto"/>
        </w:rPr>
      </w:pPr>
      <w:r>
        <w:rPr>
          <w:rFonts w:ascii="Arial" w:cs="Arial" w:eastAsia="Arial" w:hAnsi="Arial"/>
          <w:sz w:val="18"/>
          <w:szCs w:val="18"/>
          <w:color w:val="auto"/>
        </w:rPr>
        <w:t>Suite 200</w:t>
      </w:r>
    </w:p>
    <w:p>
      <w:pPr>
        <w:ind w:left="680"/>
        <w:spacing w:after="0" w:line="235" w:lineRule="auto"/>
        <w:rPr>
          <w:sz w:val="20"/>
          <w:szCs w:val="20"/>
          <w:color w:val="auto"/>
        </w:rPr>
      </w:pPr>
      <w:r>
        <w:rPr>
          <w:rFonts w:ascii="Arial" w:cs="Arial" w:eastAsia="Arial" w:hAnsi="Arial"/>
          <w:sz w:val="18"/>
          <w:szCs w:val="18"/>
          <w:color w:val="auto"/>
        </w:rPr>
        <w:t>Sarasota, Florida 34240</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Attention: Secretary</w:t>
      </w:r>
    </w:p>
    <w:p>
      <w:pPr>
        <w:spacing w:after="0" w:line="290" w:lineRule="exact"/>
        <w:rPr>
          <w:sz w:val="20"/>
          <w:szCs w:val="20"/>
          <w:color w:val="auto"/>
        </w:rPr>
      </w:pPr>
    </w:p>
    <w:tbl>
      <w:tblPr>
        <w:tblLayout w:type="fixed"/>
        <w:tblInd w:w="118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13</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-213995</wp:posOffset>
            </wp:positionV>
            <wp:extent cx="42037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60" w:space="260"/>
            <w:col w:w="570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BOARD COMMITTEES AND MEETINGS</w:t>
      </w:r>
    </w:p>
    <w:p>
      <w:pPr>
        <w:sectPr>
          <w:pgSz w:w="11900" w:h="16838" w:orient="portrait"/>
          <w:cols w:equalWidth="0" w:num="1">
            <w:col w:w="11300"/>
          </w:cols>
          <w:pgMar w:left="240" w:top="455" w:right="359" w:bottom="1440" w:gutter="0" w:footer="0" w:header="0"/>
        </w:sectPr>
      </w:pPr>
    </w:p>
    <w:p>
      <w:pPr>
        <w:spacing w:after="0" w:line="36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Board of Directors held six scheduled meetings in 2014. Each director participated in 100 percent of all Board meetings and applicable Committee meetings held while such director was a member, except for one director who participated in 87 percent of the meetings applicable to him, but was not able to participate in two of his 16 scheduled meetings due to prior business conflicts. Our Board has not implemented a formal policy regarding director attendance at the Annual Meeting, but encourages all directors to attend in person. All of our directors attended the 2014 Annual Meeting of Shareholders either in person or telephonically.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Board Leadership Structure</w:t>
      </w:r>
    </w:p>
    <w:p>
      <w:pPr>
        <w:spacing w:after="0" w:line="7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Jellison has served as our Company’s Chairman of the Board since 2003 and as its President and Chief Executive Officer since 2001. Mr. Jellison’s in-depth knowledge of our Company allows him to effectively identify strategic priorities, lead board discussions, and execute our Company’s strategy and business plans. Our Board believes Mr. Jellison’s combined role is in the best interest of the Company and promotes decisive leadership, clear accountability, and enhanced communication internally and externally.</w:t>
      </w:r>
    </w:p>
    <w:p>
      <w:pPr>
        <w:spacing w:after="0" w:line="5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light of the combined roles, the independent directors select a Lead Independent Director, whose primary responsibilities include initiating and chairing meetings of the independent directors at each Board meeting, soliciting input from independent directors on issues and areas of focus, and providing feedback to the Chief Executive Officer. Pursuant to our Corporate Governance Guidelines, the Lead Independent Director serves for a term not less than one year. The non-management directors appointed Wilbur J. Prezzano, effective January 1, 2015, to serve as the Lead Independent Director.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Effective Board Processes</w:t>
      </w:r>
    </w:p>
    <w:p>
      <w:pPr>
        <w:spacing w:after="0" w:line="7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a result of our board structure and processes, our directors are actively involved in overseeing the strategy, business and affairs of the Company. The Company’s business model has enabled the Company to transform itself over the past several years. Roper is now a diversified technology company.</w:t>
      </w:r>
    </w:p>
    <w:p>
      <w:pPr>
        <w:spacing w:after="0" w:line="4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6" w:right="160"/>
        <w:spacing w:after="0" w:line="243" w:lineRule="auto"/>
        <w:rPr>
          <w:sz w:val="20"/>
          <w:szCs w:val="20"/>
          <w:color w:val="auto"/>
        </w:rPr>
      </w:pPr>
      <w:r>
        <w:rPr>
          <w:rFonts w:ascii="Arial" w:cs="Arial" w:eastAsia="Arial" w:hAnsi="Arial"/>
          <w:sz w:val="18"/>
          <w:szCs w:val="18"/>
          <w:color w:val="auto"/>
        </w:rPr>
        <w:t>directors continue their discussions with management and each other, enabling the Company to draw from their experiences and expertise. Our directors are involved in our corporate strategy and must keep abreast of the issues encountered by our diverse global business operations.</w:t>
      </w:r>
    </w:p>
    <w:p>
      <w:pPr>
        <w:spacing w:after="0" w:line="46" w:lineRule="exact"/>
        <w:rPr>
          <w:sz w:val="20"/>
          <w:szCs w:val="20"/>
          <w:color w:val="auto"/>
        </w:rPr>
      </w:pPr>
    </w:p>
    <w:p>
      <w:pPr>
        <w:ind w:left="6" w:right="160"/>
        <w:spacing w:after="0" w:line="281" w:lineRule="auto"/>
        <w:rPr>
          <w:sz w:val="20"/>
          <w:szCs w:val="20"/>
          <w:color w:val="auto"/>
        </w:rPr>
      </w:pPr>
      <w:r>
        <w:rPr>
          <w:rFonts w:ascii="Arial" w:cs="Arial" w:eastAsia="Arial" w:hAnsi="Arial"/>
          <w:sz w:val="16"/>
          <w:szCs w:val="16"/>
          <w:color w:val="auto"/>
        </w:rPr>
        <w:t>The Board, including its Nominating and Governance Committee, has an effective board recruitment and evaluation process that contributes to bringing together a group of directors who complement each other and collectively provide oversight of management in ways that include challenging and discussing different perspectives.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225CAB"/>
        </w:rPr>
        <w:t>Executive Succession Planning</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Board recognizes the importance of effective leadership to our Company’s success and is actively engaged and involved, on an annual basis, in succession planning on both a long- and short-term basis. The Company’s operating unit executives, who have responsibility for their respective businesses, but no “enterprise-wide” responsibilities, provide a broad and deep talent resource that is key to and part of our executive succession planning.</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225CAB"/>
        </w:rPr>
        <w:t>Risk Oversight</w:t>
      </w:r>
    </w:p>
    <w:p>
      <w:pPr>
        <w:spacing w:after="0" w:line="79" w:lineRule="exact"/>
        <w:rPr>
          <w:sz w:val="20"/>
          <w:szCs w:val="20"/>
          <w:color w:val="auto"/>
        </w:rPr>
      </w:pPr>
    </w:p>
    <w:p>
      <w:pPr>
        <w:ind w:left="6" w:right="40"/>
        <w:spacing w:after="0" w:line="238" w:lineRule="auto"/>
        <w:rPr>
          <w:sz w:val="20"/>
          <w:szCs w:val="20"/>
          <w:color w:val="auto"/>
        </w:rPr>
      </w:pPr>
      <w:r>
        <w:rPr>
          <w:rFonts w:ascii="Arial" w:cs="Arial" w:eastAsia="Arial" w:hAnsi="Arial"/>
          <w:sz w:val="18"/>
          <w:szCs w:val="18"/>
          <w:color w:val="auto"/>
        </w:rPr>
        <w:t>Our Board has overall responsibility for the oversight of risk management at the Company, which it generally carries out through Board committees. Our General Counsel informs each committee and the Board of relevant legal and compliance issues, and each committee also has access to the Company’s outside counsel or any other outside advisor when they deem it advisable. Each of these committees along with our management, which is responsible for the implementation of the process to identify, manage and monitor risks, keeps the entire Board regularly apprised of the different risks associated with our Company.</w:t>
      </w:r>
    </w:p>
    <w:p>
      <w:pPr>
        <w:spacing w:after="0" w:line="54" w:lineRule="exact"/>
        <w:rPr>
          <w:sz w:val="20"/>
          <w:szCs w:val="20"/>
          <w:color w:val="auto"/>
        </w:rPr>
      </w:pPr>
    </w:p>
    <w:p>
      <w:pPr>
        <w:ind w:left="186" w:hanging="186"/>
        <w:spacing w:after="0" w:line="239" w:lineRule="auto"/>
        <w:tabs>
          <w:tab w:leader="none" w:pos="1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 Committee oversees financial risk, including such factors as liquidity, credit, currency exchange and market conditions, through review and discussion with management, and monitors the Company’s risk management practices. It meets regularly with our independent auditors and the Vice President of our internal audit department who reports directly to the Audit Committee. In addition to financial risk, the Audit Committee also reviews and discusses other risks that relate to our business activities and operations.</w:t>
      </w:r>
    </w:p>
    <w:p>
      <w:pPr>
        <w:spacing w:after="0" w:line="611" w:lineRule="exact"/>
        <w:rPr>
          <w:sz w:val="20"/>
          <w:szCs w:val="20"/>
          <w:color w:val="auto"/>
        </w:rPr>
      </w:pPr>
    </w:p>
    <w:p>
      <w:pPr>
        <w:sectPr>
          <w:pgSz w:w="11900" w:h="16838" w:orient="portrait"/>
          <w:cols w:equalWidth="0" w:num="2">
            <w:col w:w="5480" w:space="234"/>
            <w:col w:w="5586"/>
          </w:cols>
          <w:pgMar w:left="240" w:top="455" w:right="359"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00"/>
          </w:cols>
          <w:pgMar w:left="240" w:top="455" w:right="3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COMMITTEES AND MEETINGS </w:t>
      </w:r>
      <w:r>
        <w:rPr>
          <w:rFonts w:ascii="Arial" w:cs="Arial" w:eastAsia="Arial" w:hAnsi="Arial"/>
          <w:sz w:val="18"/>
          <w:szCs w:val="18"/>
          <w:i w:val="1"/>
          <w:iCs w:val="1"/>
          <w:color w:val="225CAB"/>
        </w:rPr>
        <w:t>(CONTINUED)</w:t>
      </w:r>
    </w:p>
    <w:p>
      <w:pPr>
        <w:spacing w:after="0" w:line="198" w:lineRule="exact"/>
        <w:rPr>
          <w:sz w:val="20"/>
          <w:szCs w:val="20"/>
          <w:color w:val="auto"/>
        </w:rPr>
      </w:pPr>
    </w:p>
    <w:p>
      <w:pPr>
        <w:ind w:left="200" w:hanging="192"/>
        <w:spacing w:after="0" w:line="246" w:lineRule="auto"/>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42" w:lineRule="exact"/>
        <w:rPr>
          <w:rFonts w:ascii="Arial" w:cs="Arial" w:eastAsia="Arial" w:hAnsi="Arial"/>
          <w:sz w:val="18"/>
          <w:szCs w:val="18"/>
          <w:color w:val="auto"/>
        </w:rPr>
      </w:pPr>
    </w:p>
    <w:p>
      <w:pPr>
        <w:ind w:left="200" w:right="140" w:hanging="192"/>
        <w:spacing w:after="0" w:line="252" w:lineRule="auto"/>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Nominating and Governance Committee monitors the compliance of our corporate governance practices with applicable requirements and evolving developments.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current committee memberships.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-915035</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Our Board has four standing committees: Audit, Compensation,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 and Executive. The Audit, Compensation,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Nominating and Governance Committees operate under written</w:t>
      </w:r>
    </w:p>
    <w:p>
      <w:pPr>
        <w:spacing w:after="0" w:line="234" w:lineRule="auto"/>
        <w:rPr>
          <w:sz w:val="20"/>
          <w:szCs w:val="20"/>
          <w:color w:val="auto"/>
        </w:rPr>
      </w:pPr>
      <w:r>
        <w:rPr>
          <w:rFonts w:ascii="Arial" w:cs="Arial" w:eastAsia="Arial" w:hAnsi="Arial"/>
          <w:sz w:val="18"/>
          <w:szCs w:val="18"/>
          <w:color w:val="auto"/>
        </w:rPr>
        <w:t>charters, copies of which can be viewed on Roper’s website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www.ropertech.com/governance-documents</w:t>
      </w:r>
      <w:r>
        <w:rPr>
          <w:rFonts w:ascii="Arial" w:cs="Arial" w:eastAsia="Arial" w:hAnsi="Arial"/>
          <w:sz w:val="16"/>
          <w:szCs w:val="16"/>
          <w:color w:val="auto"/>
        </w:rPr>
        <w:t>) or obtained upon request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from the Secretary. Each Committee reviews its charter annually and</w:t>
      </w:r>
    </w:p>
    <w:p>
      <w:pPr>
        <w:spacing w:after="0"/>
        <w:rPr>
          <w:sz w:val="20"/>
          <w:szCs w:val="20"/>
          <w:color w:val="auto"/>
        </w:rPr>
      </w:pPr>
      <w:r>
        <w:rPr>
          <w:rFonts w:ascii="Arial" w:cs="Arial" w:eastAsia="Arial" w:hAnsi="Arial"/>
          <w:sz w:val="18"/>
          <w:szCs w:val="18"/>
          <w:color w:val="auto"/>
        </w:rPr>
        <w:t>reports its activities to the full Board on a regular basis.</w:t>
      </w:r>
    </w:p>
    <w:p>
      <w:pPr>
        <w:spacing w:after="0" w:line="665" w:lineRule="exact"/>
        <w:rPr>
          <w:sz w:val="20"/>
          <w:szCs w:val="20"/>
          <w:color w:val="auto"/>
        </w:rPr>
      </w:pPr>
    </w:p>
    <w:p>
      <w:pPr>
        <w:sectPr>
          <w:pgSz w:w="11900" w:h="16838" w:orient="portrait"/>
          <w:cols w:equalWidth="0" w:num="2">
            <w:col w:w="5440" w:space="280"/>
            <w:col w:w="570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3660" w:type="dxa"/>
            <w:vAlign w:val="bottom"/>
            <w:shd w:val="clear" w:color="auto" w:fill="225CAB"/>
          </w:tcPr>
          <w:p>
            <w:pPr>
              <w:spacing w:after="0"/>
              <w:rPr>
                <w:sz w:val="14"/>
                <w:szCs w:val="14"/>
                <w:color w:val="auto"/>
              </w:rPr>
            </w:pPr>
          </w:p>
        </w:tc>
        <w:tc>
          <w:tcPr>
            <w:tcW w:w="3100" w:type="dxa"/>
            <w:vAlign w:val="bottom"/>
            <w:shd w:val="clear" w:color="auto" w:fill="225CAB"/>
          </w:tcPr>
          <w:p>
            <w:pPr>
              <w:spacing w:after="0"/>
              <w:rPr>
                <w:sz w:val="14"/>
                <w:szCs w:val="14"/>
                <w:color w:val="auto"/>
              </w:rPr>
            </w:pPr>
          </w:p>
        </w:tc>
        <w:tc>
          <w:tcPr>
            <w:tcW w:w="1700" w:type="dxa"/>
            <w:vAlign w:val="bottom"/>
            <w:shd w:val="clear" w:color="auto" w:fill="225CAB"/>
          </w:tcPr>
          <w:p>
            <w:pPr>
              <w:spacing w:after="0"/>
              <w:rPr>
                <w:sz w:val="14"/>
                <w:szCs w:val="14"/>
                <w:color w:val="auto"/>
              </w:rPr>
            </w:pPr>
          </w:p>
        </w:tc>
        <w:tc>
          <w:tcPr>
            <w:tcW w:w="17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5"/>
              </w:rPr>
              <w:t>Nominating and</w:t>
            </w:r>
          </w:p>
        </w:tc>
        <w:tc>
          <w:tcPr>
            <w:tcW w:w="1180" w:type="dxa"/>
            <w:vAlign w:val="bottom"/>
            <w:shd w:val="clear" w:color="auto" w:fill="225CAB"/>
          </w:tcPr>
          <w:p>
            <w:pPr>
              <w:spacing w:after="0"/>
              <w:rPr>
                <w:sz w:val="14"/>
                <w:szCs w:val="14"/>
                <w:color w:val="auto"/>
              </w:rPr>
            </w:pPr>
          </w:p>
        </w:tc>
      </w:tr>
      <w:tr>
        <w:trPr>
          <w:trHeight w:val="149"/>
        </w:trPr>
        <w:tc>
          <w:tcPr>
            <w:tcW w:w="3660" w:type="dxa"/>
            <w:vAlign w:val="bottom"/>
            <w:shd w:val="clear" w:color="auto" w:fill="225CAB"/>
          </w:tcPr>
          <w:p>
            <w:pPr>
              <w:spacing w:after="0"/>
              <w:rPr>
                <w:sz w:val="12"/>
                <w:szCs w:val="12"/>
                <w:color w:val="auto"/>
              </w:rPr>
            </w:pPr>
          </w:p>
        </w:tc>
        <w:tc>
          <w:tcPr>
            <w:tcW w:w="3100" w:type="dxa"/>
            <w:vAlign w:val="bottom"/>
            <w:shd w:val="clear" w:color="auto" w:fill="225CAB"/>
          </w:tcPr>
          <w:p>
            <w:pPr>
              <w:jc w:val="center"/>
              <w:ind w:left="1520"/>
              <w:spacing w:after="0" w:line="149" w:lineRule="exact"/>
              <w:rPr>
                <w:sz w:val="20"/>
                <w:szCs w:val="20"/>
                <w:color w:val="auto"/>
              </w:rPr>
            </w:pPr>
            <w:r>
              <w:rPr>
                <w:rFonts w:ascii="Arial" w:cs="Arial" w:eastAsia="Arial" w:hAnsi="Arial"/>
                <w:sz w:val="14"/>
                <w:szCs w:val="14"/>
                <w:color w:val="FFFFFF"/>
                <w:w w:val="93"/>
              </w:rPr>
              <w:t>Audit</w:t>
            </w:r>
          </w:p>
        </w:tc>
        <w:tc>
          <w:tcPr>
            <w:tcW w:w="17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Compensation</w:t>
            </w:r>
          </w:p>
        </w:tc>
        <w:tc>
          <w:tcPr>
            <w:tcW w:w="17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Governance</w:t>
            </w:r>
          </w:p>
        </w:tc>
        <w:tc>
          <w:tcPr>
            <w:tcW w:w="1180" w:type="dxa"/>
            <w:vAlign w:val="bottom"/>
            <w:shd w:val="clear" w:color="auto" w:fill="225CAB"/>
          </w:tcPr>
          <w:p>
            <w:pPr>
              <w:jc w:val="right"/>
              <w:ind w:right="59"/>
              <w:spacing w:after="0" w:line="149" w:lineRule="exact"/>
              <w:rPr>
                <w:sz w:val="20"/>
                <w:szCs w:val="20"/>
                <w:color w:val="auto"/>
              </w:rPr>
            </w:pPr>
            <w:r>
              <w:rPr>
                <w:rFonts w:ascii="Arial" w:cs="Arial" w:eastAsia="Arial" w:hAnsi="Arial"/>
                <w:sz w:val="14"/>
                <w:szCs w:val="14"/>
                <w:color w:val="FFFFFF"/>
              </w:rPr>
              <w:t>Executive</w:t>
            </w:r>
          </w:p>
        </w:tc>
      </w:tr>
      <w:tr>
        <w:trPr>
          <w:trHeight w:val="165"/>
        </w:trPr>
        <w:tc>
          <w:tcPr>
            <w:tcW w:w="3660" w:type="dxa"/>
            <w:vAlign w:val="bottom"/>
            <w:shd w:val="clear" w:color="auto" w:fill="225CAB"/>
          </w:tcPr>
          <w:p>
            <w:pPr>
              <w:spacing w:after="0"/>
              <w:rPr>
                <w:sz w:val="20"/>
                <w:szCs w:val="20"/>
                <w:color w:val="auto"/>
              </w:rPr>
            </w:pPr>
            <w:r>
              <w:rPr>
                <w:rFonts w:ascii="Arial" w:cs="Arial" w:eastAsia="Arial" w:hAnsi="Arial"/>
                <w:sz w:val="14"/>
                <w:szCs w:val="14"/>
                <w:color w:val="FFFFFF"/>
              </w:rPr>
              <w:t>Director</w:t>
            </w:r>
          </w:p>
        </w:tc>
        <w:tc>
          <w:tcPr>
            <w:tcW w:w="3100" w:type="dxa"/>
            <w:vAlign w:val="bottom"/>
            <w:shd w:val="clear" w:color="auto" w:fill="225CAB"/>
          </w:tcPr>
          <w:p>
            <w:pPr>
              <w:jc w:val="center"/>
              <w:ind w:left="1520"/>
              <w:spacing w:after="0"/>
              <w:rPr>
                <w:sz w:val="20"/>
                <w:szCs w:val="20"/>
                <w:color w:val="auto"/>
              </w:rPr>
            </w:pPr>
            <w:r>
              <w:rPr>
                <w:rFonts w:ascii="Arial" w:cs="Arial" w:eastAsia="Arial" w:hAnsi="Arial"/>
                <w:sz w:val="14"/>
                <w:szCs w:val="14"/>
                <w:color w:val="FFFFFF"/>
                <w:w w:val="97"/>
              </w:rPr>
              <w:t>Committee</w:t>
            </w:r>
          </w:p>
        </w:tc>
        <w:tc>
          <w:tcPr>
            <w:tcW w:w="170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Committee</w:t>
            </w:r>
          </w:p>
        </w:tc>
        <w:tc>
          <w:tcPr>
            <w:tcW w:w="17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Committee</w:t>
            </w:r>
          </w:p>
        </w:tc>
        <w:tc>
          <w:tcPr>
            <w:tcW w:w="1180" w:type="dxa"/>
            <w:vAlign w:val="bottom"/>
            <w:shd w:val="clear" w:color="auto" w:fill="225CAB"/>
          </w:tcPr>
          <w:p>
            <w:pPr>
              <w:jc w:val="right"/>
              <w:ind w:right="39"/>
              <w:spacing w:after="0"/>
              <w:rPr>
                <w:sz w:val="20"/>
                <w:szCs w:val="20"/>
                <w:color w:val="auto"/>
              </w:rPr>
            </w:pPr>
            <w:r>
              <w:rPr>
                <w:rFonts w:ascii="Arial" w:cs="Arial" w:eastAsia="Arial" w:hAnsi="Arial"/>
                <w:sz w:val="14"/>
                <w:szCs w:val="14"/>
                <w:color w:val="FFFFFF"/>
              </w:rPr>
              <w:t>Committee</w:t>
            </w:r>
          </w:p>
        </w:tc>
      </w:tr>
      <w:tr>
        <w:trPr>
          <w:trHeight w:val="203"/>
        </w:trPr>
        <w:tc>
          <w:tcPr>
            <w:tcW w:w="366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David W. Devonshire</w:t>
            </w:r>
          </w:p>
        </w:tc>
        <w:tc>
          <w:tcPr>
            <w:tcW w:w="3100" w:type="dxa"/>
            <w:vAlign w:val="bottom"/>
            <w:tcBorders>
              <w:bottom w:val="single" w:sz="8" w:color="225CAB"/>
            </w:tcBorders>
          </w:tcPr>
          <w:p>
            <w:pPr>
              <w:jc w:val="center"/>
              <w:ind w:left="1520"/>
              <w:spacing w:after="0" w:line="202" w:lineRule="exact"/>
              <w:rPr>
                <w:sz w:val="20"/>
                <w:szCs w:val="20"/>
                <w:color w:val="auto"/>
              </w:rPr>
            </w:pPr>
            <w:r>
              <w:rPr>
                <w:rFonts w:ascii="Arial" w:cs="Arial" w:eastAsia="Arial" w:hAnsi="Arial"/>
                <w:sz w:val="18"/>
                <w:szCs w:val="18"/>
                <w:color w:val="auto"/>
              </w:rPr>
              <w:t>C</w:t>
            </w:r>
          </w:p>
        </w:tc>
        <w:tc>
          <w:tcPr>
            <w:tcW w:w="1700" w:type="dxa"/>
            <w:vAlign w:val="bottom"/>
            <w:tcBorders>
              <w:bottom w:val="single" w:sz="8" w:color="225CAB"/>
            </w:tcBorders>
          </w:tcPr>
          <w:p>
            <w:pPr>
              <w:spacing w:after="0"/>
              <w:rPr>
                <w:sz w:val="17"/>
                <w:szCs w:val="17"/>
                <w:color w:val="auto"/>
              </w:rPr>
            </w:pPr>
          </w:p>
        </w:tc>
        <w:tc>
          <w:tcPr>
            <w:tcW w:w="1780" w:type="dxa"/>
            <w:vAlign w:val="bottom"/>
            <w:tcBorders>
              <w:bottom w:val="single" w:sz="8" w:color="225CAB"/>
            </w:tcBorders>
          </w:tcPr>
          <w:p>
            <w:pPr>
              <w:spacing w:after="0"/>
              <w:rPr>
                <w:sz w:val="17"/>
                <w:szCs w:val="17"/>
                <w:color w:val="auto"/>
              </w:rPr>
            </w:pPr>
          </w:p>
        </w:tc>
        <w:tc>
          <w:tcPr>
            <w:tcW w:w="1180" w:type="dxa"/>
            <w:vAlign w:val="bottom"/>
            <w:tcBorders>
              <w:bottom w:val="single" w:sz="8" w:color="225CAB"/>
            </w:tcBorders>
          </w:tcPr>
          <w:p>
            <w:pPr>
              <w:jc w:val="right"/>
              <w:ind w:right="19"/>
              <w:spacing w:after="0" w:line="202" w:lineRule="exact"/>
              <w:rPr>
                <w:sz w:val="20"/>
                <w:szCs w:val="20"/>
                <w:color w:val="auto"/>
              </w:rPr>
            </w:pPr>
            <w:r>
              <w:rPr>
                <w:rFonts w:ascii="Arial" w:cs="Arial" w:eastAsia="Arial" w:hAnsi="Arial"/>
                <w:sz w:val="18"/>
                <w:szCs w:val="18"/>
                <w:color w:val="auto"/>
              </w:rPr>
              <w:t>X</w:t>
            </w: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F. Fort III</w:t>
            </w:r>
          </w:p>
        </w:tc>
        <w:tc>
          <w:tcPr>
            <w:tcW w:w="3100" w:type="dxa"/>
            <w:vAlign w:val="bottom"/>
            <w:tcBorders>
              <w:bottom w:val="single" w:sz="8" w:color="225CAB"/>
            </w:tcBorders>
          </w:tcPr>
          <w:p>
            <w:pPr>
              <w:jc w:val="center"/>
              <w:ind w:left="1520"/>
              <w:spacing w:after="0" w:line="196" w:lineRule="exact"/>
              <w:rPr>
                <w:sz w:val="20"/>
                <w:szCs w:val="20"/>
                <w:color w:val="auto"/>
              </w:rPr>
            </w:pPr>
            <w:r>
              <w:rPr>
                <w:rFonts w:ascii="Arial" w:cs="Arial" w:eastAsia="Arial" w:hAnsi="Arial"/>
                <w:sz w:val="18"/>
                <w:szCs w:val="18"/>
                <w:color w:val="auto"/>
                <w:w w:val="82"/>
              </w:rPr>
              <w:t>X</w:t>
            </w:r>
          </w:p>
        </w:tc>
        <w:tc>
          <w:tcPr>
            <w:tcW w:w="1700" w:type="dxa"/>
            <w:vAlign w:val="bottom"/>
            <w:tcBorders>
              <w:bottom w:val="single" w:sz="8" w:color="225CAB"/>
            </w:tcBorders>
          </w:tcPr>
          <w:p>
            <w:pPr>
              <w:spacing w:after="0"/>
              <w:rPr>
                <w:sz w:val="17"/>
                <w:szCs w:val="17"/>
                <w:color w:val="auto"/>
              </w:rPr>
            </w:pPr>
          </w:p>
        </w:tc>
        <w:tc>
          <w:tcPr>
            <w:tcW w:w="1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180" w:type="dxa"/>
            <w:vAlign w:val="bottom"/>
            <w:tcBorders>
              <w:bottom w:val="single" w:sz="8" w:color="225CAB"/>
            </w:tcBorders>
          </w:tcPr>
          <w:p>
            <w:pPr>
              <w:spacing w:after="0"/>
              <w:rPr>
                <w:sz w:val="17"/>
                <w:szCs w:val="17"/>
                <w:color w:val="auto"/>
              </w:rPr>
            </w:pP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w:t>
            </w:r>
          </w:p>
        </w:tc>
        <w:tc>
          <w:tcPr>
            <w:tcW w:w="3100" w:type="dxa"/>
            <w:vAlign w:val="bottom"/>
            <w:tcBorders>
              <w:bottom w:val="single" w:sz="8" w:color="225CAB"/>
            </w:tcBorders>
          </w:tcPr>
          <w:p>
            <w:pPr>
              <w:spacing w:after="0"/>
              <w:rPr>
                <w:sz w:val="17"/>
                <w:szCs w:val="17"/>
                <w:color w:val="auto"/>
              </w:rPr>
            </w:pPr>
          </w:p>
        </w:tc>
        <w:tc>
          <w:tcPr>
            <w:tcW w:w="17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1"/>
              </w:rPr>
              <w:t>C</w:t>
            </w:r>
          </w:p>
        </w:tc>
        <w:tc>
          <w:tcPr>
            <w:tcW w:w="1780" w:type="dxa"/>
            <w:vAlign w:val="bottom"/>
            <w:tcBorders>
              <w:bottom w:val="single" w:sz="8" w:color="225CAB"/>
            </w:tcBorders>
          </w:tcPr>
          <w:p>
            <w:pPr>
              <w:spacing w:after="0"/>
              <w:rPr>
                <w:sz w:val="17"/>
                <w:szCs w:val="17"/>
                <w:color w:val="auto"/>
              </w:rPr>
            </w:pPr>
          </w:p>
        </w:tc>
        <w:tc>
          <w:tcPr>
            <w:tcW w:w="1180" w:type="dxa"/>
            <w:vAlign w:val="bottom"/>
            <w:tcBorders>
              <w:bottom w:val="single" w:sz="8" w:color="225CAB"/>
            </w:tcBorders>
          </w:tcPr>
          <w:p>
            <w:pPr>
              <w:jc w:val="right"/>
              <w:ind w:right="19"/>
              <w:spacing w:after="0" w:line="196" w:lineRule="exact"/>
              <w:rPr>
                <w:sz w:val="20"/>
                <w:szCs w:val="20"/>
                <w:color w:val="auto"/>
              </w:rPr>
            </w:pPr>
            <w:r>
              <w:rPr>
                <w:rFonts w:ascii="Arial" w:cs="Arial" w:eastAsia="Arial" w:hAnsi="Arial"/>
                <w:sz w:val="18"/>
                <w:szCs w:val="18"/>
                <w:color w:val="auto"/>
              </w:rPr>
              <w:t>X</w:t>
            </w: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Brian D. Jellison</w:t>
            </w:r>
          </w:p>
        </w:tc>
        <w:tc>
          <w:tcPr>
            <w:tcW w:w="3100" w:type="dxa"/>
            <w:vAlign w:val="bottom"/>
            <w:tcBorders>
              <w:bottom w:val="single" w:sz="8" w:color="225CAB"/>
            </w:tcBorders>
          </w:tcPr>
          <w:p>
            <w:pPr>
              <w:spacing w:after="0"/>
              <w:rPr>
                <w:sz w:val="17"/>
                <w:szCs w:val="17"/>
                <w:color w:val="auto"/>
              </w:rPr>
            </w:pPr>
          </w:p>
        </w:tc>
        <w:tc>
          <w:tcPr>
            <w:tcW w:w="1700" w:type="dxa"/>
            <w:vAlign w:val="bottom"/>
            <w:tcBorders>
              <w:bottom w:val="single" w:sz="8" w:color="225CAB"/>
            </w:tcBorders>
          </w:tcPr>
          <w:p>
            <w:pPr>
              <w:spacing w:after="0"/>
              <w:rPr>
                <w:sz w:val="17"/>
                <w:szCs w:val="17"/>
                <w:color w:val="auto"/>
              </w:rPr>
            </w:pPr>
          </w:p>
        </w:tc>
        <w:tc>
          <w:tcPr>
            <w:tcW w:w="1780" w:type="dxa"/>
            <w:vAlign w:val="bottom"/>
            <w:tcBorders>
              <w:bottom w:val="single" w:sz="8" w:color="225CAB"/>
            </w:tcBorders>
          </w:tcPr>
          <w:p>
            <w:pPr>
              <w:spacing w:after="0"/>
              <w:rPr>
                <w:sz w:val="17"/>
                <w:szCs w:val="17"/>
                <w:color w:val="auto"/>
              </w:rPr>
            </w:pPr>
          </w:p>
        </w:tc>
        <w:tc>
          <w:tcPr>
            <w:tcW w:w="1180" w:type="dxa"/>
            <w:vAlign w:val="bottom"/>
            <w:tcBorders>
              <w:bottom w:val="single" w:sz="8" w:color="225CAB"/>
            </w:tcBorders>
          </w:tcPr>
          <w:p>
            <w:pPr>
              <w:jc w:val="right"/>
              <w:ind w:right="19"/>
              <w:spacing w:after="0" w:line="196" w:lineRule="exact"/>
              <w:rPr>
                <w:sz w:val="20"/>
                <w:szCs w:val="20"/>
                <w:color w:val="auto"/>
              </w:rPr>
            </w:pPr>
            <w:r>
              <w:rPr>
                <w:rFonts w:ascii="Arial" w:cs="Arial" w:eastAsia="Arial" w:hAnsi="Arial"/>
                <w:sz w:val="18"/>
                <w:szCs w:val="18"/>
                <w:color w:val="auto"/>
              </w:rPr>
              <w:t>C</w:t>
            </w: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D. Johnson</w:t>
            </w:r>
          </w:p>
        </w:tc>
        <w:tc>
          <w:tcPr>
            <w:tcW w:w="3100" w:type="dxa"/>
            <w:vAlign w:val="bottom"/>
            <w:tcBorders>
              <w:bottom w:val="single" w:sz="8" w:color="225CAB"/>
            </w:tcBorders>
          </w:tcPr>
          <w:p>
            <w:pPr>
              <w:spacing w:after="0"/>
              <w:rPr>
                <w:sz w:val="17"/>
                <w:szCs w:val="17"/>
                <w:color w:val="auto"/>
              </w:rPr>
            </w:pPr>
          </w:p>
        </w:tc>
        <w:tc>
          <w:tcPr>
            <w:tcW w:w="17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780" w:type="dxa"/>
            <w:vAlign w:val="bottom"/>
            <w:tcBorders>
              <w:bottom w:val="single" w:sz="8" w:color="225CAB"/>
            </w:tcBorders>
          </w:tcPr>
          <w:p>
            <w:pPr>
              <w:spacing w:after="0"/>
              <w:rPr>
                <w:sz w:val="17"/>
                <w:szCs w:val="17"/>
                <w:color w:val="auto"/>
              </w:rPr>
            </w:pPr>
          </w:p>
        </w:tc>
        <w:tc>
          <w:tcPr>
            <w:tcW w:w="1180" w:type="dxa"/>
            <w:vAlign w:val="bottom"/>
            <w:tcBorders>
              <w:bottom w:val="single" w:sz="8" w:color="225CAB"/>
            </w:tcBorders>
          </w:tcPr>
          <w:p>
            <w:pPr>
              <w:spacing w:after="0"/>
              <w:rPr>
                <w:sz w:val="17"/>
                <w:szCs w:val="17"/>
                <w:color w:val="auto"/>
              </w:rPr>
            </w:pP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Wilbur J. Prezzano</w:t>
            </w:r>
          </w:p>
        </w:tc>
        <w:tc>
          <w:tcPr>
            <w:tcW w:w="3100" w:type="dxa"/>
            <w:vAlign w:val="bottom"/>
            <w:tcBorders>
              <w:bottom w:val="single" w:sz="8" w:color="225CAB"/>
            </w:tcBorders>
          </w:tcPr>
          <w:p>
            <w:pPr>
              <w:spacing w:after="0"/>
              <w:rPr>
                <w:sz w:val="17"/>
                <w:szCs w:val="17"/>
                <w:color w:val="auto"/>
              </w:rPr>
            </w:pPr>
          </w:p>
        </w:tc>
        <w:tc>
          <w:tcPr>
            <w:tcW w:w="17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180" w:type="dxa"/>
            <w:vAlign w:val="bottom"/>
            <w:tcBorders>
              <w:bottom w:val="single" w:sz="8" w:color="225CAB"/>
            </w:tcBorders>
          </w:tcPr>
          <w:p>
            <w:pPr>
              <w:spacing w:after="0"/>
              <w:rPr>
                <w:sz w:val="17"/>
                <w:szCs w:val="17"/>
                <w:color w:val="auto"/>
              </w:rPr>
            </w:pP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Richard F. Wallman</w:t>
            </w:r>
          </w:p>
        </w:tc>
        <w:tc>
          <w:tcPr>
            <w:tcW w:w="3100" w:type="dxa"/>
            <w:vAlign w:val="bottom"/>
            <w:tcBorders>
              <w:bottom w:val="single" w:sz="8" w:color="225CAB"/>
            </w:tcBorders>
          </w:tcPr>
          <w:p>
            <w:pPr>
              <w:spacing w:after="0"/>
              <w:rPr>
                <w:sz w:val="17"/>
                <w:szCs w:val="17"/>
                <w:color w:val="auto"/>
              </w:rPr>
            </w:pPr>
          </w:p>
        </w:tc>
        <w:tc>
          <w:tcPr>
            <w:tcW w:w="1700" w:type="dxa"/>
            <w:vAlign w:val="bottom"/>
            <w:tcBorders>
              <w:bottom w:val="single" w:sz="8" w:color="225CAB"/>
            </w:tcBorders>
          </w:tcPr>
          <w:p>
            <w:pPr>
              <w:spacing w:after="0"/>
              <w:rPr>
                <w:sz w:val="17"/>
                <w:szCs w:val="17"/>
                <w:color w:val="auto"/>
              </w:rPr>
            </w:pPr>
          </w:p>
        </w:tc>
        <w:tc>
          <w:tcPr>
            <w:tcW w:w="1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rPr>
              <w:t>C</w:t>
            </w:r>
          </w:p>
        </w:tc>
        <w:tc>
          <w:tcPr>
            <w:tcW w:w="1180" w:type="dxa"/>
            <w:vAlign w:val="bottom"/>
            <w:tcBorders>
              <w:bottom w:val="single" w:sz="8" w:color="225CAB"/>
            </w:tcBorders>
          </w:tcPr>
          <w:p>
            <w:pPr>
              <w:jc w:val="right"/>
              <w:ind w:right="19"/>
              <w:spacing w:after="0" w:line="196" w:lineRule="exact"/>
              <w:rPr>
                <w:sz w:val="20"/>
                <w:szCs w:val="20"/>
                <w:color w:val="auto"/>
              </w:rPr>
            </w:pPr>
            <w:r>
              <w:rPr>
                <w:rFonts w:ascii="Arial" w:cs="Arial" w:eastAsia="Arial" w:hAnsi="Arial"/>
                <w:sz w:val="18"/>
                <w:szCs w:val="18"/>
                <w:color w:val="auto"/>
              </w:rPr>
              <w:t>X</w:t>
            </w: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Christopher Wright</w:t>
            </w:r>
          </w:p>
        </w:tc>
        <w:tc>
          <w:tcPr>
            <w:tcW w:w="3100" w:type="dxa"/>
            <w:vAlign w:val="bottom"/>
            <w:tcBorders>
              <w:bottom w:val="single" w:sz="8" w:color="225CAB"/>
            </w:tcBorders>
          </w:tcPr>
          <w:p>
            <w:pPr>
              <w:jc w:val="center"/>
              <w:ind w:left="1520"/>
              <w:spacing w:after="0" w:line="196" w:lineRule="exact"/>
              <w:rPr>
                <w:sz w:val="20"/>
                <w:szCs w:val="20"/>
                <w:color w:val="auto"/>
              </w:rPr>
            </w:pPr>
            <w:r>
              <w:rPr>
                <w:rFonts w:ascii="Arial" w:cs="Arial" w:eastAsia="Arial" w:hAnsi="Arial"/>
                <w:sz w:val="18"/>
                <w:szCs w:val="18"/>
                <w:color w:val="auto"/>
                <w:w w:val="82"/>
              </w:rPr>
              <w:t>X</w:t>
            </w:r>
          </w:p>
        </w:tc>
        <w:tc>
          <w:tcPr>
            <w:tcW w:w="1700" w:type="dxa"/>
            <w:vAlign w:val="bottom"/>
            <w:tcBorders>
              <w:bottom w:val="single" w:sz="8" w:color="225CAB"/>
            </w:tcBorders>
          </w:tcPr>
          <w:p>
            <w:pPr>
              <w:spacing w:after="0"/>
              <w:rPr>
                <w:sz w:val="17"/>
                <w:szCs w:val="17"/>
                <w:color w:val="auto"/>
              </w:rPr>
            </w:pPr>
          </w:p>
        </w:tc>
        <w:tc>
          <w:tcPr>
            <w:tcW w:w="1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180" w:type="dxa"/>
            <w:vAlign w:val="bottom"/>
            <w:tcBorders>
              <w:bottom w:val="single" w:sz="8" w:color="225CAB"/>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Audit Committee: 10 Meetings Held in 2014</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Audit Committee assists our Board in its oversight of the quality and integrity of our financial statements, our structure for compliance with legal and regulatory requirements, and the performance of our internal audit functions. The Board has determined that based on his extensive background and expertise, particularly as the chief financial officer of various other public companies, Mr. Devonshire meets the criteria of an “audit committee financial expert” under SEC rules. The Board has determined that all Audit Committee members meet the NYSE standard of financial literacy and have accounting and related financial management expertise.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6" w:right="620"/>
        <w:spacing w:after="0" w:line="269" w:lineRule="auto"/>
        <w:rPr>
          <w:sz w:val="20"/>
          <w:szCs w:val="20"/>
          <w:color w:val="auto"/>
        </w:rPr>
      </w:pPr>
      <w:r>
        <w:rPr>
          <w:rFonts w:ascii="Arial" w:cs="Arial" w:eastAsia="Arial" w:hAnsi="Arial"/>
          <w:sz w:val="18"/>
          <w:szCs w:val="18"/>
          <w:color w:val="auto"/>
        </w:rPr>
        <w:t>Pursuant to its charter, the Audit Committee has the authority and responsibility to:</w:t>
      </w:r>
    </w:p>
    <w:p>
      <w:pPr>
        <w:spacing w:after="0" w:line="22" w:lineRule="exact"/>
        <w:rPr>
          <w:sz w:val="20"/>
          <w:szCs w:val="20"/>
          <w:color w:val="auto"/>
        </w:rPr>
      </w:pPr>
    </w:p>
    <w:p>
      <w:pPr>
        <w:ind w:left="186" w:right="340" w:hanging="186"/>
        <w:spacing w:after="0" w:line="243" w:lineRule="auto"/>
        <w:tabs>
          <w:tab w:leader="none" w:pos="1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 compensate, retain and oversee the registered public accounting firm engaged by us; approve all audit engagement fees and terms, as well as pre-approve all non-audit engagements; and ensure that the independent auditors remain independent and objective;</w:t>
      </w:r>
    </w:p>
    <w:p>
      <w:pPr>
        <w:spacing w:after="0" w:line="46" w:lineRule="exact"/>
        <w:rPr>
          <w:rFonts w:ascii="Arial" w:cs="Arial" w:eastAsia="Arial" w:hAnsi="Arial"/>
          <w:sz w:val="18"/>
          <w:szCs w:val="18"/>
          <w:color w:val="auto"/>
        </w:rPr>
      </w:pPr>
    </w:p>
    <w:p>
      <w:pPr>
        <w:ind w:left="186" w:right="280" w:hanging="186"/>
        <w:spacing w:after="0" w:line="246" w:lineRule="auto"/>
        <w:tabs>
          <w:tab w:leader="none" w:pos="1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the appointment and replacement of our Vice President of the internal auditing department, who provides the Audit Committee with significant reports to management and management’s responses thereto;</w:t>
      </w:r>
    </w:p>
    <w:p>
      <w:pPr>
        <w:spacing w:after="0" w:line="42" w:lineRule="exact"/>
        <w:rPr>
          <w:rFonts w:ascii="Arial" w:cs="Arial" w:eastAsia="Arial" w:hAnsi="Arial"/>
          <w:sz w:val="18"/>
          <w:szCs w:val="18"/>
          <w:color w:val="auto"/>
        </w:rPr>
      </w:pPr>
    </w:p>
    <w:p>
      <w:pPr>
        <w:ind w:left="186" w:right="420" w:hanging="186"/>
        <w:spacing w:after="0" w:line="252" w:lineRule="auto"/>
        <w:tabs>
          <w:tab w:leader="none" w:pos="1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Consider any reports or communications submitted by the independent auditors relating to our financial statements, policies, processes or determinations;</w:t>
      </w:r>
    </w:p>
    <w:p>
      <w:pPr>
        <w:spacing w:after="0" w:line="200" w:lineRule="exact"/>
        <w:rPr>
          <w:sz w:val="20"/>
          <w:szCs w:val="20"/>
          <w:color w:val="auto"/>
        </w:rPr>
      </w:pPr>
    </w:p>
    <w:p>
      <w:pPr>
        <w:sectPr>
          <w:pgSz w:w="11900" w:h="16838" w:orient="portrait"/>
          <w:cols w:equalWidth="0" w:num="2">
            <w:col w:w="5400" w:space="314"/>
            <w:col w:w="5706"/>
          </w:cols>
          <w:pgMar w:left="240" w:top="455" w:right="239" w:bottom="1440" w:gutter="0" w:footer="0" w:header="0"/>
          <w:type w:val="continuous"/>
        </w:sectPr>
      </w:pPr>
    </w:p>
    <w:p>
      <w:pPr>
        <w:spacing w:after="0" w:line="72"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15</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COMMITTEES AND MEETINGS </w:t>
      </w:r>
      <w:r>
        <w:rPr>
          <w:rFonts w:ascii="Arial" w:cs="Arial" w:eastAsia="Arial" w:hAnsi="Arial"/>
          <w:sz w:val="18"/>
          <w:szCs w:val="18"/>
          <w:i w:val="1"/>
          <w:iCs w:val="1"/>
          <w:color w:val="225CAB"/>
        </w:rPr>
        <w:t>(CONTINUED)</w:t>
      </w:r>
    </w:p>
    <w:p>
      <w:pPr>
        <w:spacing w:after="0" w:line="198" w:lineRule="exact"/>
        <w:rPr>
          <w:sz w:val="20"/>
          <w:szCs w:val="20"/>
          <w:color w:val="auto"/>
        </w:rPr>
      </w:pPr>
    </w:p>
    <w:p>
      <w:pPr>
        <w:ind w:left="200" w:right="220" w:hanging="192"/>
        <w:spacing w:after="0" w:line="287" w:lineRule="auto"/>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11" w:lineRule="exact"/>
        <w:rPr>
          <w:rFonts w:ascii="Arial" w:cs="Arial" w:eastAsia="Arial" w:hAnsi="Arial"/>
          <w:sz w:val="16"/>
          <w:szCs w:val="16"/>
          <w:color w:val="auto"/>
        </w:rPr>
      </w:pPr>
    </w:p>
    <w:p>
      <w:pPr>
        <w:ind w:left="200" w:right="40" w:hanging="192"/>
        <w:spacing w:after="0" w:line="239"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including analyses of the effects of alternative GAAP methods, and the effects of regulatory and accounting initiatives;</w:t>
      </w:r>
    </w:p>
    <w:p>
      <w:pPr>
        <w:spacing w:after="0" w:line="52" w:lineRule="exact"/>
        <w:rPr>
          <w:rFonts w:ascii="Arial" w:cs="Arial" w:eastAsia="Arial" w:hAnsi="Arial"/>
          <w:sz w:val="18"/>
          <w:szCs w:val="18"/>
          <w:color w:val="auto"/>
        </w:rPr>
      </w:pPr>
    </w:p>
    <w:p>
      <w:pPr>
        <w:ind w:left="200" w:right="500" w:hanging="192"/>
        <w:spacing w:after="0" w:line="269"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significant risks and exposures and the steps taken to monitor and minimize such risks;</w:t>
      </w:r>
    </w:p>
    <w:p>
      <w:pPr>
        <w:spacing w:after="0" w:line="22" w:lineRule="exact"/>
        <w:rPr>
          <w:rFonts w:ascii="Arial" w:cs="Arial" w:eastAsia="Arial" w:hAnsi="Arial"/>
          <w:sz w:val="18"/>
          <w:szCs w:val="18"/>
          <w:color w:val="auto"/>
        </w:rPr>
      </w:pPr>
    </w:p>
    <w:p>
      <w:pPr>
        <w:ind w:left="200" w:hanging="192"/>
        <w:spacing w:after="0" w:line="243"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procedures for the receipt, investigation and resolution of complaints received by us regarding accounting, internal accounting controls or auditing matters, and for the confidential, anonymous submission by employees of concerns regarding questionable accounting or auditing matters; and</w:t>
      </w:r>
    </w:p>
    <w:p>
      <w:pPr>
        <w:spacing w:after="0" w:line="46" w:lineRule="exact"/>
        <w:rPr>
          <w:rFonts w:ascii="Arial" w:cs="Arial" w:eastAsia="Arial" w:hAnsi="Arial"/>
          <w:sz w:val="18"/>
          <w:szCs w:val="18"/>
          <w:color w:val="auto"/>
        </w:rPr>
      </w:pPr>
    </w:p>
    <w:p>
      <w:pPr>
        <w:ind w:left="200" w:right="320" w:hanging="192"/>
        <w:spacing w:after="0" w:line="333" w:lineRule="auto"/>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Prepare reports and disclosures required to be included in this Proxy Statement, including the “Audit Committee Report” below.</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 xml:space="preserve">Compensation Committee: </w:t>
      </w:r>
      <w:r>
        <w:rPr>
          <w:rFonts w:ascii="Arial" w:cs="Arial" w:eastAsia="Arial" w:hAnsi="Arial"/>
          <w:sz w:val="18"/>
          <w:szCs w:val="18"/>
          <w:b w:val="1"/>
          <w:bCs w:val="1"/>
          <w:color w:val="225CAB"/>
        </w:rPr>
        <w:t>5 Meetings Held in 2014</w:t>
      </w:r>
    </w:p>
    <w:p>
      <w:pPr>
        <w:spacing w:after="0" w:line="7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Compensation Committee administers our executive incentive compensation programs and determines, either as a committee or together with the other independent members of the Board (as directed by the Board), annual salary levels and incentive compensation awards for our executive officers. The Compensation Committee also, at the direction of the Board, periodically reviews and determines the form and amounts of director compensation and reviews and makes recommendations to the Board with respect to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 w:right="80"/>
        <w:spacing w:after="0" w:line="269" w:lineRule="auto"/>
        <w:rPr>
          <w:sz w:val="20"/>
          <w:szCs w:val="20"/>
          <w:color w:val="auto"/>
        </w:rPr>
      </w:pPr>
      <w:r>
        <w:rPr>
          <w:rFonts w:ascii="Arial" w:cs="Arial" w:eastAsia="Arial" w:hAnsi="Arial"/>
          <w:sz w:val="18"/>
          <w:szCs w:val="18"/>
          <w:color w:val="auto"/>
        </w:rPr>
        <w:t>Pursuant to its charter, the Compensation Committee has the authority and responsibility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-1079500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 w:lineRule="exact"/>
        <w:rPr>
          <w:sz w:val="20"/>
          <w:szCs w:val="20"/>
          <w:color w:val="auto"/>
        </w:rPr>
      </w:pPr>
    </w:p>
    <w:p>
      <w:pPr>
        <w:ind w:left="186" w:hanging="186"/>
        <w:spacing w:after="0" w:line="243"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our Chief Executive Officer’s compensation and based on that evaluation, determine and approve our Chief Executive Officer’s compensation, including salary, bonus, incentive and equity compensation;</w:t>
      </w:r>
    </w:p>
    <w:p>
      <w:pPr>
        <w:spacing w:after="0" w:line="46" w:lineRule="exact"/>
        <w:rPr>
          <w:rFonts w:ascii="Arial" w:cs="Arial" w:eastAsia="Arial" w:hAnsi="Arial"/>
          <w:sz w:val="18"/>
          <w:szCs w:val="18"/>
          <w:color w:val="auto"/>
        </w:rPr>
      </w:pPr>
    </w:p>
    <w:p>
      <w:pPr>
        <w:ind w:left="186" w:right="140" w:hanging="186"/>
        <w:spacing w:after="0" w:line="252"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Annually review performance and approve compensation, including salary, bonus, and incentive and equity compensation for our executive officers;</w:t>
      </w:r>
    </w:p>
    <w:p>
      <w:pPr>
        <w:spacing w:after="0" w:line="36" w:lineRule="exact"/>
        <w:rPr>
          <w:rFonts w:ascii="Arial" w:cs="Arial" w:eastAsia="Arial" w:hAnsi="Arial"/>
          <w:sz w:val="18"/>
          <w:szCs w:val="18"/>
          <w:color w:val="auto"/>
        </w:rPr>
      </w:pPr>
    </w:p>
    <w:p>
      <w:pPr>
        <w:ind w:left="186" w:hanging="186"/>
        <w:spacing w:after="0" w:line="252"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Grant awards and otherwise make determinations under our equity, incentive, retirement, and deferred compensation plans, to the extent provided in such plans;</w:t>
      </w:r>
    </w:p>
    <w:p>
      <w:pPr>
        <w:spacing w:after="0" w:line="36" w:lineRule="exact"/>
        <w:rPr>
          <w:rFonts w:ascii="Arial" w:cs="Arial" w:eastAsia="Arial" w:hAnsi="Arial"/>
          <w:sz w:val="18"/>
          <w:szCs w:val="18"/>
          <w:color w:val="auto"/>
        </w:rPr>
      </w:pPr>
    </w:p>
    <w:p>
      <w:pPr>
        <w:ind w:left="186" w:right="20" w:hanging="186"/>
        <w:spacing w:after="0" w:line="246"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 performance goals and certify whether performance goals have been satisfied for incentive plans complying or intended to comply with Section 162(m) of the Internal Revenue Code (the “Code”);</w:t>
      </w:r>
    </w:p>
    <w:p>
      <w:pPr>
        <w:spacing w:after="0" w:line="42" w:lineRule="exact"/>
        <w:rPr>
          <w:rFonts w:ascii="Arial" w:cs="Arial" w:eastAsia="Arial" w:hAnsi="Arial"/>
          <w:sz w:val="18"/>
          <w:szCs w:val="18"/>
          <w:color w:val="auto"/>
        </w:rPr>
      </w:pPr>
    </w:p>
    <w:p>
      <w:pPr>
        <w:ind w:left="186" w:right="640" w:hanging="186"/>
        <w:spacing w:after="0" w:line="317" w:lineRule="auto"/>
        <w:tabs>
          <w:tab w:leader="none" w:pos="1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Periodically review and make recommendations to the Board concerning our equity and incentive compensation plans;</w:t>
      </w:r>
    </w:p>
    <w:p>
      <w:pPr>
        <w:ind w:left="186" w:right="340" w:hanging="186"/>
        <w:spacing w:after="0" w:line="269"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risks associated with compensation and assess potential material adverse effect;</w:t>
      </w:r>
    </w:p>
    <w:p>
      <w:pPr>
        <w:spacing w:after="0" w:line="22" w:lineRule="exact"/>
        <w:rPr>
          <w:rFonts w:ascii="Arial" w:cs="Arial" w:eastAsia="Arial" w:hAnsi="Arial"/>
          <w:sz w:val="18"/>
          <w:szCs w:val="18"/>
          <w:color w:val="auto"/>
        </w:rPr>
      </w:pPr>
    </w:p>
    <w:p>
      <w:pPr>
        <w:ind w:left="186" w:right="140" w:hanging="186"/>
        <w:spacing w:after="0" w:line="269"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Periodically review and determine the form and amounts of director compensation; and</w:t>
      </w:r>
    </w:p>
    <w:p>
      <w:pPr>
        <w:spacing w:after="0" w:line="22" w:lineRule="exact"/>
        <w:rPr>
          <w:rFonts w:ascii="Arial" w:cs="Arial" w:eastAsia="Arial" w:hAnsi="Arial"/>
          <w:sz w:val="18"/>
          <w:szCs w:val="18"/>
          <w:color w:val="auto"/>
        </w:rPr>
      </w:pPr>
    </w:p>
    <w:p>
      <w:pPr>
        <w:ind w:left="186" w:hanging="186"/>
        <w:spacing w:after="0" w:line="252"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discuss with management the Compensation Discussion and Analysis disclosure regarding named executive officer compensation included in our annual Proxy Statement.</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225CAB"/>
        </w:rPr>
        <w:t>Nominating and Governance Committee:</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225CAB"/>
        </w:rPr>
        <w:t>4 Meetings Held in 2014</w:t>
      </w:r>
    </w:p>
    <w:p>
      <w:pPr>
        <w:spacing w:after="0" w:line="55" w:lineRule="exact"/>
        <w:rPr>
          <w:sz w:val="20"/>
          <w:szCs w:val="20"/>
          <w:color w:val="auto"/>
        </w:rPr>
      </w:pPr>
    </w:p>
    <w:p>
      <w:pPr>
        <w:ind w:left="6" w:right="100"/>
        <w:spacing w:after="0" w:line="278" w:lineRule="auto"/>
        <w:rPr>
          <w:sz w:val="20"/>
          <w:szCs w:val="20"/>
          <w:color w:val="auto"/>
        </w:rPr>
      </w:pPr>
      <w:r>
        <w:rPr>
          <w:rFonts w:ascii="Arial" w:cs="Arial" w:eastAsia="Arial" w:hAnsi="Arial"/>
          <w:sz w:val="16"/>
          <w:szCs w:val="16"/>
          <w:color w:val="auto"/>
        </w:rPr>
        <w:t>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447" w:lineRule="exact"/>
        <w:rPr>
          <w:sz w:val="20"/>
          <w:szCs w:val="20"/>
          <w:color w:val="auto"/>
        </w:rPr>
      </w:pPr>
    </w:p>
    <w:p>
      <w:pPr>
        <w:sectPr>
          <w:pgSz w:w="11900" w:h="16838" w:orient="portrait"/>
          <w:cols w:equalWidth="0" w:num="2">
            <w:col w:w="5480" w:space="234"/>
            <w:col w:w="5546"/>
          </w:cols>
          <w:pgMar w:left="240" w:top="455" w:right="39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60"/>
          </w:cols>
          <w:pgMar w:left="240" w:top="455" w:right="39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COMMITTEES AND MEETINGS </w:t>
      </w:r>
      <w:r>
        <w:rPr>
          <w:rFonts w:ascii="Arial" w:cs="Arial" w:eastAsia="Arial" w:hAnsi="Arial"/>
          <w:sz w:val="18"/>
          <w:szCs w:val="18"/>
          <w:i w:val="1"/>
          <w:iCs w:val="1"/>
          <w:color w:val="225CAB"/>
        </w:rPr>
        <w:t>(CONTINUED)</w:t>
      </w:r>
    </w:p>
    <w:p>
      <w:pPr>
        <w:spacing w:after="0" w:line="198"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Pursuant to its charter, the Nominating and Governance Committee has the authority and responsibility to:</w:t>
      </w:r>
    </w:p>
    <w:p>
      <w:pPr>
        <w:spacing w:after="0" w:line="22" w:lineRule="exact"/>
        <w:rPr>
          <w:sz w:val="20"/>
          <w:szCs w:val="20"/>
          <w:color w:val="auto"/>
        </w:rPr>
      </w:pPr>
    </w:p>
    <w:p>
      <w:pPr>
        <w:ind w:left="200" w:right="60" w:hanging="192"/>
        <w:spacing w:after="0" w:line="287" w:lineRule="auto"/>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 a candidate’s qualification based on a variety of factors, including such candidate’s integrity, reputation, judgment, knowledge, and diversity (including gender and ethnicity as well as background and experience) as well as our Board’s needs;</w:t>
      </w:r>
    </w:p>
    <w:p>
      <w:pPr>
        <w:spacing w:after="0" w:line="11" w:lineRule="exact"/>
        <w:rPr>
          <w:rFonts w:ascii="Arial" w:cs="Arial" w:eastAsia="Arial" w:hAnsi="Arial"/>
          <w:sz w:val="16"/>
          <w:szCs w:val="16"/>
          <w:color w:val="auto"/>
        </w:rPr>
      </w:pPr>
    </w:p>
    <w:p>
      <w:pPr>
        <w:ind w:left="200" w:right="100" w:hanging="192"/>
        <w:spacing w:after="0" w:line="317" w:lineRule="auto"/>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Recommend qualified individuals for board membership, including individuals suggested by directors and/or shareholders;</w:t>
      </w:r>
    </w:p>
    <w:p>
      <w:pPr>
        <w:ind w:left="200" w:hanging="192"/>
        <w:spacing w:after="0" w:line="269" w:lineRule="auto"/>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Periodically review the size and responsibilities of our Board and its committees and recommend changes to our Board;</w:t>
      </w:r>
    </w:p>
    <w:p>
      <w:pPr>
        <w:spacing w:after="0" w:line="22" w:lineRule="exact"/>
        <w:rPr>
          <w:rFonts w:ascii="Arial" w:cs="Arial" w:eastAsia="Arial" w:hAnsi="Arial"/>
          <w:sz w:val="18"/>
          <w:szCs w:val="18"/>
          <w:color w:val="auto"/>
        </w:rPr>
      </w:pPr>
    </w:p>
    <w:p>
      <w:pPr>
        <w:ind w:left="200" w:right="160" w:hanging="192"/>
        <w:spacing w:after="0" w:line="269" w:lineRule="auto"/>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Annually review and recommend committee slates and additional committee members to our Board as needed;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6" w:right="160" w:hanging="186"/>
        <w:spacing w:after="0" w:line="252" w:lineRule="auto"/>
        <w:tabs>
          <w:tab w:leader="none" w:pos="1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and recommend to our Board a set of corporate governance guidelines and periodically review such guidelines and propose changes to our Board;</w:t>
      </w:r>
    </w:p>
    <w:p>
      <w:pPr>
        <w:spacing w:after="0" w:line="36" w:lineRule="exact"/>
        <w:rPr>
          <w:rFonts w:ascii="Arial" w:cs="Arial" w:eastAsia="Arial" w:hAnsi="Arial"/>
          <w:sz w:val="18"/>
          <w:szCs w:val="18"/>
          <w:color w:val="auto"/>
        </w:rPr>
      </w:pPr>
    </w:p>
    <w:p>
      <w:pPr>
        <w:ind w:left="186" w:right="300" w:hanging="186"/>
        <w:spacing w:after="0" w:line="252" w:lineRule="auto"/>
        <w:tabs>
          <w:tab w:leader="none" w:pos="1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Annually review and approve our Chief Executive Officer’s management succession plan to ensure continuity of management; and</w:t>
      </w:r>
    </w:p>
    <w:p>
      <w:pPr>
        <w:spacing w:after="0" w:line="36" w:lineRule="exact"/>
        <w:rPr>
          <w:rFonts w:ascii="Arial" w:cs="Arial" w:eastAsia="Arial" w:hAnsi="Arial"/>
          <w:sz w:val="18"/>
          <w:szCs w:val="18"/>
          <w:color w:val="auto"/>
        </w:rPr>
      </w:pPr>
    </w:p>
    <w:p>
      <w:pPr>
        <w:ind w:left="186" w:right="540" w:hanging="186"/>
        <w:spacing w:after="0" w:line="252" w:lineRule="auto"/>
        <w:tabs>
          <w:tab w:leader="none" w:pos="1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and recommend to our Board an annual self-evaluation process for our Board and its committees, and administer and oversee the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-2073910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225CAB"/>
        </w:rPr>
        <w:t>Executive Committee: No Meeting Held in 2014</w:t>
      </w:r>
    </w:p>
    <w:p>
      <w:pPr>
        <w:spacing w:after="0" w:line="77" w:lineRule="exact"/>
        <w:rPr>
          <w:sz w:val="20"/>
          <w:szCs w:val="20"/>
          <w:color w:val="auto"/>
        </w:rPr>
      </w:pPr>
    </w:p>
    <w:p>
      <w:pPr>
        <w:ind w:left="6" w:right="120"/>
        <w:spacing w:after="0" w:line="269" w:lineRule="auto"/>
        <w:rPr>
          <w:sz w:val="20"/>
          <w:szCs w:val="20"/>
          <w:color w:val="auto"/>
        </w:rPr>
      </w:pPr>
      <w:r>
        <w:rPr>
          <w:rFonts w:ascii="Arial" w:cs="Arial" w:eastAsia="Arial" w:hAnsi="Arial"/>
          <w:sz w:val="18"/>
          <w:szCs w:val="18"/>
          <w:color w:val="auto"/>
        </w:rPr>
        <w:t>The Executive Committee has the authority to exercise all powers of the Board between regularly scheduled Board meetings.</w:t>
      </w:r>
    </w:p>
    <w:p>
      <w:pPr>
        <w:spacing w:after="0" w:line="257" w:lineRule="exact"/>
        <w:rPr>
          <w:sz w:val="20"/>
          <w:szCs w:val="20"/>
          <w:color w:val="auto"/>
        </w:rPr>
      </w:pPr>
    </w:p>
    <w:tbl>
      <w:tblPr>
        <w:tblLayout w:type="fixed"/>
        <w:tblInd w:w="1186"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17</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-213995</wp:posOffset>
            </wp:positionV>
            <wp:extent cx="42037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20" w:space="294"/>
            <w:col w:w="5706"/>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DIRECTOR COMPENSATION</w:t>
      </w:r>
    </w:p>
    <w:p>
      <w:pPr>
        <w:spacing w:after="0" w:line="27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Compensation for our non-employee directors is governed by our Director Compensation Plan, which is a sub-plan of the Company’s 2006 Incentive Plan. The Director Compensation Plan provides for an annual grant of 4,000 restricted stock units (“RSUs”), which are issued the day after our Annual Meeting of Shareholders. Unless the non-employee director has made a timely deferral election as provided in the Plan, each RSU represents the right to receive one share of our common stock on the vesting date and the right to receive a dividend equivalent in the same amount and at the same time as any dividend or other cash distribution is paid on a share of our common stock. RSUs do not have voting rights. One half of the RSUs granted vest six months after the grant date and the remaining RSUs vest the day before the next Annual Meeting. During 2014, each non-employee director received a grant of 4,000 RSUs on May 22, 2014.</w:t>
      </w:r>
    </w:p>
    <w:p>
      <w:pPr>
        <w:spacing w:after="0" w:line="50" w:lineRule="exact"/>
        <w:rPr>
          <w:sz w:val="20"/>
          <w:szCs w:val="20"/>
          <w:color w:val="auto"/>
        </w:rPr>
      </w:pPr>
    </w:p>
    <w:p>
      <w:pPr>
        <w:jc w:val="both"/>
        <w:ind w:right="480"/>
        <w:spacing w:after="0" w:line="252" w:lineRule="auto"/>
        <w:rPr>
          <w:sz w:val="20"/>
          <w:szCs w:val="20"/>
          <w:color w:val="auto"/>
        </w:rPr>
      </w:pPr>
      <w:r>
        <w:rPr>
          <w:rFonts w:ascii="Arial" w:cs="Arial" w:eastAsia="Arial" w:hAnsi="Arial"/>
          <w:sz w:val="18"/>
          <w:szCs w:val="18"/>
          <w:color w:val="auto"/>
        </w:rPr>
        <w:t>Under our Director Compensation Plan, each non-employee director also receives an annual cash retainer and fees for board and committee meetings as shown in the table below. The cash retainer and the number of RSUs granted will be prorated for any new director based on the number of full months such director serves as a non-employee director during the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Borders>
              <w:top w:val="single" w:sz="8" w:color="auto"/>
            </w:tcBorders>
            <w:shd w:val="clear" w:color="auto" w:fill="D2DEEE"/>
          </w:tcPr>
          <w:p>
            <w:pPr>
              <w:spacing w:after="0"/>
              <w:rPr>
                <w:sz w:val="20"/>
                <w:szCs w:val="20"/>
                <w:color w:val="auto"/>
              </w:rPr>
            </w:pPr>
            <w:r>
              <w:rPr>
                <w:rFonts w:ascii="Arial" w:cs="Arial" w:eastAsia="Arial" w:hAnsi="Arial"/>
                <w:sz w:val="18"/>
                <w:szCs w:val="18"/>
                <w:b w:val="1"/>
                <w:bCs w:val="1"/>
                <w:i w:val="1"/>
                <w:iCs w:val="1"/>
                <w:color w:val="auto"/>
              </w:rPr>
              <w:t>Annual Cash Retainer</w:t>
            </w:r>
          </w:p>
        </w:tc>
        <w:tc>
          <w:tcPr>
            <w:tcW w:w="3500" w:type="dxa"/>
            <w:vAlign w:val="bottom"/>
            <w:tcBorders>
              <w:top w:val="single" w:sz="8" w:color="auto"/>
            </w:tcBorders>
            <w:shd w:val="clear" w:color="auto" w:fill="D2DEEE"/>
          </w:tcPr>
          <w:p>
            <w:pPr>
              <w:spacing w:after="0"/>
              <w:rPr>
                <w:sz w:val="18"/>
                <w:szCs w:val="18"/>
                <w:color w:val="auto"/>
              </w:rPr>
            </w:pPr>
          </w:p>
        </w:tc>
        <w:tc>
          <w:tcPr>
            <w:tcW w:w="740" w:type="dxa"/>
            <w:vAlign w:val="bottom"/>
            <w:tcBorders>
              <w:top w:val="single" w:sz="8" w:color="auto"/>
            </w:tcBorders>
            <w:shd w:val="clear" w:color="auto" w:fill="D2DEEE"/>
          </w:tcPr>
          <w:p>
            <w:pPr>
              <w:spacing w:after="0"/>
              <w:rPr>
                <w:sz w:val="18"/>
                <w:szCs w:val="18"/>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Annual Cash Retainer</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4"/>
              </w:rPr>
              <w:t>42,500</w:t>
            </w:r>
          </w:p>
        </w:tc>
      </w:tr>
      <w:tr>
        <w:trPr>
          <w:trHeight w:val="203"/>
        </w:trPr>
        <w:tc>
          <w:tcPr>
            <w:tcW w:w="7180" w:type="dxa"/>
            <w:vAlign w:val="bottom"/>
            <w:shd w:val="clear" w:color="auto" w:fill="D2DEEE"/>
          </w:tcPr>
          <w:p>
            <w:pPr>
              <w:spacing w:after="0" w:line="202" w:lineRule="exact"/>
              <w:rPr>
                <w:sz w:val="20"/>
                <w:szCs w:val="20"/>
                <w:color w:val="auto"/>
              </w:rPr>
            </w:pPr>
            <w:r>
              <w:rPr>
                <w:rFonts w:ascii="Arial" w:cs="Arial" w:eastAsia="Arial" w:hAnsi="Arial"/>
                <w:sz w:val="18"/>
                <w:szCs w:val="18"/>
                <w:b w:val="1"/>
                <w:bCs w:val="1"/>
                <w:i w:val="1"/>
                <w:iCs w:val="1"/>
                <w:color w:val="auto"/>
              </w:rPr>
              <w:t>Supplemental Annual Cash Retainers</w:t>
            </w:r>
          </w:p>
        </w:tc>
        <w:tc>
          <w:tcPr>
            <w:tcW w:w="3500" w:type="dxa"/>
            <w:vAlign w:val="bottom"/>
            <w:shd w:val="clear" w:color="auto" w:fill="D2DEEE"/>
          </w:tcPr>
          <w:p>
            <w:pPr>
              <w:spacing w:after="0"/>
              <w:rPr>
                <w:sz w:val="17"/>
                <w:szCs w:val="17"/>
                <w:color w:val="auto"/>
              </w:rPr>
            </w:pPr>
          </w:p>
        </w:tc>
        <w:tc>
          <w:tcPr>
            <w:tcW w:w="740" w:type="dxa"/>
            <w:vAlign w:val="bottom"/>
            <w:shd w:val="clear" w:color="auto" w:fill="D2DEEE"/>
          </w:tcPr>
          <w:p>
            <w:pPr>
              <w:spacing w:after="0"/>
              <w:rPr>
                <w:sz w:val="17"/>
                <w:szCs w:val="17"/>
                <w:color w:val="auto"/>
              </w:rPr>
            </w:pPr>
          </w:p>
        </w:tc>
      </w:tr>
      <w:tr>
        <w:trPr>
          <w:trHeight w:val="184"/>
        </w:trPr>
        <w:tc>
          <w:tcPr>
            <w:tcW w:w="7180" w:type="dxa"/>
            <w:vAlign w:val="bottom"/>
          </w:tcPr>
          <w:p>
            <w:pPr>
              <w:spacing w:after="0" w:line="184" w:lineRule="exact"/>
              <w:rPr>
                <w:sz w:val="20"/>
                <w:szCs w:val="20"/>
                <w:color w:val="auto"/>
              </w:rPr>
            </w:pPr>
            <w:r>
              <w:rPr>
                <w:rFonts w:ascii="Arial" w:cs="Arial" w:eastAsia="Arial" w:hAnsi="Arial"/>
                <w:sz w:val="18"/>
                <w:szCs w:val="18"/>
                <w:color w:val="auto"/>
              </w:rPr>
              <w:t>Chair of Audit Committee</w:t>
            </w:r>
          </w:p>
        </w:tc>
        <w:tc>
          <w:tcPr>
            <w:tcW w:w="35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5,000</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Chair of Compensation Committee</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5,000</w:t>
            </w:r>
          </w:p>
        </w:tc>
      </w:tr>
      <w:tr>
        <w:trPr>
          <w:trHeight w:val="221"/>
        </w:trPr>
        <w:tc>
          <w:tcPr>
            <w:tcW w:w="7180" w:type="dxa"/>
            <w:vAlign w:val="bottom"/>
          </w:tcPr>
          <w:p>
            <w:pPr>
              <w:spacing w:after="0"/>
              <w:rPr>
                <w:sz w:val="20"/>
                <w:szCs w:val="20"/>
                <w:color w:val="auto"/>
              </w:rPr>
            </w:pPr>
            <w:r>
              <w:rPr>
                <w:rFonts w:ascii="Arial" w:cs="Arial" w:eastAsia="Arial" w:hAnsi="Arial"/>
                <w:sz w:val="18"/>
                <w:szCs w:val="18"/>
                <w:color w:val="auto"/>
              </w:rPr>
              <w:t>Chair of Nominating and Governance Committee</w:t>
            </w:r>
          </w:p>
        </w:tc>
        <w:tc>
          <w:tcPr>
            <w:tcW w:w="3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5,000</w:t>
            </w:r>
          </w:p>
        </w:tc>
      </w:tr>
      <w:tr>
        <w:trPr>
          <w:trHeight w:val="203"/>
        </w:trPr>
        <w:tc>
          <w:tcPr>
            <w:tcW w:w="7180" w:type="dxa"/>
            <w:vAlign w:val="bottom"/>
            <w:shd w:val="clear" w:color="auto" w:fill="D2DEEE"/>
          </w:tcPr>
          <w:p>
            <w:pPr>
              <w:spacing w:after="0" w:line="203" w:lineRule="exact"/>
              <w:rPr>
                <w:sz w:val="20"/>
                <w:szCs w:val="20"/>
                <w:color w:val="auto"/>
              </w:rPr>
            </w:pPr>
            <w:r>
              <w:rPr>
                <w:rFonts w:ascii="Arial" w:cs="Arial" w:eastAsia="Arial" w:hAnsi="Arial"/>
                <w:sz w:val="18"/>
                <w:szCs w:val="18"/>
                <w:b w:val="1"/>
                <w:bCs w:val="1"/>
                <w:i w:val="1"/>
                <w:iCs w:val="1"/>
                <w:color w:val="auto"/>
              </w:rPr>
              <w:t>Board Meeting Compensation</w:t>
            </w:r>
            <w:r>
              <w:rPr>
                <w:rFonts w:ascii="Arial" w:cs="Arial" w:eastAsia="Arial" w:hAnsi="Arial"/>
                <w:sz w:val="22"/>
                <w:szCs w:val="22"/>
                <w:b w:val="1"/>
                <w:bCs w:val="1"/>
                <w:color w:val="auto"/>
                <w:vertAlign w:val="superscript"/>
              </w:rPr>
              <w:t>(1)</w:t>
            </w:r>
          </w:p>
        </w:tc>
        <w:tc>
          <w:tcPr>
            <w:tcW w:w="3500" w:type="dxa"/>
            <w:vAlign w:val="bottom"/>
            <w:shd w:val="clear" w:color="auto" w:fill="D2DEEE"/>
          </w:tcPr>
          <w:p>
            <w:pPr>
              <w:spacing w:after="0"/>
              <w:rPr>
                <w:sz w:val="17"/>
                <w:szCs w:val="17"/>
                <w:color w:val="auto"/>
              </w:rPr>
            </w:pPr>
          </w:p>
        </w:tc>
        <w:tc>
          <w:tcPr>
            <w:tcW w:w="740" w:type="dxa"/>
            <w:vAlign w:val="bottom"/>
            <w:shd w:val="clear" w:color="auto" w:fill="D2DEEE"/>
          </w:tcPr>
          <w:p>
            <w:pPr>
              <w:spacing w:after="0"/>
              <w:rPr>
                <w:sz w:val="17"/>
                <w:szCs w:val="17"/>
                <w:color w:val="auto"/>
              </w:rPr>
            </w:pPr>
          </w:p>
        </w:tc>
      </w:tr>
      <w:tr>
        <w:trPr>
          <w:trHeight w:val="184"/>
        </w:trPr>
        <w:tc>
          <w:tcPr>
            <w:tcW w:w="7180" w:type="dxa"/>
            <w:vAlign w:val="bottom"/>
          </w:tcPr>
          <w:p>
            <w:pPr>
              <w:spacing w:after="0" w:line="184" w:lineRule="exact"/>
              <w:rPr>
                <w:sz w:val="20"/>
                <w:szCs w:val="20"/>
                <w:color w:val="auto"/>
              </w:rPr>
            </w:pPr>
            <w:r>
              <w:rPr>
                <w:rFonts w:ascii="Arial" w:cs="Arial" w:eastAsia="Arial" w:hAnsi="Arial"/>
                <w:sz w:val="18"/>
                <w:szCs w:val="18"/>
                <w:color w:val="auto"/>
              </w:rPr>
              <w:t>In-Person Attendance</w:t>
            </w:r>
          </w:p>
        </w:tc>
        <w:tc>
          <w:tcPr>
            <w:tcW w:w="35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2,000</w:t>
            </w:r>
          </w:p>
        </w:tc>
      </w:tr>
      <w:tr>
        <w:trPr>
          <w:trHeight w:val="221"/>
        </w:trPr>
        <w:tc>
          <w:tcPr>
            <w:tcW w:w="7180" w:type="dxa"/>
            <w:vAlign w:val="bottom"/>
          </w:tcPr>
          <w:p>
            <w:pPr>
              <w:spacing w:after="0"/>
              <w:rPr>
                <w:sz w:val="20"/>
                <w:szCs w:val="20"/>
                <w:color w:val="auto"/>
              </w:rPr>
            </w:pPr>
            <w:r>
              <w:rPr>
                <w:rFonts w:ascii="Arial" w:cs="Arial" w:eastAsia="Arial" w:hAnsi="Arial"/>
                <w:sz w:val="18"/>
                <w:szCs w:val="18"/>
                <w:color w:val="auto"/>
              </w:rPr>
              <w:t>Telephonic Attendance</w:t>
            </w:r>
          </w:p>
        </w:tc>
        <w:tc>
          <w:tcPr>
            <w:tcW w:w="3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1,000</w:t>
            </w:r>
          </w:p>
        </w:tc>
      </w:tr>
      <w:tr>
        <w:trPr>
          <w:trHeight w:val="203"/>
        </w:trPr>
        <w:tc>
          <w:tcPr>
            <w:tcW w:w="7180" w:type="dxa"/>
            <w:vAlign w:val="bottom"/>
            <w:shd w:val="clear" w:color="auto" w:fill="D2DEEE"/>
          </w:tcPr>
          <w:p>
            <w:pPr>
              <w:spacing w:after="0" w:line="203" w:lineRule="exact"/>
              <w:rPr>
                <w:sz w:val="20"/>
                <w:szCs w:val="20"/>
                <w:color w:val="auto"/>
              </w:rPr>
            </w:pPr>
            <w:r>
              <w:rPr>
                <w:rFonts w:ascii="Arial" w:cs="Arial" w:eastAsia="Arial" w:hAnsi="Arial"/>
                <w:sz w:val="18"/>
                <w:szCs w:val="18"/>
                <w:b w:val="1"/>
                <w:bCs w:val="1"/>
                <w:i w:val="1"/>
                <w:iCs w:val="1"/>
                <w:color w:val="auto"/>
              </w:rPr>
              <w:t>Committee Meeting Compensation</w:t>
            </w:r>
            <w:r>
              <w:rPr>
                <w:rFonts w:ascii="Arial" w:cs="Arial" w:eastAsia="Arial" w:hAnsi="Arial"/>
                <w:sz w:val="22"/>
                <w:szCs w:val="22"/>
                <w:b w:val="1"/>
                <w:bCs w:val="1"/>
                <w:color w:val="auto"/>
                <w:vertAlign w:val="superscript"/>
              </w:rPr>
              <w:t>(2)</w:t>
            </w:r>
          </w:p>
        </w:tc>
        <w:tc>
          <w:tcPr>
            <w:tcW w:w="3500" w:type="dxa"/>
            <w:vAlign w:val="bottom"/>
            <w:shd w:val="clear" w:color="auto" w:fill="D2DEEE"/>
          </w:tcPr>
          <w:p>
            <w:pPr>
              <w:spacing w:after="0"/>
              <w:rPr>
                <w:sz w:val="17"/>
                <w:szCs w:val="17"/>
                <w:color w:val="auto"/>
              </w:rPr>
            </w:pPr>
          </w:p>
        </w:tc>
        <w:tc>
          <w:tcPr>
            <w:tcW w:w="740" w:type="dxa"/>
            <w:vAlign w:val="bottom"/>
            <w:shd w:val="clear" w:color="auto" w:fill="D2DEEE"/>
          </w:tcPr>
          <w:p>
            <w:pPr>
              <w:spacing w:after="0"/>
              <w:rPr>
                <w:sz w:val="17"/>
                <w:szCs w:val="17"/>
                <w:color w:val="auto"/>
              </w:rPr>
            </w:pPr>
          </w:p>
        </w:tc>
      </w:tr>
      <w:tr>
        <w:trPr>
          <w:trHeight w:val="184"/>
        </w:trPr>
        <w:tc>
          <w:tcPr>
            <w:tcW w:w="7180" w:type="dxa"/>
            <w:vAlign w:val="bottom"/>
          </w:tcPr>
          <w:p>
            <w:pPr>
              <w:spacing w:after="0" w:line="184" w:lineRule="exact"/>
              <w:rPr>
                <w:sz w:val="20"/>
                <w:szCs w:val="20"/>
                <w:color w:val="auto"/>
              </w:rPr>
            </w:pPr>
            <w:r>
              <w:rPr>
                <w:rFonts w:ascii="Arial" w:cs="Arial" w:eastAsia="Arial" w:hAnsi="Arial"/>
                <w:sz w:val="18"/>
                <w:szCs w:val="18"/>
                <w:color w:val="auto"/>
              </w:rPr>
              <w:t>In-Person Attendance</w:t>
            </w:r>
          </w:p>
        </w:tc>
        <w:tc>
          <w:tcPr>
            <w:tcW w:w="35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1,000</w:t>
            </w:r>
          </w:p>
        </w:tc>
      </w:tr>
      <w:tr>
        <w:trPr>
          <w:trHeight w:val="228"/>
        </w:trPr>
        <w:tc>
          <w:tcPr>
            <w:tcW w:w="7180" w:type="dxa"/>
            <w:vAlign w:val="bottom"/>
          </w:tcPr>
          <w:p>
            <w:pPr>
              <w:spacing w:after="0"/>
              <w:rPr>
                <w:sz w:val="20"/>
                <w:szCs w:val="20"/>
                <w:color w:val="auto"/>
              </w:rPr>
            </w:pPr>
            <w:r>
              <w:rPr>
                <w:rFonts w:ascii="Arial" w:cs="Arial" w:eastAsia="Arial" w:hAnsi="Arial"/>
                <w:sz w:val="18"/>
                <w:szCs w:val="18"/>
                <w:color w:val="auto"/>
              </w:rPr>
              <w:t>Telephonic Attendance</w:t>
            </w:r>
          </w:p>
        </w:tc>
        <w:tc>
          <w:tcPr>
            <w:tcW w:w="3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187"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An extended board meeting over multiple days is treated as a single board meeting for payment purposes.</w:t>
      </w:r>
    </w:p>
    <w:p>
      <w:pPr>
        <w:spacing w:after="0" w:line="66"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Directors attending a board and a committee meeting on the same day will only receive a fee for the board meeting.</w:t>
      </w:r>
    </w:p>
    <w:p>
      <w:pPr>
        <w:spacing w:after="0" w:line="70" w:lineRule="exact"/>
        <w:rPr>
          <w:sz w:val="20"/>
          <w:szCs w:val="20"/>
          <w:color w:val="auto"/>
        </w:rPr>
      </w:pPr>
    </w:p>
    <w:p>
      <w:pPr>
        <w:ind w:right="520"/>
        <w:spacing w:after="0" w:line="244" w:lineRule="auto"/>
        <w:rPr>
          <w:sz w:val="20"/>
          <w:szCs w:val="20"/>
          <w:color w:val="auto"/>
        </w:rPr>
      </w:pPr>
      <w:r>
        <w:rPr>
          <w:rFonts w:ascii="Arial" w:cs="Arial" w:eastAsia="Arial" w:hAnsi="Arial"/>
          <w:sz w:val="18"/>
          <w:szCs w:val="18"/>
          <w:color w:val="auto"/>
        </w:rPr>
        <w:t>We also reimburse our directors for reasonable travel expenses incurred in connection with attendance at board, committee and shareholder meetings and other Company business.</w:t>
      </w:r>
    </w:p>
    <w:p>
      <w:pPr>
        <w:spacing w:after="0" w:line="4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Mr. Jellison is an employee of the Company and did not receive any compensation for his service as a director. His compensation is set forth in the “Executive Compensation” section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DIRECTOR COMPENSATION </w:t>
      </w:r>
      <w:r>
        <w:rPr>
          <w:rFonts w:ascii="Arial" w:cs="Arial" w:eastAsia="Arial" w:hAnsi="Arial"/>
          <w:sz w:val="18"/>
          <w:szCs w:val="18"/>
          <w:i w:val="1"/>
          <w:iCs w:val="1"/>
          <w:color w:val="225CAB"/>
        </w:rPr>
        <w:t>(CONTINUED)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of our non-employee directors for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Director Compensation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shd w:val="clear" w:color="auto" w:fill="225CAB"/>
          </w:tcPr>
          <w:p>
            <w:pPr>
              <w:spacing w:after="0"/>
              <w:rPr>
                <w:sz w:val="14"/>
                <w:szCs w:val="14"/>
                <w:color w:val="auto"/>
              </w:rPr>
            </w:pPr>
          </w:p>
        </w:tc>
        <w:tc>
          <w:tcPr>
            <w:tcW w:w="3220" w:type="dxa"/>
            <w:vAlign w:val="bottom"/>
            <w:shd w:val="clear" w:color="auto" w:fill="225CAB"/>
          </w:tcPr>
          <w:p>
            <w:pPr>
              <w:jc w:val="center"/>
              <w:ind w:left="1218"/>
              <w:spacing w:after="0"/>
              <w:rPr>
                <w:sz w:val="20"/>
                <w:szCs w:val="20"/>
                <w:color w:val="auto"/>
              </w:rPr>
            </w:pPr>
            <w:r>
              <w:rPr>
                <w:rFonts w:ascii="Arial" w:cs="Arial" w:eastAsia="Arial" w:hAnsi="Arial"/>
                <w:sz w:val="14"/>
                <w:szCs w:val="14"/>
                <w:color w:val="FFFFFF"/>
                <w:w w:val="95"/>
              </w:rPr>
              <w:t>Fees Earned or</w:t>
            </w:r>
          </w:p>
        </w:tc>
        <w:tc>
          <w:tcPr>
            <w:tcW w:w="160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6"/>
              </w:rPr>
              <w:t>Stock</w:t>
            </w:r>
          </w:p>
        </w:tc>
        <w:tc>
          <w:tcPr>
            <w:tcW w:w="1840" w:type="dxa"/>
            <w:vAlign w:val="bottom"/>
            <w:shd w:val="clear" w:color="auto" w:fill="225CAB"/>
          </w:tcPr>
          <w:p>
            <w:pPr>
              <w:jc w:val="right"/>
              <w:ind w:right="578"/>
              <w:spacing w:after="0"/>
              <w:rPr>
                <w:sz w:val="20"/>
                <w:szCs w:val="20"/>
                <w:color w:val="auto"/>
              </w:rPr>
            </w:pPr>
            <w:r>
              <w:rPr>
                <w:rFonts w:ascii="Arial" w:cs="Arial" w:eastAsia="Arial" w:hAnsi="Arial"/>
                <w:sz w:val="14"/>
                <w:szCs w:val="14"/>
                <w:color w:val="FFFFFF"/>
              </w:rPr>
              <w:t>All Other</w:t>
            </w:r>
          </w:p>
        </w:tc>
        <w:tc>
          <w:tcPr>
            <w:tcW w:w="1200" w:type="dxa"/>
            <w:vAlign w:val="bottom"/>
            <w:shd w:val="clear" w:color="auto" w:fill="225CAB"/>
          </w:tcPr>
          <w:p>
            <w:pPr>
              <w:spacing w:after="0"/>
              <w:rPr>
                <w:sz w:val="14"/>
                <w:szCs w:val="14"/>
                <w:color w:val="auto"/>
              </w:rPr>
            </w:pPr>
          </w:p>
        </w:tc>
      </w:tr>
      <w:tr>
        <w:trPr>
          <w:trHeight w:val="149"/>
        </w:trPr>
        <w:tc>
          <w:tcPr>
            <w:tcW w:w="3560" w:type="dxa"/>
            <w:vAlign w:val="bottom"/>
            <w:shd w:val="clear" w:color="auto" w:fill="225CAB"/>
          </w:tcPr>
          <w:p>
            <w:pPr>
              <w:spacing w:after="0"/>
              <w:rPr>
                <w:sz w:val="12"/>
                <w:szCs w:val="12"/>
                <w:color w:val="auto"/>
              </w:rPr>
            </w:pPr>
          </w:p>
        </w:tc>
        <w:tc>
          <w:tcPr>
            <w:tcW w:w="3220" w:type="dxa"/>
            <w:vAlign w:val="bottom"/>
            <w:shd w:val="clear" w:color="auto" w:fill="225CAB"/>
          </w:tcPr>
          <w:p>
            <w:pPr>
              <w:jc w:val="center"/>
              <w:ind w:left="1218"/>
              <w:spacing w:after="0" w:line="149" w:lineRule="exact"/>
              <w:rPr>
                <w:sz w:val="20"/>
                <w:szCs w:val="20"/>
                <w:color w:val="auto"/>
              </w:rPr>
            </w:pPr>
            <w:r>
              <w:rPr>
                <w:rFonts w:ascii="Arial" w:cs="Arial" w:eastAsia="Arial" w:hAnsi="Arial"/>
                <w:sz w:val="14"/>
                <w:szCs w:val="14"/>
                <w:color w:val="FFFFFF"/>
                <w:w w:val="95"/>
              </w:rPr>
              <w:t>Paid in Cash</w:t>
            </w:r>
          </w:p>
        </w:tc>
        <w:tc>
          <w:tcPr>
            <w:tcW w:w="1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8"/>
              </w:rPr>
              <w:t>Awards</w:t>
            </w:r>
          </w:p>
        </w:tc>
        <w:tc>
          <w:tcPr>
            <w:tcW w:w="1840" w:type="dxa"/>
            <w:vAlign w:val="bottom"/>
            <w:shd w:val="clear" w:color="auto" w:fill="225CAB"/>
          </w:tcPr>
          <w:p>
            <w:pPr>
              <w:jc w:val="right"/>
              <w:ind w:right="418"/>
              <w:spacing w:after="0" w:line="149" w:lineRule="exact"/>
              <w:rPr>
                <w:sz w:val="20"/>
                <w:szCs w:val="20"/>
                <w:color w:val="auto"/>
              </w:rPr>
            </w:pPr>
            <w:r>
              <w:rPr>
                <w:rFonts w:ascii="Arial" w:cs="Arial" w:eastAsia="Arial" w:hAnsi="Arial"/>
                <w:sz w:val="14"/>
                <w:szCs w:val="14"/>
                <w:color w:val="FFFFFF"/>
              </w:rPr>
              <w:t>Compensation</w:t>
            </w:r>
          </w:p>
        </w:tc>
        <w:tc>
          <w:tcPr>
            <w:tcW w:w="1200" w:type="dxa"/>
            <w:vAlign w:val="bottom"/>
            <w:shd w:val="clear" w:color="auto" w:fill="225CAB"/>
          </w:tcPr>
          <w:p>
            <w:pPr>
              <w:jc w:val="center"/>
              <w:ind w:left="337"/>
              <w:spacing w:after="0" w:line="149" w:lineRule="exact"/>
              <w:rPr>
                <w:sz w:val="20"/>
                <w:szCs w:val="20"/>
                <w:color w:val="auto"/>
              </w:rPr>
            </w:pPr>
            <w:r>
              <w:rPr>
                <w:rFonts w:ascii="Arial" w:cs="Arial" w:eastAsia="Arial" w:hAnsi="Arial"/>
                <w:sz w:val="14"/>
                <w:szCs w:val="14"/>
                <w:color w:val="FFFFFF"/>
                <w:w w:val="96"/>
              </w:rPr>
              <w:t>Total</w:t>
            </w:r>
          </w:p>
        </w:tc>
      </w:tr>
      <w:tr>
        <w:trPr>
          <w:trHeight w:val="176"/>
        </w:trPr>
        <w:tc>
          <w:tcPr>
            <w:tcW w:w="3560" w:type="dxa"/>
            <w:vAlign w:val="bottom"/>
            <w:shd w:val="clear" w:color="auto" w:fill="225CAB"/>
          </w:tcPr>
          <w:p>
            <w:pPr>
              <w:spacing w:after="0"/>
              <w:rPr>
                <w:sz w:val="20"/>
                <w:szCs w:val="20"/>
                <w:color w:val="auto"/>
              </w:rPr>
            </w:pPr>
            <w:r>
              <w:rPr>
                <w:rFonts w:ascii="Arial" w:cs="Arial" w:eastAsia="Arial" w:hAnsi="Arial"/>
                <w:sz w:val="14"/>
                <w:szCs w:val="14"/>
                <w:color w:val="FFFFFF"/>
              </w:rPr>
              <w:t>Name</w:t>
            </w:r>
          </w:p>
        </w:tc>
        <w:tc>
          <w:tcPr>
            <w:tcW w:w="3220" w:type="dxa"/>
            <w:vAlign w:val="bottom"/>
            <w:shd w:val="clear" w:color="auto" w:fill="225CAB"/>
          </w:tcPr>
          <w:p>
            <w:pPr>
              <w:jc w:val="center"/>
              <w:ind w:left="1218"/>
              <w:spacing w:after="0"/>
              <w:rPr>
                <w:sz w:val="20"/>
                <w:szCs w:val="20"/>
                <w:color w:val="auto"/>
              </w:rPr>
            </w:pPr>
            <w:r>
              <w:rPr>
                <w:rFonts w:ascii="Arial" w:cs="Arial" w:eastAsia="Arial" w:hAnsi="Arial"/>
                <w:sz w:val="14"/>
                <w:szCs w:val="14"/>
                <w:color w:val="FFFFFF"/>
                <w:w w:val="93"/>
              </w:rPr>
              <w:t>($)</w:t>
            </w:r>
          </w:p>
        </w:tc>
        <w:tc>
          <w:tcPr>
            <w:tcW w:w="1600" w:type="dxa"/>
            <w:vAlign w:val="bottom"/>
            <w:shd w:val="clear" w:color="auto" w:fill="225CAB"/>
          </w:tcPr>
          <w:p>
            <w:pPr>
              <w:jc w:val="center"/>
              <w:spacing w:after="0" w:line="176" w:lineRule="exact"/>
              <w:rPr>
                <w:sz w:val="20"/>
                <w:szCs w:val="20"/>
                <w:color w:val="auto"/>
              </w:rPr>
            </w:pPr>
            <w:r>
              <w:rPr>
                <w:rFonts w:ascii="Arial" w:cs="Arial" w:eastAsia="Arial" w:hAnsi="Arial"/>
                <w:sz w:val="20"/>
                <w:szCs w:val="20"/>
                <w:color w:val="FFFFFF"/>
                <w:vertAlign w:val="subscript"/>
              </w:rPr>
              <w:t>($)</w:t>
            </w:r>
            <w:r>
              <w:rPr>
                <w:rFonts w:ascii="Arial" w:cs="Arial" w:eastAsia="Arial" w:hAnsi="Arial"/>
                <w:sz w:val="9"/>
                <w:szCs w:val="9"/>
                <w:color w:val="FFFFFF"/>
              </w:rPr>
              <w:t>(1)(2)(3)</w:t>
            </w:r>
          </w:p>
        </w:tc>
        <w:tc>
          <w:tcPr>
            <w:tcW w:w="1840" w:type="dxa"/>
            <w:vAlign w:val="bottom"/>
            <w:shd w:val="clear" w:color="auto" w:fill="225CAB"/>
          </w:tcPr>
          <w:p>
            <w:pPr>
              <w:jc w:val="right"/>
              <w:ind w:right="758"/>
              <w:spacing w:after="0"/>
              <w:rPr>
                <w:sz w:val="20"/>
                <w:szCs w:val="20"/>
                <w:color w:val="auto"/>
              </w:rPr>
            </w:pPr>
            <w:r>
              <w:rPr>
                <w:rFonts w:ascii="Arial" w:cs="Arial" w:eastAsia="Arial" w:hAnsi="Arial"/>
                <w:sz w:val="14"/>
                <w:szCs w:val="14"/>
                <w:color w:val="FFFFFF"/>
              </w:rPr>
              <w:t>($)</w:t>
            </w:r>
          </w:p>
        </w:tc>
        <w:tc>
          <w:tcPr>
            <w:tcW w:w="1200" w:type="dxa"/>
            <w:vAlign w:val="bottom"/>
            <w:shd w:val="clear" w:color="auto" w:fill="225CAB"/>
          </w:tcPr>
          <w:p>
            <w:pPr>
              <w:jc w:val="center"/>
              <w:ind w:left="337"/>
              <w:spacing w:after="0"/>
              <w:rPr>
                <w:sz w:val="20"/>
                <w:szCs w:val="20"/>
                <w:color w:val="auto"/>
              </w:rPr>
            </w:pPr>
            <w:r>
              <w:rPr>
                <w:rFonts w:ascii="Arial" w:cs="Arial" w:eastAsia="Arial" w:hAnsi="Arial"/>
                <w:sz w:val="14"/>
                <w:szCs w:val="14"/>
                <w:color w:val="FFFFFF"/>
              </w:rPr>
              <w:t>($)</w:t>
            </w:r>
          </w:p>
        </w:tc>
      </w:tr>
      <w:tr>
        <w:trPr>
          <w:trHeight w:val="203"/>
        </w:trPr>
        <w:tc>
          <w:tcPr>
            <w:tcW w:w="356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David W. Devonshire</w:t>
            </w:r>
          </w:p>
        </w:tc>
        <w:tc>
          <w:tcPr>
            <w:tcW w:w="3220" w:type="dxa"/>
            <w:vAlign w:val="bottom"/>
            <w:tcBorders>
              <w:bottom w:val="single" w:sz="8" w:color="225CAB"/>
            </w:tcBorders>
          </w:tcPr>
          <w:p>
            <w:pPr>
              <w:jc w:val="right"/>
              <w:ind w:right="458"/>
              <w:spacing w:after="0" w:line="202" w:lineRule="exact"/>
              <w:rPr>
                <w:sz w:val="20"/>
                <w:szCs w:val="20"/>
                <w:color w:val="auto"/>
              </w:rPr>
            </w:pPr>
            <w:r>
              <w:rPr>
                <w:rFonts w:ascii="Arial" w:cs="Arial" w:eastAsia="Arial" w:hAnsi="Arial"/>
                <w:sz w:val="18"/>
                <w:szCs w:val="18"/>
                <w:color w:val="auto"/>
              </w:rPr>
              <w:t>64,500</w:t>
            </w:r>
          </w:p>
        </w:tc>
        <w:tc>
          <w:tcPr>
            <w:tcW w:w="160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5"/>
              </w:rPr>
              <w:t>562,760</w:t>
            </w:r>
          </w:p>
        </w:tc>
        <w:tc>
          <w:tcPr>
            <w:tcW w:w="1840" w:type="dxa"/>
            <w:vAlign w:val="bottom"/>
            <w:tcBorders>
              <w:bottom w:val="single" w:sz="8" w:color="225CAB"/>
            </w:tcBorders>
          </w:tcPr>
          <w:p>
            <w:pPr>
              <w:jc w:val="right"/>
              <w:ind w:right="758"/>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center"/>
              <w:ind w:left="377"/>
              <w:spacing w:after="0" w:line="202" w:lineRule="exact"/>
              <w:rPr>
                <w:sz w:val="20"/>
                <w:szCs w:val="20"/>
                <w:color w:val="auto"/>
              </w:rPr>
            </w:pPr>
            <w:r>
              <w:rPr>
                <w:rFonts w:ascii="Arial" w:cs="Arial" w:eastAsia="Arial" w:hAnsi="Arial"/>
                <w:sz w:val="18"/>
                <w:szCs w:val="18"/>
                <w:color w:val="auto"/>
                <w:w w:val="95"/>
              </w:rPr>
              <w:t>627,260</w:t>
            </w:r>
          </w:p>
        </w:tc>
      </w:tr>
      <w:tr>
        <w:trPr>
          <w:trHeight w:val="196"/>
        </w:trPr>
        <w:tc>
          <w:tcPr>
            <w:tcW w:w="35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F. Fort III</w:t>
            </w:r>
          </w:p>
        </w:tc>
        <w:tc>
          <w:tcPr>
            <w:tcW w:w="3220" w:type="dxa"/>
            <w:vAlign w:val="bottom"/>
            <w:tcBorders>
              <w:bottom w:val="single" w:sz="8" w:color="225CAB"/>
            </w:tcBorders>
          </w:tcPr>
          <w:p>
            <w:pPr>
              <w:jc w:val="right"/>
              <w:ind w:right="458"/>
              <w:spacing w:after="0" w:line="196" w:lineRule="exact"/>
              <w:rPr>
                <w:sz w:val="20"/>
                <w:szCs w:val="20"/>
                <w:color w:val="auto"/>
              </w:rPr>
            </w:pPr>
            <w:r>
              <w:rPr>
                <w:rFonts w:ascii="Arial" w:cs="Arial" w:eastAsia="Arial" w:hAnsi="Arial"/>
                <w:sz w:val="18"/>
                <w:szCs w:val="18"/>
                <w:color w:val="auto"/>
              </w:rPr>
              <w:t>58,000</w:t>
            </w: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5"/>
              </w:rPr>
              <w:t>562,760</w:t>
            </w:r>
          </w:p>
        </w:tc>
        <w:tc>
          <w:tcPr>
            <w:tcW w:w="1840" w:type="dxa"/>
            <w:vAlign w:val="bottom"/>
            <w:tcBorders>
              <w:bottom w:val="single" w:sz="8" w:color="225CAB"/>
            </w:tcBorders>
          </w:tcPr>
          <w:p>
            <w:pPr>
              <w:jc w:val="right"/>
              <w:ind w:right="758"/>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center"/>
              <w:ind w:left="377"/>
              <w:spacing w:after="0" w:line="196" w:lineRule="exact"/>
              <w:rPr>
                <w:sz w:val="20"/>
                <w:szCs w:val="20"/>
                <w:color w:val="auto"/>
              </w:rPr>
            </w:pPr>
            <w:r>
              <w:rPr>
                <w:rFonts w:ascii="Arial" w:cs="Arial" w:eastAsia="Arial" w:hAnsi="Arial"/>
                <w:sz w:val="18"/>
                <w:szCs w:val="18"/>
                <w:color w:val="auto"/>
                <w:w w:val="95"/>
              </w:rPr>
              <w:t>620,760</w:t>
            </w:r>
          </w:p>
        </w:tc>
      </w:tr>
      <w:tr>
        <w:trPr>
          <w:trHeight w:val="196"/>
        </w:trPr>
        <w:tc>
          <w:tcPr>
            <w:tcW w:w="35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D. Johnson</w:t>
            </w:r>
          </w:p>
        </w:tc>
        <w:tc>
          <w:tcPr>
            <w:tcW w:w="3220" w:type="dxa"/>
            <w:vAlign w:val="bottom"/>
            <w:tcBorders>
              <w:bottom w:val="single" w:sz="8" w:color="225CAB"/>
            </w:tcBorders>
          </w:tcPr>
          <w:p>
            <w:pPr>
              <w:jc w:val="right"/>
              <w:ind w:right="458"/>
              <w:spacing w:after="0" w:line="196" w:lineRule="exact"/>
              <w:rPr>
                <w:sz w:val="20"/>
                <w:szCs w:val="20"/>
                <w:color w:val="auto"/>
              </w:rPr>
            </w:pPr>
            <w:r>
              <w:rPr>
                <w:rFonts w:ascii="Arial" w:cs="Arial" w:eastAsia="Arial" w:hAnsi="Arial"/>
                <w:sz w:val="18"/>
                <w:szCs w:val="18"/>
                <w:color w:val="auto"/>
              </w:rPr>
              <w:t>61,500</w:t>
            </w: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5"/>
              </w:rPr>
              <w:t>562,760</w:t>
            </w:r>
          </w:p>
        </w:tc>
        <w:tc>
          <w:tcPr>
            <w:tcW w:w="1840" w:type="dxa"/>
            <w:vAlign w:val="bottom"/>
            <w:tcBorders>
              <w:bottom w:val="single" w:sz="8" w:color="225CAB"/>
            </w:tcBorders>
          </w:tcPr>
          <w:p>
            <w:pPr>
              <w:jc w:val="right"/>
              <w:ind w:right="758"/>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center"/>
              <w:ind w:left="377"/>
              <w:spacing w:after="0" w:line="196" w:lineRule="exact"/>
              <w:rPr>
                <w:sz w:val="20"/>
                <w:szCs w:val="20"/>
                <w:color w:val="auto"/>
              </w:rPr>
            </w:pPr>
            <w:r>
              <w:rPr>
                <w:rFonts w:ascii="Arial" w:cs="Arial" w:eastAsia="Arial" w:hAnsi="Arial"/>
                <w:sz w:val="18"/>
                <w:szCs w:val="18"/>
                <w:color w:val="auto"/>
                <w:w w:val="95"/>
              </w:rPr>
              <w:t>624,260</w:t>
            </w:r>
          </w:p>
        </w:tc>
      </w:tr>
      <w:tr>
        <w:trPr>
          <w:trHeight w:val="196"/>
        </w:trPr>
        <w:tc>
          <w:tcPr>
            <w:tcW w:w="35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 Jr</w:t>
            </w:r>
          </w:p>
        </w:tc>
        <w:tc>
          <w:tcPr>
            <w:tcW w:w="3220" w:type="dxa"/>
            <w:vAlign w:val="bottom"/>
            <w:tcBorders>
              <w:bottom w:val="single" w:sz="8" w:color="225CAB"/>
            </w:tcBorders>
          </w:tcPr>
          <w:p>
            <w:pPr>
              <w:jc w:val="right"/>
              <w:ind w:right="458"/>
              <w:spacing w:after="0" w:line="196" w:lineRule="exact"/>
              <w:rPr>
                <w:sz w:val="20"/>
                <w:szCs w:val="20"/>
                <w:color w:val="auto"/>
              </w:rPr>
            </w:pPr>
            <w:r>
              <w:rPr>
                <w:rFonts w:ascii="Arial" w:cs="Arial" w:eastAsia="Arial" w:hAnsi="Arial"/>
                <w:sz w:val="18"/>
                <w:szCs w:val="18"/>
                <w:color w:val="auto"/>
              </w:rPr>
              <w:t>56,500</w:t>
            </w: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5"/>
              </w:rPr>
              <w:t>562,760</w:t>
            </w:r>
          </w:p>
        </w:tc>
        <w:tc>
          <w:tcPr>
            <w:tcW w:w="1840" w:type="dxa"/>
            <w:vAlign w:val="bottom"/>
            <w:tcBorders>
              <w:bottom w:val="single" w:sz="8" w:color="225CAB"/>
            </w:tcBorders>
          </w:tcPr>
          <w:p>
            <w:pPr>
              <w:jc w:val="right"/>
              <w:ind w:right="758"/>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center"/>
              <w:ind w:left="377"/>
              <w:spacing w:after="0" w:line="196" w:lineRule="exact"/>
              <w:rPr>
                <w:sz w:val="20"/>
                <w:szCs w:val="20"/>
                <w:color w:val="auto"/>
              </w:rPr>
            </w:pPr>
            <w:r>
              <w:rPr>
                <w:rFonts w:ascii="Arial" w:cs="Arial" w:eastAsia="Arial" w:hAnsi="Arial"/>
                <w:sz w:val="18"/>
                <w:szCs w:val="18"/>
                <w:color w:val="auto"/>
                <w:w w:val="95"/>
              </w:rPr>
              <w:t>619,260</w:t>
            </w:r>
          </w:p>
        </w:tc>
      </w:tr>
      <w:tr>
        <w:trPr>
          <w:trHeight w:val="196"/>
        </w:trPr>
        <w:tc>
          <w:tcPr>
            <w:tcW w:w="35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Wilbur J. Prezzano</w:t>
            </w:r>
          </w:p>
        </w:tc>
        <w:tc>
          <w:tcPr>
            <w:tcW w:w="3220" w:type="dxa"/>
            <w:vAlign w:val="bottom"/>
            <w:tcBorders>
              <w:bottom w:val="single" w:sz="8" w:color="225CAB"/>
            </w:tcBorders>
          </w:tcPr>
          <w:p>
            <w:pPr>
              <w:jc w:val="right"/>
              <w:ind w:right="458"/>
              <w:spacing w:after="0" w:line="196" w:lineRule="exact"/>
              <w:rPr>
                <w:sz w:val="20"/>
                <w:szCs w:val="20"/>
                <w:color w:val="auto"/>
              </w:rPr>
            </w:pPr>
            <w:r>
              <w:rPr>
                <w:rFonts w:ascii="Arial" w:cs="Arial" w:eastAsia="Arial" w:hAnsi="Arial"/>
                <w:sz w:val="18"/>
                <w:szCs w:val="18"/>
                <w:color w:val="auto"/>
              </w:rPr>
              <w:t>56,500</w:t>
            </w: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5"/>
              </w:rPr>
              <w:t>562,760</w:t>
            </w:r>
          </w:p>
        </w:tc>
        <w:tc>
          <w:tcPr>
            <w:tcW w:w="1840" w:type="dxa"/>
            <w:vAlign w:val="bottom"/>
            <w:tcBorders>
              <w:bottom w:val="single" w:sz="8" w:color="225CAB"/>
            </w:tcBorders>
          </w:tcPr>
          <w:p>
            <w:pPr>
              <w:jc w:val="right"/>
              <w:ind w:right="758"/>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center"/>
              <w:ind w:left="377"/>
              <w:spacing w:after="0" w:line="196" w:lineRule="exact"/>
              <w:rPr>
                <w:sz w:val="20"/>
                <w:szCs w:val="20"/>
                <w:color w:val="auto"/>
              </w:rPr>
            </w:pPr>
            <w:r>
              <w:rPr>
                <w:rFonts w:ascii="Arial" w:cs="Arial" w:eastAsia="Arial" w:hAnsi="Arial"/>
                <w:sz w:val="18"/>
                <w:szCs w:val="18"/>
                <w:color w:val="auto"/>
                <w:w w:val="95"/>
              </w:rPr>
              <w:t>619,260</w:t>
            </w:r>
          </w:p>
        </w:tc>
      </w:tr>
      <w:tr>
        <w:trPr>
          <w:trHeight w:val="196"/>
        </w:trPr>
        <w:tc>
          <w:tcPr>
            <w:tcW w:w="35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Richard F. Wallman</w:t>
            </w:r>
          </w:p>
        </w:tc>
        <w:tc>
          <w:tcPr>
            <w:tcW w:w="3220" w:type="dxa"/>
            <w:vAlign w:val="bottom"/>
            <w:tcBorders>
              <w:bottom w:val="single" w:sz="8" w:color="225CAB"/>
            </w:tcBorders>
          </w:tcPr>
          <w:p>
            <w:pPr>
              <w:jc w:val="right"/>
              <w:ind w:right="458"/>
              <w:spacing w:after="0" w:line="196" w:lineRule="exact"/>
              <w:rPr>
                <w:sz w:val="20"/>
                <w:szCs w:val="20"/>
                <w:color w:val="auto"/>
              </w:rPr>
            </w:pPr>
            <w:r>
              <w:rPr>
                <w:rFonts w:ascii="Arial" w:cs="Arial" w:eastAsia="Arial" w:hAnsi="Arial"/>
                <w:sz w:val="18"/>
                <w:szCs w:val="18"/>
                <w:color w:val="auto"/>
              </w:rPr>
              <w:t>58,500</w:t>
            </w: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5"/>
              </w:rPr>
              <w:t>562,760</w:t>
            </w:r>
          </w:p>
        </w:tc>
        <w:tc>
          <w:tcPr>
            <w:tcW w:w="1840" w:type="dxa"/>
            <w:vAlign w:val="bottom"/>
            <w:tcBorders>
              <w:bottom w:val="single" w:sz="8" w:color="225CAB"/>
            </w:tcBorders>
          </w:tcPr>
          <w:p>
            <w:pPr>
              <w:jc w:val="right"/>
              <w:ind w:right="758"/>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center"/>
              <w:ind w:left="377"/>
              <w:spacing w:after="0" w:line="196" w:lineRule="exact"/>
              <w:rPr>
                <w:sz w:val="20"/>
                <w:szCs w:val="20"/>
                <w:color w:val="auto"/>
              </w:rPr>
            </w:pPr>
            <w:r>
              <w:rPr>
                <w:rFonts w:ascii="Arial" w:cs="Arial" w:eastAsia="Arial" w:hAnsi="Arial"/>
                <w:sz w:val="18"/>
                <w:szCs w:val="18"/>
                <w:color w:val="auto"/>
                <w:w w:val="95"/>
              </w:rPr>
              <w:t>621,260</w:t>
            </w:r>
          </w:p>
        </w:tc>
      </w:tr>
      <w:tr>
        <w:trPr>
          <w:trHeight w:val="202"/>
        </w:trPr>
        <w:tc>
          <w:tcPr>
            <w:tcW w:w="3560" w:type="dxa"/>
            <w:vAlign w:val="bottom"/>
          </w:tcPr>
          <w:p>
            <w:pPr>
              <w:spacing w:after="0" w:line="202" w:lineRule="exact"/>
              <w:rPr>
                <w:sz w:val="20"/>
                <w:szCs w:val="20"/>
                <w:color w:val="auto"/>
              </w:rPr>
            </w:pPr>
            <w:r>
              <w:rPr>
                <w:rFonts w:ascii="Arial" w:cs="Arial" w:eastAsia="Arial" w:hAnsi="Arial"/>
                <w:sz w:val="18"/>
                <w:szCs w:val="18"/>
                <w:color w:val="225CAB"/>
              </w:rPr>
              <w:t>Christopher Wright</w:t>
            </w:r>
          </w:p>
        </w:tc>
        <w:tc>
          <w:tcPr>
            <w:tcW w:w="3220" w:type="dxa"/>
            <w:vAlign w:val="bottom"/>
          </w:tcPr>
          <w:p>
            <w:pPr>
              <w:jc w:val="right"/>
              <w:ind w:right="458"/>
              <w:spacing w:after="0" w:line="202" w:lineRule="exact"/>
              <w:rPr>
                <w:sz w:val="20"/>
                <w:szCs w:val="20"/>
                <w:color w:val="auto"/>
              </w:rPr>
            </w:pPr>
            <w:r>
              <w:rPr>
                <w:rFonts w:ascii="Arial" w:cs="Arial" w:eastAsia="Arial" w:hAnsi="Arial"/>
                <w:sz w:val="18"/>
                <w:szCs w:val="18"/>
                <w:color w:val="auto"/>
              </w:rPr>
              <w:t>59,500</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5"/>
              </w:rPr>
              <w:t>562,760</w:t>
            </w:r>
          </w:p>
        </w:tc>
        <w:tc>
          <w:tcPr>
            <w:tcW w:w="1840" w:type="dxa"/>
            <w:vAlign w:val="bottom"/>
          </w:tcPr>
          <w:p>
            <w:pPr>
              <w:jc w:val="right"/>
              <w:ind w:right="758"/>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center"/>
              <w:ind w:left="377"/>
              <w:spacing w:after="0" w:line="202" w:lineRule="exact"/>
              <w:rPr>
                <w:sz w:val="20"/>
                <w:szCs w:val="20"/>
                <w:color w:val="auto"/>
              </w:rPr>
            </w:pPr>
            <w:r>
              <w:rPr>
                <w:rFonts w:ascii="Arial" w:cs="Arial" w:eastAsia="Arial" w:hAnsi="Arial"/>
                <w:sz w:val="18"/>
                <w:szCs w:val="18"/>
                <w:color w:val="auto"/>
                <w:w w:val="95"/>
              </w:rPr>
              <w:t>622,260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40" w:hanging="332"/>
        <w:spacing w:after="0" w:line="190"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RSUs granted to these directors during 2014, calculated in accordance with Accounting Standards Codification (“ASC”) Topic 718 stock compensation.</w:t>
      </w:r>
    </w:p>
    <w:p>
      <w:pPr>
        <w:spacing w:after="0" w:line="1" w:lineRule="exact"/>
        <w:rPr>
          <w:rFonts w:ascii="Arial" w:cs="Arial" w:eastAsia="Arial" w:hAnsi="Arial"/>
          <w:sz w:val="22"/>
          <w:szCs w:val="22"/>
          <w:color w:val="auto"/>
          <w:vertAlign w:val="superscript"/>
        </w:rPr>
      </w:pPr>
    </w:p>
    <w:p>
      <w:pPr>
        <w:ind w:left="340" w:hanging="332"/>
        <w:spacing w:after="0" w:line="205"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As of December 31, 2014, each non-employee director had 2,000 unvested RSUs outstanding.</w:t>
      </w:r>
    </w:p>
    <w:p>
      <w:pPr>
        <w:spacing w:after="0" w:line="51"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45"/>
        </w:numPr>
        <w:rPr>
          <w:rFonts w:ascii="Arial" w:cs="Arial" w:eastAsia="Arial" w:hAnsi="Arial"/>
          <w:sz w:val="19"/>
          <w:szCs w:val="19"/>
          <w:color w:val="auto"/>
          <w:vertAlign w:val="superscript"/>
        </w:rPr>
      </w:pPr>
      <w:r>
        <w:rPr>
          <w:rFonts w:ascii="Arial" w:cs="Arial" w:eastAsia="Arial" w:hAnsi="Arial"/>
          <w:sz w:val="12"/>
          <w:szCs w:val="12"/>
          <w:color w:val="auto"/>
        </w:rPr>
        <w:t>There were no stock option awards outstanding at December 31, 2014 for our non-employee directors.</w:t>
      </w:r>
    </w:p>
    <w:p>
      <w:pPr>
        <w:spacing w:after="0" w:line="7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shareholder ownership and retention guidelines for non-employee directors requires them to own 4,000 shares of our common stock. Until the share ownership guidelines are met, non-employee directors are required to retain 100% of any shares they receive (on a net after tax basis) under our Director Compensation Plan. All of our directors are in compliance with the ownership and retention guidelines. The ownership requirement equated to approximately 15 times the annual cash retainer for directors, based on the closing price of our common stock on December 31, 2014 ($156.35 per share).</w:t>
      </w:r>
    </w:p>
    <w:p>
      <w:pPr>
        <w:spacing w:after="0" w:line="136"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19</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EXECUTIVE OFFICERS</w:t>
      </w:r>
    </w:p>
    <w:p>
      <w:pPr>
        <w:spacing w:after="0" w:line="273"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following table sets forth certain information concerning our current executive officers. The executive officers are elected by the Board of Directors and serve at its discretion.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460" w:type="dxa"/>
            <w:vAlign w:val="bottom"/>
            <w:gridSpan w:val="2"/>
            <w:shd w:val="clear" w:color="auto" w:fill="D2DEEE"/>
          </w:tcPr>
          <w:p>
            <w:pPr>
              <w:spacing w:after="0"/>
              <w:rPr>
                <w:sz w:val="20"/>
                <w:szCs w:val="20"/>
                <w:color w:val="auto"/>
              </w:rPr>
            </w:pPr>
            <w:r>
              <w:rPr>
                <w:rFonts w:ascii="Arial" w:cs="Arial" w:eastAsia="Arial" w:hAnsi="Arial"/>
                <w:sz w:val="18"/>
                <w:szCs w:val="18"/>
                <w:b w:val="1"/>
                <w:bCs w:val="1"/>
                <w:color w:val="auto"/>
              </w:rPr>
              <w:t>Brian D. Jellison</w:t>
            </w:r>
          </w:p>
        </w:tc>
        <w:tc>
          <w:tcPr>
            <w:tcW w:w="2300" w:type="dxa"/>
            <w:vAlign w:val="bottom"/>
            <w:shd w:val="clear" w:color="auto" w:fill="D2DEEE"/>
          </w:tcPr>
          <w:p>
            <w:pPr>
              <w:spacing w:after="0"/>
              <w:rPr>
                <w:sz w:val="18"/>
                <w:szCs w:val="18"/>
                <w:color w:val="auto"/>
              </w:rPr>
            </w:pPr>
          </w:p>
        </w:tc>
        <w:tc>
          <w:tcPr>
            <w:tcW w:w="7640" w:type="dxa"/>
            <w:vAlign w:val="bottom"/>
            <w:gridSpan w:val="2"/>
            <w:shd w:val="clear" w:color="auto" w:fill="D2DEEE"/>
          </w:tcPr>
          <w:p>
            <w:pPr>
              <w:spacing w:after="0"/>
              <w:rPr>
                <w:sz w:val="20"/>
                <w:szCs w:val="20"/>
                <w:color w:val="auto"/>
              </w:rPr>
            </w:pPr>
            <w:r>
              <w:rPr>
                <w:rFonts w:ascii="Arial" w:cs="Arial" w:eastAsia="Arial" w:hAnsi="Arial"/>
                <w:sz w:val="18"/>
                <w:szCs w:val="18"/>
                <w:color w:val="auto"/>
              </w:rPr>
              <w:t>Professional Experience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Borders>
              <w:top w:val="single" w:sz="8" w:color="D2DEEE"/>
            </w:tcBorders>
            <w:gridSpan w:val="3"/>
          </w:tcPr>
          <w:p>
            <w:pPr>
              <w:spacing w:after="0" w:line="184" w:lineRule="exact"/>
              <w:rPr>
                <w:sz w:val="20"/>
                <w:szCs w:val="20"/>
                <w:color w:val="auto"/>
              </w:rPr>
            </w:pPr>
            <w:r>
              <w:rPr>
                <w:rFonts w:ascii="Arial" w:cs="Arial" w:eastAsia="Arial" w:hAnsi="Arial"/>
                <w:sz w:val="18"/>
                <w:szCs w:val="18"/>
                <w:color w:val="auto"/>
              </w:rPr>
              <w:t>Chairman since 2003</w:t>
            </w:r>
          </w:p>
        </w:tc>
        <w:tc>
          <w:tcPr>
            <w:tcW w:w="1880" w:type="dxa"/>
            <w:vAlign w:val="bottom"/>
            <w:tcBorders>
              <w:top w:val="single" w:sz="8" w:color="auto"/>
            </w:tcBorders>
          </w:tcPr>
          <w:p>
            <w:pPr>
              <w:spacing w:after="0"/>
              <w:rPr>
                <w:sz w:val="15"/>
                <w:szCs w:val="15"/>
                <w:color w:val="auto"/>
              </w:rPr>
            </w:pPr>
          </w:p>
        </w:tc>
        <w:tc>
          <w:tcPr>
            <w:tcW w:w="5760" w:type="dxa"/>
            <w:vAlign w:val="bottom"/>
            <w:tcBorders>
              <w:top w:val="single" w:sz="8" w:color="D2DEEE"/>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President and CEO since 2001</w:t>
            </w:r>
          </w:p>
        </w:tc>
        <w:tc>
          <w:tcPr>
            <w:tcW w:w="7640" w:type="dxa"/>
            <w:vAlign w:val="bottom"/>
            <w:gridSpan w:val="2"/>
          </w:tcPr>
          <w:p>
            <w:pPr>
              <w:spacing w:after="0"/>
              <w:rPr>
                <w:sz w:val="20"/>
                <w:szCs w:val="20"/>
                <w:color w:val="auto"/>
              </w:rPr>
            </w:pPr>
            <w:r>
              <w:rPr>
                <w:rFonts w:ascii="Arial" w:cs="Arial" w:eastAsia="Arial" w:hAnsi="Arial"/>
                <w:sz w:val="18"/>
                <w:szCs w:val="18"/>
                <w:color w:val="auto"/>
              </w:rPr>
              <w:t>Mr. Jellison’s professional experience is discussed under “Board of Directors” above.</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Chairman since 2003</w:t>
            </w:r>
          </w:p>
        </w:tc>
        <w:tc>
          <w:tcPr>
            <w:tcW w:w="18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gridSpan w:val="3"/>
          </w:tcPr>
          <w:p>
            <w:pPr>
              <w:spacing w:after="0"/>
              <w:rPr>
                <w:sz w:val="20"/>
                <w:szCs w:val="20"/>
                <w:color w:val="auto"/>
              </w:rPr>
            </w:pPr>
            <w:r>
              <w:rPr>
                <w:rFonts w:ascii="Arial" w:cs="Arial" w:eastAsia="Arial" w:hAnsi="Arial"/>
                <w:sz w:val="18"/>
                <w:szCs w:val="18"/>
                <w:color w:val="auto"/>
              </w:rPr>
              <w:t>Age: 69</w:t>
            </w:r>
          </w:p>
        </w:tc>
        <w:tc>
          <w:tcPr>
            <w:tcW w:w="2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shd w:val="clear" w:color="auto" w:fill="D2DEEE"/>
          </w:tcPr>
          <w:p>
            <w:pPr>
              <w:spacing w:after="0" w:line="176" w:lineRule="exact"/>
              <w:rPr>
                <w:sz w:val="20"/>
                <w:szCs w:val="20"/>
                <w:color w:val="auto"/>
              </w:rPr>
            </w:pPr>
            <w:r>
              <w:rPr>
                <w:rFonts w:ascii="Arial" w:cs="Arial" w:eastAsia="Arial" w:hAnsi="Arial"/>
                <w:sz w:val="18"/>
                <w:szCs w:val="18"/>
                <w:b w:val="1"/>
                <w:bCs w:val="1"/>
                <w:color w:val="auto"/>
              </w:rPr>
              <w:t>John Humphrey</w:t>
            </w:r>
          </w:p>
        </w:tc>
        <w:tc>
          <w:tcPr>
            <w:tcW w:w="2300" w:type="dxa"/>
            <w:vAlign w:val="bottom"/>
            <w:shd w:val="clear" w:color="auto" w:fill="D2DEEE"/>
          </w:tcPr>
          <w:p>
            <w:pPr>
              <w:spacing w:after="0"/>
              <w:rPr>
                <w:sz w:val="15"/>
                <w:szCs w:val="15"/>
                <w:color w:val="auto"/>
              </w:rPr>
            </w:pPr>
          </w:p>
        </w:tc>
        <w:tc>
          <w:tcPr>
            <w:tcW w:w="7640" w:type="dxa"/>
            <w:vAlign w:val="bottom"/>
            <w:gridSpan w:val="2"/>
            <w:shd w:val="clear" w:color="auto" w:fill="D2DEEE"/>
          </w:tcPr>
          <w:p>
            <w:pPr>
              <w:spacing w:after="0" w:line="176" w:lineRule="exact"/>
              <w:rPr>
                <w:sz w:val="20"/>
                <w:szCs w:val="20"/>
                <w:color w:val="auto"/>
              </w:rPr>
            </w:pPr>
            <w:r>
              <w:rPr>
                <w:rFonts w:ascii="Arial" w:cs="Arial" w:eastAsia="Arial" w:hAnsi="Arial"/>
                <w:sz w:val="18"/>
                <w:szCs w:val="18"/>
                <w:color w:val="auto"/>
              </w:rPr>
              <w:t>Professional Experience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D2DEEE"/>
          </w:tcPr>
          <w:p>
            <w:pPr>
              <w:spacing w:after="0"/>
              <w:rPr>
                <w:sz w:val="2"/>
                <w:szCs w:val="2"/>
                <w:color w:val="auto"/>
              </w:rPr>
            </w:pPr>
          </w:p>
        </w:tc>
        <w:tc>
          <w:tcPr>
            <w:tcW w:w="1160" w:type="dxa"/>
            <w:vAlign w:val="bottom"/>
            <w:tcBorders>
              <w:left w:val="single" w:sz="8" w:color="D2DEEE"/>
            </w:tcBorders>
            <w:shd w:val="clear" w:color="auto" w:fill="D2DEEE"/>
          </w:tcPr>
          <w:p>
            <w:pPr>
              <w:spacing w:after="0"/>
              <w:rPr>
                <w:sz w:val="2"/>
                <w:szCs w:val="2"/>
                <w:color w:val="auto"/>
              </w:rPr>
            </w:pPr>
          </w:p>
        </w:tc>
        <w:tc>
          <w:tcPr>
            <w:tcW w:w="230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760" w:type="dxa"/>
            <w:vAlign w:val="bottom"/>
            <w:shd w:val="clear" w:color="auto" w:fill="D2D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60" w:type="dxa"/>
            <w:vAlign w:val="bottom"/>
            <w:gridSpan w:val="3"/>
          </w:tcPr>
          <w:p>
            <w:pPr>
              <w:spacing w:after="0" w:line="184" w:lineRule="exact"/>
              <w:rPr>
                <w:sz w:val="20"/>
                <w:szCs w:val="20"/>
                <w:color w:val="auto"/>
              </w:rPr>
            </w:pPr>
            <w:r>
              <w:rPr>
                <w:rFonts w:ascii="Arial" w:cs="Arial" w:eastAsia="Arial" w:hAnsi="Arial"/>
                <w:sz w:val="18"/>
                <w:szCs w:val="18"/>
                <w:color w:val="auto"/>
              </w:rPr>
              <w:t>Executive Vice President since 2011</w:t>
            </w:r>
          </w:p>
        </w:tc>
        <w:tc>
          <w:tcPr>
            <w:tcW w:w="7640" w:type="dxa"/>
            <w:vAlign w:val="bottom"/>
            <w:gridSpan w:val="2"/>
          </w:tcPr>
          <w:p>
            <w:pPr>
              <w:spacing w:after="0" w:line="184" w:lineRule="exact"/>
              <w:rPr>
                <w:sz w:val="20"/>
                <w:szCs w:val="20"/>
                <w:color w:val="auto"/>
              </w:rPr>
            </w:pPr>
            <w:r>
              <w:rPr>
                <w:rFonts w:ascii="Arial" w:cs="Arial" w:eastAsia="Arial" w:hAnsi="Arial"/>
                <w:sz w:val="18"/>
                <w:szCs w:val="18"/>
                <w:color w:val="auto"/>
              </w:rPr>
              <w:t>Prior to joining Roper, Mr. Humphrey served as Vice President and Chief Financial Officer of</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Chief Financial Officer since 2006</w:t>
            </w: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Honeywell Aerospace, the aviation segment of Honeywell International Inc., after serving in</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Vice President from 2006 to 2011</w:t>
            </w: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several financial positions with Honeywell International and its predecessor AlliedSignal. Mr.</w:t>
            </w:r>
          </w:p>
        </w:tc>
        <w:tc>
          <w:tcPr>
            <w:tcW w:w="0" w:type="dxa"/>
            <w:vAlign w:val="bottom"/>
          </w:tcPr>
          <w:p>
            <w:pPr>
              <w:spacing w:after="0"/>
              <w:rPr>
                <w:sz w:val="1"/>
                <w:szCs w:val="1"/>
                <w:color w:val="auto"/>
              </w:rPr>
            </w:pPr>
          </w:p>
        </w:tc>
      </w:tr>
      <w:tr>
        <w:trPr>
          <w:trHeight w:val="203"/>
        </w:trPr>
        <w:tc>
          <w:tcPr>
            <w:tcW w:w="1480" w:type="dxa"/>
            <w:vAlign w:val="bottom"/>
            <w:gridSpan w:val="3"/>
          </w:tcPr>
          <w:p>
            <w:pPr>
              <w:spacing w:after="0" w:line="202" w:lineRule="exact"/>
              <w:rPr>
                <w:sz w:val="20"/>
                <w:szCs w:val="20"/>
                <w:color w:val="auto"/>
              </w:rPr>
            </w:pPr>
            <w:r>
              <w:rPr>
                <w:rFonts w:ascii="Arial" w:cs="Arial" w:eastAsia="Arial" w:hAnsi="Arial"/>
                <w:sz w:val="18"/>
                <w:szCs w:val="18"/>
                <w:color w:val="auto"/>
              </w:rPr>
              <w:t>Age: 49</w:t>
            </w:r>
          </w:p>
        </w:tc>
        <w:tc>
          <w:tcPr>
            <w:tcW w:w="23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Humphrey’s earlier career included 6 years with Detroit Diesel Corporation, a manufacturer of</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heavy-duty engines, in a variety of engineering and manufacturing management positions.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shd w:val="clear" w:color="auto" w:fill="D2DEEE"/>
          </w:tcPr>
          <w:p>
            <w:pPr>
              <w:spacing w:after="0" w:line="176" w:lineRule="exact"/>
              <w:rPr>
                <w:sz w:val="20"/>
                <w:szCs w:val="20"/>
                <w:color w:val="auto"/>
              </w:rPr>
            </w:pPr>
            <w:r>
              <w:rPr>
                <w:rFonts w:ascii="Arial" w:cs="Arial" w:eastAsia="Arial" w:hAnsi="Arial"/>
                <w:sz w:val="18"/>
                <w:szCs w:val="18"/>
                <w:b w:val="1"/>
                <w:bCs w:val="1"/>
                <w:color w:val="auto"/>
              </w:rPr>
              <w:t>David B. Liner</w:t>
            </w:r>
          </w:p>
        </w:tc>
        <w:tc>
          <w:tcPr>
            <w:tcW w:w="2300" w:type="dxa"/>
            <w:vAlign w:val="bottom"/>
            <w:shd w:val="clear" w:color="auto" w:fill="D2DEEE"/>
          </w:tcPr>
          <w:p>
            <w:pPr>
              <w:spacing w:after="0"/>
              <w:rPr>
                <w:sz w:val="15"/>
                <w:szCs w:val="15"/>
                <w:color w:val="auto"/>
              </w:rPr>
            </w:pPr>
          </w:p>
        </w:tc>
        <w:tc>
          <w:tcPr>
            <w:tcW w:w="7640" w:type="dxa"/>
            <w:vAlign w:val="bottom"/>
            <w:gridSpan w:val="2"/>
            <w:shd w:val="clear" w:color="auto" w:fill="D2DEEE"/>
          </w:tcPr>
          <w:p>
            <w:pPr>
              <w:spacing w:after="0" w:line="176" w:lineRule="exact"/>
              <w:rPr>
                <w:sz w:val="20"/>
                <w:szCs w:val="20"/>
                <w:color w:val="auto"/>
              </w:rPr>
            </w:pPr>
            <w:r>
              <w:rPr>
                <w:rFonts w:ascii="Arial" w:cs="Arial" w:eastAsia="Arial" w:hAnsi="Arial"/>
                <w:sz w:val="18"/>
                <w:szCs w:val="18"/>
                <w:color w:val="auto"/>
              </w:rPr>
              <w:t>Professional Experience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D2DEEE"/>
          </w:tcPr>
          <w:p>
            <w:pPr>
              <w:spacing w:after="0"/>
              <w:rPr>
                <w:sz w:val="2"/>
                <w:szCs w:val="2"/>
                <w:color w:val="auto"/>
              </w:rPr>
            </w:pPr>
          </w:p>
        </w:tc>
        <w:tc>
          <w:tcPr>
            <w:tcW w:w="1160" w:type="dxa"/>
            <w:vAlign w:val="bottom"/>
            <w:tcBorders>
              <w:left w:val="single" w:sz="8" w:color="D2DEEE"/>
            </w:tcBorders>
            <w:shd w:val="clear" w:color="auto" w:fill="D2DEEE"/>
          </w:tcPr>
          <w:p>
            <w:pPr>
              <w:spacing w:after="0"/>
              <w:rPr>
                <w:sz w:val="2"/>
                <w:szCs w:val="2"/>
                <w:color w:val="auto"/>
              </w:rPr>
            </w:pPr>
          </w:p>
        </w:tc>
        <w:tc>
          <w:tcPr>
            <w:tcW w:w="230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760" w:type="dxa"/>
            <w:vAlign w:val="bottom"/>
            <w:shd w:val="clear" w:color="auto" w:fill="D2D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60" w:type="dxa"/>
            <w:vAlign w:val="bottom"/>
            <w:gridSpan w:val="3"/>
          </w:tcPr>
          <w:p>
            <w:pPr>
              <w:spacing w:after="0" w:line="184" w:lineRule="exact"/>
              <w:rPr>
                <w:sz w:val="20"/>
                <w:szCs w:val="20"/>
                <w:color w:val="auto"/>
              </w:rPr>
            </w:pPr>
            <w:r>
              <w:rPr>
                <w:rFonts w:ascii="Arial" w:cs="Arial" w:eastAsia="Arial" w:hAnsi="Arial"/>
                <w:sz w:val="18"/>
                <w:szCs w:val="18"/>
                <w:color w:val="auto"/>
              </w:rPr>
              <w:t>Vice President since 2005</w:t>
            </w:r>
          </w:p>
        </w:tc>
        <w:tc>
          <w:tcPr>
            <w:tcW w:w="7640" w:type="dxa"/>
            <w:vAlign w:val="bottom"/>
            <w:gridSpan w:val="2"/>
          </w:tcPr>
          <w:p>
            <w:pPr>
              <w:spacing w:after="0" w:line="184" w:lineRule="exact"/>
              <w:rPr>
                <w:sz w:val="20"/>
                <w:szCs w:val="20"/>
                <w:color w:val="auto"/>
              </w:rPr>
            </w:pPr>
            <w:r>
              <w:rPr>
                <w:rFonts w:ascii="Arial" w:cs="Arial" w:eastAsia="Arial" w:hAnsi="Arial"/>
                <w:sz w:val="18"/>
                <w:szCs w:val="18"/>
                <w:color w:val="auto"/>
                <w:w w:val="98"/>
              </w:rPr>
              <w:t>Prior to joining Roper, Mr. Liner served four years in the corporate finance group of the law firm of</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General Counsel since 2005</w:t>
            </w: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7"/>
              </w:rPr>
              <w:t>Dykema Gossett, PLLC, heading up both the firm’s automotive industry and China teams, and four</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Secretary since 2005</w:t>
            </w: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7"/>
              </w:rPr>
              <w:t>years as Vice President and General Counsel of MascoTech, Inc., a diversified industrial products</w:t>
            </w:r>
          </w:p>
        </w:tc>
        <w:tc>
          <w:tcPr>
            <w:tcW w:w="0" w:type="dxa"/>
            <w:vAlign w:val="bottom"/>
          </w:tcPr>
          <w:p>
            <w:pPr>
              <w:spacing w:after="0"/>
              <w:rPr>
                <w:sz w:val="1"/>
                <w:szCs w:val="1"/>
                <w:color w:val="auto"/>
              </w:rPr>
            </w:pPr>
          </w:p>
        </w:tc>
      </w:tr>
      <w:tr>
        <w:trPr>
          <w:trHeight w:val="203"/>
        </w:trPr>
        <w:tc>
          <w:tcPr>
            <w:tcW w:w="1480" w:type="dxa"/>
            <w:vAlign w:val="bottom"/>
            <w:gridSpan w:val="3"/>
          </w:tcPr>
          <w:p>
            <w:pPr>
              <w:spacing w:after="0" w:line="202" w:lineRule="exact"/>
              <w:rPr>
                <w:sz w:val="20"/>
                <w:szCs w:val="20"/>
                <w:color w:val="auto"/>
              </w:rPr>
            </w:pPr>
            <w:r>
              <w:rPr>
                <w:rFonts w:ascii="Arial" w:cs="Arial" w:eastAsia="Arial" w:hAnsi="Arial"/>
                <w:sz w:val="18"/>
                <w:szCs w:val="18"/>
                <w:color w:val="auto"/>
              </w:rPr>
              <w:t>Age: 59</w:t>
            </w:r>
          </w:p>
        </w:tc>
        <w:tc>
          <w:tcPr>
            <w:tcW w:w="23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8"/>
              </w:rPr>
              <w:t>company primarily serving the global transportation industry. Mr. Liner’s earlier career included 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8"/>
              </w:rPr>
              <w:t>years as a member of the legal department of Masco Corporation, a manufacturer of products 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the home improvement and new home construction markets.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shd w:val="clear" w:color="auto" w:fill="D2DEEE"/>
          </w:tcPr>
          <w:p>
            <w:pPr>
              <w:spacing w:after="0" w:line="176" w:lineRule="exact"/>
              <w:rPr>
                <w:sz w:val="20"/>
                <w:szCs w:val="20"/>
                <w:color w:val="auto"/>
              </w:rPr>
            </w:pPr>
            <w:r>
              <w:rPr>
                <w:rFonts w:ascii="Arial" w:cs="Arial" w:eastAsia="Arial" w:hAnsi="Arial"/>
                <w:sz w:val="18"/>
                <w:szCs w:val="18"/>
                <w:b w:val="1"/>
                <w:bCs w:val="1"/>
                <w:color w:val="auto"/>
              </w:rPr>
              <w:t>Paul J. Soni</w:t>
            </w:r>
          </w:p>
        </w:tc>
        <w:tc>
          <w:tcPr>
            <w:tcW w:w="2300" w:type="dxa"/>
            <w:vAlign w:val="bottom"/>
            <w:shd w:val="clear" w:color="auto" w:fill="D2DEEE"/>
          </w:tcPr>
          <w:p>
            <w:pPr>
              <w:spacing w:after="0"/>
              <w:rPr>
                <w:sz w:val="15"/>
                <w:szCs w:val="15"/>
                <w:color w:val="auto"/>
              </w:rPr>
            </w:pPr>
          </w:p>
        </w:tc>
        <w:tc>
          <w:tcPr>
            <w:tcW w:w="7640" w:type="dxa"/>
            <w:vAlign w:val="bottom"/>
            <w:gridSpan w:val="2"/>
            <w:shd w:val="clear" w:color="auto" w:fill="D2DEEE"/>
          </w:tcPr>
          <w:p>
            <w:pPr>
              <w:spacing w:after="0" w:line="176" w:lineRule="exact"/>
              <w:rPr>
                <w:sz w:val="20"/>
                <w:szCs w:val="20"/>
                <w:color w:val="auto"/>
              </w:rPr>
            </w:pPr>
            <w:r>
              <w:rPr>
                <w:rFonts w:ascii="Arial" w:cs="Arial" w:eastAsia="Arial" w:hAnsi="Arial"/>
                <w:sz w:val="18"/>
                <w:szCs w:val="18"/>
                <w:color w:val="auto"/>
              </w:rPr>
              <w:t>Professional Experience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D2DEEE"/>
          </w:tcPr>
          <w:p>
            <w:pPr>
              <w:spacing w:after="0"/>
              <w:rPr>
                <w:sz w:val="2"/>
                <w:szCs w:val="2"/>
                <w:color w:val="auto"/>
              </w:rPr>
            </w:pPr>
          </w:p>
        </w:tc>
        <w:tc>
          <w:tcPr>
            <w:tcW w:w="1160" w:type="dxa"/>
            <w:vAlign w:val="bottom"/>
            <w:tcBorders>
              <w:left w:val="single" w:sz="8" w:color="D2DEEE"/>
            </w:tcBorders>
            <w:shd w:val="clear" w:color="auto" w:fill="D2DEEE"/>
          </w:tcPr>
          <w:p>
            <w:pPr>
              <w:spacing w:after="0"/>
              <w:rPr>
                <w:sz w:val="2"/>
                <w:szCs w:val="2"/>
                <w:color w:val="auto"/>
              </w:rPr>
            </w:pPr>
          </w:p>
        </w:tc>
        <w:tc>
          <w:tcPr>
            <w:tcW w:w="230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760" w:type="dxa"/>
            <w:vAlign w:val="bottom"/>
            <w:shd w:val="clear" w:color="auto" w:fill="D2D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60" w:type="dxa"/>
            <w:vAlign w:val="bottom"/>
            <w:gridSpan w:val="3"/>
          </w:tcPr>
          <w:p>
            <w:pPr>
              <w:spacing w:after="0" w:line="184" w:lineRule="exact"/>
              <w:rPr>
                <w:sz w:val="20"/>
                <w:szCs w:val="20"/>
                <w:color w:val="auto"/>
              </w:rPr>
            </w:pPr>
            <w:r>
              <w:rPr>
                <w:rFonts w:ascii="Arial" w:cs="Arial" w:eastAsia="Arial" w:hAnsi="Arial"/>
                <w:sz w:val="18"/>
                <w:szCs w:val="18"/>
                <w:color w:val="auto"/>
              </w:rPr>
              <w:t>Vice President since 2006</w:t>
            </w:r>
          </w:p>
        </w:tc>
        <w:tc>
          <w:tcPr>
            <w:tcW w:w="7640" w:type="dxa"/>
            <w:vAlign w:val="bottom"/>
            <w:gridSpan w:val="2"/>
          </w:tcPr>
          <w:p>
            <w:pPr>
              <w:spacing w:after="0" w:line="184" w:lineRule="exact"/>
              <w:rPr>
                <w:sz w:val="20"/>
                <w:szCs w:val="20"/>
                <w:color w:val="auto"/>
              </w:rPr>
            </w:pPr>
            <w:r>
              <w:rPr>
                <w:rFonts w:ascii="Arial" w:cs="Arial" w:eastAsia="Arial" w:hAnsi="Arial"/>
                <w:sz w:val="18"/>
                <w:szCs w:val="18"/>
                <w:color w:val="auto"/>
              </w:rPr>
              <w:t>Prior to joining Roper, Mr. Soni served four years as Corporate Controller of Oxford Industries,</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Controller since 2002</w:t>
            </w: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Inc., a clothing company, and four years as Controller of the International Division of Savannah</w:t>
            </w:r>
          </w:p>
        </w:tc>
        <w:tc>
          <w:tcPr>
            <w:tcW w:w="0" w:type="dxa"/>
            <w:vAlign w:val="bottom"/>
          </w:tcPr>
          <w:p>
            <w:pPr>
              <w:spacing w:after="0"/>
              <w:rPr>
                <w:sz w:val="1"/>
                <w:szCs w:val="1"/>
                <w:color w:val="auto"/>
              </w:rPr>
            </w:pPr>
          </w:p>
        </w:tc>
      </w:tr>
      <w:tr>
        <w:trPr>
          <w:trHeight w:val="203"/>
        </w:trPr>
        <w:tc>
          <w:tcPr>
            <w:tcW w:w="1480" w:type="dxa"/>
            <w:vAlign w:val="bottom"/>
            <w:gridSpan w:val="3"/>
          </w:tcPr>
          <w:p>
            <w:pPr>
              <w:spacing w:after="0" w:line="202" w:lineRule="exact"/>
              <w:rPr>
                <w:sz w:val="20"/>
                <w:szCs w:val="20"/>
                <w:color w:val="auto"/>
              </w:rPr>
            </w:pPr>
            <w:r>
              <w:rPr>
                <w:rFonts w:ascii="Arial" w:cs="Arial" w:eastAsia="Arial" w:hAnsi="Arial"/>
                <w:sz w:val="18"/>
                <w:szCs w:val="18"/>
                <w:color w:val="auto"/>
              </w:rPr>
              <w:t>Age: 56</w:t>
            </w:r>
          </w:p>
        </w:tc>
        <w:tc>
          <w:tcPr>
            <w:tcW w:w="23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Foods &amp; Industries, Inc., a producer, marketer, and distributor of food products,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responsibilities in the U.S. and Latin America. Mr. Soni’s earlier career included eight years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8"/>
              </w:rPr>
              <w:t>Price Waterhouse LLP, a professional services firm, in the U.S. and Europe, performing audit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transaction support services.</w:t>
            </w:r>
          </w:p>
        </w:tc>
        <w:tc>
          <w:tcPr>
            <w:tcW w:w="0" w:type="dxa"/>
            <w:vAlign w:val="bottom"/>
          </w:tcPr>
          <w:p>
            <w:pPr>
              <w:spacing w:after="0"/>
              <w:rPr>
                <w:sz w:val="1"/>
                <w:szCs w:val="1"/>
                <w:color w:val="auto"/>
              </w:rPr>
            </w:pPr>
          </w:p>
        </w:tc>
      </w:tr>
      <w:tr>
        <w:trPr>
          <w:trHeight w:val="133"/>
        </w:trPr>
        <w:tc>
          <w:tcPr>
            <w:tcW w:w="320" w:type="dxa"/>
            <w:vAlign w:val="bottom"/>
            <w:gridSpan w:val="2"/>
            <w:vMerge w:val="restart"/>
          </w:tcPr>
          <w:p>
            <w:pPr>
              <w:spacing w:after="0"/>
              <w:rPr>
                <w:sz w:val="20"/>
                <w:szCs w:val="20"/>
                <w:color w:val="auto"/>
              </w:rPr>
            </w:pPr>
            <w:r>
              <w:rPr>
                <w:rFonts w:ascii="Arial" w:cs="Arial" w:eastAsia="Arial" w:hAnsi="Arial"/>
                <w:sz w:val="18"/>
                <w:szCs w:val="18"/>
                <w:b w:val="1"/>
                <w:bCs w:val="1"/>
                <w:color w:val="225CAB"/>
              </w:rPr>
              <w:t>20</w:t>
            </w:r>
          </w:p>
        </w:tc>
        <w:tc>
          <w:tcPr>
            <w:tcW w:w="1160" w:type="dxa"/>
            <w:vAlign w:val="bottom"/>
          </w:tcPr>
          <w:p>
            <w:pPr>
              <w:spacing w:after="0"/>
              <w:rPr>
                <w:sz w:val="11"/>
                <w:szCs w:val="11"/>
                <w:color w:val="auto"/>
              </w:rPr>
            </w:pPr>
          </w:p>
        </w:tc>
        <w:tc>
          <w:tcPr>
            <w:tcW w:w="99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225CAB"/>
              </w:rPr>
              <w:t>Roper Technologies, Inc. 2015 Proxy Statement</w:t>
            </w:r>
          </w:p>
        </w:tc>
        <w:tc>
          <w:tcPr>
            <w:tcW w:w="0" w:type="dxa"/>
            <w:vAlign w:val="bottom"/>
          </w:tcPr>
          <w:p>
            <w:pPr>
              <w:spacing w:after="0"/>
              <w:rPr>
                <w:sz w:val="1"/>
                <w:szCs w:val="1"/>
                <w:color w:val="auto"/>
              </w:rPr>
            </w:pPr>
          </w:p>
        </w:tc>
      </w:tr>
      <w:tr>
        <w:trPr>
          <w:trHeight w:val="348"/>
        </w:trPr>
        <w:tc>
          <w:tcPr>
            <w:tcW w:w="320" w:type="dxa"/>
            <w:vAlign w:val="bottom"/>
            <w:gridSpan w:val="2"/>
            <w:vMerge w:val="continue"/>
          </w:tcPr>
          <w:p>
            <w:pPr>
              <w:spacing w:after="0"/>
              <w:rPr>
                <w:sz w:val="24"/>
                <w:szCs w:val="24"/>
                <w:color w:val="auto"/>
              </w:rPr>
            </w:pPr>
          </w:p>
        </w:tc>
        <w:tc>
          <w:tcPr>
            <w:tcW w:w="1160" w:type="dxa"/>
            <w:vAlign w:val="bottom"/>
            <w:tcBorders>
              <w:left w:val="single" w:sz="8" w:color="225CAB"/>
            </w:tcBorders>
          </w:tcPr>
          <w:p>
            <w:pPr>
              <w:spacing w:after="0"/>
              <w:rPr>
                <w:sz w:val="24"/>
                <w:szCs w:val="24"/>
                <w:color w:val="auto"/>
              </w:rPr>
            </w:pPr>
          </w:p>
        </w:tc>
        <w:tc>
          <w:tcPr>
            <w:tcW w:w="99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Borders>
              <w:left w:val="single" w:sz="8" w:color="225CAB"/>
            </w:tcBorders>
          </w:tcPr>
          <w:p>
            <w:pPr>
              <w:spacing w:after="0"/>
              <w:rPr>
                <w:sz w:val="8"/>
                <w:szCs w:val="8"/>
                <w:color w:val="auto"/>
              </w:rPr>
            </w:pPr>
          </w:p>
        </w:tc>
        <w:tc>
          <w:tcPr>
            <w:tcW w:w="23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BENEFICIAL OWNERSHIP</w:t>
      </w:r>
    </w:p>
    <w:p>
      <w:pPr>
        <w:spacing w:after="0" w:line="27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Beneficial ownership is determined in accordance with the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percentage ownership of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following table shows the beneficial ownership of Roper common stock as of March 31, 2015 by (i) each of our directors and director nominees, (ii) each named executive officer in the “2014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6901 Professional Parkway East, Suite 200, Sarasota, FL 34240.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shd w:val="clear" w:color="auto" w:fill="225CAB"/>
          </w:tcPr>
          <w:p>
            <w:pPr>
              <w:spacing w:after="0"/>
              <w:rPr>
                <w:sz w:val="14"/>
                <w:szCs w:val="14"/>
                <w:color w:val="auto"/>
              </w:rPr>
            </w:pPr>
          </w:p>
        </w:tc>
        <w:tc>
          <w:tcPr>
            <w:tcW w:w="3320" w:type="dxa"/>
            <w:vAlign w:val="bottom"/>
            <w:shd w:val="clear" w:color="auto" w:fill="225CAB"/>
          </w:tcPr>
          <w:p>
            <w:pPr>
              <w:jc w:val="right"/>
              <w:ind w:right="555"/>
              <w:spacing w:after="0"/>
              <w:rPr>
                <w:sz w:val="20"/>
                <w:szCs w:val="20"/>
                <w:color w:val="auto"/>
              </w:rPr>
            </w:pPr>
            <w:r>
              <w:rPr>
                <w:rFonts w:ascii="Arial" w:cs="Arial" w:eastAsia="Arial" w:hAnsi="Arial"/>
                <w:sz w:val="14"/>
                <w:szCs w:val="14"/>
                <w:color w:val="FFFFFF"/>
              </w:rPr>
              <w:t>Beneficial Ownership</w:t>
            </w:r>
          </w:p>
        </w:tc>
        <w:tc>
          <w:tcPr>
            <w:tcW w:w="1400" w:type="dxa"/>
            <w:vAlign w:val="bottom"/>
            <w:shd w:val="clear" w:color="auto" w:fill="225CAB"/>
          </w:tcPr>
          <w:p>
            <w:pPr>
              <w:jc w:val="right"/>
              <w:ind w:right="554"/>
              <w:spacing w:after="0"/>
              <w:rPr>
                <w:sz w:val="20"/>
                <w:szCs w:val="20"/>
                <w:color w:val="auto"/>
              </w:rPr>
            </w:pPr>
            <w:r>
              <w:rPr>
                <w:rFonts w:ascii="Arial" w:cs="Arial" w:eastAsia="Arial" w:hAnsi="Arial"/>
                <w:sz w:val="14"/>
                <w:szCs w:val="14"/>
                <w:color w:val="FFFFFF"/>
              </w:rPr>
              <w:t>Percent</w:t>
            </w:r>
          </w:p>
        </w:tc>
      </w:tr>
      <w:tr>
        <w:trPr>
          <w:trHeight w:val="176"/>
        </w:trPr>
        <w:tc>
          <w:tcPr>
            <w:tcW w:w="20" w:type="dxa"/>
            <w:vAlign w:val="bottom"/>
          </w:tcPr>
          <w:p>
            <w:pPr>
              <w:spacing w:after="0"/>
              <w:rPr>
                <w:sz w:val="15"/>
                <w:szCs w:val="15"/>
                <w:color w:val="auto"/>
              </w:rPr>
            </w:pPr>
          </w:p>
        </w:tc>
        <w:tc>
          <w:tcPr>
            <w:tcW w:w="6680" w:type="dxa"/>
            <w:vAlign w:val="bottom"/>
            <w:shd w:val="clear" w:color="auto" w:fill="225CAB"/>
          </w:tcPr>
          <w:p>
            <w:pPr>
              <w:spacing w:after="0"/>
              <w:rPr>
                <w:sz w:val="20"/>
                <w:szCs w:val="20"/>
                <w:color w:val="auto"/>
              </w:rPr>
            </w:pPr>
            <w:r>
              <w:rPr>
                <w:rFonts w:ascii="Arial" w:cs="Arial" w:eastAsia="Arial" w:hAnsi="Arial"/>
                <w:sz w:val="14"/>
                <w:szCs w:val="14"/>
                <w:color w:val="FFFFFF"/>
              </w:rPr>
              <w:t>Name of Beneficial Owner</w:t>
            </w:r>
          </w:p>
        </w:tc>
        <w:tc>
          <w:tcPr>
            <w:tcW w:w="3320" w:type="dxa"/>
            <w:vAlign w:val="bottom"/>
            <w:shd w:val="clear" w:color="auto" w:fill="225CAB"/>
          </w:tcPr>
          <w:p>
            <w:pPr>
              <w:jc w:val="right"/>
              <w:ind w:right="495"/>
              <w:spacing w:after="0" w:line="176" w:lineRule="exact"/>
              <w:rPr>
                <w:sz w:val="20"/>
                <w:szCs w:val="20"/>
                <w:color w:val="auto"/>
              </w:rPr>
            </w:pPr>
            <w:r>
              <w:rPr>
                <w:rFonts w:ascii="Arial" w:cs="Arial" w:eastAsia="Arial" w:hAnsi="Arial"/>
                <w:sz w:val="13"/>
                <w:szCs w:val="13"/>
                <w:color w:val="FFFFFF"/>
              </w:rPr>
              <w:t>of Common Stock</w:t>
            </w:r>
            <w:r>
              <w:rPr>
                <w:rFonts w:ascii="Arial" w:cs="Arial" w:eastAsia="Arial" w:hAnsi="Arial"/>
                <w:sz w:val="20"/>
                <w:szCs w:val="20"/>
                <w:color w:val="FFFFFF"/>
                <w:vertAlign w:val="superscript"/>
              </w:rPr>
              <w:t>(1)(2)</w:t>
            </w:r>
          </w:p>
        </w:tc>
        <w:tc>
          <w:tcPr>
            <w:tcW w:w="1400" w:type="dxa"/>
            <w:vAlign w:val="bottom"/>
            <w:shd w:val="clear" w:color="auto" w:fill="225CAB"/>
          </w:tcPr>
          <w:p>
            <w:pPr>
              <w:jc w:val="right"/>
              <w:ind w:right="534"/>
              <w:spacing w:after="0"/>
              <w:rPr>
                <w:sz w:val="20"/>
                <w:szCs w:val="20"/>
                <w:color w:val="auto"/>
              </w:rPr>
            </w:pPr>
            <w:r>
              <w:rPr>
                <w:rFonts w:ascii="Arial" w:cs="Arial" w:eastAsia="Arial" w:hAnsi="Arial"/>
                <w:sz w:val="14"/>
                <w:szCs w:val="14"/>
                <w:color w:val="FFFFFF"/>
              </w:rPr>
              <w:t>of Class</w:t>
            </w:r>
          </w:p>
        </w:tc>
      </w:tr>
      <w:tr>
        <w:trPr>
          <w:trHeight w:val="184"/>
        </w:trPr>
        <w:tc>
          <w:tcPr>
            <w:tcW w:w="20" w:type="dxa"/>
            <w:vAlign w:val="bottom"/>
          </w:tcPr>
          <w:p>
            <w:pPr>
              <w:spacing w:after="0"/>
              <w:rPr>
                <w:sz w:val="15"/>
                <w:szCs w:val="15"/>
                <w:color w:val="auto"/>
              </w:rPr>
            </w:pPr>
          </w:p>
        </w:tc>
        <w:tc>
          <w:tcPr>
            <w:tcW w:w="6680" w:type="dxa"/>
            <w:vAlign w:val="bottom"/>
          </w:tcPr>
          <w:p>
            <w:pPr>
              <w:spacing w:after="0" w:line="184" w:lineRule="exact"/>
              <w:rPr>
                <w:sz w:val="20"/>
                <w:szCs w:val="20"/>
                <w:color w:val="auto"/>
              </w:rPr>
            </w:pPr>
            <w:r>
              <w:rPr>
                <w:rFonts w:ascii="Arial" w:cs="Arial" w:eastAsia="Arial" w:hAnsi="Arial"/>
                <w:sz w:val="18"/>
                <w:szCs w:val="18"/>
                <w:color w:val="auto"/>
              </w:rPr>
              <w:t>T. Rowe Price Associates, Inc</w:t>
            </w:r>
          </w:p>
        </w:tc>
        <w:tc>
          <w:tcPr>
            <w:tcW w:w="3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680" w:type="dxa"/>
            <w:vAlign w:val="bottom"/>
            <w:tcBorders>
              <w:bottom w:val="single" w:sz="8" w:color="225CAB"/>
            </w:tcBorders>
          </w:tcPr>
          <w:p>
            <w:pPr>
              <w:ind w:left="200"/>
              <w:spacing w:after="0"/>
              <w:rPr>
                <w:sz w:val="20"/>
                <w:szCs w:val="20"/>
                <w:color w:val="auto"/>
              </w:rPr>
            </w:pPr>
            <w:r>
              <w:rPr>
                <w:rFonts w:ascii="Arial" w:cs="Arial" w:eastAsia="Arial" w:hAnsi="Arial"/>
                <w:sz w:val="18"/>
                <w:szCs w:val="18"/>
                <w:color w:val="auto"/>
              </w:rPr>
              <w:t>100 East Pratt Street, Baltimore, Maryland 21202</w:t>
            </w:r>
          </w:p>
        </w:tc>
        <w:tc>
          <w:tcPr>
            <w:tcW w:w="3320" w:type="dxa"/>
            <w:vAlign w:val="bottom"/>
            <w:tcBorders>
              <w:bottom w:val="single" w:sz="8" w:color="225CAB"/>
            </w:tcBorders>
          </w:tcPr>
          <w:p>
            <w:pPr>
              <w:jc w:val="right"/>
              <w:ind w:right="195"/>
              <w:spacing w:after="0" w:line="222" w:lineRule="exact"/>
              <w:rPr>
                <w:sz w:val="20"/>
                <w:szCs w:val="20"/>
                <w:color w:val="auto"/>
              </w:rPr>
            </w:pPr>
            <w:r>
              <w:rPr>
                <w:rFonts w:ascii="Arial" w:cs="Arial" w:eastAsia="Arial" w:hAnsi="Arial"/>
                <w:sz w:val="18"/>
                <w:szCs w:val="18"/>
                <w:color w:val="auto"/>
              </w:rPr>
              <w:t>15,094,126</w:t>
            </w:r>
            <w:r>
              <w:rPr>
                <w:rFonts w:ascii="Arial" w:cs="Arial" w:eastAsia="Arial" w:hAnsi="Arial"/>
                <w:sz w:val="22"/>
                <w:szCs w:val="22"/>
                <w:color w:val="auto"/>
                <w:vertAlign w:val="superscript"/>
              </w:rPr>
              <w:t>(3)</w:t>
            </w:r>
          </w:p>
        </w:tc>
        <w:tc>
          <w:tcPr>
            <w:tcW w:w="1400" w:type="dxa"/>
            <w:vAlign w:val="bottom"/>
            <w:tcBorders>
              <w:bottom w:val="single" w:sz="8" w:color="225CAB"/>
            </w:tcBorders>
          </w:tcPr>
          <w:p>
            <w:pPr>
              <w:jc w:val="right"/>
              <w:ind w:right="374"/>
              <w:spacing w:after="0"/>
              <w:rPr>
                <w:sz w:val="20"/>
                <w:szCs w:val="20"/>
                <w:color w:val="auto"/>
              </w:rPr>
            </w:pPr>
            <w:r>
              <w:rPr>
                <w:rFonts w:ascii="Arial" w:cs="Arial" w:eastAsia="Arial" w:hAnsi="Arial"/>
                <w:sz w:val="18"/>
                <w:szCs w:val="18"/>
                <w:color w:val="auto"/>
              </w:rPr>
              <w:t>15.0%</w:t>
            </w:r>
          </w:p>
        </w:tc>
      </w:tr>
      <w:tr>
        <w:trPr>
          <w:trHeight w:val="177"/>
        </w:trPr>
        <w:tc>
          <w:tcPr>
            <w:tcW w:w="20" w:type="dxa"/>
            <w:vAlign w:val="bottom"/>
          </w:tcPr>
          <w:p>
            <w:pPr>
              <w:spacing w:after="0"/>
              <w:rPr>
                <w:sz w:val="15"/>
                <w:szCs w:val="15"/>
                <w:color w:val="auto"/>
              </w:rPr>
            </w:pPr>
          </w:p>
        </w:tc>
        <w:tc>
          <w:tcPr>
            <w:tcW w:w="6680" w:type="dxa"/>
            <w:vAlign w:val="bottom"/>
          </w:tcPr>
          <w:p>
            <w:pPr>
              <w:spacing w:after="0" w:line="177" w:lineRule="exact"/>
              <w:rPr>
                <w:sz w:val="20"/>
                <w:szCs w:val="20"/>
                <w:color w:val="auto"/>
              </w:rPr>
            </w:pPr>
            <w:r>
              <w:rPr>
                <w:rFonts w:ascii="Arial" w:cs="Arial" w:eastAsia="Arial" w:hAnsi="Arial"/>
                <w:sz w:val="18"/>
                <w:szCs w:val="18"/>
                <w:color w:val="auto"/>
              </w:rPr>
              <w:t>The Vanguard Group, Inc</w:t>
            </w:r>
          </w:p>
        </w:tc>
        <w:tc>
          <w:tcPr>
            <w:tcW w:w="3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680" w:type="dxa"/>
            <w:vAlign w:val="bottom"/>
            <w:tcBorders>
              <w:bottom w:val="single" w:sz="8" w:color="225CAB"/>
            </w:tcBorders>
          </w:tcPr>
          <w:p>
            <w:pPr>
              <w:ind w:left="200"/>
              <w:spacing w:after="0"/>
              <w:rPr>
                <w:sz w:val="20"/>
                <w:szCs w:val="20"/>
                <w:color w:val="auto"/>
              </w:rPr>
            </w:pPr>
            <w:r>
              <w:rPr>
                <w:rFonts w:ascii="Arial" w:cs="Arial" w:eastAsia="Arial" w:hAnsi="Arial"/>
                <w:sz w:val="18"/>
                <w:szCs w:val="18"/>
                <w:color w:val="auto"/>
              </w:rPr>
              <w:t>100 Vanguard Blvd., Malvern, Pennsylvania 19355</w:t>
            </w:r>
          </w:p>
        </w:tc>
        <w:tc>
          <w:tcPr>
            <w:tcW w:w="3320" w:type="dxa"/>
            <w:vAlign w:val="bottom"/>
            <w:tcBorders>
              <w:bottom w:val="single" w:sz="8" w:color="225CAB"/>
            </w:tcBorders>
          </w:tcPr>
          <w:p>
            <w:pPr>
              <w:jc w:val="right"/>
              <w:ind w:right="195"/>
              <w:spacing w:after="0" w:line="222" w:lineRule="exact"/>
              <w:rPr>
                <w:sz w:val="20"/>
                <w:szCs w:val="20"/>
                <w:color w:val="auto"/>
              </w:rPr>
            </w:pPr>
            <w:r>
              <w:rPr>
                <w:rFonts w:ascii="Arial" w:cs="Arial" w:eastAsia="Arial" w:hAnsi="Arial"/>
                <w:sz w:val="18"/>
                <w:szCs w:val="18"/>
                <w:color w:val="auto"/>
              </w:rPr>
              <w:t>8,167,411</w:t>
            </w:r>
            <w:r>
              <w:rPr>
                <w:rFonts w:ascii="Arial" w:cs="Arial" w:eastAsia="Arial" w:hAnsi="Arial"/>
                <w:sz w:val="22"/>
                <w:szCs w:val="22"/>
                <w:color w:val="auto"/>
                <w:vertAlign w:val="superscript"/>
              </w:rPr>
              <w:t>(4)</w:t>
            </w:r>
          </w:p>
        </w:tc>
        <w:tc>
          <w:tcPr>
            <w:tcW w:w="1400" w:type="dxa"/>
            <w:vAlign w:val="bottom"/>
            <w:tcBorders>
              <w:bottom w:val="single" w:sz="8" w:color="225CAB"/>
            </w:tcBorders>
          </w:tcPr>
          <w:p>
            <w:pPr>
              <w:jc w:val="right"/>
              <w:ind w:right="374"/>
              <w:spacing w:after="0"/>
              <w:rPr>
                <w:sz w:val="20"/>
                <w:szCs w:val="20"/>
                <w:color w:val="auto"/>
              </w:rPr>
            </w:pPr>
            <w:r>
              <w:rPr>
                <w:rFonts w:ascii="Arial" w:cs="Arial" w:eastAsia="Arial" w:hAnsi="Arial"/>
                <w:sz w:val="18"/>
                <w:szCs w:val="18"/>
                <w:color w:val="auto"/>
              </w:rPr>
              <w:t>8.2%</w:t>
            </w:r>
          </w:p>
        </w:tc>
      </w:tr>
      <w:tr>
        <w:trPr>
          <w:trHeight w:val="177"/>
        </w:trPr>
        <w:tc>
          <w:tcPr>
            <w:tcW w:w="20" w:type="dxa"/>
            <w:vAlign w:val="bottom"/>
          </w:tcPr>
          <w:p>
            <w:pPr>
              <w:spacing w:after="0"/>
              <w:rPr>
                <w:sz w:val="15"/>
                <w:szCs w:val="15"/>
                <w:color w:val="auto"/>
              </w:rPr>
            </w:pPr>
          </w:p>
        </w:tc>
        <w:tc>
          <w:tcPr>
            <w:tcW w:w="6680" w:type="dxa"/>
            <w:vAlign w:val="bottom"/>
          </w:tcPr>
          <w:p>
            <w:pPr>
              <w:spacing w:after="0" w:line="177" w:lineRule="exact"/>
              <w:rPr>
                <w:sz w:val="20"/>
                <w:szCs w:val="20"/>
                <w:color w:val="auto"/>
              </w:rPr>
            </w:pPr>
            <w:r>
              <w:rPr>
                <w:rFonts w:ascii="Arial" w:cs="Arial" w:eastAsia="Arial" w:hAnsi="Arial"/>
                <w:sz w:val="18"/>
                <w:szCs w:val="18"/>
                <w:color w:val="auto"/>
              </w:rPr>
              <w:t>Blackrock, Inc.</w:t>
            </w:r>
          </w:p>
        </w:tc>
        <w:tc>
          <w:tcPr>
            <w:tcW w:w="3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680" w:type="dxa"/>
            <w:vAlign w:val="bottom"/>
            <w:tcBorders>
              <w:bottom w:val="single" w:sz="8" w:color="225CAB"/>
            </w:tcBorders>
          </w:tcPr>
          <w:p>
            <w:pPr>
              <w:ind w:left="200"/>
              <w:spacing w:after="0"/>
              <w:rPr>
                <w:sz w:val="20"/>
                <w:szCs w:val="20"/>
                <w:color w:val="auto"/>
              </w:rPr>
            </w:pPr>
            <w:r>
              <w:rPr>
                <w:rFonts w:ascii="Arial" w:cs="Arial" w:eastAsia="Arial" w:hAnsi="Arial"/>
                <w:sz w:val="18"/>
                <w:szCs w:val="18"/>
                <w:color w:val="auto"/>
              </w:rPr>
              <w:t>55 East 52nd Street, New York, New York 10022</w:t>
            </w:r>
          </w:p>
        </w:tc>
        <w:tc>
          <w:tcPr>
            <w:tcW w:w="3320" w:type="dxa"/>
            <w:vAlign w:val="bottom"/>
            <w:tcBorders>
              <w:bottom w:val="single" w:sz="8" w:color="225CAB"/>
            </w:tcBorders>
          </w:tcPr>
          <w:p>
            <w:pPr>
              <w:jc w:val="right"/>
              <w:ind w:right="195"/>
              <w:spacing w:after="0" w:line="222" w:lineRule="exact"/>
              <w:rPr>
                <w:sz w:val="20"/>
                <w:szCs w:val="20"/>
                <w:color w:val="auto"/>
              </w:rPr>
            </w:pPr>
            <w:r>
              <w:rPr>
                <w:rFonts w:ascii="Arial" w:cs="Arial" w:eastAsia="Arial" w:hAnsi="Arial"/>
                <w:sz w:val="18"/>
                <w:szCs w:val="18"/>
                <w:color w:val="auto"/>
              </w:rPr>
              <w:t>5,621,289</w:t>
            </w:r>
            <w:r>
              <w:rPr>
                <w:rFonts w:ascii="Arial" w:cs="Arial" w:eastAsia="Arial" w:hAnsi="Arial"/>
                <w:sz w:val="22"/>
                <w:szCs w:val="22"/>
                <w:color w:val="auto"/>
                <w:vertAlign w:val="superscript"/>
              </w:rPr>
              <w:t>(5)</w:t>
            </w:r>
          </w:p>
        </w:tc>
        <w:tc>
          <w:tcPr>
            <w:tcW w:w="1400" w:type="dxa"/>
            <w:vAlign w:val="bottom"/>
            <w:tcBorders>
              <w:bottom w:val="single" w:sz="8" w:color="225CAB"/>
            </w:tcBorders>
          </w:tcPr>
          <w:p>
            <w:pPr>
              <w:jc w:val="right"/>
              <w:ind w:right="374"/>
              <w:spacing w:after="0"/>
              <w:rPr>
                <w:sz w:val="20"/>
                <w:szCs w:val="20"/>
                <w:color w:val="auto"/>
              </w:rPr>
            </w:pPr>
            <w:r>
              <w:rPr>
                <w:rFonts w:ascii="Arial" w:cs="Arial" w:eastAsia="Arial" w:hAnsi="Arial"/>
                <w:sz w:val="18"/>
                <w:szCs w:val="18"/>
                <w:color w:val="auto"/>
              </w:rPr>
              <w:t>5.5%</w:t>
            </w:r>
          </w:p>
        </w:tc>
      </w:tr>
      <w:tr>
        <w:trPr>
          <w:trHeight w:val="196"/>
        </w:trPr>
        <w:tc>
          <w:tcPr>
            <w:tcW w:w="20" w:type="dxa"/>
            <w:vAlign w:val="bottom"/>
            <w:tcBorders>
              <w:bottom w:val="single" w:sz="8" w:color="225CAB"/>
            </w:tcBorders>
          </w:tcPr>
          <w:p>
            <w:pPr>
              <w:spacing w:after="0"/>
              <w:rPr>
                <w:sz w:val="17"/>
                <w:szCs w:val="17"/>
                <w:color w:val="auto"/>
              </w:rPr>
            </w:pPr>
          </w:p>
        </w:tc>
        <w:tc>
          <w:tcPr>
            <w:tcW w:w="66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Amy Woods Brinkley</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10</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David W. Devonshire</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13,000</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John F. Fort III</w:t>
            </w:r>
          </w:p>
        </w:tc>
        <w:tc>
          <w:tcPr>
            <w:tcW w:w="3320" w:type="dxa"/>
            <w:vAlign w:val="bottom"/>
            <w:tcBorders>
              <w:bottom w:val="single" w:sz="8" w:color="225CAB"/>
            </w:tcBorders>
          </w:tcPr>
          <w:p>
            <w:pPr>
              <w:jc w:val="right"/>
              <w:ind w:right="195"/>
              <w:spacing w:after="0" w:line="197" w:lineRule="exact"/>
              <w:rPr>
                <w:sz w:val="20"/>
                <w:szCs w:val="20"/>
                <w:color w:val="auto"/>
              </w:rPr>
            </w:pPr>
            <w:r>
              <w:rPr>
                <w:rFonts w:ascii="Arial" w:cs="Arial" w:eastAsia="Arial" w:hAnsi="Arial"/>
                <w:sz w:val="18"/>
                <w:szCs w:val="18"/>
                <w:color w:val="auto"/>
              </w:rPr>
              <w:t>15,150</w:t>
            </w:r>
            <w:r>
              <w:rPr>
                <w:rFonts w:ascii="Arial" w:cs="Arial" w:eastAsia="Arial" w:hAnsi="Arial"/>
                <w:sz w:val="22"/>
                <w:szCs w:val="22"/>
                <w:color w:val="auto"/>
                <w:vertAlign w:val="superscript"/>
              </w:rPr>
              <w:t>(6)</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Brian D. Jellison</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1,757,984</w:t>
            </w:r>
          </w:p>
        </w:tc>
        <w:tc>
          <w:tcPr>
            <w:tcW w:w="1400" w:type="dxa"/>
            <w:vAlign w:val="bottom"/>
            <w:tcBorders>
              <w:bottom w:val="single" w:sz="8" w:color="225CAB"/>
            </w:tcBorders>
          </w:tcPr>
          <w:p>
            <w:pPr>
              <w:jc w:val="right"/>
              <w:ind w:right="374"/>
              <w:spacing w:after="0" w:line="196" w:lineRule="exact"/>
              <w:rPr>
                <w:sz w:val="20"/>
                <w:szCs w:val="20"/>
                <w:color w:val="auto"/>
              </w:rPr>
            </w:pPr>
            <w:r>
              <w:rPr>
                <w:rFonts w:ascii="Arial" w:cs="Arial" w:eastAsia="Arial" w:hAnsi="Arial"/>
                <w:sz w:val="18"/>
                <w:szCs w:val="18"/>
                <w:color w:val="auto"/>
              </w:rPr>
              <w:t>1.7%</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Robert D. Johnson</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10,500</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Robert E. Knowling, Jr.</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10,038</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Wilbur J. Prezzano</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24,000</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Laura G. Thatcher</w:t>
            </w:r>
          </w:p>
        </w:tc>
        <w:tc>
          <w:tcPr>
            <w:tcW w:w="3320" w:type="dxa"/>
            <w:vAlign w:val="bottom"/>
            <w:tcBorders>
              <w:bottom w:val="single" w:sz="8" w:color="225CAB"/>
            </w:tcBorders>
          </w:tcPr>
          <w:p>
            <w:pPr>
              <w:jc w:val="right"/>
              <w:ind w:right="435"/>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Richard F. Wallman</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35,965</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Christopher Wright</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77,784</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John Humphrey</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290,142</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David B. Liner</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144,115</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Paul J. Soni</w:t>
            </w:r>
          </w:p>
        </w:tc>
        <w:tc>
          <w:tcPr>
            <w:tcW w:w="3320" w:type="dxa"/>
            <w:vAlign w:val="bottom"/>
            <w:tcBorders>
              <w:bottom w:val="single" w:sz="8" w:color="225CAB"/>
            </w:tcBorders>
          </w:tcPr>
          <w:p>
            <w:pPr>
              <w:jc w:val="right"/>
              <w:ind w:right="195"/>
              <w:spacing w:after="0" w:line="197" w:lineRule="exact"/>
              <w:rPr>
                <w:sz w:val="20"/>
                <w:szCs w:val="20"/>
                <w:color w:val="auto"/>
              </w:rPr>
            </w:pPr>
            <w:r>
              <w:rPr>
                <w:rFonts w:ascii="Arial" w:cs="Arial" w:eastAsia="Arial" w:hAnsi="Arial"/>
                <w:sz w:val="18"/>
                <w:szCs w:val="18"/>
                <w:color w:val="auto"/>
              </w:rPr>
              <w:t>124,610</w:t>
            </w:r>
            <w:r>
              <w:rPr>
                <w:rFonts w:ascii="Arial" w:cs="Arial" w:eastAsia="Arial" w:hAnsi="Arial"/>
                <w:sz w:val="22"/>
                <w:szCs w:val="22"/>
                <w:color w:val="auto"/>
                <w:vertAlign w:val="superscript"/>
              </w:rPr>
              <w:t>(7)</w:t>
            </w:r>
          </w:p>
        </w:tc>
        <w:tc>
          <w:tcPr>
            <w:tcW w:w="140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7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All current directors and executive officers as a group (11 individuals)</w:t>
            </w:r>
          </w:p>
        </w:tc>
        <w:tc>
          <w:tcPr>
            <w:tcW w:w="3320" w:type="dxa"/>
            <w:vAlign w:val="bottom"/>
            <w:tcBorders>
              <w:bottom w:val="single" w:sz="8" w:color="225CAB"/>
            </w:tcBorders>
          </w:tcPr>
          <w:p>
            <w:pPr>
              <w:jc w:val="right"/>
              <w:ind w:right="335"/>
              <w:spacing w:after="0" w:line="196" w:lineRule="exact"/>
              <w:rPr>
                <w:sz w:val="20"/>
                <w:szCs w:val="20"/>
                <w:color w:val="auto"/>
              </w:rPr>
            </w:pPr>
            <w:r>
              <w:rPr>
                <w:rFonts w:ascii="Arial" w:cs="Arial" w:eastAsia="Arial" w:hAnsi="Arial"/>
                <w:sz w:val="18"/>
                <w:szCs w:val="18"/>
                <w:color w:val="auto"/>
              </w:rPr>
              <w:t>2,503,288</w:t>
            </w:r>
          </w:p>
        </w:tc>
        <w:tc>
          <w:tcPr>
            <w:tcW w:w="1400" w:type="dxa"/>
            <w:vAlign w:val="bottom"/>
            <w:tcBorders>
              <w:bottom w:val="single" w:sz="8" w:color="225CAB"/>
            </w:tcBorders>
          </w:tcPr>
          <w:p>
            <w:pPr>
              <w:jc w:val="right"/>
              <w:ind w:right="374"/>
              <w:spacing w:after="0" w:line="196" w:lineRule="exact"/>
              <w:rPr>
                <w:sz w:val="20"/>
                <w:szCs w:val="20"/>
                <w:color w:val="auto"/>
              </w:rPr>
            </w:pPr>
            <w:r>
              <w:rPr>
                <w:rFonts w:ascii="Arial" w:cs="Arial" w:eastAsia="Arial" w:hAnsi="Arial"/>
                <w:sz w:val="18"/>
                <w:szCs w:val="18"/>
                <w:color w:val="auto"/>
              </w:rPr>
              <w:t>2.5%</w:t>
            </w:r>
          </w:p>
        </w:tc>
      </w:tr>
      <w:tr>
        <w:trPr>
          <w:trHeight w:val="174"/>
        </w:trPr>
        <w:tc>
          <w:tcPr>
            <w:tcW w:w="6700" w:type="dxa"/>
            <w:vAlign w:val="bottom"/>
            <w:gridSpan w:val="2"/>
          </w:tcPr>
          <w:p>
            <w:pPr>
              <w:spacing w:after="0"/>
              <w:rPr>
                <w:sz w:val="20"/>
                <w:szCs w:val="20"/>
                <w:color w:val="auto"/>
              </w:rPr>
            </w:pPr>
            <w:r>
              <w:rPr>
                <w:rFonts w:ascii="Arial" w:cs="Arial" w:eastAsia="Arial" w:hAnsi="Arial"/>
                <w:sz w:val="14"/>
                <w:szCs w:val="14"/>
                <w:color w:val="auto"/>
              </w:rPr>
              <w:t>**   Less than 1%.</w:t>
            </w:r>
          </w:p>
        </w:tc>
        <w:tc>
          <w:tcPr>
            <w:tcW w:w="332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33" w:lineRule="exact"/>
        <w:rPr>
          <w:sz w:val="20"/>
          <w:szCs w:val="20"/>
          <w:color w:val="auto"/>
        </w:rPr>
      </w:pPr>
    </w:p>
    <w:p>
      <w:pPr>
        <w:ind w:left="340" w:right="640" w:hanging="332"/>
        <w:spacing w:after="0" w:line="199"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Includes shares that may be acquired on or before May 30, 2015 upon exercise of stock options issued under Company plans as follows: Mr. Jellison (548,084), Mr. Humphrey (161,916), Mr. Liner (84,000), Mr. Soni (72,000) and all 11 current directors and executive officers as a group (866,000). Holders do not have voting or investment power over unexercised option shares.</w:t>
      </w:r>
    </w:p>
    <w:p>
      <w:pPr>
        <w:ind w:left="340" w:hanging="332"/>
        <w:spacing w:after="0" w:line="212" w:lineRule="auto"/>
        <w:tabs>
          <w:tab w:leader="none" w:pos="340" w:val="left"/>
        </w:tabs>
        <w:numPr>
          <w:ilvl w:val="0"/>
          <w:numId w:val="46"/>
        </w:numPr>
        <w:rPr>
          <w:rFonts w:ascii="Arial" w:cs="Arial" w:eastAsia="Arial" w:hAnsi="Arial"/>
          <w:sz w:val="21"/>
          <w:szCs w:val="21"/>
          <w:color w:val="auto"/>
          <w:vertAlign w:val="superscript"/>
        </w:rPr>
      </w:pPr>
      <w:r>
        <w:rPr>
          <w:rFonts w:ascii="Arial" w:cs="Arial" w:eastAsia="Arial" w:hAnsi="Arial"/>
          <w:sz w:val="13"/>
          <w:szCs w:val="13"/>
          <w:color w:val="auto"/>
        </w:rPr>
        <w:t>Includes the following shares of unvested restricted stock held by named executives officers over which they have sole voting power but no investment power: Mr. Jellison (300,000),</w:t>
      </w:r>
    </w:p>
    <w:p>
      <w:pPr>
        <w:ind w:left="340" w:right="20"/>
        <w:spacing w:after="0" w:line="229" w:lineRule="auto"/>
        <w:rPr>
          <w:rFonts w:ascii="Arial" w:cs="Arial" w:eastAsia="Arial" w:hAnsi="Arial"/>
          <w:sz w:val="21"/>
          <w:szCs w:val="21"/>
          <w:color w:val="auto"/>
          <w:vertAlign w:val="superscript"/>
        </w:rPr>
      </w:pPr>
      <w:r>
        <w:rPr>
          <w:rFonts w:ascii="Arial" w:cs="Arial" w:eastAsia="Arial" w:hAnsi="Arial"/>
          <w:sz w:val="14"/>
          <w:szCs w:val="14"/>
          <w:color w:val="auto"/>
        </w:rPr>
        <w:t>Mr. Humphrey (60,000), Mr. Liner (12,000) and Mr. Soni (12,000). Also includes 2,000 shares that will be acquired on May 28, 2015 upon the vesting of unvested restricted stock units for each of our non-employee directors: Messrs. Devonshire, Fort, Johnson, Knowling, Prezzano, Wallman and Wright. The total for all current executive officers and directors as a group is 398,000.</w:t>
      </w:r>
    </w:p>
    <w:p>
      <w:pPr>
        <w:spacing w:after="0" w:line="49" w:lineRule="exact"/>
        <w:rPr>
          <w:rFonts w:ascii="Arial" w:cs="Arial" w:eastAsia="Arial" w:hAnsi="Arial"/>
          <w:sz w:val="21"/>
          <w:szCs w:val="21"/>
          <w:color w:val="auto"/>
          <w:vertAlign w:val="superscript"/>
        </w:rPr>
      </w:pPr>
    </w:p>
    <w:p>
      <w:pPr>
        <w:ind w:left="340" w:right="80" w:hanging="332"/>
        <w:spacing w:after="0" w:line="190"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10, 2015, as of December 31, 2014, T. Rowe Price Associates, Inc. may be deemed to be the beneficial owner of such securities, with sole voting power over 4,012,947 shares and sole dispositive power over all of the shares.</w:t>
      </w:r>
    </w:p>
    <w:p>
      <w:pPr>
        <w:spacing w:after="0" w:line="135"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21</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BENEFICIAL OWNERSHIP </w:t>
      </w:r>
      <w:r>
        <w:rPr>
          <w:rFonts w:ascii="Arial" w:cs="Arial" w:eastAsia="Arial" w:hAnsi="Arial"/>
          <w:sz w:val="18"/>
          <w:szCs w:val="18"/>
          <w:i w:val="1"/>
          <w:iCs w:val="1"/>
          <w:color w:val="225CAB"/>
        </w:rPr>
        <w:t>(CONTINUED)</w:t>
      </w:r>
    </w:p>
    <w:p>
      <w:pPr>
        <w:spacing w:after="0" w:line="227" w:lineRule="exact"/>
        <w:rPr>
          <w:sz w:val="20"/>
          <w:szCs w:val="20"/>
          <w:color w:val="auto"/>
        </w:rPr>
      </w:pPr>
    </w:p>
    <w:p>
      <w:pPr>
        <w:ind w:left="340" w:right="160" w:hanging="332"/>
        <w:spacing w:after="0" w:line="199"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10, 2015, as of December 31, 2014, The Vanguard Group, Inc. beneficially owned 8,167,411 shares of Roper common stock, with sole voting power over 175,279 shares, sole dispositive power over 8,005,269 shares and shared dispositive power over 162,142 shares. Certain of these shares are beneficially owned by subsidiaries that serve as investment manager of collective trust accounts or as investment manager of investment offerings.</w:t>
      </w:r>
    </w:p>
    <w:p>
      <w:pPr>
        <w:spacing w:after="0" w:line="49" w:lineRule="exact"/>
        <w:rPr>
          <w:rFonts w:ascii="Arial" w:cs="Arial" w:eastAsia="Arial" w:hAnsi="Arial"/>
          <w:sz w:val="22"/>
          <w:szCs w:val="22"/>
          <w:color w:val="auto"/>
          <w:vertAlign w:val="superscript"/>
        </w:rPr>
      </w:pPr>
    </w:p>
    <w:p>
      <w:pPr>
        <w:ind w:left="340" w:right="300" w:hanging="332"/>
        <w:spacing w:after="0" w:line="190"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6, 2015, as of December 31, 2014, BlackRock, Inc. (and certain subsidiaries as a group) beneficially owned 5,621,289 shares of Roper common stock with the sole voting power over 4,784,738 and sole dispositive power over all of the shares.</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Includes 250 shares held by a trust of which Mr. Fort is a trustee.</w:t>
      </w:r>
    </w:p>
    <w:p>
      <w:pPr>
        <w:spacing w:after="0" w:line="66" w:lineRule="exact"/>
        <w:rPr>
          <w:rFonts w:ascii="Arial" w:cs="Arial" w:eastAsia="Arial" w:hAnsi="Arial"/>
          <w:sz w:val="22"/>
          <w:szCs w:val="22"/>
          <w:color w:val="auto"/>
          <w:vertAlign w:val="superscript"/>
        </w:rPr>
      </w:pPr>
    </w:p>
    <w:p>
      <w:pPr>
        <w:ind w:left="340" w:right="320" w:hanging="332"/>
        <w:spacing w:after="0" w:line="191" w:lineRule="auto"/>
        <w:tabs>
          <w:tab w:leader="none" w:pos="340" w:val="left"/>
        </w:tabs>
        <w:numPr>
          <w:ilvl w:val="0"/>
          <w:numId w:val="47"/>
        </w:numPr>
        <w:rPr>
          <w:rFonts w:ascii="Arial" w:cs="Arial" w:eastAsia="Arial" w:hAnsi="Arial"/>
          <w:sz w:val="21"/>
          <w:szCs w:val="21"/>
          <w:color w:val="auto"/>
          <w:vertAlign w:val="superscript"/>
        </w:rPr>
      </w:pPr>
      <w:r>
        <w:rPr>
          <w:rFonts w:ascii="Arial" w:cs="Arial" w:eastAsia="Arial" w:hAnsi="Arial"/>
          <w:sz w:val="13"/>
          <w:szCs w:val="13"/>
          <w:color w:val="auto"/>
        </w:rPr>
        <w:t>Mr. Soni and his spouse each participate in a 401(k) plan with a unitized stock fund that consists of cash and common stock in amounts that vary from time to time. Based on a conversion factor representing the units in the fund as of March 31, 2015, the shares in the table include 2,780 shares in Mr. Soni’s account and 940 shares in his spouse’s account.</w:t>
      </w: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color w:val="225CAB"/>
        </w:rPr>
        <w:t>SECTION 16(a) BENEFICIAL OWNERSHIP REPORTING COMPLIANCE</w:t>
      </w:r>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16(a) of the Exchange Act requires Roper’s directors, officers and persons who own more than 10% of Roper common stock to file with the SEC initial reports of ownership and reports of changes in ownership. Officers, directors and greater than 10% shareholders are required by SEC regulation to furnish Roper with copies of all Section 16(a) forms they file.</w:t>
      </w:r>
    </w:p>
    <w:p>
      <w:pPr>
        <w:spacing w:after="0" w:line="3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believe that during 2014 all of our directors and executive officers complied with all Section 16(a) filing requirements, with the exception of one late Form 5 filed April 2, 2015 due to an administrative oversight in reporting a gift transaction of 1,500 shares for Mr. Fort. In making this statement, we have relied upon examination of the copies of Forms 3, 4 and 5, and amendments to these forms, provided to us and the written representations of our directors and executive officers.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COMPENSATION DISCUSSION AND ANALYSIS</w:t>
      </w:r>
    </w:p>
    <w:p>
      <w:pPr>
        <w:spacing w:after="0" w:line="27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This Compensation Discussion and Analysis (“CD&amp;A”) provides information about our compensation objectives and policies for our Chief Executive Officer and other executive officers (who are included in the 2014 Summary Compensation Table and referred to in this CD&amp;A as “executive officers”) that will place in perspective the information set forth in the “Executive Compensation” section that follows in this proxy statement.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Superior Returns for Roper Investors</w:t>
      </w:r>
    </w:p>
    <w:p>
      <w:pPr>
        <w:spacing w:after="0" w:line="7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Roper is proud of its long track record of superior returns for its investors. Roper has significantly outperformed the S&amp;P 500 over the past three, five, and 10 years.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shd w:val="clear" w:color="auto" w:fill="225CAB"/>
          </w:tcPr>
          <w:p>
            <w:pPr>
              <w:spacing w:after="0"/>
              <w:rPr>
                <w:sz w:val="14"/>
                <w:szCs w:val="14"/>
                <w:color w:val="auto"/>
              </w:rPr>
            </w:pPr>
          </w:p>
        </w:tc>
        <w:tc>
          <w:tcPr>
            <w:tcW w:w="3340" w:type="dxa"/>
            <w:vAlign w:val="bottom"/>
            <w:gridSpan w:val="2"/>
            <w:shd w:val="clear" w:color="auto" w:fill="225CAB"/>
          </w:tcPr>
          <w:p>
            <w:pPr>
              <w:ind w:left="1140"/>
              <w:spacing w:after="0"/>
              <w:rPr>
                <w:sz w:val="20"/>
                <w:szCs w:val="20"/>
                <w:color w:val="auto"/>
              </w:rPr>
            </w:pPr>
            <w:r>
              <w:rPr>
                <w:rFonts w:ascii="Arial" w:cs="Arial" w:eastAsia="Arial" w:hAnsi="Arial"/>
                <w:sz w:val="14"/>
                <w:szCs w:val="14"/>
                <w:color w:val="FFFFFF"/>
              </w:rPr>
              <w:t>Compound Annual</w:t>
            </w:r>
          </w:p>
        </w:tc>
        <w:tc>
          <w:tcPr>
            <w:tcW w:w="3400" w:type="dxa"/>
            <w:vAlign w:val="bottom"/>
            <w:gridSpan w:val="2"/>
            <w:shd w:val="clear" w:color="auto" w:fill="225CAB"/>
          </w:tcPr>
          <w:p>
            <w:pPr>
              <w:jc w:val="center"/>
              <w:ind w:left="220"/>
              <w:spacing w:after="0"/>
              <w:rPr>
                <w:sz w:val="20"/>
                <w:szCs w:val="20"/>
                <w:color w:val="auto"/>
              </w:rPr>
            </w:pPr>
            <w:r>
              <w:rPr>
                <w:rFonts w:ascii="Arial" w:cs="Arial" w:eastAsia="Arial" w:hAnsi="Arial"/>
                <w:sz w:val="14"/>
                <w:szCs w:val="14"/>
                <w:color w:val="FFFFFF"/>
                <w:w w:val="95"/>
              </w:rPr>
              <w:t>Total Shareholder Return</w:t>
            </w:r>
          </w:p>
        </w:tc>
        <w:tc>
          <w:tcPr>
            <w:tcW w:w="0" w:type="dxa"/>
            <w:vAlign w:val="bottom"/>
          </w:tcPr>
          <w:p>
            <w:pPr>
              <w:spacing w:after="0"/>
              <w:rPr>
                <w:sz w:val="1"/>
                <w:szCs w:val="1"/>
                <w:color w:val="auto"/>
              </w:rPr>
            </w:pPr>
          </w:p>
        </w:tc>
      </w:tr>
      <w:tr>
        <w:trPr>
          <w:trHeight w:val="165"/>
        </w:trPr>
        <w:tc>
          <w:tcPr>
            <w:tcW w:w="4680" w:type="dxa"/>
            <w:vAlign w:val="bottom"/>
            <w:vMerge w:val="restart"/>
            <w:shd w:val="clear" w:color="auto" w:fill="225CAB"/>
          </w:tcPr>
          <w:p>
            <w:pPr>
              <w:spacing w:after="0"/>
              <w:rPr>
                <w:sz w:val="20"/>
                <w:szCs w:val="20"/>
                <w:color w:val="auto"/>
              </w:rPr>
            </w:pPr>
            <w:r>
              <w:rPr>
                <w:rFonts w:ascii="Arial" w:cs="Arial" w:eastAsia="Arial" w:hAnsi="Arial"/>
                <w:sz w:val="14"/>
                <w:szCs w:val="14"/>
                <w:color w:val="FFFFFF"/>
              </w:rPr>
              <w:t>Period</w:t>
            </w:r>
          </w:p>
        </w:tc>
        <w:tc>
          <w:tcPr>
            <w:tcW w:w="3340" w:type="dxa"/>
            <w:vAlign w:val="bottom"/>
            <w:gridSpan w:val="2"/>
            <w:shd w:val="clear" w:color="auto" w:fill="225CAB"/>
          </w:tcPr>
          <w:p>
            <w:pPr>
              <w:ind w:left="1120"/>
              <w:spacing w:after="0"/>
              <w:rPr>
                <w:sz w:val="20"/>
                <w:szCs w:val="20"/>
                <w:color w:val="auto"/>
              </w:rPr>
            </w:pPr>
            <w:r>
              <w:rPr>
                <w:rFonts w:ascii="Arial" w:cs="Arial" w:eastAsia="Arial" w:hAnsi="Arial"/>
                <w:sz w:val="14"/>
                <w:szCs w:val="14"/>
                <w:color w:val="FFFFFF"/>
              </w:rPr>
              <w:t>Shareholder Return</w:t>
            </w:r>
          </w:p>
        </w:tc>
        <w:tc>
          <w:tcPr>
            <w:tcW w:w="1440" w:type="dxa"/>
            <w:vAlign w:val="bottom"/>
            <w:shd w:val="clear" w:color="auto" w:fill="225CAB"/>
          </w:tcPr>
          <w:p>
            <w:pPr>
              <w:spacing w:after="0"/>
              <w:rPr>
                <w:sz w:val="14"/>
                <w:szCs w:val="14"/>
                <w:color w:val="auto"/>
              </w:rPr>
            </w:pPr>
          </w:p>
        </w:tc>
        <w:tc>
          <w:tcPr>
            <w:tcW w:w="1960" w:type="dxa"/>
            <w:vAlign w:val="bottom"/>
            <w:shd w:val="clear" w:color="auto" w:fill="225CAB"/>
          </w:tcPr>
          <w:p>
            <w:pPr>
              <w:jc w:val="center"/>
              <w:ind w:right="1040"/>
              <w:spacing w:after="0"/>
              <w:rPr>
                <w:sz w:val="20"/>
                <w:szCs w:val="20"/>
                <w:color w:val="auto"/>
              </w:rPr>
            </w:pPr>
            <w:r>
              <w:rPr>
                <w:rFonts w:ascii="Arial" w:cs="Arial" w:eastAsia="Arial" w:hAnsi="Arial"/>
                <w:sz w:val="14"/>
                <w:szCs w:val="14"/>
                <w:color w:val="FFFFFF"/>
                <w:w w:val="96"/>
              </w:rPr>
              <w:t>(TSR)</w:t>
            </w:r>
          </w:p>
        </w:tc>
        <w:tc>
          <w:tcPr>
            <w:tcW w:w="0" w:type="dxa"/>
            <w:vAlign w:val="bottom"/>
          </w:tcPr>
          <w:p>
            <w:pPr>
              <w:spacing w:after="0"/>
              <w:rPr>
                <w:sz w:val="1"/>
                <w:szCs w:val="1"/>
                <w:color w:val="auto"/>
              </w:rPr>
            </w:pPr>
          </w:p>
        </w:tc>
      </w:tr>
      <w:tr>
        <w:trPr>
          <w:trHeight w:val="162"/>
        </w:trPr>
        <w:tc>
          <w:tcPr>
            <w:tcW w:w="4680" w:type="dxa"/>
            <w:vAlign w:val="bottom"/>
            <w:vMerge w:val="continue"/>
            <w:shd w:val="clear" w:color="auto" w:fill="225CAB"/>
          </w:tcPr>
          <w:p>
            <w:pPr>
              <w:spacing w:after="0"/>
              <w:rPr>
                <w:sz w:val="14"/>
                <w:szCs w:val="14"/>
                <w:color w:val="auto"/>
              </w:rPr>
            </w:pPr>
          </w:p>
        </w:tc>
        <w:tc>
          <w:tcPr>
            <w:tcW w:w="1680" w:type="dxa"/>
            <w:vAlign w:val="bottom"/>
            <w:shd w:val="clear" w:color="auto" w:fill="225CAB"/>
          </w:tcPr>
          <w:p>
            <w:pPr>
              <w:jc w:val="center"/>
              <w:ind w:left="22"/>
              <w:spacing w:after="0"/>
              <w:rPr>
                <w:sz w:val="20"/>
                <w:szCs w:val="20"/>
                <w:color w:val="auto"/>
              </w:rPr>
            </w:pPr>
            <w:r>
              <w:rPr>
                <w:rFonts w:ascii="Arial" w:cs="Arial" w:eastAsia="Arial" w:hAnsi="Arial"/>
                <w:sz w:val="14"/>
                <w:szCs w:val="14"/>
                <w:color w:val="FFFFFF"/>
                <w:w w:val="99"/>
              </w:rPr>
              <w:t>Roper</w:t>
            </w:r>
          </w:p>
        </w:tc>
        <w:tc>
          <w:tcPr>
            <w:tcW w:w="1660" w:type="dxa"/>
            <w:vAlign w:val="bottom"/>
            <w:shd w:val="clear" w:color="auto" w:fill="225CAB"/>
          </w:tcPr>
          <w:p>
            <w:pPr>
              <w:ind w:left="540"/>
              <w:spacing w:after="0"/>
              <w:rPr>
                <w:sz w:val="20"/>
                <w:szCs w:val="20"/>
                <w:color w:val="auto"/>
              </w:rPr>
            </w:pPr>
            <w:r>
              <w:rPr>
                <w:rFonts w:ascii="Arial" w:cs="Arial" w:eastAsia="Arial" w:hAnsi="Arial"/>
                <w:sz w:val="14"/>
                <w:szCs w:val="14"/>
                <w:color w:val="FFFFFF"/>
              </w:rPr>
              <w:t>S&amp;P 500</w:t>
            </w:r>
          </w:p>
        </w:tc>
        <w:tc>
          <w:tcPr>
            <w:tcW w:w="1440" w:type="dxa"/>
            <w:vAlign w:val="bottom"/>
            <w:shd w:val="clear" w:color="auto" w:fill="225CAB"/>
          </w:tcPr>
          <w:p>
            <w:pPr>
              <w:ind w:left="720"/>
              <w:spacing w:after="0"/>
              <w:rPr>
                <w:sz w:val="20"/>
                <w:szCs w:val="20"/>
                <w:color w:val="auto"/>
              </w:rPr>
            </w:pPr>
            <w:r>
              <w:rPr>
                <w:rFonts w:ascii="Arial" w:cs="Arial" w:eastAsia="Arial" w:hAnsi="Arial"/>
                <w:sz w:val="14"/>
                <w:szCs w:val="14"/>
                <w:color w:val="FFFFFF"/>
              </w:rPr>
              <w:t>Roper</w:t>
            </w:r>
          </w:p>
        </w:tc>
        <w:tc>
          <w:tcPr>
            <w:tcW w:w="1960" w:type="dxa"/>
            <w:vAlign w:val="bottom"/>
            <w:shd w:val="clear" w:color="auto" w:fill="225CAB"/>
          </w:tcPr>
          <w:p>
            <w:pPr>
              <w:ind w:left="1080"/>
              <w:spacing w:after="0"/>
              <w:rPr>
                <w:sz w:val="20"/>
                <w:szCs w:val="20"/>
                <w:color w:val="auto"/>
              </w:rPr>
            </w:pPr>
            <w:r>
              <w:rPr>
                <w:rFonts w:ascii="Arial" w:cs="Arial" w:eastAsia="Arial" w:hAnsi="Arial"/>
                <w:sz w:val="14"/>
                <w:szCs w:val="14"/>
                <w:color w:val="FFFFFF"/>
              </w:rPr>
              <w:t>S&amp;P 500</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auto"/>
              </w:rPr>
              <w:t>3 Years</w:t>
            </w:r>
          </w:p>
        </w:tc>
        <w:tc>
          <w:tcPr>
            <w:tcW w:w="1680" w:type="dxa"/>
            <w:vAlign w:val="bottom"/>
            <w:tcBorders>
              <w:bottom w:val="single" w:sz="8" w:color="225CAB"/>
            </w:tcBorders>
          </w:tcPr>
          <w:p>
            <w:pPr>
              <w:jc w:val="center"/>
              <w:ind w:left="22"/>
              <w:spacing w:after="0" w:line="202" w:lineRule="exact"/>
              <w:rPr>
                <w:sz w:val="20"/>
                <w:szCs w:val="20"/>
                <w:color w:val="auto"/>
              </w:rPr>
            </w:pPr>
            <w:r>
              <w:rPr>
                <w:rFonts w:ascii="Arial" w:cs="Arial" w:eastAsia="Arial" w:hAnsi="Arial"/>
                <w:sz w:val="18"/>
                <w:szCs w:val="18"/>
                <w:b w:val="1"/>
                <w:bCs w:val="1"/>
                <w:color w:val="auto"/>
                <w:w w:val="97"/>
              </w:rPr>
              <w:t>22.3%</w:t>
            </w:r>
          </w:p>
        </w:tc>
        <w:tc>
          <w:tcPr>
            <w:tcW w:w="166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7"/>
              </w:rPr>
              <w:t>20.4%</w:t>
            </w:r>
          </w:p>
        </w:tc>
        <w:tc>
          <w:tcPr>
            <w:tcW w:w="1440" w:type="dxa"/>
            <w:vAlign w:val="bottom"/>
            <w:tcBorders>
              <w:bottom w:val="single" w:sz="8" w:color="225CAB"/>
            </w:tcBorders>
          </w:tcPr>
          <w:p>
            <w:pPr>
              <w:jc w:val="center"/>
              <w:ind w:left="260"/>
              <w:spacing w:after="0" w:line="202" w:lineRule="exact"/>
              <w:rPr>
                <w:sz w:val="20"/>
                <w:szCs w:val="20"/>
                <w:color w:val="auto"/>
              </w:rPr>
            </w:pPr>
            <w:r>
              <w:rPr>
                <w:rFonts w:ascii="Arial" w:cs="Arial" w:eastAsia="Arial" w:hAnsi="Arial"/>
                <w:sz w:val="18"/>
                <w:szCs w:val="18"/>
                <w:b w:val="1"/>
                <w:bCs w:val="1"/>
                <w:color w:val="auto"/>
                <w:w w:val="97"/>
              </w:rPr>
              <w:t>83.0%</w:t>
            </w:r>
          </w:p>
        </w:tc>
        <w:tc>
          <w:tcPr>
            <w:tcW w:w="1960" w:type="dxa"/>
            <w:vAlign w:val="bottom"/>
            <w:tcBorders>
              <w:bottom w:val="single" w:sz="8" w:color="225CAB"/>
            </w:tcBorders>
          </w:tcPr>
          <w:p>
            <w:pPr>
              <w:jc w:val="center"/>
              <w:ind w:left="620"/>
              <w:spacing w:after="0" w:line="202" w:lineRule="exact"/>
              <w:rPr>
                <w:sz w:val="20"/>
                <w:szCs w:val="20"/>
                <w:color w:val="auto"/>
              </w:rPr>
            </w:pPr>
            <w:r>
              <w:rPr>
                <w:rFonts w:ascii="Arial" w:cs="Arial" w:eastAsia="Arial" w:hAnsi="Arial"/>
                <w:sz w:val="18"/>
                <w:szCs w:val="18"/>
                <w:color w:val="auto"/>
                <w:w w:val="97"/>
              </w:rPr>
              <w:t>74.6%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5 Years</w:t>
            </w:r>
          </w:p>
        </w:tc>
        <w:tc>
          <w:tcPr>
            <w:tcW w:w="1680" w:type="dxa"/>
            <w:vAlign w:val="bottom"/>
            <w:tcBorders>
              <w:bottom w:val="single" w:sz="8" w:color="225CAB"/>
            </w:tcBorders>
          </w:tcPr>
          <w:p>
            <w:pPr>
              <w:jc w:val="center"/>
              <w:ind w:left="22"/>
              <w:spacing w:after="0" w:line="196" w:lineRule="exact"/>
              <w:rPr>
                <w:sz w:val="20"/>
                <w:szCs w:val="20"/>
                <w:color w:val="auto"/>
              </w:rPr>
            </w:pPr>
            <w:r>
              <w:rPr>
                <w:rFonts w:ascii="Arial" w:cs="Arial" w:eastAsia="Arial" w:hAnsi="Arial"/>
                <w:sz w:val="18"/>
                <w:szCs w:val="18"/>
                <w:b w:val="1"/>
                <w:bCs w:val="1"/>
                <w:color w:val="auto"/>
                <w:w w:val="97"/>
              </w:rPr>
              <w:t>25.2%</w:t>
            </w:r>
          </w:p>
        </w:tc>
        <w:tc>
          <w:tcPr>
            <w:tcW w:w="166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7"/>
              </w:rPr>
              <w:t>15.5%</w:t>
            </w:r>
          </w:p>
        </w:tc>
        <w:tc>
          <w:tcPr>
            <w:tcW w:w="1440" w:type="dxa"/>
            <w:vAlign w:val="bottom"/>
            <w:tcBorders>
              <w:bottom w:val="single" w:sz="8" w:color="225CAB"/>
            </w:tcBorders>
          </w:tcPr>
          <w:p>
            <w:pPr>
              <w:jc w:val="center"/>
              <w:ind w:left="280"/>
              <w:spacing w:after="0" w:line="196" w:lineRule="exact"/>
              <w:rPr>
                <w:sz w:val="20"/>
                <w:szCs w:val="20"/>
                <w:color w:val="auto"/>
              </w:rPr>
            </w:pPr>
            <w:r>
              <w:rPr>
                <w:rFonts w:ascii="Arial" w:cs="Arial" w:eastAsia="Arial" w:hAnsi="Arial"/>
                <w:sz w:val="18"/>
                <w:szCs w:val="18"/>
                <w:b w:val="1"/>
                <w:bCs w:val="1"/>
                <w:color w:val="auto"/>
                <w:w w:val="98"/>
              </w:rPr>
              <w:t>207.3%</w:t>
            </w:r>
          </w:p>
        </w:tc>
        <w:tc>
          <w:tcPr>
            <w:tcW w:w="1960" w:type="dxa"/>
            <w:vAlign w:val="bottom"/>
            <w:tcBorders>
              <w:bottom w:val="single" w:sz="8" w:color="225CAB"/>
            </w:tcBorders>
          </w:tcPr>
          <w:p>
            <w:pPr>
              <w:jc w:val="center"/>
              <w:ind w:left="640"/>
              <w:spacing w:after="0" w:line="196" w:lineRule="exact"/>
              <w:rPr>
                <w:sz w:val="20"/>
                <w:szCs w:val="20"/>
                <w:color w:val="auto"/>
              </w:rPr>
            </w:pPr>
            <w:r>
              <w:rPr>
                <w:rFonts w:ascii="Arial" w:cs="Arial" w:eastAsia="Arial" w:hAnsi="Arial"/>
                <w:sz w:val="18"/>
                <w:szCs w:val="18"/>
                <w:color w:val="auto"/>
                <w:w w:val="98"/>
              </w:rPr>
              <w:t>105.1%</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10 Years</w:t>
            </w:r>
          </w:p>
        </w:tc>
        <w:tc>
          <w:tcPr>
            <w:tcW w:w="1680" w:type="dxa"/>
            <w:vAlign w:val="bottom"/>
            <w:tcBorders>
              <w:bottom w:val="single" w:sz="8" w:color="225CAB"/>
            </w:tcBorders>
          </w:tcPr>
          <w:p>
            <w:pPr>
              <w:jc w:val="center"/>
              <w:ind w:left="22"/>
              <w:spacing w:after="0" w:line="196" w:lineRule="exact"/>
              <w:rPr>
                <w:sz w:val="20"/>
                <w:szCs w:val="20"/>
                <w:color w:val="auto"/>
              </w:rPr>
            </w:pPr>
            <w:r>
              <w:rPr>
                <w:rFonts w:ascii="Arial" w:cs="Arial" w:eastAsia="Arial" w:hAnsi="Arial"/>
                <w:sz w:val="18"/>
                <w:szCs w:val="18"/>
                <w:b w:val="1"/>
                <w:bCs w:val="1"/>
                <w:color w:val="auto"/>
                <w:w w:val="97"/>
              </w:rPr>
              <w:t>18.5%</w:t>
            </w:r>
          </w:p>
        </w:tc>
        <w:tc>
          <w:tcPr>
            <w:tcW w:w="166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7"/>
              </w:rPr>
              <w:t>7.7%</w:t>
            </w:r>
          </w:p>
        </w:tc>
        <w:tc>
          <w:tcPr>
            <w:tcW w:w="1440" w:type="dxa"/>
            <w:vAlign w:val="bottom"/>
            <w:tcBorders>
              <w:bottom w:val="single" w:sz="8" w:color="225CAB"/>
            </w:tcBorders>
          </w:tcPr>
          <w:p>
            <w:pPr>
              <w:jc w:val="center"/>
              <w:ind w:left="280"/>
              <w:spacing w:after="0" w:line="196" w:lineRule="exact"/>
              <w:rPr>
                <w:sz w:val="20"/>
                <w:szCs w:val="20"/>
                <w:color w:val="auto"/>
              </w:rPr>
            </w:pPr>
            <w:r>
              <w:rPr>
                <w:rFonts w:ascii="Arial" w:cs="Arial" w:eastAsia="Arial" w:hAnsi="Arial"/>
                <w:sz w:val="18"/>
                <w:szCs w:val="18"/>
                <w:b w:val="1"/>
                <w:bCs w:val="1"/>
                <w:color w:val="auto"/>
                <w:w w:val="98"/>
              </w:rPr>
              <w:t>445.2%</w:t>
            </w:r>
          </w:p>
        </w:tc>
        <w:tc>
          <w:tcPr>
            <w:tcW w:w="1960" w:type="dxa"/>
            <w:vAlign w:val="bottom"/>
            <w:tcBorders>
              <w:bottom w:val="single" w:sz="8" w:color="225CAB"/>
            </w:tcBorders>
          </w:tcPr>
          <w:p>
            <w:pPr>
              <w:jc w:val="center"/>
              <w:ind w:left="640"/>
              <w:spacing w:after="0" w:line="196" w:lineRule="exact"/>
              <w:rPr>
                <w:sz w:val="20"/>
                <w:szCs w:val="20"/>
                <w:color w:val="auto"/>
              </w:rPr>
            </w:pPr>
            <w:r>
              <w:rPr>
                <w:rFonts w:ascii="Arial" w:cs="Arial" w:eastAsia="Arial" w:hAnsi="Arial"/>
                <w:sz w:val="18"/>
                <w:szCs w:val="18"/>
                <w:color w:val="auto"/>
                <w:w w:val="98"/>
              </w:rPr>
              <w:t>109.5%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-702310</wp:posOffset>
            </wp:positionV>
            <wp:extent cx="4279265"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79265" cy="29146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Performance for 2014 was outstanding across the enterprise with record revenue, income, cash flow, and margins:</w:t>
      </w:r>
    </w:p>
    <w:p>
      <w:pPr>
        <w:sectPr>
          <w:pgSz w:w="11900" w:h="16838" w:orient="portrait"/>
          <w:cols w:equalWidth="0" w:num="1">
            <w:col w:w="11420"/>
          </w:cols>
          <w:pgMar w:left="240" w:top="455" w:right="239" w:bottom="1440" w:gutter="0" w:footer="0" w:header="0"/>
        </w:sectPr>
      </w:pPr>
    </w:p>
    <w:p>
      <w:pPr>
        <w:spacing w:after="0" w:line="198" w:lineRule="exact"/>
        <w:rPr>
          <w:sz w:val="20"/>
          <w:szCs w:val="20"/>
          <w:color w:val="auto"/>
        </w:rPr>
      </w:pPr>
    </w:p>
    <w:p>
      <w:pPr>
        <w:ind w:right="1480"/>
        <w:spacing w:after="0" w:line="269" w:lineRule="auto"/>
        <w:rPr>
          <w:sz w:val="20"/>
          <w:szCs w:val="20"/>
          <w:color w:val="auto"/>
        </w:rPr>
      </w:pPr>
      <w:r>
        <w:rPr>
          <w:rFonts w:ascii="Arial" w:cs="Arial" w:eastAsia="Arial" w:hAnsi="Arial"/>
          <w:sz w:val="18"/>
          <w:szCs w:val="18"/>
          <w:b w:val="1"/>
          <w:bCs w:val="1"/>
          <w:i w:val="1"/>
          <w:iCs w:val="1"/>
          <w:color w:val="225CAB"/>
        </w:rPr>
        <w:t xml:space="preserve">Revenue </w:t>
      </w:r>
      <w:r>
        <w:rPr>
          <w:rFonts w:ascii="Arial" w:cs="Arial" w:eastAsia="Arial" w:hAnsi="Arial"/>
          <w:sz w:val="18"/>
          <w:szCs w:val="18"/>
          <w:color w:val="000000"/>
        </w:rPr>
        <w:t>increased 10% from $3.2 billion in 2013</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to $3.5 billion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137795</wp:posOffset>
            </wp:positionV>
            <wp:extent cx="1569085" cy="995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69085" cy="995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5CAB"/>
        </w:rPr>
        <w:t xml:space="preserve">Gross Margin </w:t>
      </w:r>
      <w:r>
        <w:rPr>
          <w:rFonts w:ascii="Arial" w:cs="Arial" w:eastAsia="Arial" w:hAnsi="Arial"/>
          <w:sz w:val="16"/>
          <w:szCs w:val="16"/>
          <w:color w:val="000000"/>
        </w:rPr>
        <w:t>increased from 58.1% in 2013 to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59.2%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3810</wp:posOffset>
            </wp:positionV>
            <wp:extent cx="1560830" cy="1149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60830" cy="114935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5340" w:space="720"/>
            <w:col w:w="536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500"/>
        <w:spacing w:after="0" w:line="269" w:lineRule="auto"/>
        <w:rPr>
          <w:sz w:val="20"/>
          <w:szCs w:val="20"/>
          <w:color w:val="auto"/>
        </w:rPr>
      </w:pPr>
      <w:r>
        <w:rPr>
          <w:rFonts w:ascii="Arial" w:cs="Arial" w:eastAsia="Arial" w:hAnsi="Arial"/>
          <w:sz w:val="18"/>
          <w:szCs w:val="18"/>
          <w:b w:val="1"/>
          <w:bCs w:val="1"/>
          <w:i w:val="1"/>
          <w:iCs w:val="1"/>
          <w:color w:val="225CAB"/>
        </w:rPr>
        <w:t xml:space="preserve">Operating Margin </w:t>
      </w:r>
      <w:r>
        <w:rPr>
          <w:rFonts w:ascii="Arial" w:cs="Arial" w:eastAsia="Arial" w:hAnsi="Arial"/>
          <w:sz w:val="18"/>
          <w:szCs w:val="18"/>
          <w:color w:val="000000"/>
        </w:rPr>
        <w:t>increased from 26.0% in 2013</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to 28.2%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8890</wp:posOffset>
            </wp:positionV>
            <wp:extent cx="1569085" cy="1071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69085" cy="1071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5CAB"/>
        </w:rPr>
        <w:t xml:space="preserve">Diluted Earnings Per Share (DEPS) </w:t>
      </w:r>
      <w:r>
        <w:rPr>
          <w:rFonts w:ascii="Arial" w:cs="Arial" w:eastAsia="Arial" w:hAnsi="Arial"/>
          <w:sz w:val="16"/>
          <w:szCs w:val="16"/>
          <w:color w:val="000000"/>
        </w:rPr>
        <w:t>increased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19% from $5.37 in 2013 to $6.40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3810</wp:posOffset>
            </wp:positionV>
            <wp:extent cx="1509395" cy="10979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09395" cy="109791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5340" w:space="720"/>
            <w:col w:w="536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23</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2014 achievements include:</w:t>
      </w:r>
    </w:p>
    <w:p>
      <w:pPr>
        <w:spacing w:after="0" w:line="131" w:lineRule="exact"/>
        <w:rPr>
          <w:sz w:val="20"/>
          <w:szCs w:val="20"/>
          <w:color w:val="auto"/>
        </w:rPr>
      </w:pPr>
    </w:p>
    <w:p>
      <w:pPr>
        <w:ind w:left="200" w:hanging="192"/>
        <w:spacing w:after="0" w:line="269" w:lineRule="auto"/>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Broad-based organic revenue growth across our segments, with 7% overall</w:t>
      </w:r>
    </w:p>
    <w:p>
      <w:pPr>
        <w:spacing w:after="0" w:line="22"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income grew 19% to $999 million</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EBITDA margin continued to expand, reaching 33.7%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6" w:hanging="186"/>
        <w:spacing w:after="0" w:line="269" w:lineRule="auto"/>
        <w:tabs>
          <w:tab w:leader="none" w:pos="1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Free cash flow exceeded $800 million for the first time, representing 23% of revenue</w:t>
      </w:r>
    </w:p>
    <w:p>
      <w:pPr>
        <w:spacing w:after="0" w:line="22" w:lineRule="exact"/>
        <w:rPr>
          <w:rFonts w:ascii="Arial" w:cs="Arial" w:eastAsia="Arial" w:hAnsi="Arial"/>
          <w:sz w:val="18"/>
          <w:szCs w:val="18"/>
          <w:color w:val="auto"/>
        </w:rPr>
      </w:pPr>
    </w:p>
    <w:p>
      <w:pPr>
        <w:ind w:left="186" w:right="760" w:hanging="186"/>
        <w:spacing w:after="0" w:line="229" w:lineRule="auto"/>
        <w:tabs>
          <w:tab w:leader="none" w:pos="1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Annual dividend increased by 20%, increasing for the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consecutive year</w:t>
      </w:r>
    </w:p>
    <w:p>
      <w:pPr>
        <w:spacing w:after="0" w:line="47" w:lineRule="exact"/>
        <w:rPr>
          <w:rFonts w:ascii="Arial" w:cs="Arial" w:eastAsia="Arial" w:hAnsi="Arial"/>
          <w:sz w:val="18"/>
          <w:szCs w:val="18"/>
          <w:color w:val="auto"/>
        </w:rPr>
      </w:pPr>
    </w:p>
    <w:p>
      <w:pPr>
        <w:ind w:left="186" w:right="320" w:hanging="186"/>
        <w:spacing w:after="0" w:line="269" w:lineRule="auto"/>
        <w:tabs>
          <w:tab w:leader="none" w:pos="1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25% annual compound return to shareholders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-1877060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247015</wp:posOffset>
            </wp:positionV>
            <wp:extent cx="7276465" cy="3700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3700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234"/>
            <w:col w:w="5466"/>
          </w:cols>
          <w:pgMar w:left="240" w:top="455" w:right="479" w:bottom="1440" w:gutter="0" w:footer="0" w:header="0"/>
        </w:sectPr>
      </w:pP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25CAB"/>
        </w:rPr>
        <w:t>Compensation Highlights and Response to 2014 Say-on-Pay Vote</w:t>
      </w:r>
    </w:p>
    <w:p>
      <w:pPr>
        <w:spacing w:after="0" w:line="79" w:lineRule="exact"/>
        <w:rPr>
          <w:sz w:val="20"/>
          <w:szCs w:val="20"/>
          <w:color w:val="auto"/>
        </w:rPr>
      </w:pPr>
    </w:p>
    <w:p>
      <w:pPr>
        <w:ind w:left="140" w:right="300"/>
        <w:spacing w:after="0" w:line="269" w:lineRule="auto"/>
        <w:rPr>
          <w:sz w:val="20"/>
          <w:szCs w:val="20"/>
          <w:color w:val="auto"/>
        </w:rPr>
      </w:pPr>
      <w:r>
        <w:rPr>
          <w:rFonts w:ascii="Arial" w:cs="Arial" w:eastAsia="Arial" w:hAnsi="Arial"/>
          <w:sz w:val="18"/>
          <w:szCs w:val="18"/>
          <w:color w:val="auto"/>
        </w:rPr>
        <w:t>The creation of shareholder value is the foundation and driver of our executive compensation program. The compensation of our executive officers is closely aligned with the long-term interests of our investors.</w:t>
      </w:r>
    </w:p>
    <w:p>
      <w:pPr>
        <w:spacing w:after="0" w:line="22" w:lineRule="exact"/>
        <w:rPr>
          <w:sz w:val="20"/>
          <w:szCs w:val="20"/>
          <w:color w:val="auto"/>
        </w:rPr>
      </w:pPr>
    </w:p>
    <w:p>
      <w:pPr>
        <w:ind w:left="360" w:hanging="226"/>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2014, 95% of our Chief Executive Officer’s compensation was subject to performance risk and tied to long-term results and stock price.</w:t>
      </w:r>
    </w:p>
    <w:p>
      <w:pPr>
        <w:spacing w:after="0" w:line="99" w:lineRule="exact"/>
        <w:rPr>
          <w:rFonts w:ascii="Arial" w:cs="Arial" w:eastAsia="Arial" w:hAnsi="Arial"/>
          <w:sz w:val="16"/>
          <w:szCs w:val="16"/>
          <w:color w:val="auto"/>
        </w:rPr>
      </w:pPr>
    </w:p>
    <w:p>
      <w:pPr>
        <w:ind w:left="360" w:right="40" w:hanging="226"/>
        <w:spacing w:after="0" w:line="269"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Adjusted net earnings increased by more than 15% from 2013, resulting in 100% annual bonuses for 2014 for executive officers, other than the CEO who received no annual bonus as it was replaced with a long-term cash incentive.</w:t>
      </w:r>
    </w:p>
    <w:p>
      <w:pPr>
        <w:spacing w:after="0" w:line="22" w:lineRule="exact"/>
        <w:rPr>
          <w:rFonts w:ascii="Arial" w:cs="Arial" w:eastAsia="Arial" w:hAnsi="Arial"/>
          <w:sz w:val="18"/>
          <w:szCs w:val="18"/>
          <w:color w:val="auto"/>
        </w:rPr>
      </w:pPr>
    </w:p>
    <w:p>
      <w:pPr>
        <w:ind w:left="360" w:hanging="226"/>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Salaries were increased by approximately 2% for 2014, with no increases for 2015.</w:t>
      </w:r>
    </w:p>
    <w:p>
      <w:pPr>
        <w:spacing w:after="0" w:line="76" w:lineRule="exact"/>
        <w:rPr>
          <w:rFonts w:ascii="Arial" w:cs="Arial" w:eastAsia="Arial" w:hAnsi="Arial"/>
          <w:sz w:val="18"/>
          <w:szCs w:val="18"/>
          <w:color w:val="auto"/>
        </w:rPr>
      </w:pPr>
    </w:p>
    <w:p>
      <w:pPr>
        <w:ind w:left="360" w:hanging="226"/>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Vesting of 100% of the restricted shares is contingent upon meeting EBITDA and operating cash flow margin performance requirements.</w:t>
      </w:r>
    </w:p>
    <w:p>
      <w:pPr>
        <w:spacing w:after="0" w:line="100" w:lineRule="exact"/>
        <w:rPr>
          <w:sz w:val="20"/>
          <w:szCs w:val="20"/>
          <w:color w:val="auto"/>
        </w:rPr>
      </w:pPr>
    </w:p>
    <w:p>
      <w:pPr>
        <w:ind w:left="140" w:right="280"/>
        <w:spacing w:after="0" w:line="298" w:lineRule="auto"/>
        <w:rPr>
          <w:sz w:val="20"/>
          <w:szCs w:val="20"/>
          <w:color w:val="auto"/>
        </w:rPr>
      </w:pPr>
      <w:r>
        <w:rPr>
          <w:rFonts w:ascii="Arial" w:cs="Arial" w:eastAsia="Arial" w:hAnsi="Arial"/>
          <w:sz w:val="16"/>
          <w:szCs w:val="16"/>
          <w:color w:val="auto"/>
        </w:rPr>
        <w:t>At the 2014 Annual Meeting of Shareholders, approximately 80% of the votes cast were in favor of the advisory vote to approve executive compensation, continuing our high level of support. Taking into consideration input from investors, last year’s Say on Pay vote, external developments, and internal considerations, Roper took numerous actions related to its executive compensation program over the last year:</w:t>
      </w:r>
    </w:p>
    <w:p>
      <w:pPr>
        <w:spacing w:after="0" w:line="3" w:lineRule="exact"/>
        <w:rPr>
          <w:sz w:val="20"/>
          <w:szCs w:val="20"/>
          <w:color w:val="auto"/>
        </w:rPr>
      </w:pPr>
    </w:p>
    <w:p>
      <w:pPr>
        <w:ind w:left="360" w:hanging="226"/>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CEO annual cash bonus was replaced with three-year long-term cash incentive award.</w:t>
      </w:r>
    </w:p>
    <w:p>
      <w:pPr>
        <w:spacing w:after="0" w:line="76" w:lineRule="exact"/>
        <w:rPr>
          <w:rFonts w:ascii="Arial" w:cs="Arial" w:eastAsia="Arial" w:hAnsi="Arial"/>
          <w:sz w:val="18"/>
          <w:szCs w:val="18"/>
          <w:color w:val="auto"/>
        </w:rPr>
      </w:pPr>
    </w:p>
    <w:p>
      <w:pPr>
        <w:ind w:left="360" w:right="20" w:hanging="226"/>
        <w:spacing w:after="0" w:line="269"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Dividends on restricted shares will not be paid until the shares are earned, and will be forfeited if not earned (effective for January 2015 and later awards).</w:t>
      </w:r>
    </w:p>
    <w:p>
      <w:pPr>
        <w:spacing w:after="0" w:line="22" w:lineRule="exact"/>
        <w:rPr>
          <w:rFonts w:ascii="Arial" w:cs="Arial" w:eastAsia="Arial" w:hAnsi="Arial"/>
          <w:sz w:val="18"/>
          <w:szCs w:val="18"/>
          <w:color w:val="auto"/>
        </w:rPr>
      </w:pPr>
    </w:p>
    <w:p>
      <w:pPr>
        <w:ind w:left="360" w:right="20" w:hanging="226"/>
        <w:spacing w:after="0" w:line="269"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Vesting for equity awards was lengthened to 50% after years 2 and 3 (from one-third per year previously; change effective for January 2015 and later awards).</w:t>
      </w:r>
    </w:p>
    <w:p>
      <w:pPr>
        <w:spacing w:after="0" w:line="22" w:lineRule="exact"/>
        <w:rPr>
          <w:rFonts w:ascii="Arial" w:cs="Arial" w:eastAsia="Arial" w:hAnsi="Arial"/>
          <w:sz w:val="18"/>
          <w:szCs w:val="18"/>
          <w:color w:val="auto"/>
        </w:rPr>
      </w:pPr>
    </w:p>
    <w:p>
      <w:pPr>
        <w:ind w:left="360" w:right="140" w:hanging="226"/>
        <w:spacing w:after="0" w:line="269"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Achievement of three-year cumulative performance goal required for full vesting of restricted shares (versus a one-year goal for each year previously; change effective for January 2015 and later awards).</w:t>
      </w:r>
    </w:p>
    <w:p>
      <w:pPr>
        <w:spacing w:after="0" w:line="22" w:lineRule="exact"/>
        <w:rPr>
          <w:rFonts w:ascii="Arial" w:cs="Arial" w:eastAsia="Arial" w:hAnsi="Arial"/>
          <w:sz w:val="18"/>
          <w:szCs w:val="18"/>
          <w:color w:val="auto"/>
        </w:rPr>
      </w:pPr>
    </w:p>
    <w:p>
      <w:pPr>
        <w:ind w:left="360" w:right="280" w:hanging="226"/>
        <w:spacing w:after="0" w:line="269"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EBITDA of $3 billion and operating cash flow of 20% of revenue required over three-year performance period for full vesting of restricted shares awarded in 2015.</w:t>
      </w:r>
    </w:p>
    <w:p>
      <w:pPr>
        <w:spacing w:after="0" w:line="22" w:lineRule="exact"/>
        <w:rPr>
          <w:rFonts w:ascii="Arial" w:cs="Arial" w:eastAsia="Arial" w:hAnsi="Arial"/>
          <w:sz w:val="18"/>
          <w:szCs w:val="18"/>
          <w:color w:val="auto"/>
        </w:rPr>
      </w:pPr>
    </w:p>
    <w:p>
      <w:pPr>
        <w:ind w:left="360" w:hanging="226"/>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Eliminated the Medical Reimbursement Plan for executives effective for 2015.</w:t>
      </w:r>
    </w:p>
    <w:p>
      <w:pPr>
        <w:spacing w:after="0" w:line="76" w:lineRule="exact"/>
        <w:rPr>
          <w:rFonts w:ascii="Arial" w:cs="Arial" w:eastAsia="Arial" w:hAnsi="Arial"/>
          <w:sz w:val="18"/>
          <w:szCs w:val="18"/>
          <w:color w:val="auto"/>
        </w:rPr>
      </w:pPr>
    </w:p>
    <w:p>
      <w:pPr>
        <w:ind w:left="360" w:right="1020" w:hanging="226"/>
        <w:spacing w:after="0" w:line="269"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Reviewed our Global Industry Classification System (GICS) with Standard &amp; Poor’s who changed our assignment to reflect the transformation of our business mix.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180"/>
          </w:cols>
          <w:pgMar w:left="240" w:top="455" w:right="47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Checklist of Compensation Practices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investor interests and market best practices, positive features of our executive compensation program include the following:</w:t>
      </w:r>
    </w:p>
    <w:p>
      <w:pPr>
        <w:sectPr>
          <w:pgSz w:w="11900" w:h="16838" w:orient="portrait"/>
          <w:cols w:equalWidth="0" w:num="1">
            <w:col w:w="11420"/>
          </w:cols>
          <w:pgMar w:left="240" w:top="455" w:right="239" w:bottom="1440" w:gutter="0" w:footer="0" w:header="0"/>
        </w:sectPr>
      </w:pPr>
    </w:p>
    <w:p>
      <w:pPr>
        <w:spacing w:after="0" w:line="27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225CAB"/>
        </w:rPr>
        <w:t>WHAT WE DO</w:t>
      </w:r>
    </w:p>
    <w:p>
      <w:pPr>
        <w:spacing w:after="0" w:line="20" w:lineRule="exact"/>
        <w:rPr>
          <w:sz w:val="20"/>
          <w:szCs w:val="20"/>
          <w:color w:val="auto"/>
        </w:rPr>
      </w:pPr>
    </w:p>
    <w:p>
      <w:pPr>
        <w:ind w:left="400" w:hanging="385"/>
        <w:spacing w:after="0"/>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Virtually all compensation for executives is tied to performance.</w:t>
      </w:r>
    </w:p>
    <w:p>
      <w:pPr>
        <w:spacing w:after="0" w:line="18" w:lineRule="exact"/>
        <w:rPr>
          <w:rFonts w:ascii="Arial" w:cs="Arial" w:eastAsia="Arial" w:hAnsi="Arial"/>
          <w:sz w:val="16"/>
          <w:szCs w:val="16"/>
          <w:color w:val="auto"/>
        </w:rPr>
      </w:pPr>
    </w:p>
    <w:p>
      <w:pPr>
        <w:ind w:left="400" w:right="200" w:hanging="385"/>
        <w:spacing w:after="0" w:line="234"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vesting requirements apply to 100% of restricted stock awards.</w:t>
      </w:r>
    </w:p>
    <w:p>
      <w:pPr>
        <w:spacing w:after="0" w:line="1" w:lineRule="exact"/>
        <w:rPr>
          <w:rFonts w:ascii="Arial" w:cs="Arial" w:eastAsia="Arial" w:hAnsi="Arial"/>
          <w:sz w:val="18"/>
          <w:szCs w:val="18"/>
          <w:color w:val="auto"/>
        </w:rPr>
      </w:pPr>
    </w:p>
    <w:p>
      <w:pPr>
        <w:ind w:left="400" w:hanging="385"/>
        <w:spacing w:after="0" w:line="234"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CEO’s cash bonus based on three-year results to reinforce long-term planning horizon.</w:t>
      </w:r>
    </w:p>
    <w:p>
      <w:pPr>
        <w:spacing w:after="0" w:line="1" w:lineRule="exact"/>
        <w:rPr>
          <w:rFonts w:ascii="Arial" w:cs="Arial" w:eastAsia="Arial" w:hAnsi="Arial"/>
          <w:sz w:val="18"/>
          <w:szCs w:val="18"/>
          <w:color w:val="auto"/>
        </w:rPr>
      </w:pPr>
    </w:p>
    <w:p>
      <w:pPr>
        <w:ind w:left="400" w:right="80" w:hanging="385"/>
        <w:spacing w:after="0" w:line="264"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Cash bonuses are capped and performance-based restricted stock awards limited to 100% of target (risk mitigation features).</w:t>
      </w:r>
    </w:p>
    <w:p>
      <w:pPr>
        <w:ind w:left="400" w:right="140" w:hanging="385"/>
        <w:spacing w:after="0" w:line="234"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Robust share ownership and retention guidelines, much higher than typical practice.</w:t>
      </w:r>
    </w:p>
    <w:p>
      <w:pPr>
        <w:spacing w:after="0" w:line="1" w:lineRule="exact"/>
        <w:rPr>
          <w:rFonts w:ascii="Arial" w:cs="Arial" w:eastAsia="Arial" w:hAnsi="Arial"/>
          <w:sz w:val="18"/>
          <w:szCs w:val="18"/>
          <w:color w:val="auto"/>
        </w:rPr>
      </w:pPr>
    </w:p>
    <w:p>
      <w:pPr>
        <w:ind w:left="400" w:hanging="385"/>
        <w:spacing w:after="0" w:line="234"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“Clawback” policy to recoup erroneously paid compensation.</w:t>
      </w:r>
    </w:p>
    <w:p>
      <w:pPr>
        <w:ind w:left="400" w:hanging="385"/>
        <w:spacing w:after="0" w:line="234"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Risk assessment review as part of risk mitigation process.</w:t>
      </w:r>
    </w:p>
    <w:p>
      <w:pPr>
        <w:ind w:left="400" w:right="840" w:hanging="385"/>
        <w:spacing w:after="0" w:line="234"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Independent compensation consultant retained by the Compensation Committee.</w:t>
      </w:r>
    </w:p>
    <w:p>
      <w:pPr>
        <w:spacing w:after="0" w:line="1" w:lineRule="exact"/>
        <w:rPr>
          <w:rFonts w:ascii="Arial" w:cs="Arial" w:eastAsia="Arial" w:hAnsi="Arial"/>
          <w:sz w:val="18"/>
          <w:szCs w:val="18"/>
          <w:color w:val="auto"/>
        </w:rPr>
      </w:pPr>
    </w:p>
    <w:p>
      <w:pPr>
        <w:ind w:left="400" w:hanging="385"/>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Limited perquisites and other benefits.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117"/>
        <w:spacing w:after="0"/>
        <w:rPr>
          <w:sz w:val="20"/>
          <w:szCs w:val="20"/>
          <w:color w:val="auto"/>
        </w:rPr>
      </w:pPr>
      <w:r>
        <w:rPr>
          <w:rFonts w:ascii="Arial" w:cs="Arial" w:eastAsia="Arial" w:hAnsi="Arial"/>
          <w:sz w:val="18"/>
          <w:szCs w:val="18"/>
          <w:b w:val="1"/>
          <w:bCs w:val="1"/>
          <w:color w:val="225CAB"/>
        </w:rPr>
        <w:t>WHAT WE DON’T DO</w:t>
      </w:r>
    </w:p>
    <w:p>
      <w:pPr>
        <w:spacing w:after="0" w:line="15" w:lineRule="exact"/>
        <w:rPr>
          <w:sz w:val="20"/>
          <w:szCs w:val="20"/>
          <w:color w:val="auto"/>
        </w:rPr>
      </w:pPr>
    </w:p>
    <w:p>
      <w:pPr>
        <w:ind w:left="383" w:hanging="383"/>
        <w:spacing w:after="0"/>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re-pricing of underwater stock options or cash buy-outs.</w:t>
      </w:r>
    </w:p>
    <w:p>
      <w:pPr>
        <w:ind w:left="383" w:right="380" w:hanging="383"/>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granting of stock options with an exercise price less than fair market value at grant.</w:t>
      </w:r>
    </w:p>
    <w:p>
      <w:pPr>
        <w:spacing w:after="0" w:line="1" w:lineRule="exact"/>
        <w:rPr>
          <w:rFonts w:ascii="Arial" w:cs="Arial" w:eastAsia="Arial" w:hAnsi="Arial"/>
          <w:sz w:val="18"/>
          <w:szCs w:val="18"/>
          <w:color w:val="auto"/>
        </w:rPr>
      </w:pPr>
    </w:p>
    <w:p>
      <w:pPr>
        <w:ind w:left="383" w:right="360" w:hanging="383"/>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payment of dividends on performance-based restricted stock awards until earned.</w:t>
      </w:r>
    </w:p>
    <w:p>
      <w:pPr>
        <w:spacing w:after="0" w:line="1" w:lineRule="exact"/>
        <w:rPr>
          <w:rFonts w:ascii="Arial" w:cs="Arial" w:eastAsia="Arial" w:hAnsi="Arial"/>
          <w:sz w:val="18"/>
          <w:szCs w:val="18"/>
          <w:color w:val="auto"/>
        </w:rPr>
      </w:pPr>
    </w:p>
    <w:p>
      <w:pPr>
        <w:jc w:val="both"/>
        <w:ind w:left="383" w:right="400" w:hanging="383"/>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defined-benefit pension plan or SERPs for executives (only 401(k) Plan on the same terms as other eligible employees and voluntary deferral of cash compensation).</w:t>
      </w:r>
    </w:p>
    <w:p>
      <w:pPr>
        <w:spacing w:after="0" w:line="2" w:lineRule="exact"/>
        <w:rPr>
          <w:rFonts w:ascii="Arial" w:cs="Arial" w:eastAsia="Arial" w:hAnsi="Arial"/>
          <w:sz w:val="18"/>
          <w:szCs w:val="18"/>
          <w:color w:val="auto"/>
        </w:rPr>
      </w:pPr>
    </w:p>
    <w:p>
      <w:pPr>
        <w:ind w:left="383" w:hanging="383"/>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“single trigger” equity vesting upon change-in-control.</w:t>
      </w:r>
    </w:p>
    <w:p>
      <w:pPr>
        <w:ind w:left="383" w:right="760" w:hanging="383"/>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Severance pay is very limited, as is the use of employment agreements.</w:t>
      </w:r>
    </w:p>
    <w:p>
      <w:pPr>
        <w:spacing w:after="0" w:line="1" w:lineRule="exact"/>
        <w:rPr>
          <w:rFonts w:ascii="Arial" w:cs="Arial" w:eastAsia="Arial" w:hAnsi="Arial"/>
          <w:sz w:val="18"/>
          <w:szCs w:val="18"/>
          <w:color w:val="auto"/>
        </w:rPr>
      </w:pPr>
    </w:p>
    <w:p>
      <w:pPr>
        <w:ind w:left="383" w:hanging="383"/>
        <w:spacing w:after="0" w:line="234"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hedging or pledging of Company stock is permitted.</w:t>
      </w:r>
    </w:p>
    <w:p>
      <w:pPr>
        <w:ind w:left="383" w:hanging="383"/>
        <w:spacing w:after="0"/>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excise tax gross-ups on change-in-control payments.</w:t>
      </w:r>
    </w:p>
    <w:p>
      <w:pPr>
        <w:spacing w:after="0" w:line="402" w:lineRule="exact"/>
        <w:rPr>
          <w:sz w:val="20"/>
          <w:szCs w:val="20"/>
          <w:color w:val="auto"/>
        </w:rPr>
      </w:pPr>
    </w:p>
    <w:p>
      <w:pPr>
        <w:sectPr>
          <w:pgSz w:w="11900" w:h="16838" w:orient="portrait"/>
          <w:cols w:equalWidth="0" w:num="2">
            <w:col w:w="5400" w:space="317"/>
            <w:col w:w="5703"/>
          </w:cols>
          <w:pgMar w:left="240" w:top="455" w:right="239" w:bottom="1440" w:gutter="0" w:footer="0" w:header="0"/>
          <w:type w:val="continuous"/>
        </w:sectPr>
      </w:pPr>
    </w:p>
    <w:p>
      <w:pPr>
        <w:spacing w:after="0" w:line="90"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25</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CREATING SHAREHOLDER VALUE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Simple Strategy Focused on Value Creation</w:t>
      </w:r>
    </w:p>
    <w:p>
      <w:pPr>
        <w:spacing w:after="0" w:line="7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Roper has a simple and successful business model that we believe is unique among multi-industry diversified companies. We operate high-margin, high-cash generating, asset-light businesses across a wide range of diverse end-markets. Our high-performing businesses generate excess free cash flow that our executive team deploys to acquire more high-performing businesses. This creates a “compounding effect” on cash flow that drives long-term value creation. Our free cash flow has increased from $153 million in 2004 to $803 million in 2014, driven by this combination of outstanding business performance and value-creating capital deployment.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Roper Annual Free Cash Flow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104775</wp:posOffset>
            </wp:positionV>
            <wp:extent cx="4133850" cy="24872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3385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Note: Free Cash Flow = Cash from Operations less Capital Expenditures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Key Metric: Cash Return on Investment</w:t>
      </w:r>
    </w:p>
    <w:p>
      <w:pPr>
        <w:spacing w:after="0" w:line="79"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color w:val="auto"/>
        </w:rPr>
        <w:t>Cash Return on Investment (“CRI”) is a key operating metric Roper uses to measure the performance and value of its operating businesses and potential acquisitions, and to focus our business leaders and corporate executive leadership on cash flow growth and disciplined investment.</w:t>
      </w:r>
    </w:p>
    <w:p>
      <w:pPr>
        <w:ind w:left="440" w:hanging="216"/>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CRI is highly correlated to value creation and we believe our strategy of improving CRI has been a key driver to our long term performance.</w:t>
      </w:r>
    </w:p>
    <w:p>
      <w:pPr>
        <w:spacing w:after="0" w:line="99" w:lineRule="exact"/>
        <w:rPr>
          <w:rFonts w:ascii="Arial" w:cs="Arial" w:eastAsia="Arial" w:hAnsi="Arial"/>
          <w:sz w:val="16"/>
          <w:szCs w:val="16"/>
          <w:color w:val="auto"/>
        </w:rPr>
      </w:pPr>
    </w:p>
    <w:p>
      <w:pPr>
        <w:ind w:left="440" w:right="220" w:hanging="216"/>
        <w:spacing w:after="0" w:line="269"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CRI discipline, as applied throughout the organization, allows us to focus our investment on areas that will increase shareholder value, drive cash flow growth, and minimize physical assets.</w:t>
      </w:r>
    </w:p>
    <w:p>
      <w:pPr>
        <w:spacing w:after="0" w:line="22" w:lineRule="exact"/>
        <w:rPr>
          <w:rFonts w:ascii="Arial" w:cs="Arial" w:eastAsia="Arial" w:hAnsi="Arial"/>
          <w:sz w:val="18"/>
          <w:szCs w:val="18"/>
          <w:color w:val="auto"/>
        </w:rPr>
      </w:pPr>
    </w:p>
    <w:p>
      <w:pPr>
        <w:ind w:left="440" w:right="140" w:hanging="216"/>
        <w:spacing w:after="0" w:line="269"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internal improvements and disciplined capital deployment, Roper has increased CRI dramatically since 2004, and our shareholders have enjoyed a total shareholder return of 445%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26035</wp:posOffset>
            </wp:positionV>
            <wp:extent cx="3550285" cy="883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028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Acquisition-Focused Capital Deployment</w:t>
      </w:r>
    </w:p>
    <w:p>
      <w:pPr>
        <w:spacing w:after="0" w:line="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Roper deploys most of its free cash flow in acquisitions to generate long-term growth and create long-term shareholder value. Unlike most other large corporations, Roper does not have a separate corporate development or merger-and-acquisition team, with our Chief Executive Officer, Chief Financial Officer, and other top executives responsible for the disciplined deployment of capital through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Market Capitalization Growth (2004-2014)</w:t>
      </w:r>
    </w:p>
    <w:p>
      <w:pPr>
        <w:spacing w:after="0" w:line="79"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Over the last five years, Roper’s market capitalization has more than tripled, climbing by more than $10 billion, including $7 billion over the last three years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103505</wp:posOffset>
            </wp:positionV>
            <wp:extent cx="4142105" cy="3095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4210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OBJECTIVES OF OUR COMPENSATION PROGRAM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executives reflects our business needs and challenges in creating shareholder value and is designed to:</w:t>
      </w:r>
    </w:p>
    <w:p>
      <w:pPr>
        <w:sectPr>
          <w:pgSz w:w="11900" w:h="16838" w:orient="portrait"/>
          <w:cols w:equalWidth="0" w:num="1">
            <w:col w:w="11420"/>
          </w:cols>
          <w:pgMar w:left="240" w:top="455" w:right="239" w:bottom="1440" w:gutter="0" w:footer="0" w:header="0"/>
        </w:sectPr>
      </w:pPr>
    </w:p>
    <w:p>
      <w:pPr>
        <w:spacing w:after="0" w:line="131"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Drive performance for the benefit of shareholders.</w:t>
      </w:r>
    </w:p>
    <w:p>
      <w:pPr>
        <w:spacing w:after="0" w:line="76" w:lineRule="exact"/>
        <w:rPr>
          <w:rFonts w:ascii="Arial" w:cs="Arial" w:eastAsia="Arial" w:hAnsi="Arial"/>
          <w:sz w:val="18"/>
          <w:szCs w:val="18"/>
          <w:color w:val="auto"/>
        </w:rPr>
      </w:pPr>
    </w:p>
    <w:p>
      <w:pPr>
        <w:ind w:left="200" w:right="540" w:hanging="192"/>
        <w:spacing w:after="0" w:line="269"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Emphasize equity compensation to align executives’ financial interests with those of shareholders.</w:t>
      </w:r>
    </w:p>
    <w:p>
      <w:pPr>
        <w:spacing w:after="0" w:line="22" w:lineRule="exact"/>
        <w:rPr>
          <w:rFonts w:ascii="Arial" w:cs="Arial" w:eastAsia="Arial" w:hAnsi="Arial"/>
          <w:sz w:val="18"/>
          <w:szCs w:val="18"/>
          <w:color w:val="auto"/>
        </w:rPr>
      </w:pPr>
    </w:p>
    <w:p>
      <w:pPr>
        <w:ind w:left="200" w:hanging="192"/>
        <w:spacing w:after="0" w:line="246"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compensation levels competitive with publicly traded and privately held enterprises enabling us to recruit and retain seasoned leadership capable of driving and managing a diversified technology company.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86" w:right="480" w:hanging="186"/>
        <w:spacing w:after="0" w:line="269" w:lineRule="auto"/>
        <w:tabs>
          <w:tab w:leader="none" w:pos="1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flexibility to adjust to changing business needs in a fast-paced business environment.</w:t>
      </w:r>
    </w:p>
    <w:p>
      <w:pPr>
        <w:spacing w:after="0" w:line="22" w:lineRule="exact"/>
        <w:rPr>
          <w:rFonts w:ascii="Arial" w:cs="Arial" w:eastAsia="Arial" w:hAnsi="Arial"/>
          <w:sz w:val="18"/>
          <w:szCs w:val="18"/>
          <w:color w:val="auto"/>
        </w:rPr>
      </w:pPr>
    </w:p>
    <w:p>
      <w:pPr>
        <w:ind w:left="186" w:right="200" w:hanging="186"/>
        <w:spacing w:after="0" w:line="269" w:lineRule="auto"/>
        <w:tabs>
          <w:tab w:leader="none" w:pos="1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Simplify compensation design to promote transparency and facilitate ease of administration and communication.</w:t>
      </w:r>
    </w:p>
    <w:p>
      <w:pPr>
        <w:spacing w:after="0" w:line="22" w:lineRule="exact"/>
        <w:rPr>
          <w:rFonts w:ascii="Arial" w:cs="Arial" w:eastAsia="Arial" w:hAnsi="Arial"/>
          <w:sz w:val="18"/>
          <w:szCs w:val="18"/>
          <w:color w:val="auto"/>
        </w:rPr>
      </w:pPr>
    </w:p>
    <w:p>
      <w:pPr>
        <w:ind w:left="186" w:hanging="186"/>
        <w:spacing w:after="0"/>
        <w:tabs>
          <w:tab w:leader="none" w:pos="1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Solicit and consider the views of our investors.</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Adhere to the highest legal, governance, and ethical standards.</w:t>
      </w:r>
    </w:p>
    <w:p>
      <w:pPr>
        <w:spacing w:after="0" w:line="355" w:lineRule="exact"/>
        <w:rPr>
          <w:sz w:val="20"/>
          <w:szCs w:val="20"/>
          <w:color w:val="auto"/>
        </w:rPr>
      </w:pPr>
    </w:p>
    <w:p>
      <w:pPr>
        <w:sectPr>
          <w:pgSz w:w="11900" w:h="16838" w:orient="portrait"/>
          <w:cols w:equalWidth="0" w:num="2">
            <w:col w:w="5480" w:space="234"/>
            <w:col w:w="5706"/>
          </w:cols>
          <w:pgMar w:left="240" w:top="455" w:right="239" w:bottom="1440" w:gutter="0" w:footer="0" w:header="0"/>
          <w:type w:val="continuous"/>
        </w:sectPr>
      </w:pP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27</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COMPENSATION</w:t>
      </w:r>
    </w:p>
    <w:p>
      <w:pPr>
        <w:spacing w:after="0" w:line="89" w:lineRule="exact"/>
        <w:rPr>
          <w:sz w:val="20"/>
          <w:szCs w:val="20"/>
          <w:color w:val="auto"/>
        </w:rPr>
      </w:pPr>
    </w:p>
    <w:p>
      <w:pPr>
        <w:ind w:right="680"/>
        <w:spacing w:after="0" w:line="269" w:lineRule="auto"/>
        <w:rPr>
          <w:sz w:val="20"/>
          <w:szCs w:val="20"/>
          <w:color w:val="auto"/>
        </w:rPr>
      </w:pPr>
      <w:r>
        <w:rPr>
          <w:rFonts w:ascii="Arial" w:cs="Arial" w:eastAsia="Arial" w:hAnsi="Arial"/>
          <w:sz w:val="18"/>
          <w:szCs w:val="18"/>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280"/>
          </w:cols>
          <w:pgMar w:left="240" w:top="455" w:right="37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Long-Term Stock Incentives</w:t>
      </w:r>
    </w:p>
    <w:p>
      <w:pPr>
        <w:spacing w:after="0" w:line="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Equity compensation is the biggest and most important form of pay for our executive officers as it achieves many of our key compensation objectives:</w:t>
      </w:r>
    </w:p>
    <w:p>
      <w:pPr>
        <w:spacing w:after="0" w:line="37" w:lineRule="exact"/>
        <w:rPr>
          <w:sz w:val="20"/>
          <w:szCs w:val="20"/>
          <w:color w:val="auto"/>
        </w:rPr>
      </w:pPr>
    </w:p>
    <w:p>
      <w:pPr>
        <w:ind w:left="200" w:right="280" w:hanging="192"/>
        <w:spacing w:after="0" w:line="252" w:lineRule="auto"/>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 pay to performance by linking compensation to shareholder value creation and achievement of pre-determined and objective performance criteria.</w:t>
      </w:r>
    </w:p>
    <w:p>
      <w:pPr>
        <w:spacing w:after="0" w:line="36" w:lineRule="exact"/>
        <w:rPr>
          <w:rFonts w:ascii="Arial" w:cs="Arial" w:eastAsia="Arial" w:hAnsi="Arial"/>
          <w:sz w:val="18"/>
          <w:szCs w:val="18"/>
          <w:color w:val="auto"/>
        </w:rPr>
      </w:pPr>
    </w:p>
    <w:p>
      <w:pPr>
        <w:ind w:left="200" w:right="720" w:hanging="192"/>
        <w:spacing w:after="0" w:line="269" w:lineRule="auto"/>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Align executives’ interests with those of shareholders while reinforcing a long-term planning horizon.</w:t>
      </w:r>
    </w:p>
    <w:p>
      <w:pPr>
        <w:spacing w:after="0" w:line="22" w:lineRule="exact"/>
        <w:rPr>
          <w:rFonts w:ascii="Arial" w:cs="Arial" w:eastAsia="Arial" w:hAnsi="Arial"/>
          <w:sz w:val="18"/>
          <w:szCs w:val="18"/>
          <w:color w:val="auto"/>
        </w:rPr>
      </w:pPr>
    </w:p>
    <w:p>
      <w:pPr>
        <w:ind w:left="200" w:right="20" w:hanging="192"/>
        <w:spacing w:after="0" w:line="252" w:lineRule="auto"/>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Attract executives, particularly those interested in building long-term value for shareholders, as equity compensation is the key element of competitive pay packages for executives.</w:t>
      </w:r>
    </w:p>
    <w:p>
      <w:pPr>
        <w:spacing w:after="0" w:line="36" w:lineRule="exact"/>
        <w:rPr>
          <w:rFonts w:ascii="Arial" w:cs="Arial" w:eastAsia="Arial" w:hAnsi="Arial"/>
          <w:sz w:val="18"/>
          <w:szCs w:val="18"/>
          <w:color w:val="auto"/>
        </w:rPr>
      </w:pPr>
    </w:p>
    <w:p>
      <w:pPr>
        <w:ind w:left="200" w:right="560" w:hanging="192"/>
        <w:spacing w:after="0" w:line="252" w:lineRule="auto"/>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Retain executives and reward future service, by providing for forfeiture of awards prior to satisfaction of multi-year service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We use two types of equity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Stock Options</w:t>
      </w:r>
    </w:p>
    <w:p>
      <w:pPr>
        <w:spacing w:after="0" w:line="77" w:lineRule="exact"/>
        <w:rPr>
          <w:sz w:val="20"/>
          <w:szCs w:val="20"/>
          <w:color w:val="auto"/>
        </w:rPr>
      </w:pPr>
    </w:p>
    <w:p>
      <w:pPr>
        <w:ind w:left="200" w:right="20" w:hanging="192"/>
        <w:spacing w:after="0" w:line="246" w:lineRule="auto"/>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exercise price of stock options is set at the market closing price of our stock on the date of grant which provides an incentive to grow shareholder value and requires continued service over multiple years to realize any gains.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Performance-Based Restricted Stock</w:t>
      </w:r>
    </w:p>
    <w:p>
      <w:pPr>
        <w:spacing w:after="0" w:line="77" w:lineRule="exact"/>
        <w:rPr>
          <w:sz w:val="20"/>
          <w:szCs w:val="20"/>
          <w:color w:val="auto"/>
        </w:rPr>
      </w:pPr>
    </w:p>
    <w:p>
      <w:pPr>
        <w:ind w:left="200" w:hanging="192"/>
        <w:spacing w:after="0" w:line="252" w:lineRule="auto"/>
        <w:tabs>
          <w:tab w:leader="none" w:pos="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addition to continued service, the vesting of restricted shares is 100% contingent on the Company attaining specific, pre-determined and objective performance goals, as certified by the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80" w:right="40"/>
        <w:spacing w:after="0"/>
        <w:rPr>
          <w:sz w:val="20"/>
          <w:szCs w:val="20"/>
          <w:color w:val="auto"/>
        </w:rPr>
      </w:pPr>
      <w:r>
        <w:rPr>
          <w:rFonts w:ascii="Arial" w:cs="Arial" w:eastAsia="Arial" w:hAnsi="Arial"/>
          <w:sz w:val="18"/>
          <w:szCs w:val="18"/>
          <w:color w:val="auto"/>
        </w:rPr>
        <w:t>Compensation Committee. Effective for the awards made in January 2015, dividends will be withheld and paid only to the extent the shares are actually earned by performance, rather than currently as under prior awards. Performance-based restricted stock is intended to encourage the retention of executives, provide a continuing incentive to increase shareholder value, and further align executives’ interests with investors.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We use two types of cash payments: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Cash Incentives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Cash incentives support the achievement of our business strategies by tying a portion of compensation to the achievement of established financial objectives and assist in attracting executives due to their market prevalence. Cash incentives are capped to avoid an excessive short-term focus and potentially adverse risk-taking. Cash incentives for executive officers are tied to annual performance, except for our Chief Executive Officer. Effective for 2014, the Chief Executive Officer’s annual incentive was changed to a long-term incentive covering three years to reinforce the importance of sustained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Base Salary</w:t>
      </w:r>
    </w:p>
    <w:p>
      <w:pPr>
        <w:spacing w:after="0" w:line="7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Base salary is fixed cash compensation that reflects level and scope of responsibility, experience and skills, and market practices. The Compensation Committee reviews each executive officer’s base salary annually as well as in connection with a promotion or other change in responsibility. Salary adjustments are usually effective as of January 1.</w:t>
      </w:r>
    </w:p>
    <w:p>
      <w:pPr>
        <w:spacing w:after="0" w:line="787" w:lineRule="exact"/>
        <w:rPr>
          <w:sz w:val="20"/>
          <w:szCs w:val="20"/>
          <w:color w:val="auto"/>
        </w:rPr>
      </w:pPr>
    </w:p>
    <w:p>
      <w:pPr>
        <w:sectPr>
          <w:pgSz w:w="11900" w:h="16838" w:orient="portrait"/>
          <w:cols w:equalWidth="0" w:num="2">
            <w:col w:w="5480" w:space="240"/>
            <w:col w:w="5560"/>
          </w:cols>
          <w:pgMar w:left="240" w:top="455" w:right="37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80"/>
          </w:cols>
          <w:pgMar w:left="240" w:top="455" w:right="37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Other Pay Elements</w:t>
      </w:r>
    </w:p>
    <w:p>
      <w:pPr>
        <w:spacing w:after="0" w:line="7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As Roper has largely avoided perquisites, supplemental pensions, and other compensation not tied to performance, the other items summarized below represent only a small portion of executives’ total compensation.</w:t>
      </w:r>
    </w:p>
    <w:p>
      <w:pPr>
        <w:sectPr>
          <w:pgSz w:w="11900" w:h="16838" w:orient="portrait"/>
          <w:cols w:equalWidth="0" w:num="1">
            <w:col w:w="11420"/>
          </w:cols>
          <w:pgMar w:left="240" w:top="455"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Retirement Benefits</w:t>
      </w:r>
    </w:p>
    <w:p>
      <w:pPr>
        <w:spacing w:after="0" w:line="77" w:lineRule="exact"/>
        <w:rPr>
          <w:sz w:val="20"/>
          <w:szCs w:val="20"/>
          <w:color w:val="auto"/>
        </w:rPr>
      </w:pPr>
    </w:p>
    <w:p>
      <w:pPr>
        <w:ind w:left="200" w:right="100" w:hanging="192"/>
        <w:spacing w:after="0" w:line="246"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Executives may participate under the same terms as other eligible employees in a 401(k) program that provides matching contributions capped at 7.5% of base salary, subject to limitations imposed by the Code.</w:t>
      </w:r>
    </w:p>
    <w:p>
      <w:pPr>
        <w:spacing w:after="0" w:line="42"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financial planning flexibility, we maintain a Non-Qualified Deferred Compensation Plan, pursuant to which executive officers may elect to defer cash compensation. This plan is intended to provide deferred compensation benefits that would have been earned under the tax-qualified 401(k) program but for certain limitations imposed by the Code. For more information on this plan, see the “Executive Compensation—2014 Non-Qualified Deferred Compensation” section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Perquisites and Other Benefits</w:t>
      </w:r>
    </w:p>
    <w:p>
      <w:pPr>
        <w:spacing w:after="0" w:line="7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Perquisites and other non-cash benefits offered to executive officers are limited to the following:</w:t>
      </w:r>
    </w:p>
    <w:p>
      <w:pPr>
        <w:spacing w:after="0" w:line="22" w:lineRule="exact"/>
        <w:rPr>
          <w:sz w:val="20"/>
          <w:szCs w:val="20"/>
          <w:color w:val="auto"/>
        </w:rPr>
      </w:pPr>
    </w:p>
    <w:p>
      <w:pPr>
        <w:ind w:left="200" w:right="120" w:hanging="192"/>
        <w:spacing w:after="0" w:line="269"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automobile allowance and club membership when they have a business purpose.</w:t>
      </w:r>
    </w:p>
    <w:p>
      <w:pPr>
        <w:spacing w:after="0" w:line="22" w:lineRule="exact"/>
        <w:rPr>
          <w:rFonts w:ascii="Arial" w:cs="Arial" w:eastAsia="Arial" w:hAnsi="Arial"/>
          <w:sz w:val="18"/>
          <w:szCs w:val="18"/>
          <w:color w:val="auto"/>
        </w:rPr>
      </w:pPr>
    </w:p>
    <w:p>
      <w:pPr>
        <w:ind w:left="200" w:hanging="192"/>
        <w:spacing w:after="0"/>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Reimbursement for financial planning expenses.</w:t>
      </w:r>
    </w:p>
    <w:p>
      <w:pPr>
        <w:spacing w:after="0" w:line="76" w:lineRule="exact"/>
        <w:rPr>
          <w:rFonts w:ascii="Arial" w:cs="Arial" w:eastAsia="Arial" w:hAnsi="Arial"/>
          <w:sz w:val="18"/>
          <w:szCs w:val="18"/>
          <w:color w:val="auto"/>
        </w:rPr>
      </w:pPr>
    </w:p>
    <w:p>
      <w:pPr>
        <w:ind w:left="200" w:right="320" w:hanging="192"/>
        <w:spacing w:after="0" w:line="269"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Medical Reimbursement Plan covering certain expenses was eliminated effective for 2015.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Severance and Change-in-Control Provisions</w:t>
      </w:r>
    </w:p>
    <w:p>
      <w:pPr>
        <w:spacing w:after="0" w:line="7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have an employment agreement only with Mr. Jellison and letter agreements only with Messrs. Humphrey and Liner. These arrangements provide severance benefits in the event of termination of employment under certain circumstances, including a change-in-control. For a description of these agreements and payments under various termination scenarios, see the “Potential Payments upon Termination or Change in Control” section below.</w:t>
      </w:r>
    </w:p>
    <w:p>
      <w:pPr>
        <w:spacing w:after="0" w:line="50"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“Potential Payments upon Termination or Change in Control” section below for additional detail.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No Tax Gross-Ups</w:t>
      </w:r>
    </w:p>
    <w:p>
      <w:pPr>
        <w:spacing w:after="0" w:line="7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An executive may be subject to excise taxes on benefits received in relation to a change in control of the Company. We do not provide excise-tax gross-ups to executives to place the executive in the same tax position as if the excise tax did not apply.</w:t>
      </w:r>
    </w:p>
    <w:p>
      <w:pPr>
        <w:spacing w:after="0" w:line="868" w:lineRule="exact"/>
        <w:rPr>
          <w:sz w:val="20"/>
          <w:szCs w:val="20"/>
          <w:color w:val="auto"/>
        </w:rPr>
      </w:pPr>
    </w:p>
    <w:p>
      <w:pPr>
        <w:sectPr>
          <w:pgSz w:w="11900" w:h="16838" w:orient="portrait"/>
          <w:cols w:equalWidth="0" w:num="2">
            <w:col w:w="5420" w:space="300"/>
            <w:col w:w="5700"/>
          </w:cols>
          <w:pgMar w:left="240" w:top="455" w:right="239" w:bottom="1440" w:gutter="0" w:footer="0" w:header="0"/>
          <w:type w:val="continuous"/>
        </w:sectPr>
      </w:pPr>
    </w:p>
    <w:p>
      <w:pPr>
        <w:spacing w:after="0" w:line="57"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29</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Mix of Total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our executive officers encourages a long-term focus and closely aligns with shareholder interests.</w:t>
      </w:r>
    </w:p>
    <w:p>
      <w:pPr>
        <w:spacing w:after="0" w:line="77"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95% of CEO total direct compensation for 2014 was at risk and tied to stock price and multi-year performance objectives.</w:t>
      </w:r>
    </w:p>
    <w:p>
      <w:pPr>
        <w:spacing w:after="0" w:line="155"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2014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61595</wp:posOffset>
            </wp:positionV>
            <wp:extent cx="2066925" cy="2066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66925" cy="206692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61595</wp:posOffset>
            </wp:positionV>
            <wp:extent cx="2066925" cy="2066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6692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PROCESS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Compensation Committee Oversight</w:t>
      </w:r>
    </w:p>
    <w:p>
      <w:pPr>
        <w:spacing w:after="0" w:line="7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Committee oversees our executive compensation programs to appropriately compensate executives, to motivate executives to achieve our business objectives, and to align our executives’ interests with long-term interests of our shareholders. It reviews each element of compensation for each executive officer and determines any adjustments to compensation structure and levels in light of various considerations including:</w:t>
      </w:r>
    </w:p>
    <w:p>
      <w:pPr>
        <w:spacing w:after="0" w:line="43" w:lineRule="exact"/>
        <w:rPr>
          <w:sz w:val="20"/>
          <w:szCs w:val="20"/>
          <w:color w:val="auto"/>
        </w:rPr>
      </w:pPr>
    </w:p>
    <w:p>
      <w:pPr>
        <w:ind w:left="440" w:hanging="216"/>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of the executive officer’s responsibilities, performance and experience as well as competitive compensation levels.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financial results against prior periods.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structure of our compensation programs relative to sound risk management, as discussed with management.</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results of the advisory shareholder vote on the compensation of our executive officers and input from investors.</w:t>
      </w:r>
    </w:p>
    <w:p>
      <w:pPr>
        <w:spacing w:after="0" w:line="76" w:lineRule="exact"/>
        <w:rPr>
          <w:rFonts w:ascii="Arial" w:cs="Arial" w:eastAsia="Arial" w:hAnsi="Arial"/>
          <w:sz w:val="18"/>
          <w:szCs w:val="18"/>
          <w:color w:val="auto"/>
        </w:rPr>
      </w:pPr>
    </w:p>
    <w:p>
      <w:pPr>
        <w:ind w:left="440" w:right="540" w:hanging="216"/>
        <w:spacing w:after="0" w:line="269"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Competitive pressures from private equity and capital deployment companies, as well as market practices and external developments generally.</w:t>
      </w:r>
    </w:p>
    <w:p>
      <w:pPr>
        <w:spacing w:after="0" w:line="2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Compensation Committee has maintained a simple program that drives long-term performance and superior value creation for shareholders and believes it has enabled Roper to attract, retain, and motivate a world-class management team.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40"/>
          </w:cols>
          <w:pgMar w:left="240" w:top="455" w:right="3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Consulting Assistance</w:t>
      </w:r>
    </w:p>
    <w:p>
      <w:pPr>
        <w:spacing w:after="0" w:line="79"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For 2014, the Compensation Committee retained Frederic W. Cook &amp; Co., Inc. (the “Consultant”) to provide the Committee with independent, objective analysis and professional opinions on executive compensation.</w:t>
      </w:r>
    </w:p>
    <w:p>
      <w:pPr>
        <w:spacing w:after="0" w:line="22" w:lineRule="exact"/>
        <w:rPr>
          <w:sz w:val="20"/>
          <w:szCs w:val="20"/>
          <w:color w:val="auto"/>
        </w:rPr>
      </w:pPr>
    </w:p>
    <w:p>
      <w:pPr>
        <w:ind w:left="440" w:right="400" w:hanging="216"/>
        <w:spacing w:after="0" w:line="269"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Consultant is independent, reports directly to the Chair of the Compensation Committee and has never performed other work for the Company. The Committee determined that its engagement of the Consultant did not raise any conflicts of interest.</w:t>
      </w:r>
    </w:p>
    <w:p>
      <w:pPr>
        <w:spacing w:after="0" w:line="22" w:lineRule="exact"/>
        <w:rPr>
          <w:rFonts w:ascii="Arial" w:cs="Arial" w:eastAsia="Arial" w:hAnsi="Arial"/>
          <w:sz w:val="18"/>
          <w:szCs w:val="18"/>
          <w:color w:val="auto"/>
        </w:rPr>
      </w:pPr>
    </w:p>
    <w:p>
      <w:pPr>
        <w:ind w:left="440" w:right="280" w:hanging="216"/>
        <w:spacing w:after="0" w:line="269"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Consultant generally attends all meetings of the Compensation Committee where evaluations of the effectiveness of overall executive compensation programs are conducted or where compensation for executive officers is analyzed or approved.</w:t>
      </w:r>
    </w:p>
    <w:p>
      <w:pPr>
        <w:spacing w:after="0" w:line="22" w:lineRule="exact"/>
        <w:rPr>
          <w:rFonts w:ascii="Arial" w:cs="Arial" w:eastAsia="Arial" w:hAnsi="Arial"/>
          <w:sz w:val="18"/>
          <w:szCs w:val="18"/>
          <w:color w:val="auto"/>
        </w:rPr>
      </w:pPr>
    </w:p>
    <w:p>
      <w:pPr>
        <w:ind w:left="440" w:right="520" w:hanging="216"/>
        <w:spacing w:after="0" w:line="333" w:lineRule="auto"/>
        <w:tabs>
          <w:tab w:leader="none" w:pos="4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Role of Our Executive Officers</w:t>
      </w:r>
    </w:p>
    <w:p>
      <w:pPr>
        <w:spacing w:after="0" w:line="7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While the Compensation Committee is ultimately responsible for making all compensation decisions affecting our executive officers, our Chief Executive Officer participates in the process because of his close day-to-day association with the other executive officers and his knowledge of the Company’s diverse business operations.</w:t>
      </w:r>
    </w:p>
    <w:p>
      <w:pPr>
        <w:spacing w:after="0" w:line="37" w:lineRule="exact"/>
        <w:rPr>
          <w:sz w:val="20"/>
          <w:szCs w:val="20"/>
          <w:color w:val="auto"/>
        </w:rPr>
      </w:pPr>
    </w:p>
    <w:p>
      <w:pPr>
        <w:ind w:left="440" w:hanging="216"/>
        <w:spacing w:after="0" w:line="269"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Chief Executive Officer periodically discusses with the Compensation Committee the performance of the Company and of each executive officer, including himself.</w:t>
      </w:r>
    </w:p>
    <w:p>
      <w:pPr>
        <w:spacing w:after="0" w:line="22" w:lineRule="exact"/>
        <w:rPr>
          <w:rFonts w:ascii="Arial" w:cs="Arial" w:eastAsia="Arial" w:hAnsi="Arial"/>
          <w:sz w:val="18"/>
          <w:szCs w:val="18"/>
          <w:color w:val="auto"/>
        </w:rPr>
      </w:pPr>
    </w:p>
    <w:p>
      <w:pPr>
        <w:ind w:left="440" w:right="120" w:hanging="216"/>
        <w:spacing w:after="0" w:line="252"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Chief Executive Officer makes recommendations on the components of compensation for the executive officers, other than himself, and does not participate in the portion of the Committee meeting regarding the review of his own performance or the determination of the actual amounts of his compensation.</w:t>
      </w:r>
    </w:p>
    <w:p>
      <w:pPr>
        <w:spacing w:after="0" w:line="3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other executive officers provide support to the Committee, as needed, in regard to their respective technical areas. Our Chief Financial Officer also assists the Compensation Committee as an information resource in regard to metrics related to incentive compensation.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Market Benchmarking</w:t>
      </w:r>
    </w:p>
    <w:p>
      <w:pPr>
        <w:spacing w:after="0" w:line="7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Market pay levels and practices, including those of a self-selected peer group, are one of many factors the Compensation Committee considers in making compensation decisions.</w:t>
      </w:r>
    </w:p>
    <w:p>
      <w:pPr>
        <w:sectPr>
          <w:pgSz w:w="11900" w:h="16838" w:orient="portrait"/>
          <w:cols w:equalWidth="0" w:num="1">
            <w:col w:w="11420"/>
          </w:cols>
          <w:pgMar w:left="240" w:top="455"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Purpose</w:t>
      </w:r>
    </w:p>
    <w:p>
      <w:pPr>
        <w:spacing w:after="0" w:line="77" w:lineRule="exact"/>
        <w:rPr>
          <w:sz w:val="20"/>
          <w:szCs w:val="20"/>
          <w:color w:val="auto"/>
        </w:rPr>
      </w:pPr>
    </w:p>
    <w:p>
      <w:pPr>
        <w:ind w:left="200" w:hanging="192"/>
        <w:spacing w:after="0" w:line="246"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benchmark to provide an external frame of reference on range and reasonableness of compensation levels and practices. Market information is used as a data point in decision-making, and not as a primary factor.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Challenges</w:t>
      </w:r>
    </w:p>
    <w:p>
      <w:pPr>
        <w:spacing w:after="0" w:line="77" w:lineRule="exact"/>
        <w:rPr>
          <w:sz w:val="20"/>
          <w:szCs w:val="20"/>
          <w:color w:val="auto"/>
        </w:rPr>
      </w:pPr>
    </w:p>
    <w:p>
      <w:pPr>
        <w:ind w:left="200" w:right="40" w:hanging="192"/>
        <w:spacing w:after="0" w:line="241" w:lineRule="auto"/>
        <w:tabs>
          <w:tab w:leader="none" w:pos="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high-margin, asset-light model and diversified end-markets make it challenging to select peers using traditional criteria such as revenue, industry codes or competitors. Roper’s operating businesses have peers that can be assigned by industry, but at the enterprise level Roper has no peers that match our diverse set of businesses and unique operating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86" w:right="180"/>
        <w:spacing w:after="0" w:line="252" w:lineRule="auto"/>
        <w:rPr>
          <w:sz w:val="20"/>
          <w:szCs w:val="20"/>
          <w:color w:val="auto"/>
        </w:rPr>
      </w:pPr>
      <w:r>
        <w:rPr>
          <w:rFonts w:ascii="Arial" w:cs="Arial" w:eastAsia="Arial" w:hAnsi="Arial"/>
          <w:sz w:val="18"/>
          <w:szCs w:val="18"/>
          <w:color w:val="auto"/>
        </w:rPr>
        <w:t>model. Given our valuation relative to revenue, using only revenue in measuring size understates Roper’s overall value and is a poor indicator of Roper’s relative value.</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225CAB"/>
        </w:rPr>
        <w:t>Private Equity</w:t>
      </w:r>
    </w:p>
    <w:p>
      <w:pPr>
        <w:spacing w:after="0" w:line="77" w:lineRule="exact"/>
        <w:rPr>
          <w:sz w:val="20"/>
          <w:szCs w:val="20"/>
          <w:color w:val="auto"/>
        </w:rPr>
      </w:pPr>
    </w:p>
    <w:p>
      <w:pPr>
        <w:ind w:left="186" w:right="160" w:hanging="186"/>
        <w:spacing w:after="0" w:line="275" w:lineRule="auto"/>
        <w:tabs>
          <w:tab w:leader="none" w:pos="186" w:val="left"/>
        </w:tabs>
        <w:numPr>
          <w:ilvl w:val="0"/>
          <w:numId w:val="68"/>
        </w:numPr>
        <w:rPr>
          <w:rFonts w:ascii="Arial" w:cs="Arial" w:eastAsia="Arial" w:hAnsi="Arial"/>
          <w:sz w:val="16"/>
          <w:szCs w:val="16"/>
          <w:color w:val="auto"/>
        </w:rPr>
      </w:pPr>
      <w:r>
        <w:rPr>
          <w:rFonts w:ascii="Arial" w:cs="Arial" w:eastAsia="Arial" w:hAnsi="Arial"/>
          <w:sz w:val="16"/>
          <w:szCs w:val="16"/>
          <w:color w:val="auto"/>
        </w:rPr>
        <w:t>Given the capital deployment responsibilities of our executive officers and the private equity-like nature of our business, we consider the compensation levels and practices used by private equity companies that offer comprehensive programs, which often include co-investment and leveraged carried-interest opportunities. We do not allow our executives to co-invest in Company investments, nor do they benefit from carried-interest tax treatment.</w:t>
      </w:r>
    </w:p>
    <w:p>
      <w:pPr>
        <w:spacing w:after="0" w:line="457" w:lineRule="exact"/>
        <w:rPr>
          <w:sz w:val="20"/>
          <w:szCs w:val="20"/>
          <w:color w:val="auto"/>
        </w:rPr>
      </w:pPr>
    </w:p>
    <w:p>
      <w:pPr>
        <w:sectPr>
          <w:pgSz w:w="11900" w:h="16838" w:orient="portrait"/>
          <w:cols w:equalWidth="0" w:num="2">
            <w:col w:w="5440" w:space="274"/>
            <w:col w:w="5706"/>
          </w:cols>
          <w:pgMar w:left="240" w:top="455" w:right="239" w:bottom="1440" w:gutter="0" w:footer="0" w:header="0"/>
          <w:type w:val="continuous"/>
        </w:sectPr>
      </w:pPr>
    </w:p>
    <w:p>
      <w:pPr>
        <w:spacing w:after="0" w:line="84"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31</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2014 Peer Group</w:t>
      </w:r>
    </w:p>
    <w:p>
      <w:pPr>
        <w:spacing w:after="0" w:line="77" w:lineRule="exact"/>
        <w:rPr>
          <w:sz w:val="20"/>
          <w:szCs w:val="20"/>
          <w:color w:val="auto"/>
        </w:rPr>
      </w:pPr>
    </w:p>
    <w:p>
      <w:pPr>
        <w:ind w:left="220" w:right="20" w:hanging="212"/>
        <w:spacing w:after="0" w:line="243"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were made to our self-selected peer group for 2014 to reflect our continued strong growth and sustained value creation, our expansion into medical, software, and technology-driven businesses, and market valuation relative to revenues and gross investment. In light of the transformation of our business portfolio, Standard &amp; Poor’s changed our GICS assignment. The peer companies are listed below along with various size indicators. Danaher, the largest company and the only industrial conglomerate in the group, is included as many of our investors have told us they see Danaher as our closest peer.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225CAB"/>
          </w:tcPr>
          <w:p>
            <w:pPr>
              <w:spacing w:after="0"/>
              <w:rPr>
                <w:sz w:val="14"/>
                <w:szCs w:val="14"/>
                <w:color w:val="auto"/>
              </w:rPr>
            </w:pPr>
          </w:p>
        </w:tc>
        <w:tc>
          <w:tcPr>
            <w:tcW w:w="1640" w:type="dxa"/>
            <w:vAlign w:val="bottom"/>
            <w:shd w:val="clear" w:color="auto" w:fill="225CAB"/>
          </w:tcPr>
          <w:p>
            <w:pPr>
              <w:spacing w:after="0"/>
              <w:rPr>
                <w:sz w:val="14"/>
                <w:szCs w:val="14"/>
                <w:color w:val="auto"/>
              </w:rPr>
            </w:pPr>
          </w:p>
        </w:tc>
        <w:tc>
          <w:tcPr>
            <w:tcW w:w="1000" w:type="dxa"/>
            <w:vAlign w:val="bottom"/>
            <w:gridSpan w:val="2"/>
            <w:shd w:val="clear" w:color="auto" w:fill="225CAB"/>
          </w:tcPr>
          <w:p>
            <w:pPr>
              <w:jc w:val="center"/>
              <w:spacing w:after="0"/>
              <w:rPr>
                <w:sz w:val="20"/>
                <w:szCs w:val="20"/>
                <w:color w:val="auto"/>
              </w:rPr>
            </w:pPr>
            <w:r>
              <w:rPr>
                <w:rFonts w:ascii="Arial" w:cs="Arial" w:eastAsia="Arial" w:hAnsi="Arial"/>
                <w:sz w:val="14"/>
                <w:szCs w:val="14"/>
                <w:color w:val="FFFFFF"/>
                <w:w w:val="97"/>
              </w:rPr>
              <w:t>Enterprise</w:t>
            </w:r>
          </w:p>
        </w:tc>
        <w:tc>
          <w:tcPr>
            <w:tcW w:w="460" w:type="dxa"/>
            <w:vAlign w:val="bottom"/>
            <w:shd w:val="clear" w:color="auto" w:fill="225CAB"/>
          </w:tcPr>
          <w:p>
            <w:pPr>
              <w:spacing w:after="0"/>
              <w:rPr>
                <w:sz w:val="14"/>
                <w:szCs w:val="14"/>
                <w:color w:val="auto"/>
              </w:rPr>
            </w:pPr>
          </w:p>
        </w:tc>
        <w:tc>
          <w:tcPr>
            <w:tcW w:w="880" w:type="dxa"/>
            <w:vAlign w:val="bottom"/>
            <w:shd w:val="clear" w:color="auto" w:fill="225CAB"/>
          </w:tcPr>
          <w:p>
            <w:pPr>
              <w:jc w:val="right"/>
              <w:ind w:right="392"/>
              <w:spacing w:after="0"/>
              <w:rPr>
                <w:sz w:val="20"/>
                <w:szCs w:val="20"/>
                <w:color w:val="auto"/>
              </w:rPr>
            </w:pPr>
            <w:r>
              <w:rPr>
                <w:rFonts w:ascii="Arial" w:cs="Arial" w:eastAsia="Arial" w:hAnsi="Arial"/>
                <w:sz w:val="14"/>
                <w:szCs w:val="14"/>
                <w:color w:val="FFFFFF"/>
                <w:w w:val="93"/>
              </w:rPr>
              <w:t>Market</w:t>
            </w:r>
          </w:p>
        </w:tc>
        <w:tc>
          <w:tcPr>
            <w:tcW w:w="1040" w:type="dxa"/>
            <w:vAlign w:val="bottom"/>
            <w:gridSpan w:val="2"/>
            <w:vMerge w:val="restart"/>
            <w:shd w:val="clear" w:color="auto" w:fill="225CAB"/>
          </w:tcPr>
          <w:p>
            <w:pPr>
              <w:jc w:val="right"/>
              <w:ind w:right="112"/>
              <w:spacing w:after="0"/>
              <w:rPr>
                <w:sz w:val="20"/>
                <w:szCs w:val="20"/>
                <w:color w:val="auto"/>
              </w:rPr>
            </w:pPr>
            <w:r>
              <w:rPr>
                <w:rFonts w:ascii="Arial" w:cs="Arial" w:eastAsia="Arial" w:hAnsi="Arial"/>
                <w:sz w:val="14"/>
                <w:szCs w:val="14"/>
                <w:color w:val="FFFFFF"/>
              </w:rPr>
              <w:t>Revenue</w:t>
            </w:r>
            <w:r>
              <w:rPr>
                <w:rFonts w:ascii="Arial" w:cs="Arial" w:eastAsia="Arial" w:hAnsi="Arial"/>
                <w:sz w:val="22"/>
                <w:szCs w:val="22"/>
                <w:color w:val="FFFFFF"/>
                <w:vertAlign w:val="superscript"/>
              </w:rPr>
              <w:t>(2)</w:t>
            </w:r>
          </w:p>
        </w:tc>
        <w:tc>
          <w:tcPr>
            <w:tcW w:w="320" w:type="dxa"/>
            <w:vAlign w:val="bottom"/>
            <w:shd w:val="clear" w:color="auto" w:fill="225CAB"/>
          </w:tcPr>
          <w:p>
            <w:pPr>
              <w:spacing w:after="0"/>
              <w:rPr>
                <w:sz w:val="14"/>
                <w:szCs w:val="14"/>
                <w:color w:val="auto"/>
              </w:rPr>
            </w:pPr>
          </w:p>
        </w:tc>
        <w:tc>
          <w:tcPr>
            <w:tcW w:w="720" w:type="dxa"/>
            <w:vAlign w:val="bottom"/>
            <w:shd w:val="clear" w:color="auto" w:fill="225CAB"/>
          </w:tcPr>
          <w:p>
            <w:pPr>
              <w:jc w:val="center"/>
              <w:ind w:right="292"/>
              <w:spacing w:after="0"/>
              <w:rPr>
                <w:sz w:val="20"/>
                <w:szCs w:val="20"/>
                <w:color w:val="auto"/>
              </w:rPr>
            </w:pPr>
            <w:r>
              <w:rPr>
                <w:rFonts w:ascii="Arial" w:cs="Arial" w:eastAsia="Arial" w:hAnsi="Arial"/>
                <w:sz w:val="14"/>
                <w:szCs w:val="14"/>
                <w:color w:val="FFFFFF"/>
                <w:w w:val="91"/>
              </w:rPr>
              <w:t>Net</w:t>
            </w:r>
          </w:p>
        </w:tc>
        <w:tc>
          <w:tcPr>
            <w:tcW w:w="276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225CAB"/>
          </w:tcPr>
          <w:p>
            <w:pPr>
              <w:spacing w:after="0"/>
              <w:rPr>
                <w:sz w:val="12"/>
                <w:szCs w:val="12"/>
                <w:color w:val="auto"/>
              </w:rPr>
            </w:pPr>
          </w:p>
        </w:tc>
        <w:tc>
          <w:tcPr>
            <w:tcW w:w="1640" w:type="dxa"/>
            <w:vAlign w:val="bottom"/>
            <w:shd w:val="clear" w:color="auto" w:fill="225CAB"/>
          </w:tcPr>
          <w:p>
            <w:pPr>
              <w:spacing w:after="0"/>
              <w:rPr>
                <w:sz w:val="12"/>
                <w:szCs w:val="12"/>
                <w:color w:val="auto"/>
              </w:rPr>
            </w:pPr>
          </w:p>
        </w:tc>
        <w:tc>
          <w:tcPr>
            <w:tcW w:w="260" w:type="dxa"/>
            <w:vAlign w:val="bottom"/>
            <w:shd w:val="clear" w:color="auto" w:fill="225CAB"/>
          </w:tcPr>
          <w:p>
            <w:pPr>
              <w:spacing w:after="0"/>
              <w:rPr>
                <w:sz w:val="12"/>
                <w:szCs w:val="12"/>
                <w:color w:val="auto"/>
              </w:rPr>
            </w:pPr>
          </w:p>
        </w:tc>
        <w:tc>
          <w:tcPr>
            <w:tcW w:w="740" w:type="dxa"/>
            <w:vAlign w:val="bottom"/>
            <w:shd w:val="clear" w:color="auto" w:fill="225CAB"/>
          </w:tcPr>
          <w:p>
            <w:pPr>
              <w:jc w:val="center"/>
              <w:ind w:right="173"/>
              <w:spacing w:after="0" w:line="149" w:lineRule="exact"/>
              <w:rPr>
                <w:sz w:val="20"/>
                <w:szCs w:val="20"/>
                <w:color w:val="auto"/>
              </w:rPr>
            </w:pPr>
            <w:r>
              <w:rPr>
                <w:rFonts w:ascii="Arial" w:cs="Arial" w:eastAsia="Arial" w:hAnsi="Arial"/>
                <w:sz w:val="11"/>
                <w:szCs w:val="11"/>
                <w:color w:val="FFFFFF"/>
              </w:rPr>
              <w:t>Value</w:t>
            </w:r>
            <w:r>
              <w:rPr>
                <w:rFonts w:ascii="Arial" w:cs="Arial" w:eastAsia="Arial" w:hAnsi="Arial"/>
                <w:sz w:val="17"/>
                <w:szCs w:val="17"/>
                <w:color w:val="FFFFFF"/>
                <w:vertAlign w:val="superscript"/>
              </w:rPr>
              <w:t>(1)</w:t>
            </w:r>
          </w:p>
        </w:tc>
        <w:tc>
          <w:tcPr>
            <w:tcW w:w="1340" w:type="dxa"/>
            <w:vAlign w:val="bottom"/>
            <w:gridSpan w:val="2"/>
            <w:shd w:val="clear" w:color="auto" w:fill="225CAB"/>
          </w:tcPr>
          <w:p>
            <w:pPr>
              <w:jc w:val="right"/>
              <w:ind w:right="132"/>
              <w:spacing w:after="0" w:line="149" w:lineRule="exact"/>
              <w:rPr>
                <w:sz w:val="20"/>
                <w:szCs w:val="20"/>
                <w:color w:val="auto"/>
              </w:rPr>
            </w:pPr>
            <w:r>
              <w:rPr>
                <w:rFonts w:ascii="Arial" w:cs="Arial" w:eastAsia="Arial" w:hAnsi="Arial"/>
                <w:sz w:val="11"/>
                <w:szCs w:val="11"/>
                <w:color w:val="FFFFFF"/>
              </w:rPr>
              <w:t>Capitalization</w:t>
            </w:r>
            <w:r>
              <w:rPr>
                <w:rFonts w:ascii="Arial" w:cs="Arial" w:eastAsia="Arial" w:hAnsi="Arial"/>
                <w:sz w:val="17"/>
                <w:szCs w:val="17"/>
                <w:color w:val="FFFFFF"/>
                <w:vertAlign w:val="superscript"/>
              </w:rPr>
              <w:t>(1)</w:t>
            </w:r>
          </w:p>
        </w:tc>
        <w:tc>
          <w:tcPr>
            <w:tcW w:w="1040" w:type="dxa"/>
            <w:vAlign w:val="bottom"/>
            <w:gridSpan w:val="2"/>
            <w:vMerge w:val="continue"/>
            <w:shd w:val="clear" w:color="auto" w:fill="225CAB"/>
          </w:tcPr>
          <w:p>
            <w:pPr>
              <w:spacing w:after="0"/>
              <w:rPr>
                <w:sz w:val="12"/>
                <w:szCs w:val="12"/>
                <w:color w:val="auto"/>
              </w:rPr>
            </w:pPr>
          </w:p>
        </w:tc>
        <w:tc>
          <w:tcPr>
            <w:tcW w:w="104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1"/>
                <w:szCs w:val="11"/>
                <w:color w:val="FFFFFF"/>
              </w:rPr>
              <w:t xml:space="preserve">Income </w:t>
            </w:r>
            <w:r>
              <w:rPr>
                <w:rFonts w:ascii="Arial" w:cs="Arial" w:eastAsia="Arial" w:hAnsi="Arial"/>
                <w:sz w:val="17"/>
                <w:szCs w:val="17"/>
                <w:color w:val="FFFFFF"/>
                <w:vertAlign w:val="superscript"/>
              </w:rPr>
              <w:t>(2)</w:t>
            </w:r>
          </w:p>
        </w:tc>
        <w:tc>
          <w:tcPr>
            <w:tcW w:w="2760" w:type="dxa"/>
            <w:vAlign w:val="bottom"/>
            <w:shd w:val="clear" w:color="auto" w:fill="225CAB"/>
          </w:tcPr>
          <w:p>
            <w:pPr>
              <w:ind w:left="580"/>
              <w:spacing w:after="0" w:line="149" w:lineRule="exact"/>
              <w:rPr>
                <w:sz w:val="20"/>
                <w:szCs w:val="20"/>
                <w:color w:val="auto"/>
              </w:rPr>
            </w:pPr>
            <w:r>
              <w:rPr>
                <w:rFonts w:ascii="Arial" w:cs="Arial" w:eastAsia="Arial" w:hAnsi="Arial"/>
                <w:sz w:val="14"/>
                <w:szCs w:val="14"/>
                <w:color w:val="FFFFFF"/>
              </w:rPr>
              <w:t>Global Industry Classification</w:t>
            </w:r>
          </w:p>
        </w:tc>
        <w:tc>
          <w:tcPr>
            <w:tcW w:w="0" w:type="dxa"/>
            <w:vAlign w:val="bottom"/>
          </w:tcPr>
          <w:p>
            <w:pPr>
              <w:spacing w:after="0"/>
              <w:rPr>
                <w:sz w:val="1"/>
                <w:szCs w:val="1"/>
                <w:color w:val="auto"/>
              </w:rPr>
            </w:pPr>
          </w:p>
        </w:tc>
      </w:tr>
      <w:tr>
        <w:trPr>
          <w:trHeight w:val="176"/>
        </w:trPr>
        <w:tc>
          <w:tcPr>
            <w:tcW w:w="2600" w:type="dxa"/>
            <w:vAlign w:val="bottom"/>
            <w:shd w:val="clear" w:color="auto" w:fill="225CAB"/>
          </w:tcPr>
          <w:p>
            <w:pPr>
              <w:ind w:left="460"/>
              <w:spacing w:after="0"/>
              <w:rPr>
                <w:sz w:val="20"/>
                <w:szCs w:val="20"/>
                <w:color w:val="auto"/>
              </w:rPr>
            </w:pPr>
            <w:r>
              <w:rPr>
                <w:rFonts w:ascii="Arial" w:cs="Arial" w:eastAsia="Arial" w:hAnsi="Arial"/>
                <w:sz w:val="14"/>
                <w:szCs w:val="14"/>
                <w:color w:val="FFFFFF"/>
              </w:rPr>
              <w:t>Company</w:t>
            </w:r>
          </w:p>
        </w:tc>
        <w:tc>
          <w:tcPr>
            <w:tcW w:w="1640" w:type="dxa"/>
            <w:vAlign w:val="bottom"/>
            <w:shd w:val="clear" w:color="auto" w:fill="225CAB"/>
          </w:tcPr>
          <w:p>
            <w:pPr>
              <w:jc w:val="right"/>
              <w:ind w:right="112"/>
              <w:spacing w:after="0"/>
              <w:rPr>
                <w:sz w:val="20"/>
                <w:szCs w:val="20"/>
                <w:color w:val="auto"/>
              </w:rPr>
            </w:pPr>
            <w:r>
              <w:rPr>
                <w:rFonts w:ascii="Arial" w:cs="Arial" w:eastAsia="Arial" w:hAnsi="Arial"/>
                <w:sz w:val="14"/>
                <w:szCs w:val="14"/>
                <w:color w:val="FFFFFF"/>
              </w:rPr>
              <w:t>Ticker</w:t>
            </w:r>
          </w:p>
        </w:tc>
        <w:tc>
          <w:tcPr>
            <w:tcW w:w="1000" w:type="dxa"/>
            <w:vAlign w:val="bottom"/>
            <w:gridSpan w:val="2"/>
            <w:shd w:val="clear" w:color="auto" w:fill="225CAB"/>
          </w:tcPr>
          <w:p>
            <w:pPr>
              <w:jc w:val="center"/>
              <w:spacing w:after="0"/>
              <w:rPr>
                <w:sz w:val="20"/>
                <w:szCs w:val="20"/>
                <w:color w:val="auto"/>
              </w:rPr>
            </w:pPr>
            <w:r>
              <w:rPr>
                <w:rFonts w:ascii="Arial" w:cs="Arial" w:eastAsia="Arial" w:hAnsi="Arial"/>
                <w:sz w:val="14"/>
                <w:szCs w:val="14"/>
                <w:color w:val="FFFFFF"/>
                <w:w w:val="97"/>
              </w:rPr>
              <w:t>($ millions)</w:t>
            </w:r>
          </w:p>
        </w:tc>
        <w:tc>
          <w:tcPr>
            <w:tcW w:w="460" w:type="dxa"/>
            <w:vAlign w:val="bottom"/>
            <w:shd w:val="clear" w:color="auto" w:fill="225CAB"/>
          </w:tcPr>
          <w:p>
            <w:pPr>
              <w:jc w:val="right"/>
              <w:spacing w:after="0"/>
              <w:rPr>
                <w:sz w:val="20"/>
                <w:szCs w:val="20"/>
                <w:color w:val="auto"/>
              </w:rPr>
            </w:pPr>
            <w:r>
              <w:rPr>
                <w:rFonts w:ascii="Arial" w:cs="Arial" w:eastAsia="Arial" w:hAnsi="Arial"/>
                <w:sz w:val="14"/>
                <w:szCs w:val="14"/>
                <w:color w:val="FFFFFF"/>
              </w:rPr>
              <w:t>($</w:t>
            </w:r>
          </w:p>
        </w:tc>
        <w:tc>
          <w:tcPr>
            <w:tcW w:w="880" w:type="dxa"/>
            <w:vAlign w:val="bottom"/>
            <w:shd w:val="clear" w:color="auto" w:fill="225CAB"/>
          </w:tcPr>
          <w:p>
            <w:pPr>
              <w:jc w:val="right"/>
              <w:ind w:right="272"/>
              <w:spacing w:after="0"/>
              <w:rPr>
                <w:sz w:val="20"/>
                <w:szCs w:val="20"/>
                <w:color w:val="auto"/>
              </w:rPr>
            </w:pPr>
            <w:r>
              <w:rPr>
                <w:rFonts w:ascii="Arial" w:cs="Arial" w:eastAsia="Arial" w:hAnsi="Arial"/>
                <w:sz w:val="14"/>
                <w:szCs w:val="14"/>
                <w:color w:val="FFFFFF"/>
              </w:rPr>
              <w:t>millions)</w:t>
            </w:r>
          </w:p>
        </w:tc>
        <w:tc>
          <w:tcPr>
            <w:tcW w:w="1040" w:type="dxa"/>
            <w:vAlign w:val="bottom"/>
            <w:gridSpan w:val="2"/>
            <w:shd w:val="clear" w:color="auto" w:fill="225CAB"/>
          </w:tcPr>
          <w:p>
            <w:pPr>
              <w:jc w:val="right"/>
              <w:ind w:right="132"/>
              <w:spacing w:after="0"/>
              <w:rPr>
                <w:sz w:val="20"/>
                <w:szCs w:val="20"/>
                <w:color w:val="auto"/>
              </w:rPr>
            </w:pPr>
            <w:r>
              <w:rPr>
                <w:rFonts w:ascii="Arial" w:cs="Arial" w:eastAsia="Arial" w:hAnsi="Arial"/>
                <w:sz w:val="14"/>
                <w:szCs w:val="14"/>
                <w:color w:val="FFFFFF"/>
              </w:rPr>
              <w:t>($ millions)</w:t>
            </w:r>
          </w:p>
        </w:tc>
        <w:tc>
          <w:tcPr>
            <w:tcW w:w="1040" w:type="dxa"/>
            <w:vAlign w:val="bottom"/>
            <w:gridSpan w:val="2"/>
            <w:shd w:val="clear" w:color="auto" w:fill="225CAB"/>
          </w:tcPr>
          <w:p>
            <w:pPr>
              <w:jc w:val="center"/>
              <w:spacing w:after="0"/>
              <w:rPr>
                <w:sz w:val="20"/>
                <w:szCs w:val="20"/>
                <w:color w:val="auto"/>
              </w:rPr>
            </w:pPr>
            <w:r>
              <w:rPr>
                <w:rFonts w:ascii="Arial" w:cs="Arial" w:eastAsia="Arial" w:hAnsi="Arial"/>
                <w:sz w:val="14"/>
                <w:szCs w:val="14"/>
                <w:color w:val="FFFFFF"/>
                <w:w w:val="94"/>
              </w:rPr>
              <w:t>($ millions)</w:t>
            </w:r>
          </w:p>
        </w:tc>
        <w:tc>
          <w:tcPr>
            <w:tcW w:w="2760" w:type="dxa"/>
            <w:vAlign w:val="bottom"/>
            <w:shd w:val="clear" w:color="auto" w:fill="225CAB"/>
          </w:tcPr>
          <w:p>
            <w:pPr>
              <w:ind w:left="540"/>
              <w:spacing w:after="0"/>
              <w:rPr>
                <w:sz w:val="20"/>
                <w:szCs w:val="20"/>
                <w:color w:val="auto"/>
              </w:rPr>
            </w:pPr>
            <w:r>
              <w:rPr>
                <w:rFonts w:ascii="Arial" w:cs="Arial" w:eastAsia="Arial" w:hAnsi="Arial"/>
                <w:sz w:val="14"/>
                <w:szCs w:val="14"/>
                <w:color w:val="FFFFFF"/>
              </w:rPr>
              <w:t>Standard (GICS) Sub-Industry</w:t>
            </w:r>
          </w:p>
        </w:tc>
        <w:tc>
          <w:tcPr>
            <w:tcW w:w="0" w:type="dxa"/>
            <w:vAlign w:val="bottom"/>
          </w:tcPr>
          <w:p>
            <w:pPr>
              <w:spacing w:after="0"/>
              <w:rPr>
                <w:sz w:val="1"/>
                <w:szCs w:val="1"/>
                <w:color w:val="auto"/>
              </w:rPr>
            </w:pPr>
          </w:p>
        </w:tc>
      </w:tr>
      <w:tr>
        <w:trPr>
          <w:trHeight w:val="149"/>
        </w:trPr>
        <w:tc>
          <w:tcPr>
            <w:tcW w:w="2600" w:type="dxa"/>
            <w:vAlign w:val="bottom"/>
            <w:tcBorders>
              <w:bottom w:val="single" w:sz="8" w:color="225CAB"/>
            </w:tcBorders>
          </w:tcPr>
          <w:p>
            <w:pPr>
              <w:spacing w:after="0" w:line="149" w:lineRule="exact"/>
              <w:rPr>
                <w:sz w:val="20"/>
                <w:szCs w:val="20"/>
                <w:color w:val="auto"/>
              </w:rPr>
            </w:pPr>
            <w:r>
              <w:rPr>
                <w:rFonts w:ascii="Arial" w:cs="Arial" w:eastAsia="Arial" w:hAnsi="Arial"/>
                <w:sz w:val="14"/>
                <w:szCs w:val="14"/>
                <w:color w:val="auto"/>
              </w:rPr>
              <w:t>Danaher</w:t>
            </w:r>
          </w:p>
        </w:tc>
        <w:tc>
          <w:tcPr>
            <w:tcW w:w="1640" w:type="dxa"/>
            <w:vAlign w:val="bottom"/>
            <w:tcBorders>
              <w:bottom w:val="single" w:sz="8" w:color="225CAB"/>
            </w:tcBorders>
          </w:tcPr>
          <w:p>
            <w:pPr>
              <w:jc w:val="right"/>
              <w:ind w:right="72"/>
              <w:spacing w:after="0" w:line="149" w:lineRule="exact"/>
              <w:rPr>
                <w:sz w:val="20"/>
                <w:szCs w:val="20"/>
                <w:color w:val="auto"/>
              </w:rPr>
            </w:pPr>
            <w:r>
              <w:rPr>
                <w:rFonts w:ascii="Arial" w:cs="Arial" w:eastAsia="Arial" w:hAnsi="Arial"/>
                <w:sz w:val="14"/>
                <w:szCs w:val="14"/>
                <w:color w:val="auto"/>
              </w:rPr>
              <w:t>DHR</w:t>
            </w:r>
          </w:p>
        </w:tc>
        <w:tc>
          <w:tcPr>
            <w:tcW w:w="260" w:type="dxa"/>
            <w:vAlign w:val="bottom"/>
            <w:tcBorders>
              <w:bottom w:val="single" w:sz="8" w:color="225CAB"/>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73"/>
              <w:spacing w:after="0" w:line="149" w:lineRule="exact"/>
              <w:rPr>
                <w:sz w:val="20"/>
                <w:szCs w:val="20"/>
                <w:color w:val="auto"/>
              </w:rPr>
            </w:pPr>
            <w:r>
              <w:rPr>
                <w:rFonts w:ascii="Arial" w:cs="Arial" w:eastAsia="Arial" w:hAnsi="Arial"/>
                <w:sz w:val="14"/>
                <w:szCs w:val="14"/>
                <w:color w:val="auto"/>
              </w:rPr>
              <w:t>59,308</w:t>
            </w:r>
          </w:p>
        </w:tc>
        <w:tc>
          <w:tcPr>
            <w:tcW w:w="460" w:type="dxa"/>
            <w:vAlign w:val="bottom"/>
            <w:tcBorders>
              <w:bottom w:val="single" w:sz="8" w:color="225CAB"/>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225CAB"/>
            </w:tcBorders>
          </w:tcPr>
          <w:p>
            <w:pPr>
              <w:jc w:val="right"/>
              <w:ind w:right="92"/>
              <w:spacing w:after="0" w:line="149" w:lineRule="exact"/>
              <w:rPr>
                <w:sz w:val="20"/>
                <w:szCs w:val="20"/>
                <w:color w:val="auto"/>
              </w:rPr>
            </w:pPr>
            <w:r>
              <w:rPr>
                <w:rFonts w:ascii="Arial" w:cs="Arial" w:eastAsia="Arial" w:hAnsi="Arial"/>
                <w:sz w:val="14"/>
                <w:szCs w:val="14"/>
                <w:color w:val="auto"/>
              </w:rPr>
              <w:t>60,228</w:t>
            </w:r>
          </w:p>
        </w:tc>
        <w:tc>
          <w:tcPr>
            <w:tcW w:w="340" w:type="dxa"/>
            <w:vAlign w:val="bottom"/>
            <w:tcBorders>
              <w:bottom w:val="single" w:sz="8" w:color="225CAB"/>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25CAB"/>
            </w:tcBorders>
          </w:tcPr>
          <w:p>
            <w:pPr>
              <w:jc w:val="right"/>
              <w:ind w:right="92"/>
              <w:spacing w:after="0" w:line="149" w:lineRule="exact"/>
              <w:rPr>
                <w:sz w:val="20"/>
                <w:szCs w:val="20"/>
                <w:color w:val="auto"/>
              </w:rPr>
            </w:pPr>
            <w:r>
              <w:rPr>
                <w:rFonts w:ascii="Arial" w:cs="Arial" w:eastAsia="Arial" w:hAnsi="Arial"/>
                <w:sz w:val="14"/>
                <w:szCs w:val="14"/>
                <w:color w:val="auto"/>
              </w:rPr>
              <w:t>19,914</w:t>
            </w:r>
          </w:p>
        </w:tc>
        <w:tc>
          <w:tcPr>
            <w:tcW w:w="320" w:type="dxa"/>
            <w:vAlign w:val="bottom"/>
            <w:tcBorders>
              <w:bottom w:val="single" w:sz="8" w:color="225CAB"/>
            </w:tcBorders>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tcPr>
          <w:p>
            <w:pPr>
              <w:jc w:val="right"/>
              <w:ind w:right="112"/>
              <w:spacing w:after="0" w:line="149" w:lineRule="exact"/>
              <w:rPr>
                <w:sz w:val="20"/>
                <w:szCs w:val="20"/>
                <w:color w:val="auto"/>
              </w:rPr>
            </w:pPr>
            <w:r>
              <w:rPr>
                <w:rFonts w:ascii="Arial" w:cs="Arial" w:eastAsia="Arial" w:hAnsi="Arial"/>
                <w:sz w:val="14"/>
                <w:szCs w:val="14"/>
                <w:color w:val="auto"/>
              </w:rPr>
              <w:t>2,598</w:t>
            </w:r>
          </w:p>
        </w:tc>
        <w:tc>
          <w:tcPr>
            <w:tcW w:w="2760" w:type="dxa"/>
            <w:vAlign w:val="bottom"/>
            <w:tcBorders>
              <w:bottom w:val="single" w:sz="8" w:color="225CAB"/>
            </w:tcBorders>
          </w:tcPr>
          <w:p>
            <w:pPr>
              <w:ind w:left="120"/>
              <w:spacing w:after="0" w:line="149" w:lineRule="exact"/>
              <w:rPr>
                <w:sz w:val="20"/>
                <w:szCs w:val="20"/>
                <w:color w:val="auto"/>
              </w:rPr>
            </w:pPr>
            <w:r>
              <w:rPr>
                <w:rFonts w:ascii="Arial" w:cs="Arial" w:eastAsia="Arial" w:hAnsi="Arial"/>
                <w:sz w:val="14"/>
                <w:szCs w:val="14"/>
                <w:color w:val="auto"/>
              </w:rPr>
              <w:t>Industrial Conglomerates</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4"/>
                <w:szCs w:val="14"/>
                <w:color w:val="auto"/>
              </w:rPr>
              <w:t>salesforce.com</w:t>
            </w:r>
          </w:p>
        </w:tc>
        <w:tc>
          <w:tcPr>
            <w:tcW w:w="1640" w:type="dxa"/>
            <w:vAlign w:val="bottom"/>
          </w:tcPr>
          <w:p>
            <w:pPr>
              <w:jc w:val="right"/>
              <w:ind w:right="72"/>
              <w:spacing w:after="0" w:line="125" w:lineRule="exact"/>
              <w:rPr>
                <w:sz w:val="20"/>
                <w:szCs w:val="20"/>
                <w:color w:val="auto"/>
              </w:rPr>
            </w:pPr>
            <w:r>
              <w:rPr>
                <w:rFonts w:ascii="Arial" w:cs="Arial" w:eastAsia="Arial" w:hAnsi="Arial"/>
                <w:sz w:val="14"/>
                <w:szCs w:val="14"/>
                <w:color w:val="auto"/>
              </w:rPr>
              <w:t>CRM</w:t>
            </w:r>
          </w:p>
        </w:tc>
        <w:tc>
          <w:tcPr>
            <w:tcW w:w="26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25" w:lineRule="exact"/>
              <w:rPr>
                <w:sz w:val="20"/>
                <w:szCs w:val="20"/>
                <w:color w:val="auto"/>
              </w:rPr>
            </w:pPr>
            <w:r>
              <w:rPr>
                <w:rFonts w:ascii="Arial" w:cs="Arial" w:eastAsia="Arial" w:hAnsi="Arial"/>
                <w:sz w:val="14"/>
                <w:szCs w:val="14"/>
                <w:color w:val="auto"/>
              </w:rPr>
              <w:t>38,849</w:t>
            </w:r>
          </w:p>
        </w:tc>
        <w:tc>
          <w:tcPr>
            <w:tcW w:w="460" w:type="dxa"/>
            <w:vAlign w:val="bottom"/>
          </w:tcPr>
          <w:p>
            <w:pPr>
              <w:jc w:val="right"/>
              <w:ind w:right="153"/>
              <w:spacing w:after="0" w:line="12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37,425</w:t>
            </w:r>
          </w:p>
        </w:tc>
        <w:tc>
          <w:tcPr>
            <w:tcW w:w="340" w:type="dxa"/>
            <w:vAlign w:val="bottom"/>
          </w:tcPr>
          <w:p>
            <w:pPr>
              <w:jc w:val="right"/>
              <w:ind w:right="52"/>
              <w:spacing w:after="0" w:line="12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5,374</w:t>
            </w:r>
          </w:p>
        </w:tc>
        <w:tc>
          <w:tcPr>
            <w:tcW w:w="320" w:type="dxa"/>
            <w:vAlign w:val="bottom"/>
          </w:tcPr>
          <w:p>
            <w:pPr>
              <w:ind w:left="140"/>
              <w:spacing w:after="0" w:line="12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25" w:lineRule="exact"/>
              <w:rPr>
                <w:sz w:val="20"/>
                <w:szCs w:val="20"/>
                <w:color w:val="auto"/>
              </w:rPr>
            </w:pPr>
            <w:r>
              <w:rPr>
                <w:rFonts w:ascii="Arial" w:cs="Arial" w:eastAsia="Arial" w:hAnsi="Arial"/>
                <w:sz w:val="14"/>
                <w:szCs w:val="14"/>
                <w:color w:val="auto"/>
              </w:rPr>
              <w:t>263)</w:t>
            </w:r>
          </w:p>
        </w:tc>
        <w:tc>
          <w:tcPr>
            <w:tcW w:w="2760" w:type="dxa"/>
            <w:vAlign w:val="bottom"/>
          </w:tcPr>
          <w:p>
            <w:pPr>
              <w:ind w:left="120"/>
              <w:spacing w:after="0" w:line="125" w:lineRule="exact"/>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Adobe Systems</w:t>
            </w:r>
          </w:p>
        </w:tc>
        <w:tc>
          <w:tcPr>
            <w:tcW w:w="1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ADBE</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34,033</w:t>
            </w:r>
          </w:p>
        </w:tc>
        <w:tc>
          <w:tcPr>
            <w:tcW w:w="4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36,258</w:t>
            </w:r>
          </w:p>
        </w:tc>
        <w:tc>
          <w:tcPr>
            <w:tcW w:w="3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4,256</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306</w:t>
            </w: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Intuit</w:t>
            </w:r>
          </w:p>
        </w:tc>
        <w:tc>
          <w:tcPr>
            <w:tcW w:w="1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INTU</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25,233</w:t>
            </w:r>
          </w:p>
        </w:tc>
        <w:tc>
          <w:tcPr>
            <w:tcW w:w="4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26,323</w:t>
            </w:r>
          </w:p>
        </w:tc>
        <w:tc>
          <w:tcPr>
            <w:tcW w:w="3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4,582</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805</w:t>
            </w: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Citrix Systems</w:t>
            </w:r>
          </w:p>
        </w:tc>
        <w:tc>
          <w:tcPr>
            <w:tcW w:w="1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CTXS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10,808</w:t>
            </w:r>
          </w:p>
        </w:tc>
        <w:tc>
          <w:tcPr>
            <w:tcW w:w="4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10,270</w:t>
            </w:r>
          </w:p>
        </w:tc>
        <w:tc>
          <w:tcPr>
            <w:tcW w:w="3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3,143</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252</w:t>
            </w: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Autodesk</w:t>
            </w:r>
          </w:p>
        </w:tc>
        <w:tc>
          <w:tcPr>
            <w:tcW w:w="1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ADSK</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12,511</w:t>
            </w:r>
          </w:p>
        </w:tc>
        <w:tc>
          <w:tcPr>
            <w:tcW w:w="4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13,665</w:t>
            </w:r>
          </w:p>
        </w:tc>
        <w:tc>
          <w:tcPr>
            <w:tcW w:w="3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2,512</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82</w:t>
            </w: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Nuance Communications</w:t>
            </w:r>
          </w:p>
        </w:tc>
        <w:tc>
          <w:tcPr>
            <w:tcW w:w="1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NUAN</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6,149</w:t>
            </w:r>
          </w:p>
        </w:tc>
        <w:tc>
          <w:tcPr>
            <w:tcW w:w="4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4,605</w:t>
            </w:r>
          </w:p>
        </w:tc>
        <w:tc>
          <w:tcPr>
            <w:tcW w:w="3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1,927</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145)</w:t>
            </w: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65"/>
        </w:trPr>
        <w:tc>
          <w:tcPr>
            <w:tcW w:w="260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Solera Holdings</w:t>
            </w:r>
          </w:p>
        </w:tc>
        <w:tc>
          <w:tcPr>
            <w:tcW w:w="1640" w:type="dxa"/>
            <w:vAlign w:val="bottom"/>
            <w:tcBorders>
              <w:bottom w:val="single" w:sz="8" w:color="225CAB"/>
            </w:tcBorders>
          </w:tcPr>
          <w:p>
            <w:pPr>
              <w:jc w:val="right"/>
              <w:ind w:right="72"/>
              <w:spacing w:after="0"/>
              <w:rPr>
                <w:sz w:val="20"/>
                <w:szCs w:val="20"/>
                <w:color w:val="auto"/>
              </w:rPr>
            </w:pPr>
            <w:r>
              <w:rPr>
                <w:rFonts w:ascii="Arial" w:cs="Arial" w:eastAsia="Arial" w:hAnsi="Arial"/>
                <w:sz w:val="14"/>
                <w:szCs w:val="14"/>
                <w:color w:val="auto"/>
              </w:rPr>
              <w:t>SLH</w:t>
            </w:r>
          </w:p>
        </w:tc>
        <w:tc>
          <w:tcPr>
            <w:tcW w:w="260" w:type="dxa"/>
            <w:vAlign w:val="bottom"/>
            <w:tcBorders>
              <w:bottom w:val="single" w:sz="8" w:color="225CA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5,261</w:t>
            </w:r>
          </w:p>
        </w:tc>
        <w:tc>
          <w:tcPr>
            <w:tcW w:w="460" w:type="dxa"/>
            <w:vAlign w:val="bottom"/>
            <w:tcBorders>
              <w:bottom w:val="single" w:sz="8" w:color="225CAB"/>
            </w:tcBorders>
          </w:tcPr>
          <w:p>
            <w:pPr>
              <w:jc w:val="right"/>
              <w:ind w:right="15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color w:val="auto"/>
              </w:rPr>
              <w:t>3,492</w:t>
            </w:r>
          </w:p>
        </w:tc>
        <w:tc>
          <w:tcPr>
            <w:tcW w:w="340" w:type="dxa"/>
            <w:vAlign w:val="bottom"/>
            <w:tcBorders>
              <w:bottom w:val="single" w:sz="8" w:color="225CAB"/>
            </w:tcBorders>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color w:val="auto"/>
              </w:rPr>
              <w:t>1,093</w:t>
            </w:r>
          </w:p>
        </w:tc>
        <w:tc>
          <w:tcPr>
            <w:tcW w:w="320" w:type="dxa"/>
            <w:vAlign w:val="bottom"/>
            <w:tcBorders>
              <w:bottom w:val="single" w:sz="8" w:color="225CAB"/>
            </w:tcBorders>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tcPr>
          <w:p>
            <w:pPr>
              <w:jc w:val="right"/>
              <w:ind w:right="112"/>
              <w:spacing w:after="0"/>
              <w:rPr>
                <w:sz w:val="20"/>
                <w:szCs w:val="20"/>
                <w:color w:val="auto"/>
              </w:rPr>
            </w:pPr>
            <w:r>
              <w:rPr>
                <w:rFonts w:ascii="Arial" w:cs="Arial" w:eastAsia="Arial" w:hAnsi="Arial"/>
                <w:sz w:val="14"/>
                <w:szCs w:val="14"/>
                <w:color w:val="auto"/>
              </w:rPr>
              <w:t>45</w:t>
            </w:r>
          </w:p>
        </w:tc>
        <w:tc>
          <w:tcPr>
            <w:tcW w:w="2760" w:type="dxa"/>
            <w:vAlign w:val="bottom"/>
            <w:tcBorders>
              <w:bottom w:val="single" w:sz="8" w:color="225CAB"/>
            </w:tcBorders>
          </w:tcPr>
          <w:p>
            <w:pPr>
              <w:ind w:left="12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142"/>
        </w:trPr>
        <w:tc>
          <w:tcPr>
            <w:tcW w:w="2600" w:type="dxa"/>
            <w:vAlign w:val="bottom"/>
            <w:tcBorders>
              <w:bottom w:val="single" w:sz="8" w:color="225CAB"/>
            </w:tcBorders>
          </w:tcPr>
          <w:p>
            <w:pPr>
              <w:spacing w:after="0" w:line="142" w:lineRule="exact"/>
              <w:rPr>
                <w:sz w:val="20"/>
                <w:szCs w:val="20"/>
                <w:color w:val="auto"/>
              </w:rPr>
            </w:pPr>
            <w:r>
              <w:rPr>
                <w:rFonts w:ascii="Arial" w:cs="Arial" w:eastAsia="Arial" w:hAnsi="Arial"/>
                <w:sz w:val="14"/>
                <w:szCs w:val="14"/>
                <w:color w:val="auto"/>
              </w:rPr>
              <w:t>American Capital</w:t>
            </w:r>
          </w:p>
        </w:tc>
        <w:tc>
          <w:tcPr>
            <w:tcW w:w="1640" w:type="dxa"/>
            <w:vAlign w:val="bottom"/>
            <w:tcBorders>
              <w:bottom w:val="single" w:sz="8" w:color="225CAB"/>
            </w:tcBorders>
          </w:tcPr>
          <w:p>
            <w:pPr>
              <w:jc w:val="right"/>
              <w:ind w:right="72"/>
              <w:spacing w:after="0" w:line="142" w:lineRule="exact"/>
              <w:rPr>
                <w:sz w:val="20"/>
                <w:szCs w:val="20"/>
                <w:color w:val="auto"/>
              </w:rPr>
            </w:pPr>
            <w:r>
              <w:rPr>
                <w:rFonts w:ascii="Arial" w:cs="Arial" w:eastAsia="Arial" w:hAnsi="Arial"/>
                <w:sz w:val="14"/>
                <w:szCs w:val="14"/>
                <w:color w:val="auto"/>
              </w:rPr>
              <w:t>ACAS</w:t>
            </w:r>
          </w:p>
        </w:tc>
        <w:tc>
          <w:tcPr>
            <w:tcW w:w="260" w:type="dxa"/>
            <w:vAlign w:val="bottom"/>
            <w:tcBorders>
              <w:bottom w:val="single" w:sz="8" w:color="225CAB"/>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73"/>
              <w:spacing w:after="0" w:line="142" w:lineRule="exact"/>
              <w:rPr>
                <w:sz w:val="20"/>
                <w:szCs w:val="20"/>
                <w:color w:val="auto"/>
              </w:rPr>
            </w:pPr>
            <w:r>
              <w:rPr>
                <w:rFonts w:ascii="Arial" w:cs="Arial" w:eastAsia="Arial" w:hAnsi="Arial"/>
                <w:sz w:val="14"/>
                <w:szCs w:val="14"/>
                <w:color w:val="auto"/>
              </w:rPr>
              <w:t>4,858</w:t>
            </w:r>
          </w:p>
        </w:tc>
        <w:tc>
          <w:tcPr>
            <w:tcW w:w="460" w:type="dxa"/>
            <w:vAlign w:val="bottom"/>
            <w:tcBorders>
              <w:bottom w:val="single" w:sz="8" w:color="225CAB"/>
            </w:tcBorders>
          </w:tcPr>
          <w:p>
            <w:pPr>
              <w:jc w:val="right"/>
              <w:ind w:right="153"/>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225CAB"/>
            </w:tcBorders>
          </w:tcPr>
          <w:p>
            <w:pPr>
              <w:jc w:val="right"/>
              <w:ind w:right="92"/>
              <w:spacing w:after="0" w:line="142" w:lineRule="exact"/>
              <w:rPr>
                <w:sz w:val="20"/>
                <w:szCs w:val="20"/>
                <w:color w:val="auto"/>
              </w:rPr>
            </w:pPr>
            <w:r>
              <w:rPr>
                <w:rFonts w:ascii="Arial" w:cs="Arial" w:eastAsia="Arial" w:hAnsi="Arial"/>
                <w:sz w:val="14"/>
                <w:szCs w:val="14"/>
                <w:color w:val="auto"/>
              </w:rPr>
              <w:t>3,940</w:t>
            </w:r>
          </w:p>
        </w:tc>
        <w:tc>
          <w:tcPr>
            <w:tcW w:w="340" w:type="dxa"/>
            <w:vAlign w:val="bottom"/>
            <w:tcBorders>
              <w:bottom w:val="single" w:sz="8" w:color="225CAB"/>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25CAB"/>
            </w:tcBorders>
          </w:tcPr>
          <w:p>
            <w:pPr>
              <w:jc w:val="right"/>
              <w:ind w:right="92"/>
              <w:spacing w:after="0" w:line="142" w:lineRule="exact"/>
              <w:rPr>
                <w:sz w:val="20"/>
                <w:szCs w:val="20"/>
                <w:color w:val="auto"/>
              </w:rPr>
            </w:pPr>
            <w:r>
              <w:rPr>
                <w:rFonts w:ascii="Arial" w:cs="Arial" w:eastAsia="Arial" w:hAnsi="Arial"/>
                <w:sz w:val="14"/>
                <w:szCs w:val="14"/>
                <w:color w:val="auto"/>
              </w:rPr>
              <w:t>471</w:t>
            </w:r>
          </w:p>
        </w:tc>
        <w:tc>
          <w:tcPr>
            <w:tcW w:w="320" w:type="dxa"/>
            <w:vAlign w:val="bottom"/>
            <w:tcBorders>
              <w:bottom w:val="single" w:sz="8" w:color="225CAB"/>
            </w:tcBorders>
          </w:tcPr>
          <w:p>
            <w:pPr>
              <w:ind w:left="14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tcPr>
          <w:p>
            <w:pPr>
              <w:jc w:val="right"/>
              <w:ind w:right="112"/>
              <w:spacing w:after="0" w:line="142" w:lineRule="exact"/>
              <w:rPr>
                <w:sz w:val="20"/>
                <w:szCs w:val="20"/>
                <w:color w:val="auto"/>
              </w:rPr>
            </w:pPr>
            <w:r>
              <w:rPr>
                <w:rFonts w:ascii="Arial" w:cs="Arial" w:eastAsia="Arial" w:hAnsi="Arial"/>
                <w:sz w:val="14"/>
                <w:szCs w:val="14"/>
                <w:color w:val="auto"/>
              </w:rPr>
              <w:t>434</w:t>
            </w:r>
          </w:p>
        </w:tc>
        <w:tc>
          <w:tcPr>
            <w:tcW w:w="2760" w:type="dxa"/>
            <w:vAlign w:val="bottom"/>
            <w:tcBorders>
              <w:bottom w:val="single" w:sz="8" w:color="225CAB"/>
            </w:tcBorders>
          </w:tcPr>
          <w:p>
            <w:pPr>
              <w:ind w:left="120"/>
              <w:spacing w:after="0" w:line="142" w:lineRule="exact"/>
              <w:rPr>
                <w:sz w:val="20"/>
                <w:szCs w:val="20"/>
                <w:color w:val="auto"/>
              </w:rPr>
            </w:pPr>
            <w:r>
              <w:rPr>
                <w:rFonts w:ascii="Arial" w:cs="Arial" w:eastAsia="Arial" w:hAnsi="Arial"/>
                <w:sz w:val="14"/>
                <w:szCs w:val="14"/>
                <w:color w:val="auto"/>
              </w:rPr>
              <w:t>Asset Management and Custody Banks</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4"/>
                <w:szCs w:val="14"/>
                <w:color w:val="auto"/>
              </w:rPr>
              <w:t>Becton Dickinson</w:t>
            </w:r>
          </w:p>
        </w:tc>
        <w:tc>
          <w:tcPr>
            <w:tcW w:w="1640" w:type="dxa"/>
            <w:vAlign w:val="bottom"/>
          </w:tcPr>
          <w:p>
            <w:pPr>
              <w:jc w:val="right"/>
              <w:ind w:right="72"/>
              <w:spacing w:after="0" w:line="125" w:lineRule="exact"/>
              <w:rPr>
                <w:sz w:val="20"/>
                <w:szCs w:val="20"/>
                <w:color w:val="auto"/>
              </w:rPr>
            </w:pPr>
            <w:r>
              <w:rPr>
                <w:rFonts w:ascii="Arial" w:cs="Arial" w:eastAsia="Arial" w:hAnsi="Arial"/>
                <w:sz w:val="14"/>
                <w:szCs w:val="14"/>
                <w:color w:val="auto"/>
              </w:rPr>
              <w:t>BDX</w:t>
            </w:r>
          </w:p>
        </w:tc>
        <w:tc>
          <w:tcPr>
            <w:tcW w:w="26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25" w:lineRule="exact"/>
              <w:rPr>
                <w:sz w:val="20"/>
                <w:szCs w:val="20"/>
                <w:color w:val="auto"/>
              </w:rPr>
            </w:pPr>
            <w:r>
              <w:rPr>
                <w:rFonts w:ascii="Arial" w:cs="Arial" w:eastAsia="Arial" w:hAnsi="Arial"/>
                <w:sz w:val="14"/>
                <w:szCs w:val="14"/>
                <w:color w:val="auto"/>
              </w:rPr>
              <w:t>28,134</w:t>
            </w:r>
          </w:p>
        </w:tc>
        <w:tc>
          <w:tcPr>
            <w:tcW w:w="460" w:type="dxa"/>
            <w:vAlign w:val="bottom"/>
          </w:tcPr>
          <w:p>
            <w:pPr>
              <w:jc w:val="right"/>
              <w:ind w:right="153"/>
              <w:spacing w:after="0" w:line="12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26,911</w:t>
            </w:r>
          </w:p>
        </w:tc>
        <w:tc>
          <w:tcPr>
            <w:tcW w:w="340" w:type="dxa"/>
            <w:vAlign w:val="bottom"/>
          </w:tcPr>
          <w:p>
            <w:pPr>
              <w:jc w:val="right"/>
              <w:ind w:right="52"/>
              <w:spacing w:after="0" w:line="12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8,468</w:t>
            </w:r>
          </w:p>
        </w:tc>
        <w:tc>
          <w:tcPr>
            <w:tcW w:w="320" w:type="dxa"/>
            <w:vAlign w:val="bottom"/>
          </w:tcPr>
          <w:p>
            <w:pPr>
              <w:ind w:left="140"/>
              <w:spacing w:after="0" w:line="12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1,150</w:t>
            </w:r>
          </w:p>
        </w:tc>
        <w:tc>
          <w:tcPr>
            <w:tcW w:w="2760" w:type="dxa"/>
            <w:vAlign w:val="bottom"/>
          </w:tcPr>
          <w:p>
            <w:pPr>
              <w:ind w:left="120"/>
              <w:spacing w:after="0" w:line="125" w:lineRule="exact"/>
              <w:rPr>
                <w:sz w:val="20"/>
                <w:szCs w:val="20"/>
                <w:color w:val="auto"/>
              </w:rPr>
            </w:pPr>
            <w:r>
              <w:rPr>
                <w:rFonts w:ascii="Arial" w:cs="Arial" w:eastAsia="Arial" w:hAnsi="Arial"/>
                <w:sz w:val="14"/>
                <w:szCs w:val="14"/>
                <w:color w:val="auto"/>
              </w:rPr>
              <w:t>Healthcare Equipment</w:t>
            </w:r>
          </w:p>
        </w:tc>
        <w:tc>
          <w:tcPr>
            <w:tcW w:w="0" w:type="dxa"/>
            <w:vAlign w:val="bottom"/>
          </w:tcPr>
          <w:p>
            <w:pPr>
              <w:spacing w:after="0"/>
              <w:rPr>
                <w:sz w:val="1"/>
                <w:szCs w:val="1"/>
                <w:color w:val="auto"/>
              </w:rPr>
            </w:pPr>
          </w:p>
        </w:tc>
      </w:tr>
      <w:tr>
        <w:trPr>
          <w:trHeight w:val="165"/>
        </w:trPr>
        <w:tc>
          <w:tcPr>
            <w:tcW w:w="260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Boston Scientific</w:t>
            </w:r>
          </w:p>
        </w:tc>
        <w:tc>
          <w:tcPr>
            <w:tcW w:w="1640" w:type="dxa"/>
            <w:vAlign w:val="bottom"/>
            <w:tcBorders>
              <w:bottom w:val="single" w:sz="8" w:color="225CAB"/>
            </w:tcBorders>
          </w:tcPr>
          <w:p>
            <w:pPr>
              <w:jc w:val="right"/>
              <w:ind w:right="72"/>
              <w:spacing w:after="0"/>
              <w:rPr>
                <w:sz w:val="20"/>
                <w:szCs w:val="20"/>
                <w:color w:val="auto"/>
              </w:rPr>
            </w:pPr>
            <w:r>
              <w:rPr>
                <w:rFonts w:ascii="Arial" w:cs="Arial" w:eastAsia="Arial" w:hAnsi="Arial"/>
                <w:sz w:val="14"/>
                <w:szCs w:val="14"/>
                <w:color w:val="auto"/>
              </w:rPr>
              <w:t>BSX</w:t>
            </w:r>
          </w:p>
        </w:tc>
        <w:tc>
          <w:tcPr>
            <w:tcW w:w="260" w:type="dxa"/>
            <w:vAlign w:val="bottom"/>
            <w:tcBorders>
              <w:bottom w:val="single" w:sz="8" w:color="225CA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21,575</w:t>
            </w:r>
          </w:p>
        </w:tc>
        <w:tc>
          <w:tcPr>
            <w:tcW w:w="460" w:type="dxa"/>
            <w:vAlign w:val="bottom"/>
            <w:tcBorders>
              <w:bottom w:val="single" w:sz="8" w:color="225CAB"/>
            </w:tcBorders>
          </w:tcPr>
          <w:p>
            <w:pPr>
              <w:jc w:val="right"/>
              <w:ind w:right="15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color w:val="auto"/>
              </w:rPr>
              <w:t>17,576</w:t>
            </w:r>
          </w:p>
        </w:tc>
        <w:tc>
          <w:tcPr>
            <w:tcW w:w="340" w:type="dxa"/>
            <w:vAlign w:val="bottom"/>
            <w:tcBorders>
              <w:bottom w:val="single" w:sz="8" w:color="225CAB"/>
            </w:tcBorders>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color w:val="auto"/>
              </w:rPr>
              <w:t>7,308</w:t>
            </w:r>
          </w:p>
        </w:tc>
        <w:tc>
          <w:tcPr>
            <w:tcW w:w="320" w:type="dxa"/>
            <w:vAlign w:val="bottom"/>
            <w:tcBorders>
              <w:bottom w:val="single" w:sz="8" w:color="225CAB"/>
            </w:tcBorders>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tcPr>
          <w:p>
            <w:pPr>
              <w:jc w:val="right"/>
              <w:ind w:right="72"/>
              <w:spacing w:after="0"/>
              <w:rPr>
                <w:sz w:val="20"/>
                <w:szCs w:val="20"/>
                <w:color w:val="auto"/>
              </w:rPr>
            </w:pPr>
            <w:r>
              <w:rPr>
                <w:rFonts w:ascii="Arial" w:cs="Arial" w:eastAsia="Arial" w:hAnsi="Arial"/>
                <w:sz w:val="14"/>
                <w:szCs w:val="14"/>
                <w:color w:val="auto"/>
              </w:rPr>
              <w:t>119)</w:t>
            </w:r>
          </w:p>
        </w:tc>
        <w:tc>
          <w:tcPr>
            <w:tcW w:w="2760" w:type="dxa"/>
            <w:vAlign w:val="bottom"/>
            <w:tcBorders>
              <w:bottom w:val="single" w:sz="8" w:color="225CAB"/>
            </w:tcBorders>
          </w:tcPr>
          <w:p>
            <w:pPr>
              <w:ind w:left="120"/>
              <w:spacing w:after="0"/>
              <w:rPr>
                <w:sz w:val="20"/>
                <w:szCs w:val="20"/>
                <w:color w:val="auto"/>
              </w:rPr>
            </w:pPr>
            <w:r>
              <w:rPr>
                <w:rFonts w:ascii="Arial" w:cs="Arial" w:eastAsia="Arial" w:hAnsi="Arial"/>
                <w:sz w:val="14"/>
                <w:szCs w:val="14"/>
                <w:color w:val="auto"/>
              </w:rPr>
              <w:t>Healthcare Equipment</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4"/>
                <w:szCs w:val="14"/>
                <w:color w:val="auto"/>
              </w:rPr>
              <w:t>Agilent Technologies</w:t>
            </w:r>
          </w:p>
        </w:tc>
        <w:tc>
          <w:tcPr>
            <w:tcW w:w="1640" w:type="dxa"/>
            <w:vAlign w:val="bottom"/>
          </w:tcPr>
          <w:p>
            <w:pPr>
              <w:jc w:val="right"/>
              <w:ind w:right="72"/>
              <w:spacing w:after="0" w:line="125" w:lineRule="exact"/>
              <w:rPr>
                <w:sz w:val="20"/>
                <w:szCs w:val="20"/>
                <w:color w:val="auto"/>
              </w:rPr>
            </w:pPr>
            <w:r>
              <w:rPr>
                <w:rFonts w:ascii="Arial" w:cs="Arial" w:eastAsia="Arial" w:hAnsi="Arial"/>
                <w:sz w:val="14"/>
                <w:szCs w:val="14"/>
                <w:color w:val="auto"/>
              </w:rPr>
              <w:t>A</w:t>
            </w:r>
          </w:p>
        </w:tc>
        <w:tc>
          <w:tcPr>
            <w:tcW w:w="26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3"/>
              <w:spacing w:after="0" w:line="125" w:lineRule="exact"/>
              <w:rPr>
                <w:sz w:val="20"/>
                <w:szCs w:val="20"/>
                <w:color w:val="auto"/>
              </w:rPr>
            </w:pPr>
            <w:r>
              <w:rPr>
                <w:rFonts w:ascii="Arial" w:cs="Arial" w:eastAsia="Arial" w:hAnsi="Arial"/>
                <w:sz w:val="14"/>
                <w:szCs w:val="14"/>
                <w:color w:val="auto"/>
              </w:rPr>
              <w:t>13,465</w:t>
            </w:r>
          </w:p>
        </w:tc>
        <w:tc>
          <w:tcPr>
            <w:tcW w:w="460" w:type="dxa"/>
            <w:vAlign w:val="bottom"/>
          </w:tcPr>
          <w:p>
            <w:pPr>
              <w:jc w:val="right"/>
              <w:ind w:right="153"/>
              <w:spacing w:after="0" w:line="12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13,728</w:t>
            </w:r>
          </w:p>
        </w:tc>
        <w:tc>
          <w:tcPr>
            <w:tcW w:w="340" w:type="dxa"/>
            <w:vAlign w:val="bottom"/>
          </w:tcPr>
          <w:p>
            <w:pPr>
              <w:jc w:val="right"/>
              <w:ind w:right="52"/>
              <w:spacing w:after="0" w:line="12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6,999</w:t>
            </w:r>
          </w:p>
        </w:tc>
        <w:tc>
          <w:tcPr>
            <w:tcW w:w="320" w:type="dxa"/>
            <w:vAlign w:val="bottom"/>
          </w:tcPr>
          <w:p>
            <w:pPr>
              <w:ind w:left="140"/>
              <w:spacing w:after="0" w:line="12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381</w:t>
            </w:r>
          </w:p>
        </w:tc>
        <w:tc>
          <w:tcPr>
            <w:tcW w:w="2760" w:type="dxa"/>
            <w:vAlign w:val="bottom"/>
          </w:tcPr>
          <w:p>
            <w:pPr>
              <w:ind w:left="120"/>
              <w:spacing w:after="0" w:line="125" w:lineRule="exact"/>
              <w:rPr>
                <w:sz w:val="20"/>
                <w:szCs w:val="20"/>
                <w:color w:val="auto"/>
              </w:rPr>
            </w:pPr>
            <w:r>
              <w:rPr>
                <w:rFonts w:ascii="Arial" w:cs="Arial" w:eastAsia="Arial" w:hAnsi="Arial"/>
                <w:sz w:val="14"/>
                <w:szCs w:val="14"/>
                <w:color w:val="auto"/>
              </w:rPr>
              <w:t>Life Sciences Tools and Services</w:t>
            </w:r>
          </w:p>
        </w:tc>
        <w:tc>
          <w:tcPr>
            <w:tcW w:w="0" w:type="dxa"/>
            <w:vAlign w:val="bottom"/>
          </w:tcPr>
          <w:p>
            <w:pPr>
              <w:spacing w:after="0"/>
              <w:rPr>
                <w:sz w:val="1"/>
                <w:szCs w:val="1"/>
                <w:color w:val="auto"/>
              </w:rPr>
            </w:pPr>
          </w:p>
        </w:tc>
      </w:tr>
      <w:tr>
        <w:trPr>
          <w:trHeight w:val="165"/>
        </w:trPr>
        <w:tc>
          <w:tcPr>
            <w:tcW w:w="260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PerkinElmer</w:t>
            </w:r>
          </w:p>
        </w:tc>
        <w:tc>
          <w:tcPr>
            <w:tcW w:w="1640" w:type="dxa"/>
            <w:vAlign w:val="bottom"/>
            <w:tcBorders>
              <w:bottom w:val="single" w:sz="8" w:color="225CAB"/>
            </w:tcBorders>
          </w:tcPr>
          <w:p>
            <w:pPr>
              <w:jc w:val="right"/>
              <w:ind w:right="72"/>
              <w:spacing w:after="0"/>
              <w:rPr>
                <w:sz w:val="20"/>
                <w:szCs w:val="20"/>
                <w:color w:val="auto"/>
              </w:rPr>
            </w:pPr>
            <w:r>
              <w:rPr>
                <w:rFonts w:ascii="Arial" w:cs="Arial" w:eastAsia="Arial" w:hAnsi="Arial"/>
                <w:sz w:val="14"/>
                <w:szCs w:val="14"/>
                <w:color w:val="auto"/>
              </w:rPr>
              <w:t>PKI</w:t>
            </w:r>
          </w:p>
        </w:tc>
        <w:tc>
          <w:tcPr>
            <w:tcW w:w="260" w:type="dxa"/>
            <w:vAlign w:val="bottom"/>
            <w:tcBorders>
              <w:bottom w:val="single" w:sz="8" w:color="225CA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5,596</w:t>
            </w:r>
          </w:p>
        </w:tc>
        <w:tc>
          <w:tcPr>
            <w:tcW w:w="460" w:type="dxa"/>
            <w:vAlign w:val="bottom"/>
            <w:tcBorders>
              <w:bottom w:val="single" w:sz="8" w:color="225CAB"/>
            </w:tcBorders>
          </w:tcPr>
          <w:p>
            <w:pPr>
              <w:jc w:val="right"/>
              <w:ind w:right="15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color w:val="auto"/>
              </w:rPr>
              <w:t>4,940</w:t>
            </w:r>
          </w:p>
        </w:tc>
        <w:tc>
          <w:tcPr>
            <w:tcW w:w="340" w:type="dxa"/>
            <w:vAlign w:val="bottom"/>
            <w:tcBorders>
              <w:bottom w:val="single" w:sz="8" w:color="225CAB"/>
            </w:tcBorders>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color w:val="auto"/>
              </w:rPr>
              <w:t>2,237</w:t>
            </w:r>
          </w:p>
        </w:tc>
        <w:tc>
          <w:tcPr>
            <w:tcW w:w="320" w:type="dxa"/>
            <w:vAlign w:val="bottom"/>
            <w:tcBorders>
              <w:bottom w:val="single" w:sz="8" w:color="225CAB"/>
            </w:tcBorders>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tcPr>
          <w:p>
            <w:pPr>
              <w:jc w:val="right"/>
              <w:ind w:right="112"/>
              <w:spacing w:after="0"/>
              <w:rPr>
                <w:sz w:val="20"/>
                <w:szCs w:val="20"/>
                <w:color w:val="auto"/>
              </w:rPr>
            </w:pPr>
            <w:r>
              <w:rPr>
                <w:rFonts w:ascii="Arial" w:cs="Arial" w:eastAsia="Arial" w:hAnsi="Arial"/>
                <w:sz w:val="14"/>
                <w:szCs w:val="14"/>
                <w:color w:val="auto"/>
              </w:rPr>
              <w:t>158</w:t>
            </w:r>
          </w:p>
        </w:tc>
        <w:tc>
          <w:tcPr>
            <w:tcW w:w="2760" w:type="dxa"/>
            <w:vAlign w:val="bottom"/>
            <w:tcBorders>
              <w:bottom w:val="single" w:sz="8" w:color="225CAB"/>
            </w:tcBorders>
          </w:tcPr>
          <w:p>
            <w:pPr>
              <w:ind w:left="120"/>
              <w:spacing w:after="0"/>
              <w:rPr>
                <w:sz w:val="20"/>
                <w:szCs w:val="20"/>
                <w:color w:val="auto"/>
              </w:rPr>
            </w:pPr>
            <w:r>
              <w:rPr>
                <w:rFonts w:ascii="Arial" w:cs="Arial" w:eastAsia="Arial" w:hAnsi="Arial"/>
                <w:sz w:val="14"/>
                <w:szCs w:val="14"/>
                <w:color w:val="auto"/>
              </w:rPr>
              <w:t>Life Sciences Tools and Services</w:t>
            </w:r>
          </w:p>
        </w:tc>
        <w:tc>
          <w:tcPr>
            <w:tcW w:w="0" w:type="dxa"/>
            <w:vAlign w:val="bottom"/>
          </w:tcPr>
          <w:p>
            <w:pPr>
              <w:spacing w:after="0"/>
              <w:rPr>
                <w:sz w:val="1"/>
                <w:szCs w:val="1"/>
                <w:color w:val="auto"/>
              </w:rPr>
            </w:pPr>
          </w:p>
        </w:tc>
      </w:tr>
      <w:tr>
        <w:trPr>
          <w:trHeight w:val="123"/>
        </w:trPr>
        <w:tc>
          <w:tcPr>
            <w:tcW w:w="2600" w:type="dxa"/>
            <w:vAlign w:val="bottom"/>
          </w:tcPr>
          <w:p>
            <w:pPr>
              <w:spacing w:after="0" w:line="123" w:lineRule="exact"/>
              <w:rPr>
                <w:sz w:val="20"/>
                <w:szCs w:val="20"/>
                <w:color w:val="auto"/>
              </w:rPr>
            </w:pPr>
            <w:r>
              <w:rPr>
                <w:rFonts w:ascii="Arial" w:cs="Arial" w:eastAsia="Arial" w:hAnsi="Arial"/>
                <w:sz w:val="14"/>
                <w:szCs w:val="14"/>
                <w:b w:val="1"/>
                <w:bCs w:val="1"/>
                <w:i w:val="1"/>
                <w:iCs w:val="1"/>
                <w:color w:val="auto"/>
              </w:rPr>
              <w:t>Median</w:t>
            </w:r>
          </w:p>
        </w:tc>
        <w:tc>
          <w:tcPr>
            <w:tcW w:w="16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ROP</w:t>
            </w:r>
          </w:p>
        </w:tc>
        <w:tc>
          <w:tcPr>
            <w:tcW w:w="260" w:type="dxa"/>
            <w:vAlign w:val="bottom"/>
          </w:tcPr>
          <w:p>
            <w:pPr>
              <w:jc w:val="right"/>
              <w:spacing w:after="0" w:line="123" w:lineRule="exact"/>
              <w:rPr>
                <w:sz w:val="20"/>
                <w:szCs w:val="20"/>
                <w:color w:val="auto"/>
              </w:rPr>
            </w:pPr>
            <w:r>
              <w:rPr>
                <w:rFonts w:ascii="Arial" w:cs="Arial" w:eastAsia="Arial" w:hAnsi="Arial"/>
                <w:sz w:val="14"/>
                <w:szCs w:val="14"/>
                <w:b w:val="1"/>
                <w:bCs w:val="1"/>
                <w:i w:val="1"/>
                <w:iCs w:val="1"/>
                <w:color w:val="auto"/>
              </w:rPr>
              <w:t>$</w:t>
            </w:r>
          </w:p>
        </w:tc>
        <w:tc>
          <w:tcPr>
            <w:tcW w:w="740" w:type="dxa"/>
            <w:vAlign w:val="bottom"/>
          </w:tcPr>
          <w:p>
            <w:pPr>
              <w:jc w:val="right"/>
              <w:ind w:right="73"/>
              <w:spacing w:after="0" w:line="123" w:lineRule="exact"/>
              <w:rPr>
                <w:sz w:val="20"/>
                <w:szCs w:val="20"/>
                <w:color w:val="auto"/>
              </w:rPr>
            </w:pPr>
            <w:r>
              <w:rPr>
                <w:rFonts w:ascii="Arial" w:cs="Arial" w:eastAsia="Arial" w:hAnsi="Arial"/>
                <w:sz w:val="14"/>
                <w:szCs w:val="14"/>
                <w:b w:val="1"/>
                <w:bCs w:val="1"/>
                <w:i w:val="1"/>
                <w:iCs w:val="1"/>
                <w:color w:val="auto"/>
              </w:rPr>
              <w:t>13,465</w:t>
            </w:r>
          </w:p>
        </w:tc>
        <w:tc>
          <w:tcPr>
            <w:tcW w:w="460" w:type="dxa"/>
            <w:vAlign w:val="bottom"/>
          </w:tcPr>
          <w:p>
            <w:pPr>
              <w:jc w:val="right"/>
              <w:ind w:right="153"/>
              <w:spacing w:after="0" w:line="123" w:lineRule="exact"/>
              <w:rPr>
                <w:sz w:val="20"/>
                <w:szCs w:val="20"/>
                <w:color w:val="auto"/>
              </w:rPr>
            </w:pPr>
            <w:r>
              <w:rPr>
                <w:rFonts w:ascii="Arial" w:cs="Arial" w:eastAsia="Arial" w:hAnsi="Arial"/>
                <w:sz w:val="14"/>
                <w:szCs w:val="14"/>
                <w:b w:val="1"/>
                <w:bCs w:val="1"/>
                <w:i w:val="1"/>
                <w:iCs w:val="1"/>
                <w:color w:val="auto"/>
              </w:rPr>
              <w:t>$</w:t>
            </w:r>
          </w:p>
        </w:tc>
        <w:tc>
          <w:tcPr>
            <w:tcW w:w="880" w:type="dxa"/>
            <w:vAlign w:val="bottom"/>
          </w:tcPr>
          <w:p>
            <w:pPr>
              <w:jc w:val="right"/>
              <w:ind w:right="92"/>
              <w:spacing w:after="0" w:line="123" w:lineRule="exact"/>
              <w:rPr>
                <w:sz w:val="20"/>
                <w:szCs w:val="20"/>
                <w:color w:val="auto"/>
              </w:rPr>
            </w:pPr>
            <w:r>
              <w:rPr>
                <w:rFonts w:ascii="Arial" w:cs="Arial" w:eastAsia="Arial" w:hAnsi="Arial"/>
                <w:sz w:val="14"/>
                <w:szCs w:val="14"/>
                <w:b w:val="1"/>
                <w:bCs w:val="1"/>
                <w:i w:val="1"/>
                <w:iCs w:val="1"/>
                <w:color w:val="auto"/>
              </w:rPr>
              <w:t>13,728</w:t>
            </w:r>
          </w:p>
        </w:tc>
        <w:tc>
          <w:tcPr>
            <w:tcW w:w="340" w:type="dxa"/>
            <w:vAlign w:val="bottom"/>
          </w:tcPr>
          <w:p>
            <w:pPr>
              <w:jc w:val="right"/>
              <w:ind w:right="52"/>
              <w:spacing w:after="0" w:line="123" w:lineRule="exact"/>
              <w:rPr>
                <w:sz w:val="20"/>
                <w:szCs w:val="20"/>
                <w:color w:val="auto"/>
              </w:rPr>
            </w:pPr>
            <w:r>
              <w:rPr>
                <w:rFonts w:ascii="Arial" w:cs="Arial" w:eastAsia="Arial" w:hAnsi="Arial"/>
                <w:sz w:val="14"/>
                <w:szCs w:val="14"/>
                <w:b w:val="1"/>
                <w:bCs w:val="1"/>
                <w:i w:val="1"/>
                <w:iCs w:val="1"/>
                <w:color w:val="auto"/>
              </w:rPr>
              <w:t>$</w:t>
            </w:r>
          </w:p>
        </w:tc>
        <w:tc>
          <w:tcPr>
            <w:tcW w:w="700" w:type="dxa"/>
            <w:vAlign w:val="bottom"/>
          </w:tcPr>
          <w:p>
            <w:pPr>
              <w:jc w:val="right"/>
              <w:ind w:right="92"/>
              <w:spacing w:after="0" w:line="123" w:lineRule="exact"/>
              <w:rPr>
                <w:sz w:val="20"/>
                <w:szCs w:val="20"/>
                <w:color w:val="auto"/>
              </w:rPr>
            </w:pPr>
            <w:r>
              <w:rPr>
                <w:rFonts w:ascii="Arial" w:cs="Arial" w:eastAsia="Arial" w:hAnsi="Arial"/>
                <w:sz w:val="14"/>
                <w:szCs w:val="14"/>
                <w:b w:val="1"/>
                <w:bCs w:val="1"/>
                <w:i w:val="1"/>
                <w:iCs w:val="1"/>
                <w:color w:val="auto"/>
              </w:rPr>
              <w:t>4,256</w:t>
            </w:r>
          </w:p>
        </w:tc>
        <w:tc>
          <w:tcPr>
            <w:tcW w:w="320" w:type="dxa"/>
            <w:vAlign w:val="bottom"/>
          </w:tcPr>
          <w:p>
            <w:pPr>
              <w:ind w:left="140"/>
              <w:spacing w:after="0" w:line="123" w:lineRule="exact"/>
              <w:rPr>
                <w:sz w:val="20"/>
                <w:szCs w:val="20"/>
                <w:color w:val="auto"/>
              </w:rPr>
            </w:pPr>
            <w:r>
              <w:rPr>
                <w:rFonts w:ascii="Arial" w:cs="Arial" w:eastAsia="Arial" w:hAnsi="Arial"/>
                <w:sz w:val="14"/>
                <w:szCs w:val="14"/>
                <w:b w:val="1"/>
                <w:bCs w:val="1"/>
                <w:i w:val="1"/>
                <w:iCs w:val="1"/>
                <w:color w:val="auto"/>
              </w:rPr>
              <w:t>$</w:t>
            </w:r>
          </w:p>
        </w:tc>
        <w:tc>
          <w:tcPr>
            <w:tcW w:w="720" w:type="dxa"/>
            <w:vAlign w:val="bottom"/>
          </w:tcPr>
          <w:p>
            <w:pPr>
              <w:jc w:val="right"/>
              <w:ind w:right="112"/>
              <w:spacing w:after="0" w:line="123" w:lineRule="exact"/>
              <w:rPr>
                <w:sz w:val="20"/>
                <w:szCs w:val="20"/>
                <w:color w:val="auto"/>
              </w:rPr>
            </w:pPr>
            <w:r>
              <w:rPr>
                <w:rFonts w:ascii="Arial" w:cs="Arial" w:eastAsia="Arial" w:hAnsi="Arial"/>
                <w:sz w:val="14"/>
                <w:szCs w:val="14"/>
                <w:b w:val="1"/>
                <w:bCs w:val="1"/>
                <w:i w:val="1"/>
                <w:iCs w:val="1"/>
                <w:color w:val="auto"/>
              </w:rPr>
              <w:t>252</w:t>
            </w:r>
          </w:p>
        </w:tc>
        <w:tc>
          <w:tcPr>
            <w:tcW w:w="2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Industrial Conglomerates</w:t>
            </w:r>
          </w:p>
        </w:tc>
        <w:tc>
          <w:tcPr>
            <w:tcW w:w="0" w:type="dxa"/>
            <w:vAlign w:val="bottom"/>
          </w:tcPr>
          <w:p>
            <w:pPr>
              <w:spacing w:after="0"/>
              <w:rPr>
                <w:sz w:val="1"/>
                <w:szCs w:val="1"/>
                <w:color w:val="auto"/>
              </w:rPr>
            </w:pPr>
          </w:p>
        </w:tc>
      </w:tr>
      <w:tr>
        <w:trPr>
          <w:trHeight w:val="167"/>
        </w:trPr>
        <w:tc>
          <w:tcPr>
            <w:tcW w:w="2600" w:type="dxa"/>
            <w:vAlign w:val="bottom"/>
            <w:tcBorders>
              <w:bottom w:val="single" w:sz="8" w:color="225CAB"/>
            </w:tcBorders>
          </w:tcPr>
          <w:p>
            <w:pPr>
              <w:spacing w:after="0"/>
              <w:rPr>
                <w:sz w:val="20"/>
                <w:szCs w:val="20"/>
                <w:color w:val="auto"/>
              </w:rPr>
            </w:pPr>
            <w:r>
              <w:rPr>
                <w:rFonts w:ascii="Arial" w:cs="Arial" w:eastAsia="Arial" w:hAnsi="Arial"/>
                <w:sz w:val="14"/>
                <w:szCs w:val="14"/>
                <w:b w:val="1"/>
                <w:bCs w:val="1"/>
                <w:color w:val="auto"/>
              </w:rPr>
              <w:t>Roper</w:t>
            </w:r>
          </w:p>
        </w:tc>
        <w:tc>
          <w:tcPr>
            <w:tcW w:w="1640" w:type="dxa"/>
            <w:vAlign w:val="bottom"/>
            <w:tcBorders>
              <w:bottom w:val="single" w:sz="8" w:color="225CAB"/>
            </w:tcBorders>
            <w:vMerge w:val="continue"/>
          </w:tcPr>
          <w:p>
            <w:pPr>
              <w:spacing w:after="0"/>
              <w:rPr>
                <w:sz w:val="14"/>
                <w:szCs w:val="14"/>
                <w:color w:val="auto"/>
              </w:rPr>
            </w:pPr>
          </w:p>
        </w:tc>
        <w:tc>
          <w:tcPr>
            <w:tcW w:w="260" w:type="dxa"/>
            <w:vAlign w:val="bottom"/>
            <w:tcBorders>
              <w:bottom w:val="single" w:sz="8" w:color="225CAB"/>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b w:val="1"/>
                <w:bCs w:val="1"/>
                <w:color w:val="auto"/>
              </w:rPr>
              <w:t>17,465</w:t>
            </w:r>
          </w:p>
        </w:tc>
        <w:tc>
          <w:tcPr>
            <w:tcW w:w="460" w:type="dxa"/>
            <w:vAlign w:val="bottom"/>
            <w:tcBorders>
              <w:bottom w:val="single" w:sz="8" w:color="225CAB"/>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b w:val="1"/>
                <w:bCs w:val="1"/>
                <w:color w:val="auto"/>
              </w:rPr>
              <w:t>15,660</w:t>
            </w:r>
          </w:p>
        </w:tc>
        <w:tc>
          <w:tcPr>
            <w:tcW w:w="340" w:type="dxa"/>
            <w:vAlign w:val="bottom"/>
            <w:tcBorders>
              <w:bottom w:val="single" w:sz="8" w:color="225CAB"/>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225CAB"/>
            </w:tcBorders>
          </w:tcPr>
          <w:p>
            <w:pPr>
              <w:jc w:val="right"/>
              <w:ind w:right="92"/>
              <w:spacing w:after="0"/>
              <w:rPr>
                <w:sz w:val="20"/>
                <w:szCs w:val="20"/>
                <w:color w:val="auto"/>
              </w:rPr>
            </w:pPr>
            <w:r>
              <w:rPr>
                <w:rFonts w:ascii="Arial" w:cs="Arial" w:eastAsia="Arial" w:hAnsi="Arial"/>
                <w:sz w:val="14"/>
                <w:szCs w:val="14"/>
                <w:b w:val="1"/>
                <w:bCs w:val="1"/>
                <w:color w:val="auto"/>
              </w:rPr>
              <w:t>3,549</w:t>
            </w:r>
          </w:p>
        </w:tc>
        <w:tc>
          <w:tcPr>
            <w:tcW w:w="320" w:type="dxa"/>
            <w:vAlign w:val="bottom"/>
            <w:tcBorders>
              <w:bottom w:val="single" w:sz="8" w:color="225CAB"/>
            </w:tcBorders>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25CAB"/>
            </w:tcBorders>
          </w:tcPr>
          <w:p>
            <w:pPr>
              <w:jc w:val="right"/>
              <w:ind w:right="112"/>
              <w:spacing w:after="0"/>
              <w:rPr>
                <w:sz w:val="20"/>
                <w:szCs w:val="20"/>
                <w:color w:val="auto"/>
              </w:rPr>
            </w:pPr>
            <w:r>
              <w:rPr>
                <w:rFonts w:ascii="Arial" w:cs="Arial" w:eastAsia="Arial" w:hAnsi="Arial"/>
                <w:sz w:val="14"/>
                <w:szCs w:val="14"/>
                <w:b w:val="1"/>
                <w:bCs w:val="1"/>
                <w:color w:val="auto"/>
              </w:rPr>
              <w:t>646</w:t>
            </w:r>
          </w:p>
        </w:tc>
        <w:tc>
          <w:tcPr>
            <w:tcW w:w="2760" w:type="dxa"/>
            <w:vAlign w:val="bottom"/>
            <w:tcBorders>
              <w:bottom w:val="single" w:sz="8" w:color="225CAB"/>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Source:S&amp;P Capital IQ</w:t>
      </w:r>
    </w:p>
    <w:p>
      <w:pPr>
        <w:ind w:left="340" w:hanging="332"/>
        <w:spacing w:after="0" w:line="226"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of 12/31/14</w:t>
      </w: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Last four quarters available as of 12/31/14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Relative Performance Comparisons Caveat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Long-Term Measurement Period Needed</w:t>
      </w:r>
    </w:p>
    <w:p>
      <w:pPr>
        <w:spacing w:after="0" w:line="7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Comparing other companies’ performance to Roper’s can generate misleading or distorted results due to our consistently strong performance, our business transformation and GICS change, and short term stock price movements. As a result, we believe a long-term performance period most accurately portrays relative performance for Roper</w:t>
      </w:r>
    </w:p>
    <w:p>
      <w:pPr>
        <w:spacing w:after="0" w:line="37" w:lineRule="exact"/>
        <w:rPr>
          <w:sz w:val="20"/>
          <w:szCs w:val="20"/>
          <w:color w:val="auto"/>
        </w:rPr>
      </w:pPr>
    </w:p>
    <w:p>
      <w:pPr>
        <w:ind w:left="220" w:right="420" w:hanging="212"/>
        <w:spacing w:after="0" w:line="269" w:lineRule="auto"/>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 shorter periods, performance comparisons can be skewed by the easier performance baselines of peer companies that, unlike Roper, have experienced periods of historical underperformance and benefit from a “bounce back” from a lower starting point.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Significant Weight on Starting Point</w:t>
      </w:r>
    </w:p>
    <w:p>
      <w:pPr>
        <w:spacing w:after="0" w:line="7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Roper’s strong stock price gains at the end of 2011 and beginning of 2015 illustrate how misleading it can be to rely on short-term performance comparisons over a fixed period. In the fourth quarter of 2011, Roper’s share price increased 26%. During the first quarter of 2015, Roper’s share price increased 10%. Neither period of outperformance is captured in Roper’s one-, two- or three-year return, ending 12/31/14. Looking only at December-end results to calculate shorter-term returns distorts Roper’s longer-term relative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CEO Compensation</w:t>
      </w:r>
    </w:p>
    <w:p>
      <w:pPr>
        <w:spacing w:after="0" w:line="79"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The Compensation Committee considers many factors in determining the compensation of Roper’s Chief Executive Officer, Brian Jellison, and believes his compensation is reasonable, appropriate, and aligned with shareholders’ best interests.</w:t>
      </w:r>
    </w:p>
    <w:p>
      <w:pPr>
        <w:sectPr>
          <w:pgSz w:w="11900" w:h="16838" w:orient="portrait"/>
          <w:cols w:equalWidth="0" w:num="1">
            <w:col w:w="11420"/>
          </w:cols>
          <w:pgMar w:left="240" w:top="455"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Broad Responsibilities and Effective Leadership</w:t>
      </w:r>
    </w:p>
    <w:p>
      <w:pPr>
        <w:spacing w:after="0" w:line="77" w:lineRule="exact"/>
        <w:rPr>
          <w:sz w:val="20"/>
          <w:szCs w:val="20"/>
          <w:color w:val="auto"/>
        </w:rPr>
      </w:pPr>
    </w:p>
    <w:p>
      <w:pPr>
        <w:ind w:left="200" w:right="20" w:hanging="192"/>
        <w:spacing w:after="0" w:line="274" w:lineRule="auto"/>
        <w:tabs>
          <w:tab w:leader="none" w:pos="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 only is Mr. Jellison the Chairman, Chief Executive Officer, and President of a unique, complex, global organization, but he is also the key architect of our highly successful business strategy and has been instrumental in building the sustainable high-performance and entrepreneurial culture at Roper. Mr. Jellison also leads the capital deployment process under which Roper has invested billions of dollars in acquisitions during his tenure that has successfully created sustained superior returns for investors.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Outstanding Performance and Value Creation</w:t>
      </w:r>
    </w:p>
    <w:p>
      <w:pPr>
        <w:spacing w:after="0" w:line="77" w:lineRule="exact"/>
        <w:rPr>
          <w:sz w:val="20"/>
          <w:szCs w:val="20"/>
          <w:color w:val="auto"/>
        </w:rPr>
      </w:pPr>
    </w:p>
    <w:p>
      <w:pPr>
        <w:ind w:left="200" w:hanging="192"/>
        <w:spacing w:after="0" w:line="278" w:lineRule="auto"/>
        <w:tabs>
          <w:tab w:leader="none" w:pos="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Over the last five years, Roper’s value has tripled with shareholders receiving a 25% compound annual return. As guided by</w:t>
      </w:r>
    </w:p>
    <w:p>
      <w:pPr>
        <w:ind w:left="200" w:right="160"/>
        <w:spacing w:after="0" w:line="237" w:lineRule="auto"/>
        <w:rPr>
          <w:rFonts w:ascii="Arial" w:cs="Arial" w:eastAsia="Arial" w:hAnsi="Arial"/>
          <w:sz w:val="16"/>
          <w:szCs w:val="16"/>
          <w:color w:val="auto"/>
        </w:rPr>
      </w:pPr>
      <w:r>
        <w:rPr>
          <w:rFonts w:ascii="Arial" w:cs="Arial" w:eastAsia="Arial" w:hAnsi="Arial"/>
          <w:sz w:val="18"/>
          <w:szCs w:val="18"/>
          <w:color w:val="auto"/>
        </w:rPr>
        <w:t>Mr. Jellison, Roper has undergone a business transformation with increasing returns on cash investment and margins, providing a platform for continued growth and future value creation for investors. Among other honors, Mr. Jellison was recently recognized by The Harvard Business Review as one of “The 100 Best-Performing CEOs in the World.”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Alignment with Shareholder Value Creation</w:t>
      </w:r>
    </w:p>
    <w:p>
      <w:pPr>
        <w:spacing w:after="0" w:line="77" w:lineRule="exact"/>
        <w:rPr>
          <w:sz w:val="20"/>
          <w:szCs w:val="20"/>
          <w:color w:val="auto"/>
        </w:rPr>
      </w:pPr>
    </w:p>
    <w:p>
      <w:pPr>
        <w:ind w:left="200" w:right="40" w:hanging="192"/>
        <w:spacing w:after="0"/>
        <w:tabs>
          <w:tab w:leader="none" w:pos="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design, the Chief Executive Officer’s compensation has been closely tied to the value of Roper stock. The percentage increase in the value of Mr. Jellison’s equity awards over the last five years has exactly equaled the percentage increase in Roper’s stock price, as the number of shares awarded has remained the same. This tight alignment between compensation and share price creates a strong incentive to profitably grow the enterprise.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225CAB"/>
        </w:rPr>
        <w:t>External Comparisons</w:t>
      </w:r>
    </w:p>
    <w:p>
      <w:pPr>
        <w:spacing w:after="0" w:line="77" w:lineRule="exact"/>
        <w:rPr>
          <w:sz w:val="20"/>
          <w:szCs w:val="20"/>
          <w:color w:val="auto"/>
        </w:rPr>
      </w:pPr>
    </w:p>
    <w:p>
      <w:pPr>
        <w:ind w:left="186" w:right="180" w:hanging="186"/>
        <w:spacing w:after="0" w:line="238" w:lineRule="auto"/>
        <w:tabs>
          <w:tab w:leader="none" w:pos="1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for Roper’s Chief Executive Officer is within the range for Roper’s self-selected peers and high-performing, long-tenured Chief Executive Officers of publicly traded corporations. Among private equity firms, compensation for Roper’s Chief Executive Officer is below levels that would be expected for commensurate levels of performance. Compensation for our Chief Executive Officer has also been low relative to the incremental value created for investors as measured against Roper’s self-selected peers. Over the last five years for which information is available, Roper’s “sharing ratio” (Chief Executive Officer total compensation as a percentage of incremental shareholder value created) is at the lower end of the range among peers.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225CAB"/>
        </w:rPr>
        <w:t>Internal Pay Equity</w:t>
      </w:r>
    </w:p>
    <w:p>
      <w:pPr>
        <w:spacing w:after="0" w:line="77" w:lineRule="exact"/>
        <w:rPr>
          <w:sz w:val="20"/>
          <w:szCs w:val="20"/>
          <w:color w:val="auto"/>
        </w:rPr>
      </w:pPr>
    </w:p>
    <w:p>
      <w:pPr>
        <w:ind w:left="186" w:right="360" w:hanging="186"/>
        <w:spacing w:after="0" w:line="238" w:lineRule="auto"/>
        <w:tabs>
          <w:tab w:leader="none" w:pos="1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Compensation Committee considers the scope of responsibilities, experience, and performance of our executive officers and believes all are reasonably compensated from an internal perspective. Specific considerations in regard to the Chief Executive Officer include the breadth of his responsibilities and his leadership role in developing and executing Roper’s business strategy. Consistent with Roper’s lean organization, we made a conscious decision to not have a Chief Operating Officer and traditional corporate staff levels. In addition, Roper’s decentralized model results in operating business leaders who are highly compensated but are not executive officers.</w:t>
      </w:r>
    </w:p>
    <w:p>
      <w:pPr>
        <w:spacing w:after="0" w:line="647" w:lineRule="exact"/>
        <w:rPr>
          <w:sz w:val="20"/>
          <w:szCs w:val="20"/>
          <w:color w:val="auto"/>
        </w:rPr>
      </w:pPr>
    </w:p>
    <w:p>
      <w:pPr>
        <w:sectPr>
          <w:pgSz w:w="11900" w:h="16838" w:orient="portrait"/>
          <w:cols w:equalWidth="0" w:num="2">
            <w:col w:w="5460" w:space="254"/>
            <w:col w:w="5706"/>
          </w:cols>
          <w:pgMar w:left="240" w:top="455" w:right="239" w:bottom="1440" w:gutter="0" w:footer="0" w:header="0"/>
          <w:type w:val="continuous"/>
        </w:sectPr>
      </w:pPr>
    </w:p>
    <w:p>
      <w:pPr>
        <w:spacing w:after="0" w:line="85"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33</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Equity Grants</w:t>
      </w:r>
    </w:p>
    <w:p>
      <w:pPr>
        <w:spacing w:after="0" w:line="6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Compensation Committee grants awards of performance-based restricted stock and stock options to executive officers under the Company’s 2006 Incentive Plan at the first regularly scheduled meeting each year. The exercise price for stock options is the closing price of Roper common stock on the date of grant. From time to time the Compensation Committee may grant additional awards in connection with promotions or increased responsibilities; however, no such awards were made to executive officers in 2014.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Equity Award Determination</w:t>
      </w:r>
    </w:p>
    <w:p>
      <w:pPr>
        <w:spacing w:after="0" w:line="6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Historically, the size of equity awards has been generally expressed as a constant number of shares, which fluctuates in value from year to year with changes in the stock price. We believe this approach strengthens the alignment with shareholders, provides additional incentive for increasing the value of our shares, exposes the executive to the risks of share ownership, and assists in attracting and retaining talented executives. Consistent with this “constant share” approach to equity award denomination, changes in total compensation for our executive officers align with our total shareholder return. The total compensation of our Chief Executive Officer, for example, has increased by 52% from 2011 to 2014 compared to a cumulative return to shareholders of 83% over the same period.</w:t>
      </w:r>
    </w:p>
    <w:p>
      <w:pPr>
        <w:spacing w:after="0" w:line="3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Committee reviewed the application of the share-based approach to ensure that it does not unduly reward executive officers for past performance and retained the approach for the 2015 equity awards which were slightly lower in value than the 2014 awards for executive officers, other than the CEO’s whose award value was only slightly higher than the prior year. The Committee will continue to closely monitor the grant size methodology to ensure it is consistent with our overall executive compensation philosophy and program.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2014 COMPENSATION</w:t>
      </w:r>
    </w:p>
    <w:p>
      <w:pPr>
        <w:spacing w:after="0" w:line="7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This section discusses the compensation actions that were taken in 2014 for our executive officers, as reported in the “Executive Compensation” section below.</w:t>
      </w:r>
    </w:p>
    <w:p>
      <w:pPr>
        <w:sectPr>
          <w:pgSz w:w="11900" w:h="16838" w:orient="portrait"/>
          <w:cols w:equalWidth="0" w:num="1">
            <w:col w:w="11400"/>
          </w:cols>
          <w:pgMar w:left="240" w:top="455" w:right="25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Base Salary</w:t>
      </w:r>
    </w:p>
    <w:p>
      <w:pPr>
        <w:spacing w:after="0" w:line="6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light of the Committee’s assessment of individual responsibilities and performance and external market conditions, the Compensation Committee approved the following salary increases for 2014 effective at the start of the year: Mr. Jellison (2.1%), Mr. Humphrey (2.3%), Mr. Liner (2.3%), and Mr. Soni (2.5%).</w:t>
      </w:r>
    </w:p>
    <w:p>
      <w:pPr>
        <w:spacing w:after="0" w:line="33"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For 2015, the Compensation Committee decided to keep salaries for the executive officers at 2014 levels.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Annual Cash Incentive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Incentive Opportunities</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Annual cash incentive opportunities for 2014 for participating executive officers, expressed as percentages of base salary reflective of market practice, were established at the start of the year as follows: Mr. Humphrey (150%), Mr. Liner (100%), and Mr. Soni (80%). Our annual incentive bonuses are capped at the foregoing respective percentages in the interest of risk mitigation and avoidance of a short-term focus to decision-making. The Chief Executive Officer no longer receives a one-year cash bonus award.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Funding Schedule</w:t>
      </w:r>
    </w:p>
    <w:p>
      <w:pPr>
        <w:spacing w:after="0" w:line="6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annual incentive approach was the same as in prior years. 2014 adjusted net earnings were required to reach at least $562 million (2013 adjusted net earnings) for any bonus to be earned. At $592 million of adjusted net earnings, 35% of the full bonus opportunity would be earned. If adjusted net earnings increased by 15% to $646 million, then 100% of the full bonus amount would be earned. If between $562 million and $646 million, the percentage of the bonus opportunity earned would be determined through straight-line interpolation, as shown in the chart below. For 2014 the adjusted net earnings for the Company exceeded 115% of the base amount; accordingly, the Compensation Committee approved payment of 100% of the bonus opportunity. The performance bonuses to our executive officers for 2014 are shown in the 2014 Summary Compensation Table below under the “Non-Equity Incentive Plan Compensation.”</w:t>
      </w:r>
    </w:p>
    <w:p>
      <w:pPr>
        <w:spacing w:after="0" w:line="1342" w:lineRule="exact"/>
        <w:rPr>
          <w:sz w:val="20"/>
          <w:szCs w:val="20"/>
          <w:color w:val="auto"/>
        </w:rPr>
      </w:pPr>
    </w:p>
    <w:p>
      <w:pPr>
        <w:sectPr>
          <w:pgSz w:w="11900" w:h="16838" w:orient="portrait"/>
          <w:cols w:equalWidth="0" w:num="2">
            <w:col w:w="5440" w:space="280"/>
            <w:col w:w="5680"/>
          </w:cols>
          <w:pgMar w:left="240" w:top="455" w:right="25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206375</wp:posOffset>
            </wp:positionV>
            <wp:extent cx="3198495" cy="1689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9849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0" w:right="40"/>
        <w:spacing w:after="0" w:line="295" w:lineRule="auto"/>
        <w:rPr>
          <w:sz w:val="20"/>
          <w:szCs w:val="20"/>
          <w:color w:val="auto"/>
        </w:rPr>
      </w:pPr>
      <w:r>
        <w:rPr>
          <w:rFonts w:ascii="Arial" w:cs="Arial" w:eastAsia="Arial" w:hAnsi="Arial"/>
          <w:sz w:val="12"/>
          <w:szCs w:val="12"/>
          <w:color w:val="auto"/>
        </w:rPr>
        <w:t>Adjusted net earnings is net earnings increased or reduced to eliminate the effects of extraordinary items, accounting and tax law changes, discontinued operations, restructuring of debt obligations, asset dispositions, asset write-downs or impairment charges, acquisition-related expenses, litigation expenses and settlements, reorganization and restructuring programs, and non-recurring or special items (as discussed in management’s discussion and analysis in the Company’s 10-K for that year).</w:t>
      </w:r>
    </w:p>
    <w:p>
      <w:pPr>
        <w:sectPr>
          <w:pgSz w:w="11900" w:h="16838" w:orient="portrait"/>
          <w:cols w:equalWidth="0" w:num="1">
            <w:col w:w="11420"/>
          </w:cols>
          <w:pgMar w:left="240" w:top="455"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CEO Long-Term Cash Incentive</w:t>
      </w:r>
    </w:p>
    <w:p>
      <w:pPr>
        <w:spacing w:after="0" w:line="7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2014, the annual cash incentive for the Chief Executive Officer was converted to a long-term cash incentive to emphasize the importance of sustained earnings.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Incentive Opportunity</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incentive opportunity was set at 225% of base salary, the same as for the prior year’s annual incentive.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Funding Schedule</w:t>
      </w:r>
    </w:p>
    <w:p>
      <w:pPr>
        <w:spacing w:after="0" w:line="77"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Adjusted net earnings for the period from October 2014 to December 2016 will be required to reach at least $1.264 billion for any cash incentive to be earned. At $1.264 billion of adjusted net earnings, 35% of the full bonus opportunity would be earned. If adjusted net earnings increase by 15% to $1.454 billion, then 100% of the full bonus amount will be earned. If between $1.264 billion and $1.454 billion, the percentage of the bonus opportunity earned will be determined through straight-line interpolation,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154305</wp:posOffset>
            </wp:positionV>
            <wp:extent cx="3198495" cy="1689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98495" cy="168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460"/>
            <w:col w:w="570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35</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Long-Term Stock Incentives</w:t>
      </w:r>
    </w:p>
    <w:p>
      <w:pPr>
        <w:spacing w:after="0" w:line="7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2014, we awarded performance-based restricted stock to our Chief Executive Officer and we awarded stock options and performance-based restricted shares to our other executive officers. The number of shares awarded in 2014 to our CEO and other executive offices was the same as each received in the prior year. These awards are shown in the 2014 Grants of Plan-Based Awards Table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Performance Vesting for 2014 Awards</w:t>
      </w:r>
    </w:p>
    <w:p>
      <w:pPr>
        <w:spacing w:after="0" w:line="63" w:lineRule="exact"/>
        <w:rPr>
          <w:sz w:val="20"/>
          <w:szCs w:val="20"/>
          <w:color w:val="auto"/>
        </w:rPr>
      </w:pPr>
    </w:p>
    <w:p>
      <w:pPr>
        <w:ind w:left="200" w:hanging="192"/>
        <w:spacing w:after="0"/>
        <w:tabs>
          <w:tab w:leader="none" w:pos="2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50% of the 2014 restricted stock awards to vest, a minimum of $863 million in adjusted EBITDA (as defined above for adjusted net earnings with the exclusion of interest, taxes, depreciation, and amortization) must be achieved over each applicable four-quarter period, as certified by the Committee. Adjusted EBITDA related to the initial portion of the 2014 award was $1,173 million and was certified by the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6" w:right="160" w:hanging="186"/>
        <w:spacing w:after="0"/>
        <w:tabs>
          <w:tab w:leader="none" w:pos="1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50% of the 2014 restricted stock awards to vest, a minimum of 20% operating cash flow as a % of revenue must be met; if operating cash flow is below 15% of revenue, none of the shares vest; at 15% of revenue 35% of the share vest; between 15% and 20% of revenue, vesting is pro-rated. Operating cash flow as a % of revenue related to the initial portion of the 2014 award was 23.3% and was certified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-1833880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225CAB"/>
        </w:rPr>
        <w:t>Changes Effective for 2015 Awards</w:t>
      </w:r>
    </w:p>
    <w:p>
      <w:pPr>
        <w:spacing w:after="0" w:line="63" w:lineRule="exact"/>
        <w:rPr>
          <w:sz w:val="20"/>
          <w:szCs w:val="20"/>
          <w:color w:val="auto"/>
        </w:rPr>
      </w:pPr>
    </w:p>
    <w:p>
      <w:pPr>
        <w:ind w:left="186" w:right="180" w:hanging="186"/>
        <w:spacing w:after="0" w:line="269" w:lineRule="auto"/>
        <w:tabs>
          <w:tab w:leader="none" w:pos="1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for all equity awards was lengthened to 50% after year 2 and 50% after year 3 (from one-third annually previously).</w:t>
      </w:r>
    </w:p>
    <w:p>
      <w:pPr>
        <w:spacing w:after="0" w:line="8" w:lineRule="exact"/>
        <w:rPr>
          <w:rFonts w:ascii="Arial" w:cs="Arial" w:eastAsia="Arial" w:hAnsi="Arial"/>
          <w:sz w:val="18"/>
          <w:szCs w:val="18"/>
          <w:color w:val="auto"/>
        </w:rPr>
      </w:pPr>
    </w:p>
    <w:p>
      <w:pPr>
        <w:ind w:left="186" w:right="320" w:hanging="186"/>
        <w:spacing w:after="0" w:line="293" w:lineRule="auto"/>
        <w:tabs>
          <w:tab w:leader="none" w:pos="186"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Achievement of three-year cumulative goals for both EBITDA and operating cash flow as a percentage of revenue is now required for full vesting of restricted shares (one-year goals previously).</w:t>
      </w:r>
    </w:p>
    <w:p>
      <w:pPr>
        <w:spacing w:after="0" w:line="1" w:lineRule="exact"/>
        <w:rPr>
          <w:rFonts w:ascii="Arial" w:cs="Arial" w:eastAsia="Arial" w:hAnsi="Arial"/>
          <w:sz w:val="16"/>
          <w:szCs w:val="16"/>
          <w:color w:val="auto"/>
        </w:rPr>
      </w:pPr>
    </w:p>
    <w:p>
      <w:pPr>
        <w:ind w:left="186" w:right="360" w:hanging="186"/>
        <w:spacing w:after="0" w:line="269" w:lineRule="auto"/>
        <w:tabs>
          <w:tab w:leader="none" w:pos="1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EBITDA goal was increased to $3 billion, as applied to 50% of the award.</w:t>
      </w:r>
    </w:p>
    <w:p>
      <w:pPr>
        <w:spacing w:after="0" w:line="200" w:lineRule="exact"/>
        <w:rPr>
          <w:sz w:val="20"/>
          <w:szCs w:val="20"/>
          <w:color w:val="auto"/>
        </w:rPr>
      </w:pPr>
    </w:p>
    <w:p>
      <w:pPr>
        <w:sectPr>
          <w:pgSz w:w="11900" w:h="16838" w:orient="portrait"/>
          <w:cols w:equalWidth="0" w:num="2">
            <w:col w:w="5420" w:space="294"/>
            <w:col w:w="5706"/>
          </w:cols>
          <w:pgMar w:left="240" w:top="455" w:right="2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75"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Other arrangements and considerations that are important to a shareholder’s understanding of our overall executive compensation program are described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Share Ownership and Retention Guidelines</w:t>
      </w:r>
    </w:p>
    <w:p>
      <w:pPr>
        <w:spacing w:after="0" w:line="6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believe our executives should have a significant equity interest in the Company. To promote equity ownership and further align the interests of our executives with our shareholders, we adopted share retention and ownership guidelines for our executive officers. The stock ownership requirements vary based upon the executive’s level and are expressed as a number of shares, as shown below. All our executive officers hold shares substantially above these guidelines.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shd w:val="clear" w:color="auto" w:fill="225CAB"/>
          </w:tcPr>
          <w:p>
            <w:pPr>
              <w:spacing w:after="0"/>
              <w:rPr>
                <w:sz w:val="14"/>
                <w:szCs w:val="14"/>
                <w:color w:val="auto"/>
              </w:rPr>
            </w:pPr>
          </w:p>
        </w:tc>
        <w:tc>
          <w:tcPr>
            <w:tcW w:w="2580" w:type="dxa"/>
            <w:vAlign w:val="bottom"/>
            <w:shd w:val="clear" w:color="auto" w:fill="225CAB"/>
          </w:tcPr>
          <w:p>
            <w:pPr>
              <w:jc w:val="center"/>
              <w:ind w:left="1386"/>
              <w:spacing w:after="0"/>
              <w:rPr>
                <w:sz w:val="20"/>
                <w:szCs w:val="20"/>
                <w:color w:val="auto"/>
              </w:rPr>
            </w:pPr>
            <w:r>
              <w:rPr>
                <w:rFonts w:ascii="Arial" w:cs="Arial" w:eastAsia="Arial" w:hAnsi="Arial"/>
                <w:sz w:val="14"/>
                <w:szCs w:val="14"/>
                <w:color w:val="FFFFFF"/>
                <w:w w:val="94"/>
              </w:rPr>
              <w:t>Guideline</w:t>
            </w:r>
          </w:p>
        </w:tc>
        <w:tc>
          <w:tcPr>
            <w:tcW w:w="340" w:type="dxa"/>
            <w:vAlign w:val="bottom"/>
            <w:shd w:val="clear" w:color="auto" w:fill="225CAB"/>
          </w:tcPr>
          <w:p>
            <w:pPr>
              <w:spacing w:after="0"/>
              <w:rPr>
                <w:sz w:val="14"/>
                <w:szCs w:val="14"/>
                <w:color w:val="auto"/>
              </w:rPr>
            </w:pPr>
          </w:p>
        </w:tc>
        <w:tc>
          <w:tcPr>
            <w:tcW w:w="1120" w:type="dxa"/>
            <w:vAlign w:val="bottom"/>
            <w:shd w:val="clear" w:color="auto" w:fill="225CAB"/>
          </w:tcPr>
          <w:p>
            <w:pPr>
              <w:spacing w:after="0"/>
              <w:rPr>
                <w:sz w:val="14"/>
                <w:szCs w:val="14"/>
                <w:color w:val="auto"/>
              </w:rPr>
            </w:pPr>
          </w:p>
        </w:tc>
        <w:tc>
          <w:tcPr>
            <w:tcW w:w="32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840" w:type="dxa"/>
            <w:vAlign w:val="bottom"/>
            <w:shd w:val="clear" w:color="auto" w:fill="225CAB"/>
          </w:tcPr>
          <w:p>
            <w:pPr>
              <w:spacing w:after="0"/>
              <w:rPr>
                <w:sz w:val="14"/>
                <w:szCs w:val="14"/>
                <w:color w:val="auto"/>
              </w:rPr>
            </w:pPr>
          </w:p>
        </w:tc>
      </w:tr>
      <w:tr>
        <w:trPr>
          <w:trHeight w:val="149"/>
        </w:trPr>
        <w:tc>
          <w:tcPr>
            <w:tcW w:w="5260" w:type="dxa"/>
            <w:vAlign w:val="bottom"/>
            <w:shd w:val="clear" w:color="auto" w:fill="225CAB"/>
          </w:tcPr>
          <w:p>
            <w:pPr>
              <w:spacing w:after="0"/>
              <w:rPr>
                <w:sz w:val="12"/>
                <w:szCs w:val="12"/>
                <w:color w:val="auto"/>
              </w:rPr>
            </w:pPr>
          </w:p>
        </w:tc>
        <w:tc>
          <w:tcPr>
            <w:tcW w:w="2580" w:type="dxa"/>
            <w:vAlign w:val="bottom"/>
            <w:shd w:val="clear" w:color="auto" w:fill="225CAB"/>
          </w:tcPr>
          <w:p>
            <w:pPr>
              <w:jc w:val="center"/>
              <w:ind w:left="1386"/>
              <w:spacing w:after="0" w:line="149" w:lineRule="exact"/>
              <w:rPr>
                <w:sz w:val="20"/>
                <w:szCs w:val="20"/>
                <w:color w:val="auto"/>
              </w:rPr>
            </w:pPr>
            <w:r>
              <w:rPr>
                <w:rFonts w:ascii="Arial" w:cs="Arial" w:eastAsia="Arial" w:hAnsi="Arial"/>
                <w:sz w:val="14"/>
                <w:szCs w:val="14"/>
                <w:color w:val="FFFFFF"/>
                <w:w w:val="96"/>
              </w:rPr>
              <w:t>Number</w:t>
            </w:r>
          </w:p>
        </w:tc>
        <w:tc>
          <w:tcPr>
            <w:tcW w:w="340" w:type="dxa"/>
            <w:vAlign w:val="bottom"/>
            <w:shd w:val="clear" w:color="auto" w:fill="225CAB"/>
          </w:tcPr>
          <w:p>
            <w:pPr>
              <w:spacing w:after="0"/>
              <w:rPr>
                <w:sz w:val="12"/>
                <w:szCs w:val="12"/>
                <w:color w:val="auto"/>
              </w:rPr>
            </w:pPr>
          </w:p>
        </w:tc>
        <w:tc>
          <w:tcPr>
            <w:tcW w:w="1120" w:type="dxa"/>
            <w:vAlign w:val="bottom"/>
            <w:shd w:val="clear" w:color="auto" w:fill="225CAB"/>
          </w:tcPr>
          <w:p>
            <w:pPr>
              <w:jc w:val="center"/>
              <w:ind w:right="264"/>
              <w:spacing w:after="0" w:line="149" w:lineRule="exact"/>
              <w:rPr>
                <w:sz w:val="20"/>
                <w:szCs w:val="20"/>
                <w:color w:val="auto"/>
              </w:rPr>
            </w:pPr>
            <w:r>
              <w:rPr>
                <w:rFonts w:ascii="Arial" w:cs="Arial" w:eastAsia="Arial" w:hAnsi="Arial"/>
                <w:sz w:val="14"/>
                <w:szCs w:val="14"/>
                <w:color w:val="FFFFFF"/>
                <w:w w:val="94"/>
              </w:rPr>
              <w:t>Market Value</w:t>
            </w:r>
          </w:p>
        </w:tc>
        <w:tc>
          <w:tcPr>
            <w:tcW w:w="32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Guideline</w:t>
            </w:r>
          </w:p>
        </w:tc>
      </w:tr>
      <w:tr>
        <w:trPr>
          <w:trHeight w:val="149"/>
        </w:trPr>
        <w:tc>
          <w:tcPr>
            <w:tcW w:w="5260" w:type="dxa"/>
            <w:vAlign w:val="bottom"/>
            <w:shd w:val="clear" w:color="auto" w:fill="225CAB"/>
          </w:tcPr>
          <w:p>
            <w:pPr>
              <w:spacing w:after="0"/>
              <w:rPr>
                <w:sz w:val="12"/>
                <w:szCs w:val="12"/>
                <w:color w:val="auto"/>
              </w:rPr>
            </w:pPr>
          </w:p>
        </w:tc>
        <w:tc>
          <w:tcPr>
            <w:tcW w:w="2580" w:type="dxa"/>
            <w:vAlign w:val="bottom"/>
            <w:shd w:val="clear" w:color="auto" w:fill="225CAB"/>
          </w:tcPr>
          <w:p>
            <w:pPr>
              <w:jc w:val="center"/>
              <w:ind w:left="1386"/>
              <w:spacing w:after="0" w:line="149" w:lineRule="exact"/>
              <w:rPr>
                <w:sz w:val="20"/>
                <w:szCs w:val="20"/>
                <w:color w:val="auto"/>
              </w:rPr>
            </w:pPr>
            <w:r>
              <w:rPr>
                <w:rFonts w:ascii="Arial" w:cs="Arial" w:eastAsia="Arial" w:hAnsi="Arial"/>
                <w:sz w:val="14"/>
                <w:szCs w:val="14"/>
                <w:color w:val="FFFFFF"/>
              </w:rPr>
              <w:t>of</w:t>
            </w:r>
          </w:p>
        </w:tc>
        <w:tc>
          <w:tcPr>
            <w:tcW w:w="340" w:type="dxa"/>
            <w:vAlign w:val="bottom"/>
            <w:shd w:val="clear" w:color="auto" w:fill="225CAB"/>
          </w:tcPr>
          <w:p>
            <w:pPr>
              <w:spacing w:after="0"/>
              <w:rPr>
                <w:sz w:val="12"/>
                <w:szCs w:val="12"/>
                <w:color w:val="auto"/>
              </w:rPr>
            </w:pPr>
          </w:p>
        </w:tc>
        <w:tc>
          <w:tcPr>
            <w:tcW w:w="1120" w:type="dxa"/>
            <w:vAlign w:val="bottom"/>
            <w:shd w:val="clear" w:color="auto" w:fill="225CAB"/>
          </w:tcPr>
          <w:p>
            <w:pPr>
              <w:jc w:val="center"/>
              <w:ind w:right="264"/>
              <w:spacing w:after="0" w:line="149" w:lineRule="exact"/>
              <w:rPr>
                <w:sz w:val="20"/>
                <w:szCs w:val="20"/>
                <w:color w:val="auto"/>
              </w:rPr>
            </w:pPr>
            <w:r>
              <w:rPr>
                <w:rFonts w:ascii="Arial" w:cs="Arial" w:eastAsia="Arial" w:hAnsi="Arial"/>
                <w:sz w:val="14"/>
                <w:szCs w:val="14"/>
                <w:color w:val="FFFFFF"/>
                <w:w w:val="93"/>
              </w:rPr>
              <w:t>at Year-End</w:t>
            </w:r>
          </w:p>
        </w:tc>
        <w:tc>
          <w:tcPr>
            <w:tcW w:w="32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9"/>
              </w:rPr>
              <w:t>Multiple</w:t>
            </w:r>
          </w:p>
        </w:tc>
      </w:tr>
      <w:tr>
        <w:trPr>
          <w:trHeight w:val="165"/>
        </w:trPr>
        <w:tc>
          <w:tcPr>
            <w:tcW w:w="5260" w:type="dxa"/>
            <w:vAlign w:val="bottom"/>
            <w:shd w:val="clear" w:color="auto" w:fill="225CAB"/>
          </w:tcPr>
          <w:p>
            <w:pPr>
              <w:ind w:left="3060"/>
              <w:spacing w:after="0"/>
              <w:rPr>
                <w:sz w:val="20"/>
                <w:szCs w:val="20"/>
                <w:color w:val="auto"/>
              </w:rPr>
            </w:pPr>
            <w:r>
              <w:rPr>
                <w:rFonts w:ascii="Arial" w:cs="Arial" w:eastAsia="Arial" w:hAnsi="Arial"/>
                <w:sz w:val="14"/>
                <w:szCs w:val="14"/>
                <w:color w:val="FFFFFF"/>
              </w:rPr>
              <w:t>Position</w:t>
            </w:r>
          </w:p>
        </w:tc>
        <w:tc>
          <w:tcPr>
            <w:tcW w:w="2580" w:type="dxa"/>
            <w:vAlign w:val="bottom"/>
            <w:shd w:val="clear" w:color="auto" w:fill="225CAB"/>
          </w:tcPr>
          <w:p>
            <w:pPr>
              <w:jc w:val="center"/>
              <w:ind w:left="1386"/>
              <w:spacing w:after="0"/>
              <w:rPr>
                <w:sz w:val="20"/>
                <w:szCs w:val="20"/>
                <w:color w:val="auto"/>
              </w:rPr>
            </w:pPr>
            <w:r>
              <w:rPr>
                <w:rFonts w:ascii="Arial" w:cs="Arial" w:eastAsia="Arial" w:hAnsi="Arial"/>
                <w:sz w:val="14"/>
                <w:szCs w:val="14"/>
                <w:color w:val="FFFFFF"/>
                <w:w w:val="99"/>
              </w:rPr>
              <w:t>Shares</w:t>
            </w:r>
          </w:p>
        </w:tc>
        <w:tc>
          <w:tcPr>
            <w:tcW w:w="340" w:type="dxa"/>
            <w:vAlign w:val="bottom"/>
            <w:shd w:val="clear" w:color="auto" w:fill="225CAB"/>
          </w:tcPr>
          <w:p>
            <w:pPr>
              <w:spacing w:after="0"/>
              <w:rPr>
                <w:sz w:val="14"/>
                <w:szCs w:val="14"/>
                <w:color w:val="auto"/>
              </w:rPr>
            </w:pPr>
          </w:p>
        </w:tc>
        <w:tc>
          <w:tcPr>
            <w:tcW w:w="1120" w:type="dxa"/>
            <w:vAlign w:val="bottom"/>
            <w:shd w:val="clear" w:color="auto" w:fill="225CAB"/>
          </w:tcPr>
          <w:p>
            <w:pPr>
              <w:jc w:val="center"/>
              <w:ind w:right="264"/>
              <w:spacing w:after="0"/>
              <w:rPr>
                <w:sz w:val="20"/>
                <w:szCs w:val="20"/>
                <w:color w:val="auto"/>
              </w:rPr>
            </w:pPr>
            <w:r>
              <w:rPr>
                <w:rFonts w:ascii="Arial" w:cs="Arial" w:eastAsia="Arial" w:hAnsi="Arial"/>
                <w:sz w:val="14"/>
                <w:szCs w:val="14"/>
                <w:color w:val="FFFFFF"/>
                <w:w w:val="92"/>
              </w:rPr>
              <w:t>Close*</w:t>
            </w:r>
          </w:p>
        </w:tc>
        <w:tc>
          <w:tcPr>
            <w:tcW w:w="320" w:type="dxa"/>
            <w:vAlign w:val="bottom"/>
            <w:shd w:val="clear" w:color="auto" w:fill="225CAB"/>
          </w:tcPr>
          <w:p>
            <w:pPr>
              <w:spacing w:after="0"/>
              <w:rPr>
                <w:sz w:val="14"/>
                <w:szCs w:val="14"/>
                <w:color w:val="auto"/>
              </w:rPr>
            </w:pPr>
          </w:p>
        </w:tc>
        <w:tc>
          <w:tcPr>
            <w:tcW w:w="960" w:type="dxa"/>
            <w:vAlign w:val="bottom"/>
            <w:shd w:val="clear" w:color="auto" w:fill="225CAB"/>
          </w:tcPr>
          <w:p>
            <w:pPr>
              <w:jc w:val="right"/>
              <w:ind w:right="339"/>
              <w:spacing w:after="0"/>
              <w:rPr>
                <w:sz w:val="20"/>
                <w:szCs w:val="20"/>
                <w:color w:val="auto"/>
              </w:rPr>
            </w:pPr>
            <w:r>
              <w:rPr>
                <w:rFonts w:ascii="Arial" w:cs="Arial" w:eastAsia="Arial" w:hAnsi="Arial"/>
                <w:sz w:val="14"/>
                <w:szCs w:val="14"/>
                <w:color w:val="FFFFFF"/>
              </w:rPr>
              <w:t>Salary</w:t>
            </w:r>
          </w:p>
        </w:tc>
        <w:tc>
          <w:tcPr>
            <w:tcW w:w="84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4"/>
              </w:rPr>
              <w:t>of Salary</w:t>
            </w:r>
          </w:p>
        </w:tc>
      </w:tr>
      <w:tr>
        <w:trPr>
          <w:trHeight w:val="203"/>
        </w:trPr>
        <w:tc>
          <w:tcPr>
            <w:tcW w:w="526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auto"/>
              </w:rPr>
              <w:t>CEO</w:t>
            </w:r>
          </w:p>
        </w:tc>
        <w:tc>
          <w:tcPr>
            <w:tcW w:w="2580" w:type="dxa"/>
            <w:vAlign w:val="bottom"/>
            <w:tcBorders>
              <w:bottom w:val="single" w:sz="8" w:color="225CAB"/>
            </w:tcBorders>
          </w:tcPr>
          <w:p>
            <w:pPr>
              <w:jc w:val="right"/>
              <w:ind w:right="146"/>
              <w:spacing w:after="0" w:line="202" w:lineRule="exact"/>
              <w:rPr>
                <w:sz w:val="20"/>
                <w:szCs w:val="20"/>
                <w:color w:val="auto"/>
              </w:rPr>
            </w:pPr>
            <w:r>
              <w:rPr>
                <w:rFonts w:ascii="Arial" w:cs="Arial" w:eastAsia="Arial" w:hAnsi="Arial"/>
                <w:sz w:val="18"/>
                <w:szCs w:val="18"/>
                <w:color w:val="auto"/>
              </w:rPr>
              <w:t>100,000</w:t>
            </w:r>
          </w:p>
        </w:tc>
        <w:tc>
          <w:tcPr>
            <w:tcW w:w="340" w:type="dxa"/>
            <w:vAlign w:val="bottom"/>
            <w:tcBorders>
              <w:bottom w:val="single" w:sz="8" w:color="225CAB"/>
            </w:tcBorders>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225CAB"/>
            </w:tcBorders>
          </w:tcPr>
          <w:p>
            <w:pPr>
              <w:jc w:val="right"/>
              <w:ind w:right="144"/>
              <w:spacing w:after="0" w:line="202" w:lineRule="exact"/>
              <w:rPr>
                <w:sz w:val="20"/>
                <w:szCs w:val="20"/>
                <w:color w:val="auto"/>
              </w:rPr>
            </w:pPr>
            <w:r>
              <w:rPr>
                <w:rFonts w:ascii="Arial" w:cs="Arial" w:eastAsia="Arial" w:hAnsi="Arial"/>
                <w:sz w:val="18"/>
                <w:szCs w:val="18"/>
                <w:color w:val="auto"/>
                <w:w w:val="97"/>
              </w:rPr>
              <w:t>15,635,000</w:t>
            </w:r>
          </w:p>
        </w:tc>
        <w:tc>
          <w:tcPr>
            <w:tcW w:w="320" w:type="dxa"/>
            <w:vAlign w:val="bottom"/>
            <w:tcBorders>
              <w:bottom w:val="single" w:sz="8" w:color="225CAB"/>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225CAB"/>
            </w:tcBorders>
          </w:tcPr>
          <w:p>
            <w:pPr>
              <w:jc w:val="right"/>
              <w:ind w:right="99"/>
              <w:spacing w:after="0" w:line="202" w:lineRule="exact"/>
              <w:rPr>
                <w:sz w:val="20"/>
                <w:szCs w:val="20"/>
                <w:color w:val="auto"/>
              </w:rPr>
            </w:pPr>
            <w:r>
              <w:rPr>
                <w:rFonts w:ascii="Arial" w:cs="Arial" w:eastAsia="Arial" w:hAnsi="Arial"/>
                <w:sz w:val="18"/>
                <w:szCs w:val="18"/>
                <w:color w:val="auto"/>
                <w:w w:val="94"/>
              </w:rPr>
              <w:t>1,225,000</w:t>
            </w:r>
          </w:p>
        </w:tc>
        <w:tc>
          <w:tcPr>
            <w:tcW w:w="840" w:type="dxa"/>
            <w:vAlign w:val="bottom"/>
            <w:tcBorders>
              <w:bottom w:val="single" w:sz="8" w:color="225CAB"/>
            </w:tcBorders>
          </w:tcPr>
          <w:p>
            <w:pPr>
              <w:jc w:val="right"/>
              <w:ind w:right="24"/>
              <w:spacing w:after="0" w:line="202" w:lineRule="exact"/>
              <w:rPr>
                <w:sz w:val="20"/>
                <w:szCs w:val="20"/>
                <w:color w:val="auto"/>
              </w:rPr>
            </w:pPr>
            <w:r>
              <w:rPr>
                <w:rFonts w:ascii="Arial" w:cs="Arial" w:eastAsia="Arial" w:hAnsi="Arial"/>
                <w:sz w:val="18"/>
                <w:szCs w:val="18"/>
                <w:color w:val="auto"/>
              </w:rPr>
              <w:t>12.8x</w:t>
            </w: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Average Other Executive Officers</w:t>
            </w:r>
          </w:p>
        </w:tc>
        <w:tc>
          <w:tcPr>
            <w:tcW w:w="2580" w:type="dxa"/>
            <w:vAlign w:val="bottom"/>
          </w:tcPr>
          <w:p>
            <w:pPr>
              <w:jc w:val="right"/>
              <w:ind w:right="146"/>
              <w:spacing w:after="0"/>
              <w:rPr>
                <w:sz w:val="20"/>
                <w:szCs w:val="20"/>
                <w:color w:val="auto"/>
              </w:rPr>
            </w:pPr>
            <w:r>
              <w:rPr>
                <w:rFonts w:ascii="Arial" w:cs="Arial" w:eastAsia="Arial" w:hAnsi="Arial"/>
                <w:sz w:val="18"/>
                <w:szCs w:val="18"/>
                <w:color w:val="auto"/>
              </w:rPr>
              <w:t>18,333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4"/>
              <w:spacing w:after="0"/>
              <w:rPr>
                <w:sz w:val="20"/>
                <w:szCs w:val="20"/>
                <w:color w:val="auto"/>
              </w:rPr>
            </w:pPr>
            <w:r>
              <w:rPr>
                <w:rFonts w:ascii="Arial" w:cs="Arial" w:eastAsia="Arial" w:hAnsi="Arial"/>
                <w:sz w:val="18"/>
                <w:szCs w:val="18"/>
                <w:color w:val="auto"/>
              </w:rPr>
              <w:t>2,866,000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542,000</w:t>
            </w:r>
          </w:p>
        </w:tc>
        <w:tc>
          <w:tcPr>
            <w:tcW w:w="840" w:type="dxa"/>
            <w:vAlign w:val="bottom"/>
          </w:tcPr>
          <w:p>
            <w:pPr>
              <w:jc w:val="right"/>
              <w:ind w:right="24"/>
              <w:spacing w:after="0"/>
              <w:rPr>
                <w:sz w:val="20"/>
                <w:szCs w:val="20"/>
                <w:color w:val="auto"/>
              </w:rPr>
            </w:pPr>
            <w:r>
              <w:rPr>
                <w:rFonts w:ascii="Arial" w:cs="Arial" w:eastAsia="Arial" w:hAnsi="Arial"/>
                <w:sz w:val="18"/>
                <w:szCs w:val="18"/>
                <w:color w:val="auto"/>
              </w:rPr>
              <w:t>5.3x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closing market price of our Common Stock on December 31, 2014 of $156.35</w:t>
      </w:r>
    </w:p>
    <w:p>
      <w:pPr>
        <w:spacing w:after="0" w:line="3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Until the stock ownership guidelines are met, an executive is required to retain 100% of any applicable shares received (on a net after tax basis) under our equity compensation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Anti-Hedging and Anti-Pledging Policy</w:t>
      </w:r>
    </w:p>
    <w:p>
      <w:pPr>
        <w:spacing w:after="0" w:line="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prohibit our executive officers from engaging in transactions involving derivative instruments with respect to Company securities, and other securities that are immediately convertible or exchangeable into such securities and from pledging shares of Company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“Clawback” Policy</w:t>
      </w:r>
    </w:p>
    <w:p>
      <w:pPr>
        <w:spacing w:after="0" w:line="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event of a material restatement of the Company’s financial results, other than a restatement due to changes in accounting principles or applicable law or interpretations thereof, the Board will review the facts and circumstance that led to the requirement for the restatement and will take such actions as it deems necessary or appropriate. The Board will consider whether any executive officer received compensation based on the original financial statements because it appeared he or she achieved financial performance targets which in fact were not achieved based on the restatement. The Board will also consider the accountability of any executive officer whose acts or omissions were responsible in whole or in part for the events that led to the restatement and whether such acts or omissions constituted misconduct.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Regulatory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-916305</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7"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The Code contains a provision that limits the tax deductibility of certain compensation paid to our executive officers. This provision disallows the deductibility of certain compensation unless it is considered performance-based compensation under the Code. Our stock options and restricted stock awards are intended to be performance-based and fully deductible. We have adopted policies and practices intended to maximize the deductibility of our annual incentive bonuses. However, we may forgo any or all of the tax deduction if we believe it to be in the best long-term interests of our shareholders.</w:t>
      </w:r>
    </w:p>
    <w:p>
      <w:pPr>
        <w:spacing w:after="0" w:line="2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making decisions about executive compensation, we also consider the impact of other regulatory provisions, including the provisions of Section 409A of the Code regarding non-qualified deferred compensation and the change-in-control provisions of Section 280G of the Code. In making decisions about executive compensation, we also consider how various elements of compensation will impact our financial results. For example, ASC Topic 718, the accounting standard that determines the cost to be recognized for equity awards, is considered in reviewing the relative weighting between stock options and restricted shares.</w:t>
      </w:r>
    </w:p>
    <w:p>
      <w:pPr>
        <w:spacing w:after="0" w:line="200" w:lineRule="exact"/>
        <w:rPr>
          <w:sz w:val="20"/>
          <w:szCs w:val="20"/>
          <w:color w:val="auto"/>
        </w:rPr>
      </w:pPr>
    </w:p>
    <w:p>
      <w:pPr>
        <w:spacing w:after="0" w:line="211" w:lineRule="exact"/>
        <w:rPr>
          <w:sz w:val="20"/>
          <w:szCs w:val="20"/>
          <w:color w:val="auto"/>
        </w:rPr>
      </w:pPr>
    </w:p>
    <w:tbl>
      <w:tblPr>
        <w:tblLayout w:type="fixed"/>
        <w:tblInd w:w="118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37</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-213995</wp:posOffset>
            </wp:positionV>
            <wp:extent cx="42037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40" w:space="280"/>
            <w:col w:w="570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COMPENSATION COMMITTEE REPORT</w:t>
      </w:r>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E. Knowling, Jr., Chairman</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D. Johnson</w:t>
      </w:r>
    </w:p>
    <w:p>
      <w:pPr>
        <w:ind w:left="460"/>
        <w:spacing w:after="0"/>
        <w:rPr>
          <w:sz w:val="20"/>
          <w:szCs w:val="20"/>
          <w:color w:val="auto"/>
        </w:rPr>
      </w:pPr>
      <w:r>
        <w:rPr>
          <w:rFonts w:ascii="Arial" w:cs="Arial" w:eastAsia="Arial" w:hAnsi="Arial"/>
          <w:sz w:val="18"/>
          <w:szCs w:val="18"/>
          <w:color w:val="auto"/>
        </w:rPr>
        <w:t>Wilbur J. Prezzano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EXECUTIVE COMPENSATION</w:t>
      </w:r>
    </w:p>
    <w:p>
      <w:pPr>
        <w:spacing w:after="0" w:line="27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following table sets forth certain information with respect to compensation paid to our principal executive officer, our principal financial officer, and our other executive officers for the fiscal year ended December 31, 2014. In this section, we refer to the individuals in the 2014 Summary Compensation Table as our “named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Summary Compensation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shd w:val="clear" w:color="auto" w:fill="225CAB"/>
          </w:tcPr>
          <w:p>
            <w:pPr>
              <w:spacing w:after="0"/>
              <w:rPr>
                <w:sz w:val="14"/>
                <w:szCs w:val="14"/>
                <w:color w:val="auto"/>
              </w:rPr>
            </w:pPr>
          </w:p>
        </w:tc>
        <w:tc>
          <w:tcPr>
            <w:tcW w:w="700" w:type="dxa"/>
            <w:vAlign w:val="bottom"/>
            <w:shd w:val="clear" w:color="auto" w:fill="225CAB"/>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64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880" w:type="dxa"/>
            <w:vAlign w:val="bottom"/>
            <w:shd w:val="clear" w:color="auto" w:fill="225CAB"/>
          </w:tcPr>
          <w:p>
            <w:pPr>
              <w:spacing w:after="0"/>
              <w:rPr>
                <w:sz w:val="14"/>
                <w:szCs w:val="14"/>
                <w:color w:val="auto"/>
              </w:rPr>
            </w:pPr>
          </w:p>
        </w:tc>
        <w:tc>
          <w:tcPr>
            <w:tcW w:w="1380" w:type="dxa"/>
            <w:vAlign w:val="bottom"/>
            <w:shd w:val="clear" w:color="auto" w:fill="225CAB"/>
          </w:tcPr>
          <w:p>
            <w:pPr>
              <w:spacing w:after="0"/>
              <w:rPr>
                <w:sz w:val="14"/>
                <w:szCs w:val="14"/>
                <w:color w:val="auto"/>
              </w:rPr>
            </w:pPr>
          </w:p>
        </w:tc>
        <w:tc>
          <w:tcPr>
            <w:tcW w:w="11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Change in</w:t>
            </w:r>
          </w:p>
        </w:tc>
        <w:tc>
          <w:tcPr>
            <w:tcW w:w="1260" w:type="dxa"/>
            <w:vAlign w:val="bottom"/>
            <w:shd w:val="clear" w:color="auto" w:fill="225CAB"/>
          </w:tcPr>
          <w:p>
            <w:pPr>
              <w:spacing w:after="0"/>
              <w:rPr>
                <w:sz w:val="14"/>
                <w:szCs w:val="14"/>
                <w:color w:val="auto"/>
              </w:rPr>
            </w:pPr>
          </w:p>
        </w:tc>
        <w:tc>
          <w:tcPr>
            <w:tcW w:w="108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225CAB"/>
          </w:tcPr>
          <w:p>
            <w:pPr>
              <w:spacing w:after="0"/>
              <w:rPr>
                <w:sz w:val="12"/>
                <w:szCs w:val="12"/>
                <w:color w:val="auto"/>
              </w:rPr>
            </w:pPr>
          </w:p>
        </w:tc>
        <w:tc>
          <w:tcPr>
            <w:tcW w:w="7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380" w:type="dxa"/>
            <w:vAlign w:val="bottom"/>
            <w:shd w:val="clear" w:color="auto" w:fill="225CAB"/>
          </w:tcPr>
          <w:p>
            <w:pPr>
              <w:spacing w:after="0"/>
              <w:rPr>
                <w:sz w:val="12"/>
                <w:szCs w:val="12"/>
                <w:color w:val="auto"/>
              </w:rPr>
            </w:pPr>
          </w:p>
        </w:tc>
        <w:tc>
          <w:tcPr>
            <w:tcW w:w="11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Pension</w:t>
            </w:r>
          </w:p>
        </w:tc>
        <w:tc>
          <w:tcPr>
            <w:tcW w:w="126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225CAB"/>
          </w:tcPr>
          <w:p>
            <w:pPr>
              <w:spacing w:after="0"/>
              <w:rPr>
                <w:sz w:val="12"/>
                <w:szCs w:val="12"/>
                <w:color w:val="auto"/>
              </w:rPr>
            </w:pPr>
          </w:p>
        </w:tc>
        <w:tc>
          <w:tcPr>
            <w:tcW w:w="7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380" w:type="dxa"/>
            <w:vAlign w:val="bottom"/>
            <w:shd w:val="clear" w:color="auto" w:fill="225CAB"/>
          </w:tcPr>
          <w:p>
            <w:pPr>
              <w:spacing w:after="0"/>
              <w:rPr>
                <w:sz w:val="12"/>
                <w:szCs w:val="12"/>
                <w:color w:val="auto"/>
              </w:rPr>
            </w:pPr>
          </w:p>
        </w:tc>
        <w:tc>
          <w:tcPr>
            <w:tcW w:w="11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Value &amp;</w:t>
            </w:r>
          </w:p>
        </w:tc>
        <w:tc>
          <w:tcPr>
            <w:tcW w:w="126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225CAB"/>
          </w:tcPr>
          <w:p>
            <w:pPr>
              <w:spacing w:after="0"/>
              <w:rPr>
                <w:sz w:val="12"/>
                <w:szCs w:val="12"/>
                <w:color w:val="auto"/>
              </w:rPr>
            </w:pPr>
          </w:p>
        </w:tc>
        <w:tc>
          <w:tcPr>
            <w:tcW w:w="7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3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Non-Equity</w:t>
            </w:r>
          </w:p>
        </w:tc>
        <w:tc>
          <w:tcPr>
            <w:tcW w:w="11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Nonqualified</w:t>
            </w:r>
          </w:p>
        </w:tc>
        <w:tc>
          <w:tcPr>
            <w:tcW w:w="126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225CAB"/>
          </w:tcPr>
          <w:p>
            <w:pPr>
              <w:spacing w:after="0"/>
              <w:rPr>
                <w:sz w:val="12"/>
                <w:szCs w:val="12"/>
                <w:color w:val="auto"/>
              </w:rPr>
            </w:pPr>
          </w:p>
        </w:tc>
        <w:tc>
          <w:tcPr>
            <w:tcW w:w="7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3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Incentive</w:t>
            </w:r>
          </w:p>
        </w:tc>
        <w:tc>
          <w:tcPr>
            <w:tcW w:w="11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Deferred</w:t>
            </w:r>
          </w:p>
        </w:tc>
        <w:tc>
          <w:tcPr>
            <w:tcW w:w="126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540" w:type="dxa"/>
            <w:vAlign w:val="bottom"/>
            <w:shd w:val="clear" w:color="auto" w:fill="225CAB"/>
          </w:tcPr>
          <w:p>
            <w:pPr>
              <w:spacing w:after="0"/>
              <w:rPr>
                <w:sz w:val="13"/>
                <w:szCs w:val="13"/>
                <w:color w:val="auto"/>
              </w:rPr>
            </w:pPr>
          </w:p>
        </w:tc>
        <w:tc>
          <w:tcPr>
            <w:tcW w:w="700" w:type="dxa"/>
            <w:vAlign w:val="bottom"/>
            <w:shd w:val="clear" w:color="auto" w:fill="225CAB"/>
          </w:tcPr>
          <w:p>
            <w:pPr>
              <w:spacing w:after="0"/>
              <w:rPr>
                <w:sz w:val="13"/>
                <w:szCs w:val="13"/>
                <w:color w:val="auto"/>
              </w:rPr>
            </w:pPr>
          </w:p>
        </w:tc>
        <w:tc>
          <w:tcPr>
            <w:tcW w:w="860" w:type="dxa"/>
            <w:vAlign w:val="bottom"/>
            <w:vMerge w:val="restart"/>
            <w:shd w:val="clear" w:color="auto" w:fill="225CAB"/>
          </w:tcPr>
          <w:p>
            <w:pPr>
              <w:jc w:val="right"/>
              <w:ind w:right="112"/>
              <w:spacing w:after="0"/>
              <w:rPr>
                <w:sz w:val="20"/>
                <w:szCs w:val="20"/>
                <w:color w:val="auto"/>
              </w:rPr>
            </w:pPr>
            <w:r>
              <w:rPr>
                <w:rFonts w:ascii="Arial" w:cs="Arial" w:eastAsia="Arial" w:hAnsi="Arial"/>
                <w:sz w:val="14"/>
                <w:szCs w:val="14"/>
                <w:color w:val="FFFFFF"/>
              </w:rPr>
              <w:t>Salary</w:t>
            </w:r>
            <w:r>
              <w:rPr>
                <w:rFonts w:ascii="Arial" w:cs="Arial" w:eastAsia="Arial" w:hAnsi="Arial"/>
                <w:sz w:val="22"/>
                <w:szCs w:val="22"/>
                <w:color w:val="FFFFFF"/>
                <w:vertAlign w:val="superscript"/>
              </w:rPr>
              <w:t>(1)</w:t>
            </w:r>
          </w:p>
        </w:tc>
        <w:tc>
          <w:tcPr>
            <w:tcW w:w="640" w:type="dxa"/>
            <w:vAlign w:val="bottom"/>
            <w:shd w:val="clear" w:color="auto" w:fill="225CAB"/>
          </w:tcPr>
          <w:p>
            <w:pPr>
              <w:spacing w:after="0"/>
              <w:rPr>
                <w:sz w:val="13"/>
                <w:szCs w:val="13"/>
                <w:color w:val="auto"/>
              </w:rPr>
            </w:pPr>
          </w:p>
        </w:tc>
        <w:tc>
          <w:tcPr>
            <w:tcW w:w="96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color w:val="FFFFFF"/>
                <w:w w:val="96"/>
              </w:rPr>
              <w:t>Stock</w:t>
            </w:r>
          </w:p>
        </w:tc>
        <w:tc>
          <w:tcPr>
            <w:tcW w:w="88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color w:val="FFFFFF"/>
                <w:w w:val="96"/>
              </w:rPr>
              <w:t>Option</w:t>
            </w:r>
          </w:p>
        </w:tc>
        <w:tc>
          <w:tcPr>
            <w:tcW w:w="138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color w:val="FFFFFF"/>
                <w:w w:val="92"/>
              </w:rPr>
              <w:t>Plan</w:t>
            </w:r>
          </w:p>
        </w:tc>
        <w:tc>
          <w:tcPr>
            <w:tcW w:w="112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color w:val="FFFFFF"/>
                <w:w w:val="97"/>
              </w:rPr>
              <w:t>Compensation</w:t>
            </w:r>
          </w:p>
        </w:tc>
        <w:tc>
          <w:tcPr>
            <w:tcW w:w="126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color w:val="FFFFFF"/>
                <w:w w:val="99"/>
              </w:rPr>
              <w:t>All Other</w:t>
            </w:r>
          </w:p>
        </w:tc>
        <w:tc>
          <w:tcPr>
            <w:tcW w:w="108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color w:val="FFFFFF"/>
                <w:w w:val="89"/>
              </w:rPr>
              <w:t>Total</w:t>
            </w:r>
          </w:p>
        </w:tc>
        <w:tc>
          <w:tcPr>
            <w:tcW w:w="0" w:type="dxa"/>
            <w:vAlign w:val="bottom"/>
          </w:tcPr>
          <w:p>
            <w:pPr>
              <w:spacing w:after="0"/>
              <w:rPr>
                <w:sz w:val="1"/>
                <w:szCs w:val="1"/>
                <w:color w:val="auto"/>
              </w:rPr>
            </w:pPr>
          </w:p>
        </w:tc>
      </w:tr>
      <w:tr>
        <w:trPr>
          <w:trHeight w:val="149"/>
        </w:trPr>
        <w:tc>
          <w:tcPr>
            <w:tcW w:w="2540" w:type="dxa"/>
            <w:vAlign w:val="bottom"/>
            <w:shd w:val="clear" w:color="auto" w:fill="225CAB"/>
          </w:tcPr>
          <w:p>
            <w:pPr>
              <w:ind w:left="1000"/>
              <w:spacing w:after="0" w:line="149" w:lineRule="exact"/>
              <w:rPr>
                <w:sz w:val="20"/>
                <w:szCs w:val="20"/>
                <w:color w:val="auto"/>
              </w:rPr>
            </w:pPr>
            <w:r>
              <w:rPr>
                <w:rFonts w:ascii="Arial" w:cs="Arial" w:eastAsia="Arial" w:hAnsi="Arial"/>
                <w:sz w:val="14"/>
                <w:szCs w:val="14"/>
                <w:color w:val="FFFFFF"/>
              </w:rPr>
              <w:t>Name and</w:t>
            </w:r>
          </w:p>
        </w:tc>
        <w:tc>
          <w:tcPr>
            <w:tcW w:w="700" w:type="dxa"/>
            <w:vAlign w:val="bottom"/>
            <w:shd w:val="clear" w:color="auto" w:fill="225CAB"/>
          </w:tcPr>
          <w:p>
            <w:pPr>
              <w:spacing w:after="0"/>
              <w:rPr>
                <w:sz w:val="12"/>
                <w:szCs w:val="12"/>
                <w:color w:val="auto"/>
              </w:rPr>
            </w:pPr>
          </w:p>
        </w:tc>
        <w:tc>
          <w:tcPr>
            <w:tcW w:w="860" w:type="dxa"/>
            <w:vAlign w:val="bottom"/>
            <w:vMerge w:val="continue"/>
            <w:shd w:val="clear" w:color="auto" w:fill="225CAB"/>
          </w:tcPr>
          <w:p>
            <w:pPr>
              <w:spacing w:after="0"/>
              <w:rPr>
                <w:sz w:val="12"/>
                <w:szCs w:val="12"/>
                <w:color w:val="auto"/>
              </w:rPr>
            </w:pPr>
          </w:p>
        </w:tc>
        <w:tc>
          <w:tcPr>
            <w:tcW w:w="640" w:type="dxa"/>
            <w:vAlign w:val="bottom"/>
            <w:shd w:val="clear" w:color="auto" w:fill="225CAB"/>
          </w:tcPr>
          <w:p>
            <w:pPr>
              <w:jc w:val="right"/>
              <w:ind w:right="72"/>
              <w:spacing w:after="0" w:line="149" w:lineRule="exact"/>
              <w:rPr>
                <w:sz w:val="20"/>
                <w:szCs w:val="20"/>
                <w:color w:val="auto"/>
              </w:rPr>
            </w:pPr>
            <w:r>
              <w:rPr>
                <w:rFonts w:ascii="Arial" w:cs="Arial" w:eastAsia="Arial" w:hAnsi="Arial"/>
                <w:sz w:val="14"/>
                <w:szCs w:val="14"/>
                <w:color w:val="FFFFFF"/>
              </w:rPr>
              <w:t>Bonus</w:t>
            </w:r>
          </w:p>
        </w:tc>
        <w:tc>
          <w:tcPr>
            <w:tcW w:w="96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Awards</w:t>
            </w:r>
            <w:r>
              <w:rPr>
                <w:rFonts w:ascii="Arial" w:cs="Arial" w:eastAsia="Arial" w:hAnsi="Arial"/>
                <w:sz w:val="17"/>
                <w:szCs w:val="17"/>
                <w:color w:val="FFFFFF"/>
                <w:vertAlign w:val="superscript"/>
              </w:rPr>
              <w:t>(2)</w:t>
            </w:r>
          </w:p>
        </w:tc>
        <w:tc>
          <w:tcPr>
            <w:tcW w:w="88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Awards</w:t>
            </w:r>
            <w:r>
              <w:rPr>
                <w:rFonts w:ascii="Arial" w:cs="Arial" w:eastAsia="Arial" w:hAnsi="Arial"/>
                <w:sz w:val="17"/>
                <w:szCs w:val="17"/>
                <w:color w:val="FFFFFF"/>
                <w:vertAlign w:val="superscript"/>
              </w:rPr>
              <w:t>(2)</w:t>
            </w:r>
          </w:p>
        </w:tc>
        <w:tc>
          <w:tcPr>
            <w:tcW w:w="138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Compensation</w:t>
            </w:r>
            <w:r>
              <w:rPr>
                <w:rFonts w:ascii="Arial" w:cs="Arial" w:eastAsia="Arial" w:hAnsi="Arial"/>
                <w:sz w:val="17"/>
                <w:szCs w:val="17"/>
                <w:color w:val="FFFFFF"/>
                <w:vertAlign w:val="superscript"/>
              </w:rPr>
              <w:t>(1)(3)</w:t>
            </w:r>
          </w:p>
        </w:tc>
        <w:tc>
          <w:tcPr>
            <w:tcW w:w="112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Earnings</w:t>
            </w:r>
            <w:r>
              <w:rPr>
                <w:rFonts w:ascii="Arial" w:cs="Arial" w:eastAsia="Arial" w:hAnsi="Arial"/>
                <w:sz w:val="17"/>
                <w:szCs w:val="17"/>
                <w:color w:val="FFFFFF"/>
                <w:vertAlign w:val="superscript"/>
              </w:rPr>
              <w:t>(4)</w:t>
            </w:r>
          </w:p>
        </w:tc>
        <w:tc>
          <w:tcPr>
            <w:tcW w:w="126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Compensation</w:t>
            </w:r>
            <w:r>
              <w:rPr>
                <w:rFonts w:ascii="Arial" w:cs="Arial" w:eastAsia="Arial" w:hAnsi="Arial"/>
                <w:sz w:val="17"/>
                <w:szCs w:val="17"/>
                <w:color w:val="FFFFFF"/>
                <w:vertAlign w:val="superscript"/>
              </w:rPr>
              <w:t>(5)</w:t>
            </w: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Compensation</w:t>
            </w:r>
          </w:p>
        </w:tc>
        <w:tc>
          <w:tcPr>
            <w:tcW w:w="0" w:type="dxa"/>
            <w:vAlign w:val="bottom"/>
          </w:tcPr>
          <w:p>
            <w:pPr>
              <w:spacing w:after="0"/>
              <w:rPr>
                <w:sz w:val="1"/>
                <w:szCs w:val="1"/>
                <w:color w:val="auto"/>
              </w:rPr>
            </w:pPr>
          </w:p>
        </w:tc>
      </w:tr>
      <w:tr>
        <w:trPr>
          <w:trHeight w:val="176"/>
        </w:trPr>
        <w:tc>
          <w:tcPr>
            <w:tcW w:w="2540" w:type="dxa"/>
            <w:vAlign w:val="bottom"/>
            <w:shd w:val="clear" w:color="auto" w:fill="225CAB"/>
          </w:tcPr>
          <w:p>
            <w:pPr>
              <w:ind w:left="780"/>
              <w:spacing w:after="0"/>
              <w:rPr>
                <w:sz w:val="20"/>
                <w:szCs w:val="20"/>
                <w:color w:val="auto"/>
              </w:rPr>
            </w:pPr>
            <w:r>
              <w:rPr>
                <w:rFonts w:ascii="Arial" w:cs="Arial" w:eastAsia="Arial" w:hAnsi="Arial"/>
                <w:sz w:val="14"/>
                <w:szCs w:val="14"/>
                <w:color w:val="FFFFFF"/>
              </w:rPr>
              <w:t>Principal Position</w:t>
            </w:r>
          </w:p>
        </w:tc>
        <w:tc>
          <w:tcPr>
            <w:tcW w:w="700" w:type="dxa"/>
            <w:vAlign w:val="bottom"/>
            <w:shd w:val="clear" w:color="auto" w:fill="225CAB"/>
          </w:tcPr>
          <w:p>
            <w:pPr>
              <w:ind w:left="240"/>
              <w:spacing w:after="0"/>
              <w:rPr>
                <w:sz w:val="20"/>
                <w:szCs w:val="20"/>
                <w:color w:val="auto"/>
              </w:rPr>
            </w:pPr>
            <w:r>
              <w:rPr>
                <w:rFonts w:ascii="Arial" w:cs="Arial" w:eastAsia="Arial" w:hAnsi="Arial"/>
                <w:sz w:val="14"/>
                <w:szCs w:val="14"/>
                <w:color w:val="FFFFFF"/>
              </w:rPr>
              <w:t>Year</w:t>
            </w:r>
          </w:p>
        </w:tc>
        <w:tc>
          <w:tcPr>
            <w:tcW w:w="860" w:type="dxa"/>
            <w:vAlign w:val="bottom"/>
            <w:shd w:val="clear" w:color="auto" w:fill="225CAB"/>
          </w:tcPr>
          <w:p>
            <w:pPr>
              <w:jc w:val="right"/>
              <w:ind w:right="292"/>
              <w:spacing w:after="0"/>
              <w:rPr>
                <w:sz w:val="20"/>
                <w:szCs w:val="20"/>
                <w:color w:val="auto"/>
              </w:rPr>
            </w:pPr>
            <w:r>
              <w:rPr>
                <w:rFonts w:ascii="Arial" w:cs="Arial" w:eastAsia="Arial" w:hAnsi="Arial"/>
                <w:sz w:val="14"/>
                <w:szCs w:val="14"/>
                <w:color w:val="FFFFFF"/>
              </w:rPr>
              <w:t>($)</w:t>
            </w:r>
          </w:p>
        </w:tc>
        <w:tc>
          <w:tcPr>
            <w:tcW w:w="640" w:type="dxa"/>
            <w:vAlign w:val="bottom"/>
            <w:shd w:val="clear" w:color="auto" w:fill="225CAB"/>
          </w:tcPr>
          <w:p>
            <w:pPr>
              <w:jc w:val="right"/>
              <w:ind w:right="192"/>
              <w:spacing w:after="0"/>
              <w:rPr>
                <w:sz w:val="20"/>
                <w:szCs w:val="20"/>
                <w:color w:val="auto"/>
              </w:rPr>
            </w:pPr>
            <w:r>
              <w:rPr>
                <w:rFonts w:ascii="Arial" w:cs="Arial" w:eastAsia="Arial" w:hAnsi="Arial"/>
                <w:sz w:val="14"/>
                <w:szCs w:val="14"/>
                <w:color w:val="FFFFFF"/>
              </w:rPr>
              <w:t>($)</w:t>
            </w:r>
          </w:p>
        </w:tc>
        <w:tc>
          <w:tcPr>
            <w:tcW w:w="9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8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3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1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260" w:type="dxa"/>
            <w:vAlign w:val="bottom"/>
            <w:shd w:val="clear" w:color="auto" w:fill="225CAB"/>
          </w:tcPr>
          <w:p>
            <w:pPr>
              <w:jc w:val="center"/>
              <w:spacing w:after="0"/>
              <w:rPr>
                <w:sz w:val="20"/>
                <w:szCs w:val="20"/>
                <w:color w:val="auto"/>
              </w:rPr>
            </w:pPr>
            <w:r>
              <w:rPr>
                <w:rFonts w:ascii="Arial" w:cs="Arial" w:eastAsia="Arial" w:hAnsi="Arial"/>
                <w:sz w:val="14"/>
                <w:szCs w:val="14"/>
                <w:color w:val="FFFFFF"/>
              </w:rPr>
              <w:t>($)</w:t>
            </w:r>
          </w:p>
        </w:tc>
        <w:tc>
          <w:tcPr>
            <w:tcW w:w="10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0" w:type="dxa"/>
            <w:vAlign w:val="bottom"/>
          </w:tcPr>
          <w:p>
            <w:pPr>
              <w:spacing w:after="0"/>
              <w:rPr>
                <w:sz w:val="1"/>
                <w:szCs w:val="1"/>
                <w:color w:val="auto"/>
              </w:rPr>
            </w:pPr>
          </w:p>
        </w:tc>
      </w:tr>
      <w:tr>
        <w:trPr>
          <w:trHeight w:val="132"/>
        </w:trPr>
        <w:tc>
          <w:tcPr>
            <w:tcW w:w="2540" w:type="dxa"/>
            <w:vAlign w:val="bottom"/>
          </w:tcPr>
          <w:p>
            <w:pPr>
              <w:spacing w:after="0" w:line="132" w:lineRule="exact"/>
              <w:rPr>
                <w:sz w:val="20"/>
                <w:szCs w:val="20"/>
                <w:color w:val="auto"/>
              </w:rPr>
            </w:pPr>
            <w:r>
              <w:rPr>
                <w:rFonts w:ascii="Arial" w:cs="Arial" w:eastAsia="Arial" w:hAnsi="Arial"/>
                <w:sz w:val="14"/>
                <w:szCs w:val="14"/>
                <w:b w:val="1"/>
                <w:bCs w:val="1"/>
                <w:color w:val="225CAB"/>
              </w:rPr>
              <w:t>Brian D. Jellison</w:t>
            </w:r>
          </w:p>
        </w:tc>
        <w:tc>
          <w:tcPr>
            <w:tcW w:w="700" w:type="dxa"/>
            <w:vAlign w:val="bottom"/>
          </w:tcPr>
          <w:p>
            <w:pPr>
              <w:ind w:left="260"/>
              <w:spacing w:after="0" w:line="132"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2"/>
              <w:spacing w:after="0" w:line="132" w:lineRule="exact"/>
              <w:rPr>
                <w:sz w:val="20"/>
                <w:szCs w:val="20"/>
                <w:color w:val="auto"/>
              </w:rPr>
            </w:pPr>
            <w:r>
              <w:rPr>
                <w:rFonts w:ascii="Arial" w:cs="Arial" w:eastAsia="Arial" w:hAnsi="Arial"/>
                <w:sz w:val="14"/>
                <w:szCs w:val="14"/>
                <w:color w:val="auto"/>
              </w:rPr>
              <w:t>1,225,000</w:t>
            </w:r>
          </w:p>
        </w:tc>
        <w:tc>
          <w:tcPr>
            <w:tcW w:w="640" w:type="dxa"/>
            <w:vAlign w:val="bottom"/>
          </w:tcPr>
          <w:p>
            <w:pPr>
              <w:jc w:val="right"/>
              <w:ind w:right="152"/>
              <w:spacing w:after="0" w:line="132"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32" w:lineRule="exact"/>
              <w:rPr>
                <w:sz w:val="20"/>
                <w:szCs w:val="20"/>
                <w:color w:val="auto"/>
              </w:rPr>
            </w:pPr>
            <w:r>
              <w:rPr>
                <w:rFonts w:ascii="Arial" w:cs="Arial" w:eastAsia="Arial" w:hAnsi="Arial"/>
                <w:sz w:val="14"/>
                <w:szCs w:val="14"/>
                <w:color w:val="auto"/>
              </w:rPr>
              <w:t>21,129,000</w:t>
            </w:r>
          </w:p>
        </w:tc>
        <w:tc>
          <w:tcPr>
            <w:tcW w:w="880" w:type="dxa"/>
            <w:vAlign w:val="bottom"/>
          </w:tcPr>
          <w:p>
            <w:pPr>
              <w:jc w:val="right"/>
              <w:ind w:right="133"/>
              <w:spacing w:after="0" w:line="132"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133"/>
              <w:spacing w:after="0" w:line="132"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33"/>
              <w:spacing w:after="0" w:line="132"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32" w:lineRule="exact"/>
              <w:rPr>
                <w:sz w:val="20"/>
                <w:szCs w:val="20"/>
                <w:color w:val="auto"/>
              </w:rPr>
            </w:pPr>
            <w:r>
              <w:rPr>
                <w:rFonts w:ascii="Arial" w:cs="Arial" w:eastAsia="Arial" w:hAnsi="Arial"/>
                <w:sz w:val="14"/>
                <w:szCs w:val="14"/>
                <w:color w:val="auto"/>
              </w:rPr>
              <w:t>335,220</w:t>
            </w:r>
          </w:p>
        </w:tc>
        <w:tc>
          <w:tcPr>
            <w:tcW w:w="10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22,689,220</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Chairman of the Board, President and</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rPr>
              <w:t>2013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1,200,000</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17,283,000</w:t>
            </w: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2,551,500</w:t>
            </w:r>
          </w:p>
        </w:tc>
        <w:tc>
          <w:tcPr>
            <w:tcW w:w="11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334,296</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21,368,796</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700" w:type="dxa"/>
            <w:vAlign w:val="bottom"/>
          </w:tcPr>
          <w:p>
            <w:pPr>
              <w:ind w:left="260"/>
              <w:spacing w:after="0"/>
              <w:rPr>
                <w:sz w:val="20"/>
                <w:szCs w:val="20"/>
                <w:color w:val="auto"/>
              </w:rPr>
            </w:pPr>
            <w:r>
              <w:rPr>
                <w:rFonts w:ascii="Arial" w:cs="Arial" w:eastAsia="Arial" w:hAnsi="Arial"/>
                <w:sz w:val="14"/>
                <w:szCs w:val="14"/>
                <w:color w:val="auto"/>
              </w:rPr>
              <w:t>2012</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1,150,000</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14,043,000</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2,587,500</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305,205</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18,085,705</w:t>
            </w:r>
          </w:p>
        </w:tc>
        <w:tc>
          <w:tcPr>
            <w:tcW w:w="0" w:type="dxa"/>
            <w:vAlign w:val="bottom"/>
          </w:tcPr>
          <w:p>
            <w:pPr>
              <w:spacing w:after="0"/>
              <w:rPr>
                <w:sz w:val="1"/>
                <w:szCs w:val="1"/>
                <w:color w:val="auto"/>
              </w:rPr>
            </w:pPr>
          </w:p>
        </w:tc>
      </w:tr>
      <w:tr>
        <w:trPr>
          <w:trHeight w:val="134"/>
        </w:trPr>
        <w:tc>
          <w:tcPr>
            <w:tcW w:w="2540" w:type="dxa"/>
            <w:vAlign w:val="bottom"/>
            <w:tcBorders>
              <w:bottom w:val="single" w:sz="8" w:color="225CAB"/>
            </w:tcBorders>
          </w:tcPr>
          <w:p>
            <w:pPr>
              <w:spacing w:after="0"/>
              <w:rPr>
                <w:sz w:val="11"/>
                <w:szCs w:val="11"/>
                <w:color w:val="auto"/>
              </w:rPr>
            </w:pPr>
          </w:p>
        </w:tc>
        <w:tc>
          <w:tcPr>
            <w:tcW w:w="700" w:type="dxa"/>
            <w:vAlign w:val="bottom"/>
            <w:tcBorders>
              <w:bottom w:val="single" w:sz="8" w:color="225CAB"/>
            </w:tcBorders>
          </w:tcPr>
          <w:p>
            <w:pPr>
              <w:spacing w:after="0"/>
              <w:rPr>
                <w:sz w:val="11"/>
                <w:szCs w:val="11"/>
                <w:color w:val="auto"/>
              </w:rPr>
            </w:pPr>
          </w:p>
        </w:tc>
        <w:tc>
          <w:tcPr>
            <w:tcW w:w="860" w:type="dxa"/>
            <w:vAlign w:val="bottom"/>
            <w:tcBorders>
              <w:bottom w:val="single" w:sz="8" w:color="225CAB"/>
            </w:tcBorders>
          </w:tcPr>
          <w:p>
            <w:pPr>
              <w:spacing w:after="0"/>
              <w:rPr>
                <w:sz w:val="11"/>
                <w:szCs w:val="11"/>
                <w:color w:val="auto"/>
              </w:rPr>
            </w:pPr>
          </w:p>
        </w:tc>
        <w:tc>
          <w:tcPr>
            <w:tcW w:w="640" w:type="dxa"/>
            <w:vAlign w:val="bottom"/>
            <w:tcBorders>
              <w:bottom w:val="single" w:sz="8" w:color="225CAB"/>
            </w:tcBorders>
          </w:tcPr>
          <w:p>
            <w:pPr>
              <w:spacing w:after="0"/>
              <w:rPr>
                <w:sz w:val="11"/>
                <w:szCs w:val="11"/>
                <w:color w:val="auto"/>
              </w:rPr>
            </w:pPr>
          </w:p>
        </w:tc>
        <w:tc>
          <w:tcPr>
            <w:tcW w:w="960" w:type="dxa"/>
            <w:vAlign w:val="bottom"/>
            <w:tcBorders>
              <w:bottom w:val="single" w:sz="8" w:color="225CAB"/>
            </w:tcBorders>
          </w:tcPr>
          <w:p>
            <w:pPr>
              <w:spacing w:after="0"/>
              <w:rPr>
                <w:sz w:val="11"/>
                <w:szCs w:val="11"/>
                <w:color w:val="auto"/>
              </w:rPr>
            </w:pPr>
          </w:p>
        </w:tc>
        <w:tc>
          <w:tcPr>
            <w:tcW w:w="880" w:type="dxa"/>
            <w:vAlign w:val="bottom"/>
            <w:tcBorders>
              <w:bottom w:val="single" w:sz="8" w:color="225CAB"/>
            </w:tcBorders>
          </w:tcPr>
          <w:p>
            <w:pPr>
              <w:spacing w:after="0"/>
              <w:rPr>
                <w:sz w:val="11"/>
                <w:szCs w:val="11"/>
                <w:color w:val="auto"/>
              </w:rPr>
            </w:pPr>
          </w:p>
        </w:tc>
        <w:tc>
          <w:tcPr>
            <w:tcW w:w="1380" w:type="dxa"/>
            <w:vAlign w:val="bottom"/>
            <w:tcBorders>
              <w:bottom w:val="single" w:sz="8" w:color="225CAB"/>
            </w:tcBorders>
          </w:tcPr>
          <w:p>
            <w:pPr>
              <w:spacing w:after="0"/>
              <w:rPr>
                <w:sz w:val="11"/>
                <w:szCs w:val="11"/>
                <w:color w:val="auto"/>
              </w:rPr>
            </w:pPr>
          </w:p>
        </w:tc>
        <w:tc>
          <w:tcPr>
            <w:tcW w:w="1120" w:type="dxa"/>
            <w:vAlign w:val="bottom"/>
            <w:tcBorders>
              <w:bottom w:val="single" w:sz="8" w:color="225CAB"/>
            </w:tcBorders>
          </w:tcPr>
          <w:p>
            <w:pPr>
              <w:spacing w:after="0"/>
              <w:rPr>
                <w:sz w:val="11"/>
                <w:szCs w:val="11"/>
                <w:color w:val="auto"/>
              </w:rPr>
            </w:pPr>
          </w:p>
        </w:tc>
        <w:tc>
          <w:tcPr>
            <w:tcW w:w="1260" w:type="dxa"/>
            <w:vAlign w:val="bottom"/>
            <w:tcBorders>
              <w:bottom w:val="single" w:sz="8" w:color="225CAB"/>
            </w:tcBorders>
          </w:tcPr>
          <w:p>
            <w:pPr>
              <w:spacing w:after="0"/>
              <w:rPr>
                <w:sz w:val="11"/>
                <w:szCs w:val="11"/>
                <w:color w:val="auto"/>
              </w:rPr>
            </w:pPr>
          </w:p>
        </w:tc>
        <w:tc>
          <w:tcPr>
            <w:tcW w:w="1080" w:type="dxa"/>
            <w:vAlign w:val="bottom"/>
            <w:tcBorders>
              <w:bottom w:val="single" w:sz="8" w:color="225CAB"/>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40" w:type="dxa"/>
            <w:vAlign w:val="bottom"/>
          </w:tcPr>
          <w:p>
            <w:pPr>
              <w:spacing w:after="0" w:line="125" w:lineRule="exact"/>
              <w:rPr>
                <w:sz w:val="20"/>
                <w:szCs w:val="20"/>
                <w:color w:val="auto"/>
              </w:rPr>
            </w:pPr>
            <w:r>
              <w:rPr>
                <w:rFonts w:ascii="Arial" w:cs="Arial" w:eastAsia="Arial" w:hAnsi="Arial"/>
                <w:sz w:val="14"/>
                <w:szCs w:val="14"/>
                <w:b w:val="1"/>
                <w:bCs w:val="1"/>
                <w:color w:val="225CAB"/>
              </w:rPr>
              <w:t>John Humphrey</w:t>
            </w:r>
          </w:p>
        </w:tc>
        <w:tc>
          <w:tcPr>
            <w:tcW w:w="700" w:type="dxa"/>
            <w:vAlign w:val="bottom"/>
          </w:tcPr>
          <w:p>
            <w:pPr>
              <w:ind w:left="260"/>
              <w:spacing w:after="0" w:line="125"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2"/>
              <w:spacing w:after="0" w:line="125" w:lineRule="exact"/>
              <w:rPr>
                <w:sz w:val="20"/>
                <w:szCs w:val="20"/>
                <w:color w:val="auto"/>
              </w:rPr>
            </w:pPr>
            <w:r>
              <w:rPr>
                <w:rFonts w:ascii="Arial" w:cs="Arial" w:eastAsia="Arial" w:hAnsi="Arial"/>
                <w:sz w:val="14"/>
                <w:szCs w:val="14"/>
                <w:color w:val="auto"/>
              </w:rPr>
              <w:t>767,000</w:t>
            </w:r>
          </w:p>
        </w:tc>
        <w:tc>
          <w:tcPr>
            <w:tcW w:w="64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25" w:lineRule="exact"/>
              <w:rPr>
                <w:sz w:val="20"/>
                <w:szCs w:val="20"/>
                <w:color w:val="auto"/>
              </w:rPr>
            </w:pPr>
            <w:r>
              <w:rPr>
                <w:rFonts w:ascii="Arial" w:cs="Arial" w:eastAsia="Arial" w:hAnsi="Arial"/>
                <w:sz w:val="14"/>
                <w:szCs w:val="14"/>
                <w:color w:val="auto"/>
              </w:rPr>
              <w:t>4,225,800</w:t>
            </w:r>
          </w:p>
        </w:tc>
        <w:tc>
          <w:tcPr>
            <w:tcW w:w="8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1,086,312</w:t>
            </w:r>
          </w:p>
        </w:tc>
        <w:tc>
          <w:tcPr>
            <w:tcW w:w="13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1,150,500</w:t>
            </w:r>
          </w:p>
        </w:tc>
        <w:tc>
          <w:tcPr>
            <w:tcW w:w="1120" w:type="dxa"/>
            <w:vAlign w:val="bottom"/>
          </w:tcPr>
          <w:p>
            <w:pPr>
              <w:jc w:val="right"/>
              <w:ind w:right="133"/>
              <w:spacing w:after="0" w:line="125"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25" w:lineRule="exact"/>
              <w:rPr>
                <w:sz w:val="20"/>
                <w:szCs w:val="20"/>
                <w:color w:val="auto"/>
              </w:rPr>
            </w:pPr>
            <w:r>
              <w:rPr>
                <w:rFonts w:ascii="Arial" w:cs="Arial" w:eastAsia="Arial" w:hAnsi="Arial"/>
                <w:sz w:val="14"/>
                <w:szCs w:val="14"/>
                <w:color w:val="auto"/>
              </w:rPr>
              <w:t>183,258</w:t>
            </w:r>
          </w:p>
        </w:tc>
        <w:tc>
          <w:tcPr>
            <w:tcW w:w="1080" w:type="dxa"/>
            <w:vAlign w:val="bottom"/>
          </w:tcPr>
          <w:p>
            <w:pPr>
              <w:jc w:val="right"/>
              <w:ind w:right="12"/>
              <w:spacing w:after="0" w:line="125" w:lineRule="exact"/>
              <w:rPr>
                <w:sz w:val="20"/>
                <w:szCs w:val="20"/>
                <w:color w:val="auto"/>
              </w:rPr>
            </w:pPr>
            <w:r>
              <w:rPr>
                <w:rFonts w:ascii="Arial" w:cs="Arial" w:eastAsia="Arial" w:hAnsi="Arial"/>
                <w:sz w:val="14"/>
                <w:szCs w:val="14"/>
                <w:color w:val="auto"/>
              </w:rPr>
              <w:t>7,412,870</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rPr>
              <w:t>2013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750,000</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3,456,600</w:t>
            </w: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1,088,235</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1,063,125</w:t>
            </w:r>
          </w:p>
        </w:tc>
        <w:tc>
          <w:tcPr>
            <w:tcW w:w="11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170,972</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6,528,932</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and Chief Financial Officer</w:t>
            </w:r>
          </w:p>
        </w:tc>
        <w:tc>
          <w:tcPr>
            <w:tcW w:w="700" w:type="dxa"/>
            <w:vAlign w:val="bottom"/>
            <w:tcBorders>
              <w:bottom w:val="single" w:sz="8" w:color="225CAB"/>
            </w:tcBorders>
          </w:tcPr>
          <w:p>
            <w:pPr>
              <w:ind w:left="260"/>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225CAB"/>
            </w:tcBorders>
          </w:tcPr>
          <w:p>
            <w:pPr>
              <w:jc w:val="right"/>
              <w:ind w:right="52"/>
              <w:spacing w:after="0"/>
              <w:rPr>
                <w:sz w:val="20"/>
                <w:szCs w:val="20"/>
                <w:color w:val="auto"/>
              </w:rPr>
            </w:pPr>
            <w:r>
              <w:rPr>
                <w:rFonts w:ascii="Arial" w:cs="Arial" w:eastAsia="Arial" w:hAnsi="Arial"/>
                <w:sz w:val="14"/>
                <w:szCs w:val="14"/>
                <w:color w:val="auto"/>
              </w:rPr>
              <w:t>725,000</w:t>
            </w:r>
          </w:p>
        </w:tc>
        <w:tc>
          <w:tcPr>
            <w:tcW w:w="640" w:type="dxa"/>
            <w:vAlign w:val="bottom"/>
            <w:tcBorders>
              <w:bottom w:val="single" w:sz="8" w:color="225CAB"/>
            </w:tcBorders>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2,808,600</w:t>
            </w:r>
          </w:p>
        </w:tc>
        <w:tc>
          <w:tcPr>
            <w:tcW w:w="88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893,100</w:t>
            </w:r>
          </w:p>
        </w:tc>
        <w:tc>
          <w:tcPr>
            <w:tcW w:w="138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1,087,500</w:t>
            </w:r>
          </w:p>
        </w:tc>
        <w:tc>
          <w:tcPr>
            <w:tcW w:w="1120" w:type="dxa"/>
            <w:vAlign w:val="bottom"/>
            <w:tcBorders>
              <w:bottom w:val="single" w:sz="8" w:color="225CAB"/>
            </w:tcBorders>
          </w:tcPr>
          <w:p>
            <w:pPr>
              <w:jc w:val="right"/>
              <w:ind w:right="133"/>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168,169</w:t>
            </w:r>
          </w:p>
        </w:tc>
        <w:tc>
          <w:tcPr>
            <w:tcW w:w="1080" w:type="dxa"/>
            <w:vAlign w:val="bottom"/>
            <w:tcBorders>
              <w:bottom w:val="single" w:sz="8" w:color="225CAB"/>
            </w:tcBorders>
          </w:tcPr>
          <w:p>
            <w:pPr>
              <w:jc w:val="right"/>
              <w:ind w:right="12"/>
              <w:spacing w:after="0"/>
              <w:rPr>
                <w:sz w:val="20"/>
                <w:szCs w:val="20"/>
                <w:color w:val="auto"/>
              </w:rPr>
            </w:pPr>
            <w:r>
              <w:rPr>
                <w:rFonts w:ascii="Arial" w:cs="Arial" w:eastAsia="Arial" w:hAnsi="Arial"/>
                <w:sz w:val="14"/>
                <w:szCs w:val="14"/>
                <w:color w:val="auto"/>
              </w:rPr>
              <w:t>5,682,369</w:t>
            </w:r>
          </w:p>
        </w:tc>
        <w:tc>
          <w:tcPr>
            <w:tcW w:w="0" w:type="dxa"/>
            <w:vAlign w:val="bottom"/>
          </w:tcPr>
          <w:p>
            <w:pPr>
              <w:spacing w:after="0"/>
              <w:rPr>
                <w:sz w:val="1"/>
                <w:szCs w:val="1"/>
                <w:color w:val="auto"/>
              </w:rPr>
            </w:pPr>
          </w:p>
        </w:tc>
      </w:tr>
      <w:tr>
        <w:trPr>
          <w:trHeight w:val="125"/>
        </w:trPr>
        <w:tc>
          <w:tcPr>
            <w:tcW w:w="2540" w:type="dxa"/>
            <w:vAlign w:val="bottom"/>
          </w:tcPr>
          <w:p>
            <w:pPr>
              <w:spacing w:after="0" w:line="125" w:lineRule="exact"/>
              <w:rPr>
                <w:sz w:val="20"/>
                <w:szCs w:val="20"/>
                <w:color w:val="auto"/>
              </w:rPr>
            </w:pPr>
            <w:r>
              <w:rPr>
                <w:rFonts w:ascii="Arial" w:cs="Arial" w:eastAsia="Arial" w:hAnsi="Arial"/>
                <w:sz w:val="14"/>
                <w:szCs w:val="14"/>
                <w:b w:val="1"/>
                <w:bCs w:val="1"/>
                <w:color w:val="225CAB"/>
              </w:rPr>
              <w:t>David B. Liner</w:t>
            </w:r>
          </w:p>
        </w:tc>
        <w:tc>
          <w:tcPr>
            <w:tcW w:w="700" w:type="dxa"/>
            <w:vAlign w:val="bottom"/>
          </w:tcPr>
          <w:p>
            <w:pPr>
              <w:ind w:left="260"/>
              <w:spacing w:after="0" w:line="125"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2"/>
              <w:spacing w:after="0" w:line="125" w:lineRule="exact"/>
              <w:rPr>
                <w:sz w:val="20"/>
                <w:szCs w:val="20"/>
                <w:color w:val="auto"/>
              </w:rPr>
            </w:pPr>
            <w:r>
              <w:rPr>
                <w:rFonts w:ascii="Arial" w:cs="Arial" w:eastAsia="Arial" w:hAnsi="Arial"/>
                <w:sz w:val="14"/>
                <w:szCs w:val="14"/>
                <w:color w:val="auto"/>
              </w:rPr>
              <w:t>450,000</w:t>
            </w:r>
          </w:p>
        </w:tc>
        <w:tc>
          <w:tcPr>
            <w:tcW w:w="64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25" w:lineRule="exact"/>
              <w:rPr>
                <w:sz w:val="20"/>
                <w:szCs w:val="20"/>
                <w:color w:val="auto"/>
              </w:rPr>
            </w:pPr>
            <w:r>
              <w:rPr>
                <w:rFonts w:ascii="Arial" w:cs="Arial" w:eastAsia="Arial" w:hAnsi="Arial"/>
                <w:sz w:val="14"/>
                <w:szCs w:val="14"/>
                <w:color w:val="auto"/>
              </w:rPr>
              <w:t>845,160</w:t>
            </w:r>
          </w:p>
        </w:tc>
        <w:tc>
          <w:tcPr>
            <w:tcW w:w="8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434,525</w:t>
            </w:r>
          </w:p>
        </w:tc>
        <w:tc>
          <w:tcPr>
            <w:tcW w:w="13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450,000</w:t>
            </w:r>
          </w:p>
        </w:tc>
        <w:tc>
          <w:tcPr>
            <w:tcW w:w="1120" w:type="dxa"/>
            <w:vAlign w:val="bottom"/>
          </w:tcPr>
          <w:p>
            <w:pPr>
              <w:jc w:val="right"/>
              <w:ind w:right="133"/>
              <w:spacing w:after="0" w:line="125"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25" w:lineRule="exact"/>
              <w:rPr>
                <w:sz w:val="20"/>
                <w:szCs w:val="20"/>
                <w:color w:val="auto"/>
              </w:rPr>
            </w:pPr>
            <w:r>
              <w:rPr>
                <w:rFonts w:ascii="Arial" w:cs="Arial" w:eastAsia="Arial" w:hAnsi="Arial"/>
                <w:sz w:val="14"/>
                <w:szCs w:val="14"/>
                <w:color w:val="auto"/>
              </w:rPr>
              <w:t>99,426</w:t>
            </w:r>
          </w:p>
        </w:tc>
        <w:tc>
          <w:tcPr>
            <w:tcW w:w="1080" w:type="dxa"/>
            <w:vAlign w:val="bottom"/>
          </w:tcPr>
          <w:p>
            <w:pPr>
              <w:jc w:val="right"/>
              <w:ind w:right="12"/>
              <w:spacing w:after="0" w:line="125" w:lineRule="exact"/>
              <w:rPr>
                <w:sz w:val="20"/>
                <w:szCs w:val="20"/>
                <w:color w:val="auto"/>
              </w:rPr>
            </w:pPr>
            <w:r>
              <w:rPr>
                <w:rFonts w:ascii="Arial" w:cs="Arial" w:eastAsia="Arial" w:hAnsi="Arial"/>
                <w:sz w:val="14"/>
                <w:szCs w:val="14"/>
                <w:color w:val="auto"/>
              </w:rPr>
              <w:t>2,279,111</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Vice President, General</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rPr>
              <w:t>2013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440,000</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691,320</w:t>
            </w: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435,294</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415,800</w:t>
            </w:r>
          </w:p>
        </w:tc>
        <w:tc>
          <w:tcPr>
            <w:tcW w:w="11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96,642</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2,079,056</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Counsel and Secretary</w:t>
            </w:r>
          </w:p>
        </w:tc>
        <w:tc>
          <w:tcPr>
            <w:tcW w:w="700" w:type="dxa"/>
            <w:vAlign w:val="bottom"/>
            <w:tcBorders>
              <w:bottom w:val="single" w:sz="8" w:color="225CAB"/>
            </w:tcBorders>
          </w:tcPr>
          <w:p>
            <w:pPr>
              <w:ind w:left="260"/>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225CAB"/>
            </w:tcBorders>
          </w:tcPr>
          <w:p>
            <w:pPr>
              <w:jc w:val="right"/>
              <w:ind w:right="52"/>
              <w:spacing w:after="0"/>
              <w:rPr>
                <w:sz w:val="20"/>
                <w:szCs w:val="20"/>
                <w:color w:val="auto"/>
              </w:rPr>
            </w:pPr>
            <w:r>
              <w:rPr>
                <w:rFonts w:ascii="Arial" w:cs="Arial" w:eastAsia="Arial" w:hAnsi="Arial"/>
                <w:sz w:val="14"/>
                <w:szCs w:val="14"/>
                <w:color w:val="auto"/>
              </w:rPr>
              <w:t>430,000</w:t>
            </w:r>
          </w:p>
        </w:tc>
        <w:tc>
          <w:tcPr>
            <w:tcW w:w="640" w:type="dxa"/>
            <w:vAlign w:val="bottom"/>
            <w:tcBorders>
              <w:bottom w:val="single" w:sz="8" w:color="225CAB"/>
            </w:tcBorders>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561,720</w:t>
            </w:r>
          </w:p>
        </w:tc>
        <w:tc>
          <w:tcPr>
            <w:tcW w:w="88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357,240</w:t>
            </w:r>
          </w:p>
        </w:tc>
        <w:tc>
          <w:tcPr>
            <w:tcW w:w="138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430,000</w:t>
            </w:r>
          </w:p>
        </w:tc>
        <w:tc>
          <w:tcPr>
            <w:tcW w:w="1120" w:type="dxa"/>
            <w:vAlign w:val="bottom"/>
            <w:tcBorders>
              <w:bottom w:val="single" w:sz="8" w:color="225CAB"/>
            </w:tcBorders>
          </w:tcPr>
          <w:p>
            <w:pPr>
              <w:jc w:val="right"/>
              <w:ind w:right="133"/>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99,022</w:t>
            </w:r>
          </w:p>
        </w:tc>
        <w:tc>
          <w:tcPr>
            <w:tcW w:w="1080" w:type="dxa"/>
            <w:vAlign w:val="bottom"/>
            <w:tcBorders>
              <w:bottom w:val="single" w:sz="8" w:color="225CAB"/>
            </w:tcBorders>
          </w:tcPr>
          <w:p>
            <w:pPr>
              <w:jc w:val="right"/>
              <w:ind w:right="12"/>
              <w:spacing w:after="0"/>
              <w:rPr>
                <w:sz w:val="20"/>
                <w:szCs w:val="20"/>
                <w:color w:val="auto"/>
              </w:rPr>
            </w:pPr>
            <w:r>
              <w:rPr>
                <w:rFonts w:ascii="Arial" w:cs="Arial" w:eastAsia="Arial" w:hAnsi="Arial"/>
                <w:sz w:val="14"/>
                <w:szCs w:val="14"/>
                <w:color w:val="auto"/>
              </w:rPr>
              <w:t>1,877,982</w:t>
            </w:r>
          </w:p>
        </w:tc>
        <w:tc>
          <w:tcPr>
            <w:tcW w:w="0" w:type="dxa"/>
            <w:vAlign w:val="bottom"/>
          </w:tcPr>
          <w:p>
            <w:pPr>
              <w:spacing w:after="0"/>
              <w:rPr>
                <w:sz w:val="1"/>
                <w:szCs w:val="1"/>
                <w:color w:val="auto"/>
              </w:rPr>
            </w:pPr>
          </w:p>
        </w:tc>
      </w:tr>
      <w:tr>
        <w:trPr>
          <w:trHeight w:val="125"/>
        </w:trPr>
        <w:tc>
          <w:tcPr>
            <w:tcW w:w="2540" w:type="dxa"/>
            <w:vAlign w:val="bottom"/>
          </w:tcPr>
          <w:p>
            <w:pPr>
              <w:spacing w:after="0" w:line="125" w:lineRule="exact"/>
              <w:rPr>
                <w:sz w:val="20"/>
                <w:szCs w:val="20"/>
                <w:color w:val="auto"/>
              </w:rPr>
            </w:pPr>
            <w:r>
              <w:rPr>
                <w:rFonts w:ascii="Arial" w:cs="Arial" w:eastAsia="Arial" w:hAnsi="Arial"/>
                <w:sz w:val="14"/>
                <w:szCs w:val="14"/>
                <w:b w:val="1"/>
                <w:bCs w:val="1"/>
                <w:color w:val="225CAB"/>
              </w:rPr>
              <w:t>Paul J. Soni</w:t>
            </w:r>
          </w:p>
        </w:tc>
        <w:tc>
          <w:tcPr>
            <w:tcW w:w="700" w:type="dxa"/>
            <w:vAlign w:val="bottom"/>
          </w:tcPr>
          <w:p>
            <w:pPr>
              <w:ind w:left="260"/>
              <w:spacing w:after="0" w:line="125"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2"/>
              <w:spacing w:after="0" w:line="125" w:lineRule="exact"/>
              <w:rPr>
                <w:sz w:val="20"/>
                <w:szCs w:val="20"/>
                <w:color w:val="auto"/>
              </w:rPr>
            </w:pPr>
            <w:r>
              <w:rPr>
                <w:rFonts w:ascii="Arial" w:cs="Arial" w:eastAsia="Arial" w:hAnsi="Arial"/>
                <w:sz w:val="14"/>
                <w:szCs w:val="14"/>
                <w:color w:val="auto"/>
              </w:rPr>
              <w:t>410,000</w:t>
            </w:r>
          </w:p>
        </w:tc>
        <w:tc>
          <w:tcPr>
            <w:tcW w:w="64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25" w:lineRule="exact"/>
              <w:rPr>
                <w:sz w:val="20"/>
                <w:szCs w:val="20"/>
                <w:color w:val="auto"/>
              </w:rPr>
            </w:pPr>
            <w:r>
              <w:rPr>
                <w:rFonts w:ascii="Arial" w:cs="Arial" w:eastAsia="Arial" w:hAnsi="Arial"/>
                <w:sz w:val="14"/>
                <w:szCs w:val="14"/>
                <w:color w:val="auto"/>
              </w:rPr>
              <w:t>845,160</w:t>
            </w:r>
          </w:p>
        </w:tc>
        <w:tc>
          <w:tcPr>
            <w:tcW w:w="8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434,525</w:t>
            </w:r>
          </w:p>
        </w:tc>
        <w:tc>
          <w:tcPr>
            <w:tcW w:w="13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328,000</w:t>
            </w:r>
          </w:p>
        </w:tc>
        <w:tc>
          <w:tcPr>
            <w:tcW w:w="1120" w:type="dxa"/>
            <w:vAlign w:val="bottom"/>
          </w:tcPr>
          <w:p>
            <w:pPr>
              <w:jc w:val="right"/>
              <w:ind w:right="133"/>
              <w:spacing w:after="0" w:line="125"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25" w:lineRule="exact"/>
              <w:rPr>
                <w:sz w:val="20"/>
                <w:szCs w:val="20"/>
                <w:color w:val="auto"/>
              </w:rPr>
            </w:pPr>
            <w:r>
              <w:rPr>
                <w:rFonts w:ascii="Arial" w:cs="Arial" w:eastAsia="Arial" w:hAnsi="Arial"/>
                <w:sz w:val="14"/>
                <w:szCs w:val="14"/>
                <w:color w:val="auto"/>
              </w:rPr>
              <w:t>89,031</w:t>
            </w:r>
          </w:p>
        </w:tc>
        <w:tc>
          <w:tcPr>
            <w:tcW w:w="1080" w:type="dxa"/>
            <w:vAlign w:val="bottom"/>
          </w:tcPr>
          <w:p>
            <w:pPr>
              <w:jc w:val="right"/>
              <w:ind w:right="12"/>
              <w:spacing w:after="0" w:line="125" w:lineRule="exact"/>
              <w:rPr>
                <w:sz w:val="20"/>
                <w:szCs w:val="20"/>
                <w:color w:val="auto"/>
              </w:rPr>
            </w:pPr>
            <w:r>
              <w:rPr>
                <w:rFonts w:ascii="Arial" w:cs="Arial" w:eastAsia="Arial" w:hAnsi="Arial"/>
                <w:sz w:val="14"/>
                <w:szCs w:val="14"/>
                <w:color w:val="auto"/>
              </w:rPr>
              <w:t>2,106,716</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Vice President and</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rPr>
              <w:t>2013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400,000</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691,320</w:t>
            </w: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435,294</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302,400</w:t>
            </w:r>
          </w:p>
        </w:tc>
        <w:tc>
          <w:tcPr>
            <w:tcW w:w="11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86,646</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1,915,660</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4"/>
                <w:szCs w:val="14"/>
                <w:color w:val="auto"/>
              </w:rPr>
              <w:t>Corporate Controller</w:t>
            </w:r>
          </w:p>
        </w:tc>
        <w:tc>
          <w:tcPr>
            <w:tcW w:w="700" w:type="dxa"/>
            <w:vAlign w:val="bottom"/>
          </w:tcPr>
          <w:p>
            <w:pPr>
              <w:ind w:left="260"/>
              <w:spacing w:after="0"/>
              <w:rPr>
                <w:sz w:val="20"/>
                <w:szCs w:val="20"/>
                <w:color w:val="auto"/>
              </w:rPr>
            </w:pPr>
            <w:r>
              <w:rPr>
                <w:rFonts w:ascii="Arial" w:cs="Arial" w:eastAsia="Arial" w:hAnsi="Arial"/>
                <w:sz w:val="14"/>
                <w:szCs w:val="14"/>
                <w:color w:val="auto"/>
              </w:rPr>
              <w:t>2012</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385,000</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561,720</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357,240</w:t>
            </w: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308,000</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88,829</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1,700,789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192"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Amounts shown include, as applicable, deferrals to the 401(k) Plan and the Non-Qualified Retirement Plan.</w:t>
      </w:r>
    </w:p>
    <w:p>
      <w:pPr>
        <w:spacing w:after="0" w:line="65" w:lineRule="exact"/>
        <w:rPr>
          <w:rFonts w:ascii="Arial" w:cs="Arial" w:eastAsia="Arial" w:hAnsi="Arial"/>
          <w:sz w:val="22"/>
          <w:szCs w:val="22"/>
          <w:color w:val="auto"/>
          <w:vertAlign w:val="superscript"/>
        </w:rPr>
      </w:pPr>
    </w:p>
    <w:p>
      <w:pPr>
        <w:ind w:left="340" w:right="20" w:hanging="332"/>
        <w:spacing w:after="0" w:line="205"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restricted stock and option awards calculated in accordance with ASC Topic 718. The assumptions used in determining the grant date fair values of these option awards are set forth in Note 11 to our consolidated financial statements for 2014, which are included in our Annual Report on Form 10-K for the fiscal year ended 2014, filed with the SEC. The named executive officers have no assurance that these amounts will be realized. The change in value of stock awards is due solely to the increase in share price as the same number of shares were granted each year. The restricted stock awards are subject to both time-based and performance-based vesting criteria. The performance-based criteria for awards granted in 2014 are described in the CD&amp;A under “Analysis of 2014 Compensation—Long-Term Stock Incentives,” and the vesting schedule for awards granted in 2014 is set forth in the notes to the 2014 Outstanding Equity Awards at Fiscal Year End Table below.</w:t>
      </w:r>
    </w:p>
    <w:p>
      <w:pPr>
        <w:spacing w:after="0" w:line="52" w:lineRule="exact"/>
        <w:rPr>
          <w:rFonts w:ascii="Arial" w:cs="Arial" w:eastAsia="Arial" w:hAnsi="Arial"/>
          <w:sz w:val="22"/>
          <w:szCs w:val="22"/>
          <w:color w:val="auto"/>
          <w:vertAlign w:val="superscript"/>
        </w:rPr>
      </w:pPr>
    </w:p>
    <w:p>
      <w:pPr>
        <w:ind w:left="340" w:right="380" w:hanging="332"/>
        <w:spacing w:after="0" w:line="190"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reflect payments made pursuant to our cash incentive bonus program, which is described above in the CD&amp;A under “Analysis of 2014 Compensation— Annual Cash Incentive and “Analysis of 2014 Compensation—CEO Long-Term Cash Incentive.”</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The Non-Qualified Retirement Plan does not provide for “above-market” or preferential earnings as defined in applicable SEC rules.</w:t>
      </w:r>
    </w:p>
    <w:p>
      <w:pPr>
        <w:spacing w:after="0" w:line="66" w:lineRule="exact"/>
        <w:rPr>
          <w:rFonts w:ascii="Arial" w:cs="Arial" w:eastAsia="Arial" w:hAnsi="Arial"/>
          <w:sz w:val="22"/>
          <w:szCs w:val="22"/>
          <w:color w:val="auto"/>
          <w:vertAlign w:val="superscript"/>
        </w:rPr>
      </w:pPr>
    </w:p>
    <w:p>
      <w:pPr>
        <w:ind w:left="340" w:right="520" w:hanging="332"/>
        <w:spacing w:after="0" w:line="181"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Amounts reported in the “All Other Compensation” column for 2014 include the following items. In respect of any of these items that constitute perquisites, the value shown is the Company’s incremental cost.</w:t>
      </w:r>
    </w:p>
    <w:p>
      <w:pPr>
        <w:spacing w:after="0" w:line="3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Contributions</w:t>
            </w:r>
          </w:p>
        </w:tc>
        <w:tc>
          <w:tcPr>
            <w:tcW w:w="1000" w:type="dxa"/>
            <w:vAlign w:val="bottom"/>
          </w:tcPr>
          <w:p>
            <w:pPr>
              <w:spacing w:after="0"/>
              <w:rPr>
                <w:sz w:val="14"/>
                <w:szCs w:val="14"/>
                <w:color w:val="auto"/>
              </w:rPr>
            </w:pPr>
          </w:p>
        </w:tc>
      </w:tr>
      <w:tr>
        <w:trPr>
          <w:trHeight w:val="152"/>
        </w:trPr>
        <w:tc>
          <w:tcPr>
            <w:tcW w:w="28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Arial" w:cs="Arial" w:eastAsia="Arial" w:hAnsi="Arial"/>
                <w:sz w:val="14"/>
                <w:szCs w:val="14"/>
                <w:color w:val="auto"/>
                <w:w w:val="94"/>
              </w:rPr>
              <w:t>Additional</w:t>
            </w:r>
          </w:p>
        </w:tc>
        <w:tc>
          <w:tcPr>
            <w:tcW w:w="1500" w:type="dxa"/>
            <w:vAlign w:val="bottom"/>
          </w:tcPr>
          <w:p>
            <w:pPr>
              <w:jc w:val="center"/>
              <w:spacing w:after="0" w:line="152" w:lineRule="exact"/>
              <w:rPr>
                <w:sz w:val="20"/>
                <w:szCs w:val="20"/>
                <w:color w:val="auto"/>
              </w:rPr>
            </w:pPr>
            <w:r>
              <w:rPr>
                <w:rFonts w:ascii="Arial" w:cs="Arial" w:eastAsia="Arial" w:hAnsi="Arial"/>
                <w:sz w:val="14"/>
                <w:szCs w:val="14"/>
                <w:color w:val="auto"/>
                <w:w w:val="97"/>
              </w:rPr>
              <w:t>to Defined</w:t>
            </w:r>
          </w:p>
        </w:tc>
        <w:tc>
          <w:tcPr>
            <w:tcW w:w="1000" w:type="dxa"/>
            <w:vAlign w:val="bottom"/>
          </w:tcPr>
          <w:p>
            <w:pPr>
              <w:spacing w:after="0"/>
              <w:rPr>
                <w:sz w:val="13"/>
                <w:szCs w:val="13"/>
                <w:color w:val="auto"/>
              </w:rPr>
            </w:pPr>
          </w:p>
        </w:tc>
      </w:tr>
      <w:tr>
        <w:trPr>
          <w:trHeight w:val="149"/>
        </w:trPr>
        <w:tc>
          <w:tcPr>
            <w:tcW w:w="2840" w:type="dxa"/>
            <w:vAlign w:val="bottom"/>
          </w:tcPr>
          <w:p>
            <w:pPr>
              <w:spacing w:after="0"/>
              <w:rPr>
                <w:sz w:val="12"/>
                <w:szCs w:val="12"/>
                <w:color w:val="auto"/>
              </w:rPr>
            </w:pPr>
          </w:p>
        </w:tc>
        <w:tc>
          <w:tcPr>
            <w:tcW w:w="3060" w:type="dxa"/>
            <w:vAlign w:val="bottom"/>
          </w:tcPr>
          <w:p>
            <w:pPr>
              <w:jc w:val="center"/>
              <w:ind w:left="1392"/>
              <w:spacing w:after="0" w:line="149" w:lineRule="exact"/>
              <w:rPr>
                <w:sz w:val="20"/>
                <w:szCs w:val="20"/>
                <w:color w:val="auto"/>
              </w:rPr>
            </w:pPr>
            <w:r>
              <w:rPr>
                <w:rFonts w:ascii="Arial" w:cs="Arial" w:eastAsia="Arial" w:hAnsi="Arial"/>
                <w:sz w:val="14"/>
                <w:szCs w:val="14"/>
                <w:color w:val="auto"/>
                <w:w w:val="97"/>
              </w:rPr>
              <w:t>Club</w:t>
            </w:r>
          </w:p>
        </w:tc>
        <w:tc>
          <w:tcPr>
            <w:tcW w:w="13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Company</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Medical</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5"/>
              </w:rPr>
              <w:t>Contribution</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Financial</w:t>
            </w:r>
          </w:p>
        </w:tc>
      </w:tr>
      <w:tr>
        <w:trPr>
          <w:trHeight w:val="149"/>
        </w:trPr>
        <w:tc>
          <w:tcPr>
            <w:tcW w:w="2840" w:type="dxa"/>
            <w:vAlign w:val="bottom"/>
          </w:tcPr>
          <w:p>
            <w:pPr>
              <w:spacing w:after="0"/>
              <w:rPr>
                <w:sz w:val="12"/>
                <w:szCs w:val="12"/>
                <w:color w:val="auto"/>
              </w:rPr>
            </w:pPr>
          </w:p>
        </w:tc>
        <w:tc>
          <w:tcPr>
            <w:tcW w:w="3060" w:type="dxa"/>
            <w:vAlign w:val="bottom"/>
          </w:tcPr>
          <w:p>
            <w:pPr>
              <w:jc w:val="center"/>
              <w:ind w:left="1392"/>
              <w:spacing w:after="0" w:line="149" w:lineRule="exact"/>
              <w:rPr>
                <w:sz w:val="20"/>
                <w:szCs w:val="20"/>
                <w:color w:val="auto"/>
              </w:rPr>
            </w:pPr>
            <w:r>
              <w:rPr>
                <w:rFonts w:ascii="Arial" w:cs="Arial" w:eastAsia="Arial" w:hAnsi="Arial"/>
                <w:sz w:val="14"/>
                <w:szCs w:val="14"/>
                <w:color w:val="auto"/>
                <w:w w:val="95"/>
              </w:rPr>
              <w:t>Memberships</w:t>
            </w:r>
          </w:p>
        </w:tc>
        <w:tc>
          <w:tcPr>
            <w:tcW w:w="13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Car</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8"/>
              </w:rPr>
              <w:t>Benefits</w:t>
            </w:r>
          </w:p>
        </w:tc>
        <w:tc>
          <w:tcPr>
            <w:tcW w:w="1500" w:type="dxa"/>
            <w:vAlign w:val="bottom"/>
          </w:tcPr>
          <w:p>
            <w:pPr>
              <w:jc w:val="center"/>
              <w:spacing w:after="0" w:line="149" w:lineRule="exact"/>
              <w:rPr>
                <w:sz w:val="20"/>
                <w:szCs w:val="20"/>
                <w:color w:val="auto"/>
              </w:rPr>
            </w:pPr>
            <w:r>
              <w:rPr>
                <w:rFonts w:ascii="Arial" w:cs="Arial" w:eastAsia="Arial" w:hAnsi="Arial"/>
                <w:sz w:val="11"/>
                <w:szCs w:val="11"/>
                <w:color w:val="auto"/>
              </w:rPr>
              <w:t>Plans</w:t>
            </w:r>
            <w:r>
              <w:rPr>
                <w:rFonts w:ascii="Arial" w:cs="Arial" w:eastAsia="Arial" w:hAnsi="Arial"/>
                <w:sz w:val="17"/>
                <w:szCs w:val="17"/>
                <w:color w:val="auto"/>
                <w:vertAlign w:val="superscript"/>
              </w:rPr>
              <w:t>(a)</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Planning</w:t>
            </w:r>
          </w:p>
        </w:tc>
      </w:tr>
      <w:tr>
        <w:trPr>
          <w:trHeight w:val="176"/>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060" w:type="dxa"/>
            <w:vAlign w:val="bottom"/>
            <w:tcBorders>
              <w:bottom w:val="single" w:sz="8" w:color="auto"/>
            </w:tcBorders>
          </w:tcPr>
          <w:p>
            <w:pPr>
              <w:jc w:val="center"/>
              <w:ind w:left="1392"/>
              <w:spacing w:after="0"/>
              <w:rPr>
                <w:sz w:val="20"/>
                <w:szCs w:val="20"/>
                <w:color w:val="auto"/>
              </w:rPr>
            </w:pPr>
            <w:r>
              <w:rPr>
                <w:rFonts w:ascii="Arial" w:cs="Arial" w:eastAsia="Arial" w:hAnsi="Arial"/>
                <w:sz w:val="14"/>
                <w:szCs w:val="14"/>
                <w:color w:val="auto"/>
                <w:w w:val="93"/>
              </w:rPr>
              <w:t>($)</w:t>
            </w: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r>
      <w:tr>
        <w:trPr>
          <w:trHeight w:val="125"/>
        </w:trPr>
        <w:tc>
          <w:tcPr>
            <w:tcW w:w="2840" w:type="dxa"/>
            <w:vAlign w:val="bottom"/>
          </w:tcPr>
          <w:p>
            <w:pPr>
              <w:spacing w:after="0" w:line="125" w:lineRule="exact"/>
              <w:rPr>
                <w:sz w:val="20"/>
                <w:szCs w:val="20"/>
                <w:color w:val="auto"/>
              </w:rPr>
            </w:pPr>
            <w:r>
              <w:rPr>
                <w:rFonts w:ascii="Arial" w:cs="Arial" w:eastAsia="Arial" w:hAnsi="Arial"/>
                <w:sz w:val="14"/>
                <w:szCs w:val="14"/>
                <w:color w:val="auto"/>
              </w:rPr>
              <w:t>Brian D. Jellison</w:t>
            </w:r>
          </w:p>
        </w:tc>
        <w:tc>
          <w:tcPr>
            <w:tcW w:w="3060" w:type="dxa"/>
            <w:vAlign w:val="bottom"/>
          </w:tcPr>
          <w:p>
            <w:pPr>
              <w:jc w:val="right"/>
              <w:ind w:right="332"/>
              <w:spacing w:after="0" w:line="125" w:lineRule="exact"/>
              <w:rPr>
                <w:sz w:val="20"/>
                <w:szCs w:val="20"/>
                <w:color w:val="auto"/>
              </w:rPr>
            </w:pPr>
            <w:r>
              <w:rPr>
                <w:rFonts w:ascii="Arial" w:cs="Arial" w:eastAsia="Arial" w:hAnsi="Arial"/>
                <w:sz w:val="14"/>
                <w:szCs w:val="14"/>
                <w:color w:val="auto"/>
              </w:rPr>
              <w:t>1,444</w:t>
            </w:r>
          </w:p>
        </w:tc>
        <w:tc>
          <w:tcPr>
            <w:tcW w:w="1340" w:type="dxa"/>
            <w:vAlign w:val="bottom"/>
          </w:tcPr>
          <w:p>
            <w:pPr>
              <w:jc w:val="right"/>
              <w:ind w:right="312"/>
              <w:spacing w:after="0" w:line="125" w:lineRule="exact"/>
              <w:rPr>
                <w:sz w:val="20"/>
                <w:szCs w:val="20"/>
                <w:color w:val="auto"/>
              </w:rPr>
            </w:pPr>
            <w:r>
              <w:rPr>
                <w:rFonts w:ascii="Arial" w:cs="Arial" w:eastAsia="Arial" w:hAnsi="Arial"/>
                <w:sz w:val="14"/>
                <w:szCs w:val="14"/>
                <w:color w:val="auto"/>
              </w:rPr>
              <w:t>24,000</w:t>
            </w:r>
          </w:p>
        </w:tc>
        <w:tc>
          <w:tcPr>
            <w:tcW w:w="1320" w:type="dxa"/>
            <w:vAlign w:val="bottom"/>
          </w:tcPr>
          <w:p>
            <w:pPr>
              <w:jc w:val="right"/>
              <w:ind w:right="272"/>
              <w:spacing w:after="0" w:line="125" w:lineRule="exact"/>
              <w:rPr>
                <w:sz w:val="20"/>
                <w:szCs w:val="20"/>
                <w:color w:val="auto"/>
              </w:rPr>
            </w:pPr>
            <w:r>
              <w:rPr>
                <w:rFonts w:ascii="Arial" w:cs="Arial" w:eastAsia="Arial" w:hAnsi="Arial"/>
                <w:sz w:val="14"/>
                <w:szCs w:val="14"/>
                <w:color w:val="auto"/>
              </w:rPr>
              <w:t>21,794</w:t>
            </w:r>
          </w:p>
        </w:tc>
        <w:tc>
          <w:tcPr>
            <w:tcW w:w="1500" w:type="dxa"/>
            <w:vAlign w:val="bottom"/>
          </w:tcPr>
          <w:p>
            <w:pPr>
              <w:jc w:val="right"/>
              <w:ind w:right="294"/>
              <w:spacing w:after="0" w:line="125" w:lineRule="exact"/>
              <w:rPr>
                <w:sz w:val="20"/>
                <w:szCs w:val="20"/>
                <w:color w:val="auto"/>
              </w:rPr>
            </w:pPr>
            <w:r>
              <w:rPr>
                <w:rFonts w:ascii="Arial" w:cs="Arial" w:eastAsia="Arial" w:hAnsi="Arial"/>
                <w:sz w:val="14"/>
                <w:szCs w:val="14"/>
                <w:color w:val="auto"/>
              </w:rPr>
              <w:t>283,238</w:t>
            </w:r>
          </w:p>
        </w:tc>
        <w:tc>
          <w:tcPr>
            <w:tcW w:w="10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4,744</w:t>
            </w: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John Humphrey</w:t>
            </w:r>
          </w:p>
        </w:tc>
        <w:tc>
          <w:tcPr>
            <w:tcW w:w="30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7,924</w:t>
            </w:r>
          </w:p>
        </w:tc>
        <w:tc>
          <w:tcPr>
            <w:tcW w:w="13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24,000</w:t>
            </w:r>
          </w:p>
        </w:tc>
        <w:tc>
          <w:tcPr>
            <w:tcW w:w="13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12,973</w:t>
            </w:r>
          </w:p>
        </w:tc>
        <w:tc>
          <w:tcPr>
            <w:tcW w:w="1500" w:type="dxa"/>
            <w:vAlign w:val="bottom"/>
          </w:tcPr>
          <w:p>
            <w:pPr>
              <w:jc w:val="right"/>
              <w:ind w:right="294"/>
              <w:spacing w:after="0" w:line="149" w:lineRule="exact"/>
              <w:rPr>
                <w:sz w:val="20"/>
                <w:szCs w:val="20"/>
                <w:color w:val="auto"/>
              </w:rPr>
            </w:pPr>
            <w:r>
              <w:rPr>
                <w:rFonts w:ascii="Arial" w:cs="Arial" w:eastAsia="Arial" w:hAnsi="Arial"/>
                <w:sz w:val="14"/>
                <w:szCs w:val="14"/>
                <w:color w:val="auto"/>
              </w:rPr>
              <w:t>136,900</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1,461</w:t>
            </w: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David B. Liner</w:t>
            </w:r>
          </w:p>
        </w:tc>
        <w:tc>
          <w:tcPr>
            <w:tcW w:w="30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2,914</w:t>
            </w:r>
          </w:p>
        </w:tc>
        <w:tc>
          <w:tcPr>
            <w:tcW w:w="13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19,000</w:t>
            </w:r>
          </w:p>
        </w:tc>
        <w:tc>
          <w:tcPr>
            <w:tcW w:w="13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12,577</w:t>
            </w:r>
          </w:p>
        </w:tc>
        <w:tc>
          <w:tcPr>
            <w:tcW w:w="1500" w:type="dxa"/>
            <w:vAlign w:val="bottom"/>
          </w:tcPr>
          <w:p>
            <w:pPr>
              <w:jc w:val="right"/>
              <w:ind w:right="294"/>
              <w:spacing w:after="0" w:line="149" w:lineRule="exact"/>
              <w:rPr>
                <w:sz w:val="20"/>
                <w:szCs w:val="20"/>
                <w:color w:val="auto"/>
              </w:rPr>
            </w:pPr>
            <w:r>
              <w:rPr>
                <w:rFonts w:ascii="Arial" w:cs="Arial" w:eastAsia="Arial" w:hAnsi="Arial"/>
                <w:sz w:val="14"/>
                <w:szCs w:val="14"/>
                <w:color w:val="auto"/>
              </w:rPr>
              <w:t>64,935</w:t>
            </w: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r>
      <w:tr>
        <w:trPr>
          <w:trHeight w:val="180"/>
        </w:trPr>
        <w:tc>
          <w:tcPr>
            <w:tcW w:w="2840" w:type="dxa"/>
            <w:vAlign w:val="bottom"/>
          </w:tcPr>
          <w:p>
            <w:pPr>
              <w:spacing w:after="0"/>
              <w:rPr>
                <w:sz w:val="20"/>
                <w:szCs w:val="20"/>
                <w:color w:val="auto"/>
              </w:rPr>
            </w:pPr>
            <w:r>
              <w:rPr>
                <w:rFonts w:ascii="Arial" w:cs="Arial" w:eastAsia="Arial" w:hAnsi="Arial"/>
                <w:sz w:val="14"/>
                <w:szCs w:val="14"/>
                <w:color w:val="auto"/>
              </w:rPr>
              <w:t>Paul J. Soni</w:t>
            </w:r>
          </w:p>
        </w:tc>
        <w:tc>
          <w:tcPr>
            <w:tcW w:w="3060" w:type="dxa"/>
            <w:vAlign w:val="bottom"/>
          </w:tcPr>
          <w:p>
            <w:pPr>
              <w:jc w:val="right"/>
              <w:ind w:right="332"/>
              <w:spacing w:after="0"/>
              <w:rPr>
                <w:sz w:val="20"/>
                <w:szCs w:val="20"/>
                <w:color w:val="auto"/>
              </w:rPr>
            </w:pPr>
            <w:r>
              <w:rPr>
                <w:rFonts w:ascii="Arial" w:cs="Arial" w:eastAsia="Arial" w:hAnsi="Arial"/>
                <w:sz w:val="14"/>
                <w:szCs w:val="14"/>
                <w:color w:val="auto"/>
              </w:rPr>
              <w:t>7,924</w:t>
            </w:r>
          </w:p>
        </w:tc>
        <w:tc>
          <w:tcPr>
            <w:tcW w:w="1340" w:type="dxa"/>
            <w:vAlign w:val="bottom"/>
          </w:tcPr>
          <w:p>
            <w:pPr>
              <w:jc w:val="right"/>
              <w:ind w:right="312"/>
              <w:spacing w:after="0"/>
              <w:rPr>
                <w:sz w:val="20"/>
                <w:szCs w:val="20"/>
                <w:color w:val="auto"/>
              </w:rPr>
            </w:pPr>
            <w:r>
              <w:rPr>
                <w:rFonts w:ascii="Arial" w:cs="Arial" w:eastAsia="Arial" w:hAnsi="Arial"/>
                <w:sz w:val="14"/>
                <w:szCs w:val="14"/>
                <w:color w:val="auto"/>
              </w:rPr>
              <w:t>19,000</w:t>
            </w:r>
          </w:p>
        </w:tc>
        <w:tc>
          <w:tcPr>
            <w:tcW w:w="1320" w:type="dxa"/>
            <w:vAlign w:val="bottom"/>
          </w:tcPr>
          <w:p>
            <w:pPr>
              <w:jc w:val="right"/>
              <w:ind w:right="272"/>
              <w:spacing w:after="0"/>
              <w:rPr>
                <w:sz w:val="20"/>
                <w:szCs w:val="20"/>
                <w:color w:val="auto"/>
              </w:rPr>
            </w:pPr>
            <w:r>
              <w:rPr>
                <w:rFonts w:ascii="Arial" w:cs="Arial" w:eastAsia="Arial" w:hAnsi="Arial"/>
                <w:sz w:val="14"/>
                <w:szCs w:val="14"/>
                <w:color w:val="auto"/>
              </w:rPr>
              <w:t>8,677</w:t>
            </w:r>
          </w:p>
        </w:tc>
        <w:tc>
          <w:tcPr>
            <w:tcW w:w="1500" w:type="dxa"/>
            <w:vAlign w:val="bottom"/>
          </w:tcPr>
          <w:p>
            <w:pPr>
              <w:jc w:val="right"/>
              <w:ind w:right="294"/>
              <w:spacing w:after="0"/>
              <w:rPr>
                <w:sz w:val="20"/>
                <w:szCs w:val="20"/>
                <w:color w:val="auto"/>
              </w:rPr>
            </w:pPr>
            <w:r>
              <w:rPr>
                <w:rFonts w:ascii="Arial" w:cs="Arial" w:eastAsia="Arial" w:hAnsi="Arial"/>
                <w:sz w:val="14"/>
                <w:szCs w:val="14"/>
                <w:color w:val="auto"/>
              </w:rPr>
              <w:t>53,430</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w:t>
            </w:r>
          </w:p>
        </w:tc>
      </w:tr>
    </w:tbl>
    <w:p>
      <w:pPr>
        <w:ind w:left="800" w:hanging="454"/>
        <w:spacing w:after="0" w:line="217" w:lineRule="auto"/>
        <w:tabs>
          <w:tab w:leader="none" w:pos="80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Reflects contributions to the Non-Qualified Retirement Plan and Employee’s Retirement Savings 003 Plan.</w:t>
      </w:r>
    </w:p>
    <w:p>
      <w:pPr>
        <w:spacing w:after="0" w:line="134"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39</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Grants of Plan-Based Awards</w:t>
      </w:r>
    </w:p>
    <w:p>
      <w:pPr>
        <w:spacing w:after="0" w:line="7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table sets forth certain information with respect to grants of plan-based awards for the fiscal year ended December 31, 2014 to the named executive officers.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shd w:val="clear" w:color="auto" w:fill="225CAB"/>
          </w:tcPr>
          <w:p>
            <w:pPr>
              <w:spacing w:after="0"/>
              <w:rPr>
                <w:sz w:val="14"/>
                <w:szCs w:val="14"/>
                <w:color w:val="auto"/>
              </w:rPr>
            </w:pPr>
          </w:p>
        </w:tc>
        <w:tc>
          <w:tcPr>
            <w:tcW w:w="1100" w:type="dxa"/>
            <w:vAlign w:val="bottom"/>
            <w:shd w:val="clear" w:color="auto" w:fill="225CAB"/>
          </w:tcPr>
          <w:p>
            <w:pPr>
              <w:spacing w:after="0"/>
              <w:rPr>
                <w:sz w:val="14"/>
                <w:szCs w:val="14"/>
                <w:color w:val="auto"/>
              </w:rPr>
            </w:pPr>
          </w:p>
        </w:tc>
        <w:tc>
          <w:tcPr>
            <w:tcW w:w="880" w:type="dxa"/>
            <w:vAlign w:val="bottom"/>
            <w:shd w:val="clear" w:color="auto" w:fill="225CAB"/>
          </w:tcPr>
          <w:p>
            <w:pPr>
              <w:spacing w:after="0"/>
              <w:rPr>
                <w:sz w:val="14"/>
                <w:szCs w:val="14"/>
                <w:color w:val="auto"/>
              </w:rPr>
            </w:pPr>
          </w:p>
        </w:tc>
        <w:tc>
          <w:tcPr>
            <w:tcW w:w="1200" w:type="dxa"/>
            <w:vAlign w:val="bottom"/>
            <w:shd w:val="clear" w:color="auto" w:fill="225CAB"/>
          </w:tcPr>
          <w:p>
            <w:pPr>
              <w:spacing w:after="0"/>
              <w:rPr>
                <w:sz w:val="14"/>
                <w:szCs w:val="14"/>
                <w:color w:val="auto"/>
              </w:rPr>
            </w:pPr>
          </w:p>
        </w:tc>
        <w:tc>
          <w:tcPr>
            <w:tcW w:w="920" w:type="dxa"/>
            <w:vAlign w:val="bottom"/>
            <w:shd w:val="clear" w:color="auto" w:fill="225CAB"/>
          </w:tcPr>
          <w:p>
            <w:pPr>
              <w:spacing w:after="0"/>
              <w:rPr>
                <w:sz w:val="14"/>
                <w:szCs w:val="14"/>
                <w:color w:val="auto"/>
              </w:rPr>
            </w:pPr>
          </w:p>
        </w:tc>
        <w:tc>
          <w:tcPr>
            <w:tcW w:w="1100" w:type="dxa"/>
            <w:vAlign w:val="bottom"/>
            <w:shd w:val="clear" w:color="auto" w:fill="225CAB"/>
          </w:tcPr>
          <w:p>
            <w:pPr>
              <w:jc w:val="center"/>
              <w:ind w:right="113"/>
              <w:spacing w:after="0"/>
              <w:rPr>
                <w:sz w:val="20"/>
                <w:szCs w:val="20"/>
                <w:color w:val="auto"/>
              </w:rPr>
            </w:pPr>
            <w:r>
              <w:rPr>
                <w:rFonts w:ascii="Arial" w:cs="Arial" w:eastAsia="Arial" w:hAnsi="Arial"/>
                <w:sz w:val="14"/>
                <w:szCs w:val="14"/>
                <w:color w:val="FFFFFF"/>
                <w:w w:val="96"/>
              </w:rPr>
              <w:t>Estimated</w:t>
            </w:r>
          </w:p>
        </w:tc>
        <w:tc>
          <w:tcPr>
            <w:tcW w:w="1040" w:type="dxa"/>
            <w:vAlign w:val="bottom"/>
            <w:shd w:val="clear" w:color="auto" w:fill="225CAB"/>
          </w:tcPr>
          <w:p>
            <w:pPr>
              <w:spacing w:after="0"/>
              <w:rPr>
                <w:sz w:val="14"/>
                <w:szCs w:val="14"/>
                <w:color w:val="auto"/>
              </w:rPr>
            </w:pPr>
          </w:p>
        </w:tc>
        <w:tc>
          <w:tcPr>
            <w:tcW w:w="1260" w:type="dxa"/>
            <w:vAlign w:val="bottom"/>
            <w:shd w:val="clear" w:color="auto" w:fill="225CAB"/>
          </w:tcPr>
          <w:p>
            <w:pPr>
              <w:spacing w:after="0"/>
              <w:rPr>
                <w:sz w:val="14"/>
                <w:szCs w:val="14"/>
                <w:color w:val="auto"/>
              </w:rPr>
            </w:pPr>
          </w:p>
        </w:tc>
        <w:tc>
          <w:tcPr>
            <w:tcW w:w="106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2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8"/>
              </w:rPr>
              <w:t>Future</w:t>
            </w:r>
          </w:p>
        </w:tc>
        <w:tc>
          <w:tcPr>
            <w:tcW w:w="1040" w:type="dxa"/>
            <w:vAlign w:val="bottom"/>
            <w:shd w:val="clear" w:color="auto" w:fill="225CAB"/>
          </w:tcPr>
          <w:p>
            <w:pPr>
              <w:spacing w:after="0"/>
              <w:rPr>
                <w:sz w:val="12"/>
                <w:szCs w:val="12"/>
                <w:color w:val="auto"/>
              </w:rPr>
            </w:pPr>
          </w:p>
        </w:tc>
        <w:tc>
          <w:tcPr>
            <w:tcW w:w="1260" w:type="dxa"/>
            <w:vAlign w:val="bottom"/>
            <w:shd w:val="clear" w:color="auto" w:fill="225CAB"/>
          </w:tcPr>
          <w:p>
            <w:pPr>
              <w:spacing w:after="0"/>
              <w:rPr>
                <w:sz w:val="12"/>
                <w:szCs w:val="12"/>
                <w:color w:val="auto"/>
              </w:rPr>
            </w:pPr>
          </w:p>
        </w:tc>
        <w:tc>
          <w:tcPr>
            <w:tcW w:w="106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2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4"/>
              </w:rPr>
              <w:t>Payouts</w:t>
            </w:r>
          </w:p>
        </w:tc>
        <w:tc>
          <w:tcPr>
            <w:tcW w:w="1040" w:type="dxa"/>
            <w:vAlign w:val="bottom"/>
            <w:shd w:val="clear" w:color="auto" w:fill="225CAB"/>
          </w:tcPr>
          <w:p>
            <w:pPr>
              <w:spacing w:after="0"/>
              <w:rPr>
                <w:sz w:val="12"/>
                <w:szCs w:val="12"/>
                <w:color w:val="auto"/>
              </w:rPr>
            </w:pPr>
          </w:p>
        </w:tc>
        <w:tc>
          <w:tcPr>
            <w:tcW w:w="1260" w:type="dxa"/>
            <w:vAlign w:val="bottom"/>
            <w:shd w:val="clear" w:color="auto" w:fill="225CAB"/>
          </w:tcPr>
          <w:p>
            <w:pPr>
              <w:spacing w:after="0"/>
              <w:rPr>
                <w:sz w:val="12"/>
                <w:szCs w:val="12"/>
                <w:color w:val="auto"/>
              </w:rPr>
            </w:pPr>
          </w:p>
        </w:tc>
        <w:tc>
          <w:tcPr>
            <w:tcW w:w="106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2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4"/>
              </w:rPr>
              <w:t>Under</w:t>
            </w:r>
          </w:p>
        </w:tc>
        <w:tc>
          <w:tcPr>
            <w:tcW w:w="1040" w:type="dxa"/>
            <w:vAlign w:val="bottom"/>
            <w:shd w:val="clear" w:color="auto" w:fill="225CAB"/>
          </w:tcPr>
          <w:p>
            <w:pPr>
              <w:spacing w:after="0"/>
              <w:rPr>
                <w:sz w:val="12"/>
                <w:szCs w:val="12"/>
                <w:color w:val="auto"/>
              </w:rPr>
            </w:pPr>
          </w:p>
        </w:tc>
        <w:tc>
          <w:tcPr>
            <w:tcW w:w="1260" w:type="dxa"/>
            <w:vAlign w:val="bottom"/>
            <w:shd w:val="clear" w:color="auto" w:fill="225CAB"/>
          </w:tcPr>
          <w:p>
            <w:pPr>
              <w:spacing w:after="0"/>
              <w:rPr>
                <w:sz w:val="12"/>
                <w:szCs w:val="12"/>
                <w:color w:val="auto"/>
              </w:rPr>
            </w:pPr>
          </w:p>
        </w:tc>
        <w:tc>
          <w:tcPr>
            <w:tcW w:w="106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shd w:val="clear" w:color="auto" w:fill="225CAB"/>
          </w:tcPr>
          <w:p>
            <w:pPr>
              <w:spacing w:after="0"/>
              <w:rPr>
                <w:sz w:val="14"/>
                <w:szCs w:val="14"/>
                <w:color w:val="auto"/>
              </w:rPr>
            </w:pPr>
          </w:p>
        </w:tc>
        <w:tc>
          <w:tcPr>
            <w:tcW w:w="1100" w:type="dxa"/>
            <w:vAlign w:val="bottom"/>
            <w:shd w:val="clear" w:color="auto" w:fill="225CAB"/>
          </w:tcPr>
          <w:p>
            <w:pPr>
              <w:spacing w:after="0"/>
              <w:rPr>
                <w:sz w:val="14"/>
                <w:szCs w:val="14"/>
                <w:color w:val="auto"/>
              </w:rPr>
            </w:pPr>
          </w:p>
        </w:tc>
        <w:tc>
          <w:tcPr>
            <w:tcW w:w="880" w:type="dxa"/>
            <w:vAlign w:val="bottom"/>
            <w:shd w:val="clear" w:color="auto" w:fill="225CAB"/>
          </w:tcPr>
          <w:p>
            <w:pPr>
              <w:spacing w:after="0"/>
              <w:rPr>
                <w:sz w:val="14"/>
                <w:szCs w:val="14"/>
                <w:color w:val="auto"/>
              </w:rPr>
            </w:pPr>
          </w:p>
        </w:tc>
        <w:tc>
          <w:tcPr>
            <w:tcW w:w="1200" w:type="dxa"/>
            <w:vAlign w:val="bottom"/>
            <w:shd w:val="clear" w:color="auto" w:fill="225CAB"/>
          </w:tcPr>
          <w:p>
            <w:pPr>
              <w:spacing w:after="0"/>
              <w:rPr>
                <w:sz w:val="14"/>
                <w:szCs w:val="14"/>
                <w:color w:val="auto"/>
              </w:rPr>
            </w:pPr>
          </w:p>
        </w:tc>
        <w:tc>
          <w:tcPr>
            <w:tcW w:w="920" w:type="dxa"/>
            <w:vAlign w:val="bottom"/>
            <w:shd w:val="clear" w:color="auto" w:fill="225CAB"/>
          </w:tcPr>
          <w:p>
            <w:pPr>
              <w:spacing w:after="0"/>
              <w:rPr>
                <w:sz w:val="14"/>
                <w:szCs w:val="14"/>
                <w:color w:val="auto"/>
              </w:rPr>
            </w:pPr>
          </w:p>
        </w:tc>
        <w:tc>
          <w:tcPr>
            <w:tcW w:w="1100" w:type="dxa"/>
            <w:vAlign w:val="bottom"/>
            <w:shd w:val="clear" w:color="auto" w:fill="225CAB"/>
          </w:tcPr>
          <w:p>
            <w:pPr>
              <w:jc w:val="center"/>
              <w:ind w:right="93"/>
              <w:spacing w:after="0"/>
              <w:rPr>
                <w:sz w:val="20"/>
                <w:szCs w:val="20"/>
                <w:color w:val="auto"/>
              </w:rPr>
            </w:pPr>
            <w:r>
              <w:rPr>
                <w:rFonts w:ascii="Arial" w:cs="Arial" w:eastAsia="Arial" w:hAnsi="Arial"/>
                <w:sz w:val="14"/>
                <w:szCs w:val="14"/>
                <w:color w:val="FFFFFF"/>
                <w:w w:val="97"/>
              </w:rPr>
              <w:t>Equity</w:t>
            </w:r>
          </w:p>
        </w:tc>
        <w:tc>
          <w:tcPr>
            <w:tcW w:w="1040" w:type="dxa"/>
            <w:vAlign w:val="bottom"/>
            <w:shd w:val="clear" w:color="auto" w:fill="225CAB"/>
          </w:tcPr>
          <w:p>
            <w:pPr>
              <w:jc w:val="center"/>
              <w:ind w:right="133"/>
              <w:spacing w:after="0"/>
              <w:rPr>
                <w:sz w:val="20"/>
                <w:szCs w:val="20"/>
                <w:color w:val="auto"/>
              </w:rPr>
            </w:pPr>
            <w:r>
              <w:rPr>
                <w:rFonts w:ascii="Arial" w:cs="Arial" w:eastAsia="Arial" w:hAnsi="Arial"/>
                <w:sz w:val="14"/>
                <w:szCs w:val="14"/>
                <w:color w:val="FFFFFF"/>
                <w:w w:val="95"/>
              </w:rPr>
              <w:t>All Other</w:t>
            </w:r>
          </w:p>
        </w:tc>
        <w:tc>
          <w:tcPr>
            <w:tcW w:w="1260" w:type="dxa"/>
            <w:vAlign w:val="bottom"/>
            <w:shd w:val="clear" w:color="auto" w:fill="225CAB"/>
          </w:tcPr>
          <w:p>
            <w:pPr>
              <w:spacing w:after="0"/>
              <w:rPr>
                <w:sz w:val="14"/>
                <w:szCs w:val="14"/>
                <w:color w:val="auto"/>
              </w:rPr>
            </w:pPr>
          </w:p>
        </w:tc>
        <w:tc>
          <w:tcPr>
            <w:tcW w:w="106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Estimated Future</w:t>
            </w:r>
          </w:p>
        </w:tc>
        <w:tc>
          <w:tcPr>
            <w:tcW w:w="92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6"/>
              </w:rPr>
              <w:t>Incentive</w:t>
            </w:r>
          </w:p>
        </w:tc>
        <w:tc>
          <w:tcPr>
            <w:tcW w:w="1040" w:type="dxa"/>
            <w:vAlign w:val="bottom"/>
            <w:shd w:val="clear" w:color="auto" w:fill="225CAB"/>
          </w:tcPr>
          <w:p>
            <w:pPr>
              <w:jc w:val="center"/>
              <w:ind w:right="133"/>
              <w:spacing w:after="0" w:line="149" w:lineRule="exact"/>
              <w:rPr>
                <w:sz w:val="20"/>
                <w:szCs w:val="20"/>
                <w:color w:val="auto"/>
              </w:rPr>
            </w:pPr>
            <w:r>
              <w:rPr>
                <w:rFonts w:ascii="Arial" w:cs="Arial" w:eastAsia="Arial" w:hAnsi="Arial"/>
                <w:sz w:val="14"/>
                <w:szCs w:val="14"/>
                <w:color w:val="FFFFFF"/>
                <w:w w:val="96"/>
              </w:rPr>
              <w:t>Option</w:t>
            </w:r>
          </w:p>
        </w:tc>
        <w:tc>
          <w:tcPr>
            <w:tcW w:w="1260" w:type="dxa"/>
            <w:vAlign w:val="bottom"/>
            <w:shd w:val="clear" w:color="auto" w:fill="225CAB"/>
          </w:tcPr>
          <w:p>
            <w:pPr>
              <w:spacing w:after="0"/>
              <w:rPr>
                <w:sz w:val="12"/>
                <w:szCs w:val="12"/>
                <w:color w:val="auto"/>
              </w:rPr>
            </w:pPr>
          </w:p>
        </w:tc>
        <w:tc>
          <w:tcPr>
            <w:tcW w:w="106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3000" w:type="dxa"/>
            <w:vAlign w:val="bottom"/>
            <w:gridSpan w:val="3"/>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Payout Under Non-Equity</w:t>
            </w:r>
          </w:p>
        </w:tc>
        <w:tc>
          <w:tcPr>
            <w:tcW w:w="110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9"/>
              </w:rPr>
              <w:t>Plan</w:t>
            </w:r>
          </w:p>
        </w:tc>
        <w:tc>
          <w:tcPr>
            <w:tcW w:w="1040" w:type="dxa"/>
            <w:vAlign w:val="bottom"/>
            <w:shd w:val="clear" w:color="auto" w:fill="225CAB"/>
          </w:tcPr>
          <w:p>
            <w:pPr>
              <w:jc w:val="center"/>
              <w:ind w:right="133"/>
              <w:spacing w:after="0" w:line="149" w:lineRule="exact"/>
              <w:rPr>
                <w:sz w:val="20"/>
                <w:szCs w:val="20"/>
                <w:color w:val="auto"/>
              </w:rPr>
            </w:pPr>
            <w:r>
              <w:rPr>
                <w:rFonts w:ascii="Arial" w:cs="Arial" w:eastAsia="Arial" w:hAnsi="Arial"/>
                <w:sz w:val="14"/>
                <w:szCs w:val="14"/>
                <w:color w:val="FFFFFF"/>
                <w:w w:val="96"/>
              </w:rPr>
              <w:t>Awards: #</w:t>
            </w:r>
          </w:p>
        </w:tc>
        <w:tc>
          <w:tcPr>
            <w:tcW w:w="12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Exercise /</w:t>
            </w:r>
          </w:p>
        </w:tc>
        <w:tc>
          <w:tcPr>
            <w:tcW w:w="106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3000" w:type="dxa"/>
            <w:vAlign w:val="bottom"/>
            <w:gridSpan w:val="3"/>
            <w:shd w:val="clear" w:color="auto" w:fill="225CAB"/>
          </w:tcPr>
          <w:p>
            <w:pPr>
              <w:jc w:val="center"/>
              <w:spacing w:after="0" w:line="149" w:lineRule="exact"/>
              <w:rPr>
                <w:sz w:val="20"/>
                <w:szCs w:val="20"/>
                <w:color w:val="auto"/>
              </w:rPr>
            </w:pPr>
            <w:r>
              <w:rPr>
                <w:rFonts w:ascii="Arial" w:cs="Arial" w:eastAsia="Arial" w:hAnsi="Arial"/>
                <w:sz w:val="11"/>
                <w:szCs w:val="11"/>
                <w:color w:val="FFFFFF"/>
              </w:rPr>
              <w:t>Incentive Plan Awards</w:t>
            </w:r>
            <w:r>
              <w:rPr>
                <w:rFonts w:ascii="Arial" w:cs="Arial" w:eastAsia="Arial" w:hAnsi="Arial"/>
                <w:sz w:val="17"/>
                <w:szCs w:val="17"/>
                <w:color w:val="FFFFFF"/>
                <w:vertAlign w:val="superscript"/>
              </w:rPr>
              <w:t>(1)</w:t>
            </w:r>
          </w:p>
        </w:tc>
        <w:tc>
          <w:tcPr>
            <w:tcW w:w="110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1"/>
                <w:szCs w:val="11"/>
                <w:color w:val="FFFFFF"/>
              </w:rPr>
              <w:t>Awards</w:t>
            </w:r>
            <w:r>
              <w:rPr>
                <w:rFonts w:ascii="Arial" w:cs="Arial" w:eastAsia="Arial" w:hAnsi="Arial"/>
                <w:sz w:val="17"/>
                <w:szCs w:val="17"/>
                <w:color w:val="FFFFFF"/>
                <w:vertAlign w:val="superscript"/>
              </w:rPr>
              <w:t>(2)</w:t>
            </w:r>
          </w:p>
        </w:tc>
        <w:tc>
          <w:tcPr>
            <w:tcW w:w="104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6"/>
              </w:rPr>
              <w:t>of Securities</w:t>
            </w:r>
          </w:p>
        </w:tc>
        <w:tc>
          <w:tcPr>
            <w:tcW w:w="12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Base Price of</w:t>
            </w:r>
          </w:p>
        </w:tc>
        <w:tc>
          <w:tcPr>
            <w:tcW w:w="10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jc w:val="right"/>
              <w:ind w:right="292"/>
              <w:spacing w:after="0" w:line="149" w:lineRule="exact"/>
              <w:rPr>
                <w:sz w:val="20"/>
                <w:szCs w:val="20"/>
                <w:color w:val="auto"/>
              </w:rPr>
            </w:pPr>
            <w:r>
              <w:rPr>
                <w:rFonts w:ascii="Arial" w:cs="Arial" w:eastAsia="Arial" w:hAnsi="Arial"/>
                <w:sz w:val="14"/>
                <w:szCs w:val="14"/>
                <w:color w:val="FFFFFF"/>
              </w:rPr>
              <w:t>Grant</w:t>
            </w:r>
          </w:p>
        </w:tc>
        <w:tc>
          <w:tcPr>
            <w:tcW w:w="880" w:type="dxa"/>
            <w:vAlign w:val="bottom"/>
            <w:shd w:val="clear" w:color="auto" w:fill="225CAB"/>
          </w:tcPr>
          <w:p>
            <w:pPr>
              <w:jc w:val="right"/>
              <w:ind w:right="54"/>
              <w:spacing w:after="0" w:line="149" w:lineRule="exact"/>
              <w:rPr>
                <w:sz w:val="20"/>
                <w:szCs w:val="20"/>
                <w:color w:val="auto"/>
              </w:rPr>
            </w:pPr>
            <w:r>
              <w:rPr>
                <w:rFonts w:ascii="Arial" w:cs="Arial" w:eastAsia="Arial" w:hAnsi="Arial"/>
                <w:sz w:val="14"/>
                <w:szCs w:val="14"/>
                <w:color w:val="FFFFFF"/>
              </w:rPr>
              <w:t>Threshold</w:t>
            </w:r>
          </w:p>
        </w:tc>
        <w:tc>
          <w:tcPr>
            <w:tcW w:w="1200" w:type="dxa"/>
            <w:vAlign w:val="bottom"/>
            <w:shd w:val="clear" w:color="auto" w:fill="225CAB"/>
          </w:tcPr>
          <w:p>
            <w:pPr>
              <w:jc w:val="right"/>
              <w:ind w:right="372"/>
              <w:spacing w:after="0" w:line="149" w:lineRule="exact"/>
              <w:rPr>
                <w:sz w:val="20"/>
                <w:szCs w:val="20"/>
                <w:color w:val="auto"/>
              </w:rPr>
            </w:pPr>
            <w:r>
              <w:rPr>
                <w:rFonts w:ascii="Arial" w:cs="Arial" w:eastAsia="Arial" w:hAnsi="Arial"/>
                <w:sz w:val="14"/>
                <w:szCs w:val="14"/>
                <w:color w:val="FFFFFF"/>
              </w:rPr>
              <w:t>Target</w:t>
            </w:r>
          </w:p>
        </w:tc>
        <w:tc>
          <w:tcPr>
            <w:tcW w:w="920" w:type="dxa"/>
            <w:vAlign w:val="bottom"/>
            <w:shd w:val="clear" w:color="auto" w:fill="225CAB"/>
          </w:tcPr>
          <w:p>
            <w:pPr>
              <w:jc w:val="right"/>
              <w:ind w:right="172"/>
              <w:spacing w:after="0" w:line="149" w:lineRule="exact"/>
              <w:rPr>
                <w:sz w:val="20"/>
                <w:szCs w:val="20"/>
                <w:color w:val="auto"/>
              </w:rPr>
            </w:pPr>
            <w:r>
              <w:rPr>
                <w:rFonts w:ascii="Arial" w:cs="Arial" w:eastAsia="Arial" w:hAnsi="Arial"/>
                <w:sz w:val="14"/>
                <w:szCs w:val="14"/>
                <w:color w:val="FFFFFF"/>
              </w:rPr>
              <w:t>Maximum</w:t>
            </w: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3"/>
              </w:rPr>
              <w:t>Target</w:t>
            </w:r>
          </w:p>
        </w:tc>
        <w:tc>
          <w:tcPr>
            <w:tcW w:w="1040" w:type="dxa"/>
            <w:vAlign w:val="bottom"/>
            <w:shd w:val="clear" w:color="auto" w:fill="225CAB"/>
          </w:tcPr>
          <w:p>
            <w:pPr>
              <w:jc w:val="center"/>
              <w:ind w:right="133"/>
              <w:spacing w:after="0" w:line="149" w:lineRule="exact"/>
              <w:rPr>
                <w:sz w:val="20"/>
                <w:szCs w:val="20"/>
                <w:color w:val="auto"/>
              </w:rPr>
            </w:pPr>
            <w:r>
              <w:rPr>
                <w:rFonts w:ascii="Arial" w:cs="Arial" w:eastAsia="Arial" w:hAnsi="Arial"/>
                <w:sz w:val="14"/>
                <w:szCs w:val="14"/>
                <w:color w:val="FFFFFF"/>
                <w:w w:val="95"/>
              </w:rPr>
              <w:t>Underlying</w:t>
            </w:r>
          </w:p>
        </w:tc>
        <w:tc>
          <w:tcPr>
            <w:tcW w:w="12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Option Awards</w:t>
            </w:r>
          </w:p>
        </w:tc>
        <w:tc>
          <w:tcPr>
            <w:tcW w:w="106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Fair Value</w:t>
            </w:r>
            <w:r>
              <w:rPr>
                <w:rFonts w:ascii="Arial" w:cs="Arial" w:eastAsia="Arial" w:hAnsi="Arial"/>
                <w:sz w:val="17"/>
                <w:szCs w:val="17"/>
                <w:color w:val="FFFFFF"/>
                <w:vertAlign w:val="superscript"/>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shd w:val="clear" w:color="auto" w:fill="225CAB"/>
          </w:tcPr>
          <w:p>
            <w:pPr>
              <w:ind w:left="1240"/>
              <w:spacing w:after="0"/>
              <w:rPr>
                <w:sz w:val="20"/>
                <w:szCs w:val="20"/>
                <w:color w:val="auto"/>
              </w:rPr>
            </w:pPr>
            <w:r>
              <w:rPr>
                <w:rFonts w:ascii="Arial" w:cs="Arial" w:eastAsia="Arial" w:hAnsi="Arial"/>
                <w:sz w:val="14"/>
                <w:szCs w:val="14"/>
                <w:color w:val="FFFFFF"/>
              </w:rPr>
              <w:t>Name</w:t>
            </w:r>
          </w:p>
        </w:tc>
        <w:tc>
          <w:tcPr>
            <w:tcW w:w="1100" w:type="dxa"/>
            <w:vAlign w:val="bottom"/>
            <w:shd w:val="clear" w:color="auto" w:fill="225CAB"/>
          </w:tcPr>
          <w:p>
            <w:pPr>
              <w:jc w:val="right"/>
              <w:ind w:right="312"/>
              <w:spacing w:after="0"/>
              <w:rPr>
                <w:sz w:val="20"/>
                <w:szCs w:val="20"/>
                <w:color w:val="auto"/>
              </w:rPr>
            </w:pPr>
            <w:r>
              <w:rPr>
                <w:rFonts w:ascii="Arial" w:cs="Arial" w:eastAsia="Arial" w:hAnsi="Arial"/>
                <w:sz w:val="14"/>
                <w:szCs w:val="14"/>
                <w:color w:val="FFFFFF"/>
              </w:rPr>
              <w:t>Date</w:t>
            </w:r>
          </w:p>
        </w:tc>
        <w:tc>
          <w:tcPr>
            <w:tcW w:w="880" w:type="dxa"/>
            <w:vAlign w:val="bottom"/>
            <w:shd w:val="clear" w:color="auto" w:fill="225CAB"/>
          </w:tcPr>
          <w:p>
            <w:pPr>
              <w:jc w:val="right"/>
              <w:ind w:right="274"/>
              <w:spacing w:after="0"/>
              <w:rPr>
                <w:sz w:val="20"/>
                <w:szCs w:val="20"/>
                <w:color w:val="auto"/>
              </w:rPr>
            </w:pPr>
            <w:r>
              <w:rPr>
                <w:rFonts w:ascii="Arial" w:cs="Arial" w:eastAsia="Arial" w:hAnsi="Arial"/>
                <w:sz w:val="14"/>
                <w:szCs w:val="14"/>
                <w:color w:val="FFFFFF"/>
              </w:rPr>
              <w:t>($)</w:t>
            </w:r>
          </w:p>
        </w:tc>
        <w:tc>
          <w:tcPr>
            <w:tcW w:w="1200" w:type="dxa"/>
            <w:vAlign w:val="bottom"/>
            <w:shd w:val="clear" w:color="auto" w:fill="225CAB"/>
          </w:tcPr>
          <w:p>
            <w:pPr>
              <w:jc w:val="right"/>
              <w:ind w:right="472"/>
              <w:spacing w:after="0"/>
              <w:rPr>
                <w:sz w:val="20"/>
                <w:szCs w:val="20"/>
                <w:color w:val="auto"/>
              </w:rPr>
            </w:pPr>
            <w:r>
              <w:rPr>
                <w:rFonts w:ascii="Arial" w:cs="Arial" w:eastAsia="Arial" w:hAnsi="Arial"/>
                <w:sz w:val="14"/>
                <w:szCs w:val="14"/>
                <w:color w:val="FFFFFF"/>
              </w:rPr>
              <w:t>($)</w:t>
            </w:r>
          </w:p>
        </w:tc>
        <w:tc>
          <w:tcPr>
            <w:tcW w:w="920" w:type="dxa"/>
            <w:vAlign w:val="bottom"/>
            <w:shd w:val="clear" w:color="auto" w:fill="225CAB"/>
          </w:tcPr>
          <w:p>
            <w:pPr>
              <w:jc w:val="right"/>
              <w:ind w:right="372"/>
              <w:spacing w:after="0"/>
              <w:rPr>
                <w:sz w:val="20"/>
                <w:szCs w:val="20"/>
                <w:color w:val="auto"/>
              </w:rPr>
            </w:pPr>
            <w:r>
              <w:rPr>
                <w:rFonts w:ascii="Arial" w:cs="Arial" w:eastAsia="Arial" w:hAnsi="Arial"/>
                <w:sz w:val="14"/>
                <w:szCs w:val="14"/>
                <w:color w:val="FFFFFF"/>
              </w:rPr>
              <w:t>($)</w:t>
            </w:r>
          </w:p>
        </w:tc>
        <w:tc>
          <w:tcPr>
            <w:tcW w:w="1100" w:type="dxa"/>
            <w:vAlign w:val="bottom"/>
            <w:shd w:val="clear" w:color="auto" w:fill="225CAB"/>
          </w:tcPr>
          <w:p>
            <w:pPr>
              <w:jc w:val="center"/>
              <w:ind w:right="113"/>
              <w:spacing w:after="0"/>
              <w:rPr>
                <w:sz w:val="20"/>
                <w:szCs w:val="20"/>
                <w:color w:val="auto"/>
              </w:rPr>
            </w:pPr>
            <w:r>
              <w:rPr>
                <w:rFonts w:ascii="Arial" w:cs="Arial" w:eastAsia="Arial" w:hAnsi="Arial"/>
                <w:sz w:val="14"/>
                <w:szCs w:val="14"/>
                <w:color w:val="FFFFFF"/>
                <w:w w:val="93"/>
              </w:rPr>
              <w:t>(#)</w:t>
            </w:r>
          </w:p>
        </w:tc>
        <w:tc>
          <w:tcPr>
            <w:tcW w:w="1040" w:type="dxa"/>
            <w:vAlign w:val="bottom"/>
            <w:shd w:val="clear" w:color="auto" w:fill="225CAB"/>
          </w:tcPr>
          <w:p>
            <w:pPr>
              <w:jc w:val="center"/>
              <w:ind w:right="133"/>
              <w:spacing w:after="0" w:line="176" w:lineRule="exact"/>
              <w:rPr>
                <w:sz w:val="20"/>
                <w:szCs w:val="20"/>
                <w:color w:val="auto"/>
              </w:rPr>
            </w:pPr>
            <w:r>
              <w:rPr>
                <w:rFonts w:ascii="Arial" w:cs="Arial" w:eastAsia="Arial" w:hAnsi="Arial"/>
                <w:sz w:val="13"/>
                <w:szCs w:val="13"/>
                <w:color w:val="FFFFFF"/>
                <w:w w:val="98"/>
              </w:rPr>
              <w:t>Options</w:t>
            </w:r>
            <w:r>
              <w:rPr>
                <w:rFonts w:ascii="Arial" w:cs="Arial" w:eastAsia="Arial" w:hAnsi="Arial"/>
                <w:sz w:val="20"/>
                <w:szCs w:val="20"/>
                <w:color w:val="FFFFFF"/>
                <w:w w:val="98"/>
                <w:vertAlign w:val="superscript"/>
              </w:rPr>
              <w:t>(3)</w:t>
            </w:r>
          </w:p>
        </w:tc>
        <w:tc>
          <w:tcPr>
            <w:tcW w:w="12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9"/>
              </w:rPr>
              <w:t>($/Sh)</w:t>
            </w:r>
          </w:p>
        </w:tc>
        <w:tc>
          <w:tcPr>
            <w:tcW w:w="10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color w:val="225CAB"/>
              </w:rPr>
              <w:t>Brian D. Jellison</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1/16/2014</w:t>
            </w: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color w:val="auto"/>
              </w:rPr>
              <w:t>964,688</w:t>
            </w:r>
          </w:p>
        </w:tc>
        <w:tc>
          <w:tcPr>
            <w:tcW w:w="1200" w:type="dxa"/>
            <w:vAlign w:val="bottom"/>
            <w:vMerge w:val="restart"/>
          </w:tcPr>
          <w:p>
            <w:pPr>
              <w:jc w:val="right"/>
              <w:ind w:right="192"/>
              <w:spacing w:after="0"/>
              <w:rPr>
                <w:sz w:val="20"/>
                <w:szCs w:val="20"/>
                <w:color w:val="auto"/>
              </w:rPr>
            </w:pPr>
            <w:r>
              <w:rPr>
                <w:rFonts w:ascii="Arial" w:cs="Arial" w:eastAsia="Arial" w:hAnsi="Arial"/>
                <w:sz w:val="14"/>
                <w:szCs w:val="14"/>
                <w:color w:val="auto"/>
              </w:rPr>
              <w:t>2,756,250</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2,756,250</w:t>
            </w:r>
          </w:p>
        </w:tc>
        <w:tc>
          <w:tcPr>
            <w:tcW w:w="1100" w:type="dxa"/>
            <w:vAlign w:val="bottom"/>
          </w:tcPr>
          <w:p>
            <w:pPr>
              <w:jc w:val="right"/>
              <w:ind w:right="233"/>
              <w:spacing w:after="0"/>
              <w:rPr>
                <w:sz w:val="20"/>
                <w:szCs w:val="20"/>
                <w:color w:val="auto"/>
              </w:rPr>
            </w:pPr>
            <w:r>
              <w:rPr>
                <w:rFonts w:ascii="Arial" w:cs="Arial" w:eastAsia="Arial" w:hAnsi="Arial"/>
                <w:sz w:val="14"/>
                <w:szCs w:val="14"/>
                <w:color w:val="auto"/>
              </w:rPr>
              <w:t>150,000</w:t>
            </w: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21,129,000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40" w:type="dxa"/>
            <w:vAlign w:val="bottom"/>
            <w:tcBorders>
              <w:bottom w:val="single" w:sz="8" w:color="225CAB"/>
            </w:tcBorders>
          </w:tcPr>
          <w:p>
            <w:pPr>
              <w:spacing w:after="0"/>
              <w:rPr>
                <w:sz w:val="10"/>
                <w:szCs w:val="10"/>
                <w:color w:val="auto"/>
              </w:rPr>
            </w:pPr>
          </w:p>
        </w:tc>
        <w:tc>
          <w:tcPr>
            <w:tcW w:w="1100" w:type="dxa"/>
            <w:vAlign w:val="bottom"/>
            <w:tcBorders>
              <w:bottom w:val="single" w:sz="8" w:color="225CAB"/>
            </w:tcBorders>
          </w:tcPr>
          <w:p>
            <w:pPr>
              <w:spacing w:after="0"/>
              <w:rPr>
                <w:sz w:val="10"/>
                <w:szCs w:val="10"/>
                <w:color w:val="auto"/>
              </w:rPr>
            </w:pPr>
          </w:p>
        </w:tc>
        <w:tc>
          <w:tcPr>
            <w:tcW w:w="880" w:type="dxa"/>
            <w:vAlign w:val="bottom"/>
            <w:tcBorders>
              <w:bottom w:val="single" w:sz="8" w:color="225CAB"/>
            </w:tcBorders>
            <w:vMerge w:val="continue"/>
          </w:tcPr>
          <w:p>
            <w:pPr>
              <w:spacing w:after="0"/>
              <w:rPr>
                <w:sz w:val="10"/>
                <w:szCs w:val="10"/>
                <w:color w:val="auto"/>
              </w:rPr>
            </w:pPr>
          </w:p>
        </w:tc>
        <w:tc>
          <w:tcPr>
            <w:tcW w:w="1200" w:type="dxa"/>
            <w:vAlign w:val="bottom"/>
            <w:tcBorders>
              <w:bottom w:val="single" w:sz="8" w:color="225CAB"/>
            </w:tcBorders>
            <w:vMerge w:val="continue"/>
          </w:tcPr>
          <w:p>
            <w:pPr>
              <w:spacing w:after="0"/>
              <w:rPr>
                <w:sz w:val="10"/>
                <w:szCs w:val="10"/>
                <w:color w:val="auto"/>
              </w:rPr>
            </w:pPr>
          </w:p>
        </w:tc>
        <w:tc>
          <w:tcPr>
            <w:tcW w:w="920" w:type="dxa"/>
            <w:vAlign w:val="bottom"/>
            <w:tcBorders>
              <w:bottom w:val="single" w:sz="8" w:color="225CAB"/>
            </w:tcBorders>
            <w:vMerge w:val="continue"/>
          </w:tcPr>
          <w:p>
            <w:pPr>
              <w:spacing w:after="0"/>
              <w:rPr>
                <w:sz w:val="10"/>
                <w:szCs w:val="10"/>
                <w:color w:val="auto"/>
              </w:rPr>
            </w:pPr>
          </w:p>
        </w:tc>
        <w:tc>
          <w:tcPr>
            <w:tcW w:w="1100" w:type="dxa"/>
            <w:vAlign w:val="bottom"/>
            <w:tcBorders>
              <w:bottom w:val="single" w:sz="8" w:color="225CAB"/>
            </w:tcBorders>
          </w:tcPr>
          <w:p>
            <w:pPr>
              <w:spacing w:after="0"/>
              <w:rPr>
                <w:sz w:val="10"/>
                <w:szCs w:val="10"/>
                <w:color w:val="auto"/>
              </w:rPr>
            </w:pPr>
          </w:p>
        </w:tc>
        <w:tc>
          <w:tcPr>
            <w:tcW w:w="1040" w:type="dxa"/>
            <w:vAlign w:val="bottom"/>
            <w:tcBorders>
              <w:bottom w:val="single" w:sz="8" w:color="225CAB"/>
            </w:tcBorders>
          </w:tcPr>
          <w:p>
            <w:pPr>
              <w:spacing w:after="0"/>
              <w:rPr>
                <w:sz w:val="10"/>
                <w:szCs w:val="10"/>
                <w:color w:val="auto"/>
              </w:rPr>
            </w:pPr>
          </w:p>
        </w:tc>
        <w:tc>
          <w:tcPr>
            <w:tcW w:w="1260" w:type="dxa"/>
            <w:vAlign w:val="bottom"/>
            <w:tcBorders>
              <w:bottom w:val="single" w:sz="8" w:color="225CAB"/>
            </w:tcBorders>
          </w:tcPr>
          <w:p>
            <w:pPr>
              <w:spacing w:after="0"/>
              <w:rPr>
                <w:sz w:val="10"/>
                <w:szCs w:val="10"/>
                <w:color w:val="auto"/>
              </w:rPr>
            </w:pPr>
          </w:p>
        </w:tc>
        <w:tc>
          <w:tcPr>
            <w:tcW w:w="1060" w:type="dxa"/>
            <w:vAlign w:val="bottom"/>
            <w:tcBorders>
              <w:bottom w:val="single" w:sz="8" w:color="225CAB"/>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line="125" w:lineRule="exact"/>
              <w:rPr>
                <w:sz w:val="20"/>
                <w:szCs w:val="20"/>
                <w:color w:val="auto"/>
              </w:rPr>
            </w:pPr>
            <w:r>
              <w:rPr>
                <w:rFonts w:ascii="Arial" w:cs="Arial" w:eastAsia="Arial" w:hAnsi="Arial"/>
                <w:sz w:val="14"/>
                <w:szCs w:val="14"/>
                <w:color w:val="225CAB"/>
              </w:rPr>
              <w:t>John Humphrey</w:t>
            </w:r>
          </w:p>
        </w:tc>
        <w:tc>
          <w:tcPr>
            <w:tcW w:w="11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1/16/2014</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Pr>
          <w:p>
            <w:pPr>
              <w:jc w:val="right"/>
              <w:ind w:right="233"/>
              <w:spacing w:after="0" w:line="125" w:lineRule="exact"/>
              <w:rPr>
                <w:sz w:val="20"/>
                <w:szCs w:val="20"/>
                <w:color w:val="auto"/>
              </w:rPr>
            </w:pPr>
            <w:r>
              <w:rPr>
                <w:rFonts w:ascii="Arial" w:cs="Arial" w:eastAsia="Arial" w:hAnsi="Arial"/>
                <w:sz w:val="14"/>
                <w:szCs w:val="14"/>
                <w:color w:val="auto"/>
              </w:rPr>
              <w:t>30,000</w:t>
            </w: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60" w:type="dxa"/>
            <w:vAlign w:val="bottom"/>
          </w:tcPr>
          <w:p>
            <w:pPr>
              <w:jc w:val="right"/>
              <w:ind w:right="34"/>
              <w:spacing w:after="0" w:line="125" w:lineRule="exact"/>
              <w:rPr>
                <w:sz w:val="20"/>
                <w:szCs w:val="20"/>
                <w:color w:val="auto"/>
              </w:rPr>
            </w:pPr>
            <w:r>
              <w:rPr>
                <w:rFonts w:ascii="Arial" w:cs="Arial" w:eastAsia="Arial" w:hAnsi="Arial"/>
                <w:sz w:val="14"/>
                <w:szCs w:val="14"/>
                <w:color w:val="auto"/>
              </w:rPr>
              <w:t>4,225,800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1/16/2014</w:t>
            </w: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color w:val="auto"/>
              </w:rPr>
              <w:t>402,675</w:t>
            </w:r>
          </w:p>
        </w:tc>
        <w:tc>
          <w:tcPr>
            <w:tcW w:w="1200" w:type="dxa"/>
            <w:vAlign w:val="bottom"/>
            <w:vMerge w:val="restart"/>
          </w:tcPr>
          <w:p>
            <w:pPr>
              <w:jc w:val="right"/>
              <w:ind w:right="192"/>
              <w:spacing w:after="0"/>
              <w:rPr>
                <w:sz w:val="20"/>
                <w:szCs w:val="20"/>
                <w:color w:val="auto"/>
              </w:rPr>
            </w:pPr>
            <w:r>
              <w:rPr>
                <w:rFonts w:ascii="Arial" w:cs="Arial" w:eastAsia="Arial" w:hAnsi="Arial"/>
                <w:sz w:val="14"/>
                <w:szCs w:val="14"/>
                <w:color w:val="auto"/>
              </w:rPr>
              <w:t>1,150,500</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1,150,500</w:t>
            </w:r>
          </w:p>
        </w:tc>
        <w:tc>
          <w:tcPr>
            <w:tcW w:w="110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30,000</w:t>
            </w: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140.86</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1,086,312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880" w:type="dxa"/>
            <w:vAlign w:val="bottom"/>
            <w:tcBorders>
              <w:bottom w:val="single" w:sz="8" w:color="225CAB"/>
            </w:tcBorders>
            <w:vMerge w:val="continue"/>
          </w:tcPr>
          <w:p>
            <w:pPr>
              <w:spacing w:after="0"/>
              <w:rPr>
                <w:sz w:val="11"/>
                <w:szCs w:val="11"/>
                <w:color w:val="auto"/>
              </w:rPr>
            </w:pPr>
          </w:p>
        </w:tc>
        <w:tc>
          <w:tcPr>
            <w:tcW w:w="1200" w:type="dxa"/>
            <w:vAlign w:val="bottom"/>
            <w:tcBorders>
              <w:bottom w:val="single" w:sz="8" w:color="225CAB"/>
            </w:tcBorders>
            <w:vMerge w:val="continue"/>
          </w:tcPr>
          <w:p>
            <w:pPr>
              <w:spacing w:after="0"/>
              <w:rPr>
                <w:sz w:val="11"/>
                <w:szCs w:val="11"/>
                <w:color w:val="auto"/>
              </w:rPr>
            </w:pPr>
          </w:p>
        </w:tc>
        <w:tc>
          <w:tcPr>
            <w:tcW w:w="920" w:type="dxa"/>
            <w:vAlign w:val="bottom"/>
            <w:tcBorders>
              <w:bottom w:val="single" w:sz="8" w:color="225CAB"/>
            </w:tcBorders>
            <w:vMerge w:val="continue"/>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1040" w:type="dxa"/>
            <w:vAlign w:val="bottom"/>
            <w:tcBorders>
              <w:bottom w:val="single" w:sz="8" w:color="225CAB"/>
            </w:tcBorders>
          </w:tcPr>
          <w:p>
            <w:pPr>
              <w:spacing w:after="0"/>
              <w:rPr>
                <w:sz w:val="11"/>
                <w:szCs w:val="11"/>
                <w:color w:val="auto"/>
              </w:rPr>
            </w:pPr>
          </w:p>
        </w:tc>
        <w:tc>
          <w:tcPr>
            <w:tcW w:w="1260" w:type="dxa"/>
            <w:vAlign w:val="bottom"/>
            <w:tcBorders>
              <w:bottom w:val="single" w:sz="8" w:color="225CAB"/>
            </w:tcBorders>
          </w:tcPr>
          <w:p>
            <w:pPr>
              <w:spacing w:after="0"/>
              <w:rPr>
                <w:sz w:val="11"/>
                <w:szCs w:val="11"/>
                <w:color w:val="auto"/>
              </w:rPr>
            </w:pPr>
          </w:p>
        </w:tc>
        <w:tc>
          <w:tcPr>
            <w:tcW w:w="1060" w:type="dxa"/>
            <w:vAlign w:val="bottom"/>
            <w:tcBorders>
              <w:bottom w:val="single" w:sz="8" w:color="225CAB"/>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line="125" w:lineRule="exact"/>
              <w:rPr>
                <w:sz w:val="20"/>
                <w:szCs w:val="20"/>
                <w:color w:val="auto"/>
              </w:rPr>
            </w:pPr>
            <w:r>
              <w:rPr>
                <w:rFonts w:ascii="Arial" w:cs="Arial" w:eastAsia="Arial" w:hAnsi="Arial"/>
                <w:sz w:val="14"/>
                <w:szCs w:val="14"/>
                <w:color w:val="225CAB"/>
              </w:rPr>
              <w:t>David B. Liner</w:t>
            </w:r>
          </w:p>
        </w:tc>
        <w:tc>
          <w:tcPr>
            <w:tcW w:w="11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1/16/2014</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Pr>
          <w:p>
            <w:pPr>
              <w:jc w:val="right"/>
              <w:ind w:right="233"/>
              <w:spacing w:after="0" w:line="125" w:lineRule="exact"/>
              <w:rPr>
                <w:sz w:val="20"/>
                <w:szCs w:val="20"/>
                <w:color w:val="auto"/>
              </w:rPr>
            </w:pPr>
            <w:r>
              <w:rPr>
                <w:rFonts w:ascii="Arial" w:cs="Arial" w:eastAsia="Arial" w:hAnsi="Arial"/>
                <w:sz w:val="14"/>
                <w:szCs w:val="14"/>
                <w:color w:val="auto"/>
              </w:rPr>
              <w:t>6,000</w:t>
            </w: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60" w:type="dxa"/>
            <w:vAlign w:val="bottom"/>
          </w:tcPr>
          <w:p>
            <w:pPr>
              <w:jc w:val="right"/>
              <w:ind w:right="34"/>
              <w:spacing w:after="0" w:line="125" w:lineRule="exact"/>
              <w:rPr>
                <w:sz w:val="20"/>
                <w:szCs w:val="20"/>
                <w:color w:val="auto"/>
              </w:rPr>
            </w:pPr>
            <w:r>
              <w:rPr>
                <w:rFonts w:ascii="Arial" w:cs="Arial" w:eastAsia="Arial" w:hAnsi="Arial"/>
                <w:sz w:val="14"/>
                <w:szCs w:val="14"/>
                <w:color w:val="auto"/>
              </w:rPr>
              <w:t>845,160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1/16/2014</w:t>
            </w: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color w:val="auto"/>
              </w:rPr>
              <w:t>157,500</w:t>
            </w:r>
          </w:p>
        </w:tc>
        <w:tc>
          <w:tcPr>
            <w:tcW w:w="1200" w:type="dxa"/>
            <w:vAlign w:val="bottom"/>
            <w:vMerge w:val="restart"/>
          </w:tcPr>
          <w:p>
            <w:pPr>
              <w:jc w:val="right"/>
              <w:ind w:right="192"/>
              <w:spacing w:after="0"/>
              <w:rPr>
                <w:sz w:val="20"/>
                <w:szCs w:val="20"/>
                <w:color w:val="auto"/>
              </w:rPr>
            </w:pPr>
            <w:r>
              <w:rPr>
                <w:rFonts w:ascii="Arial" w:cs="Arial" w:eastAsia="Arial" w:hAnsi="Arial"/>
                <w:sz w:val="14"/>
                <w:szCs w:val="14"/>
                <w:color w:val="auto"/>
              </w:rPr>
              <w:t>450,000</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450,000</w:t>
            </w:r>
          </w:p>
        </w:tc>
        <w:tc>
          <w:tcPr>
            <w:tcW w:w="110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12,000</w:t>
            </w: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140.86</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434,525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880" w:type="dxa"/>
            <w:vAlign w:val="bottom"/>
            <w:tcBorders>
              <w:bottom w:val="single" w:sz="8" w:color="225CAB"/>
            </w:tcBorders>
            <w:vMerge w:val="continue"/>
          </w:tcPr>
          <w:p>
            <w:pPr>
              <w:spacing w:after="0"/>
              <w:rPr>
                <w:sz w:val="11"/>
                <w:szCs w:val="11"/>
                <w:color w:val="auto"/>
              </w:rPr>
            </w:pPr>
          </w:p>
        </w:tc>
        <w:tc>
          <w:tcPr>
            <w:tcW w:w="1200" w:type="dxa"/>
            <w:vAlign w:val="bottom"/>
            <w:tcBorders>
              <w:bottom w:val="single" w:sz="8" w:color="225CAB"/>
            </w:tcBorders>
            <w:vMerge w:val="continue"/>
          </w:tcPr>
          <w:p>
            <w:pPr>
              <w:spacing w:after="0"/>
              <w:rPr>
                <w:sz w:val="11"/>
                <w:szCs w:val="11"/>
                <w:color w:val="auto"/>
              </w:rPr>
            </w:pPr>
          </w:p>
        </w:tc>
        <w:tc>
          <w:tcPr>
            <w:tcW w:w="920" w:type="dxa"/>
            <w:vAlign w:val="bottom"/>
            <w:tcBorders>
              <w:bottom w:val="single" w:sz="8" w:color="225CAB"/>
            </w:tcBorders>
            <w:vMerge w:val="continue"/>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1040" w:type="dxa"/>
            <w:vAlign w:val="bottom"/>
            <w:tcBorders>
              <w:bottom w:val="single" w:sz="8" w:color="225CAB"/>
            </w:tcBorders>
          </w:tcPr>
          <w:p>
            <w:pPr>
              <w:spacing w:after="0"/>
              <w:rPr>
                <w:sz w:val="11"/>
                <w:szCs w:val="11"/>
                <w:color w:val="auto"/>
              </w:rPr>
            </w:pPr>
          </w:p>
        </w:tc>
        <w:tc>
          <w:tcPr>
            <w:tcW w:w="1260" w:type="dxa"/>
            <w:vAlign w:val="bottom"/>
            <w:tcBorders>
              <w:bottom w:val="single" w:sz="8" w:color="225CAB"/>
            </w:tcBorders>
          </w:tcPr>
          <w:p>
            <w:pPr>
              <w:spacing w:after="0"/>
              <w:rPr>
                <w:sz w:val="11"/>
                <w:szCs w:val="11"/>
                <w:color w:val="auto"/>
              </w:rPr>
            </w:pPr>
          </w:p>
        </w:tc>
        <w:tc>
          <w:tcPr>
            <w:tcW w:w="1060" w:type="dxa"/>
            <w:vAlign w:val="bottom"/>
            <w:tcBorders>
              <w:bottom w:val="single" w:sz="8" w:color="225CAB"/>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line="125" w:lineRule="exact"/>
              <w:rPr>
                <w:sz w:val="20"/>
                <w:szCs w:val="20"/>
                <w:color w:val="auto"/>
              </w:rPr>
            </w:pPr>
            <w:r>
              <w:rPr>
                <w:rFonts w:ascii="Arial" w:cs="Arial" w:eastAsia="Arial" w:hAnsi="Arial"/>
                <w:sz w:val="14"/>
                <w:szCs w:val="14"/>
                <w:color w:val="225CAB"/>
              </w:rPr>
              <w:t>Paul J. Soni</w:t>
            </w:r>
          </w:p>
        </w:tc>
        <w:tc>
          <w:tcPr>
            <w:tcW w:w="11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1/16/2014</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Pr>
          <w:p>
            <w:pPr>
              <w:jc w:val="right"/>
              <w:ind w:right="233"/>
              <w:spacing w:after="0" w:line="125" w:lineRule="exact"/>
              <w:rPr>
                <w:sz w:val="20"/>
                <w:szCs w:val="20"/>
                <w:color w:val="auto"/>
              </w:rPr>
            </w:pPr>
            <w:r>
              <w:rPr>
                <w:rFonts w:ascii="Arial" w:cs="Arial" w:eastAsia="Arial" w:hAnsi="Arial"/>
                <w:sz w:val="14"/>
                <w:szCs w:val="14"/>
                <w:color w:val="auto"/>
              </w:rPr>
              <w:t>6,000</w:t>
            </w: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60" w:type="dxa"/>
            <w:vAlign w:val="bottom"/>
          </w:tcPr>
          <w:p>
            <w:pPr>
              <w:jc w:val="right"/>
              <w:ind w:right="34"/>
              <w:spacing w:after="0" w:line="125" w:lineRule="exact"/>
              <w:rPr>
                <w:sz w:val="20"/>
                <w:szCs w:val="20"/>
                <w:color w:val="auto"/>
              </w:rPr>
            </w:pPr>
            <w:r>
              <w:rPr>
                <w:rFonts w:ascii="Arial" w:cs="Arial" w:eastAsia="Arial" w:hAnsi="Arial"/>
                <w:sz w:val="14"/>
                <w:szCs w:val="14"/>
                <w:color w:val="auto"/>
              </w:rPr>
              <w:t>845,160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1/16/2014</w:t>
            </w: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color w:val="auto"/>
              </w:rPr>
              <w:t>114,800</w:t>
            </w:r>
          </w:p>
        </w:tc>
        <w:tc>
          <w:tcPr>
            <w:tcW w:w="1200" w:type="dxa"/>
            <w:vAlign w:val="bottom"/>
            <w:vMerge w:val="restart"/>
          </w:tcPr>
          <w:p>
            <w:pPr>
              <w:jc w:val="right"/>
              <w:ind w:right="192"/>
              <w:spacing w:after="0"/>
              <w:rPr>
                <w:sz w:val="20"/>
                <w:szCs w:val="20"/>
                <w:color w:val="auto"/>
              </w:rPr>
            </w:pPr>
            <w:r>
              <w:rPr>
                <w:rFonts w:ascii="Arial" w:cs="Arial" w:eastAsia="Arial" w:hAnsi="Arial"/>
                <w:sz w:val="14"/>
                <w:szCs w:val="14"/>
                <w:color w:val="auto"/>
              </w:rPr>
              <w:t>328,000</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328,000</w:t>
            </w:r>
          </w:p>
        </w:tc>
        <w:tc>
          <w:tcPr>
            <w:tcW w:w="110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12,000</w:t>
            </w: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140.86</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434,525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-1272540</wp:posOffset>
            </wp:positionV>
            <wp:extent cx="23323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340" w:right="280" w:hanging="332"/>
        <w:spacing w:after="0" w:line="190" w:lineRule="auto"/>
        <w:tabs>
          <w:tab w:leader="none" w:pos="34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For an explanation of the material terms, refer to the CD&amp;A section above captioned “Analysis of 2014 Compensation—Annual Cash Incentive.” Amounts paid under this program for 2014 are set forth in the 2014 Summary Compensation Table.</w:t>
      </w:r>
    </w:p>
    <w:p>
      <w:pPr>
        <w:spacing w:after="0" w:line="50" w:lineRule="exact"/>
        <w:rPr>
          <w:rFonts w:ascii="Arial" w:cs="Arial" w:eastAsia="Arial" w:hAnsi="Arial"/>
          <w:sz w:val="22"/>
          <w:szCs w:val="22"/>
          <w:color w:val="auto"/>
          <w:vertAlign w:val="superscript"/>
        </w:rPr>
      </w:pPr>
    </w:p>
    <w:p>
      <w:pPr>
        <w:ind w:left="340" w:right="140" w:hanging="332"/>
        <w:spacing w:after="0" w:line="199" w:lineRule="auto"/>
        <w:tabs>
          <w:tab w:leader="none" w:pos="34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The performance restricted shares vest ratably in November 2014, 2015 and 2016, subject to the performance criteria described in the CD&amp;A under “Analysis of 2014 Compensation— Long-Term Stock Incentives” and “Analysis of 2014 Compensation—CEO Long-Term Cash Incentive.” Dividends are paid on unvested restricted shares. For 2015 and future awards, dividends will be paid only if the shares are earned by performance.</w:t>
      </w:r>
    </w:p>
    <w:p>
      <w:pPr>
        <w:spacing w:after="0" w:line="49" w:lineRule="exact"/>
        <w:rPr>
          <w:rFonts w:ascii="Arial" w:cs="Arial" w:eastAsia="Arial" w:hAnsi="Arial"/>
          <w:sz w:val="22"/>
          <w:szCs w:val="22"/>
          <w:color w:val="auto"/>
          <w:vertAlign w:val="superscript"/>
        </w:rPr>
      </w:pPr>
    </w:p>
    <w:p>
      <w:pPr>
        <w:ind w:left="340" w:right="140" w:hanging="332"/>
        <w:spacing w:after="0" w:line="190" w:lineRule="auto"/>
        <w:tabs>
          <w:tab w:leader="none" w:pos="34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The stock options vest ratably on January 16, 2015, 2016, and 2017, and expire on the tenth anniversary of the grant. The exercise price of the stock options is 100% of the fair market value of our common stock on the date of grant.</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The dollar values reflect the grant date fair value of the awards as calculated in accordance with ASC Topic 718.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Outstanding Equity Awards at Fiscal Year End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at December 31, 2014 for the named executive officers.</w:t>
      </w:r>
    </w:p>
    <w:p>
      <w:pPr>
        <w:sectPr>
          <w:pgSz w:w="11900" w:h="16838" w:orient="portrait"/>
          <w:cols w:equalWidth="0" w:num="1">
            <w:col w:w="11420"/>
          </w:cols>
          <w:pgMar w:left="240" w:top="455" w:right="2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shd w:val="clear" w:color="auto" w:fill="225CAB"/>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ind w:left="340"/>
              <w:spacing w:after="0"/>
              <w:rPr>
                <w:sz w:val="20"/>
                <w:szCs w:val="20"/>
                <w:color w:val="auto"/>
              </w:rPr>
            </w:pPr>
            <w:r>
              <w:rPr>
                <w:rFonts w:ascii="Arial" w:cs="Arial" w:eastAsia="Arial" w:hAnsi="Arial"/>
                <w:sz w:val="14"/>
                <w:szCs w:val="14"/>
                <w:color w:val="FFFFFF"/>
                <w:w w:val="93"/>
              </w:rPr>
              <w:t>Option Awards</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color w:val="FFFFFF"/>
              </w:rPr>
              <w:t>Stock Awards</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Equity</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8"/>
              </w:rPr>
              <w:t>Market</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Incentive Plan</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w w:val="94"/>
              </w:rPr>
              <w:t># of</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3"/>
              </w:rPr>
              <w:t>Value of</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5"/>
              </w:rPr>
              <w:t>Awards: # of</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jc w:val="center"/>
              <w:ind w:right="132"/>
              <w:spacing w:after="0" w:line="149" w:lineRule="exact"/>
              <w:rPr>
                <w:sz w:val="20"/>
                <w:szCs w:val="20"/>
                <w:color w:val="auto"/>
              </w:rPr>
            </w:pPr>
            <w:r>
              <w:rPr>
                <w:rFonts w:ascii="Arial" w:cs="Arial" w:eastAsia="Arial" w:hAnsi="Arial"/>
                <w:sz w:val="14"/>
                <w:szCs w:val="14"/>
                <w:color w:val="FFFFFF"/>
                <w:w w:val="94"/>
              </w:rPr>
              <w:t># of</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w w:val="94"/>
              </w:rPr>
              <w:t>Shares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5"/>
              </w:rPr>
              <w:t>Shares or</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4"/>
              </w:rPr>
              <w:t>Unearned</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color w:val="FFFFFF"/>
              </w:rPr>
              <w:t># of Securities</w:t>
            </w:r>
          </w:p>
        </w:tc>
        <w:tc>
          <w:tcPr>
            <w:tcW w:w="122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Securities</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w w:val="97"/>
              </w:rPr>
              <w:t>or Units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6"/>
              </w:rPr>
              <w:t>Units of</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Shares, Units</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color w:val="FFFFFF"/>
                <w:w w:val="98"/>
              </w:rPr>
              <w:t>Underlying</w:t>
            </w:r>
          </w:p>
        </w:tc>
        <w:tc>
          <w:tcPr>
            <w:tcW w:w="122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5"/>
              </w:rPr>
              <w:t>Underlying</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w w:val="96"/>
              </w:rPr>
              <w:t>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6"/>
              </w:rPr>
              <w:t>Stock</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or Other</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color w:val="FFFFFF"/>
                <w:w w:val="95"/>
              </w:rPr>
              <w:t>Unexercised</w:t>
            </w:r>
          </w:p>
        </w:tc>
        <w:tc>
          <w:tcPr>
            <w:tcW w:w="122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Unexercised</w:t>
            </w: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FFFFFF"/>
              </w:rPr>
              <w:t>Option</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FFFFFF"/>
              </w:rPr>
              <w:t>Option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w w:val="95"/>
              </w:rPr>
              <w:t>That Have</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5"/>
              </w:rPr>
              <w:t>That Have</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7"/>
              </w:rPr>
              <w:t>Rights That</w:t>
            </w:r>
          </w:p>
        </w:tc>
        <w:tc>
          <w:tcPr>
            <w:tcW w:w="0" w:type="dxa"/>
            <w:vAlign w:val="bottom"/>
          </w:tcPr>
          <w:p>
            <w:pPr>
              <w:spacing w:after="0"/>
              <w:rPr>
                <w:sz w:val="1"/>
                <w:szCs w:val="1"/>
                <w:color w:val="auto"/>
              </w:rPr>
            </w:pPr>
          </w:p>
        </w:tc>
      </w:tr>
      <w:tr>
        <w:trPr>
          <w:trHeight w:val="149"/>
        </w:trPr>
        <w:tc>
          <w:tcPr>
            <w:tcW w:w="3860" w:type="dxa"/>
            <w:vAlign w:val="bottom"/>
            <w:shd w:val="clear" w:color="auto" w:fill="225CAB"/>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color w:val="FFFFFF"/>
                <w:w w:val="95"/>
              </w:rPr>
              <w:t>Options</w:t>
            </w:r>
          </w:p>
        </w:tc>
        <w:tc>
          <w:tcPr>
            <w:tcW w:w="122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9"/>
              </w:rPr>
              <w:t>Options</w:t>
            </w:r>
          </w:p>
        </w:tc>
        <w:tc>
          <w:tcPr>
            <w:tcW w:w="640" w:type="dxa"/>
            <w:vAlign w:val="bottom"/>
          </w:tcPr>
          <w:p>
            <w:pPr>
              <w:spacing w:after="0" w:line="149" w:lineRule="exact"/>
              <w:rPr>
                <w:sz w:val="20"/>
                <w:szCs w:val="20"/>
                <w:color w:val="auto"/>
              </w:rPr>
            </w:pPr>
            <w:r>
              <w:rPr>
                <w:rFonts w:ascii="Arial" w:cs="Arial" w:eastAsia="Arial" w:hAnsi="Arial"/>
                <w:sz w:val="14"/>
                <w:szCs w:val="14"/>
                <w:color w:val="FFFFFF"/>
              </w:rPr>
              <w:t>Exercise</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FFFFFF"/>
              </w:rPr>
              <w:t>Expiration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rPr>
              <w:t>Not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5"/>
              </w:rPr>
              <w:t>Not Vested</w:t>
            </w:r>
          </w:p>
        </w:tc>
        <w:tc>
          <w:tcPr>
            <w:tcW w:w="1160" w:type="dxa"/>
            <w:vAlign w:val="bottom"/>
          </w:tcPr>
          <w:p>
            <w:pPr>
              <w:jc w:val="center"/>
              <w:ind w:right="172"/>
              <w:spacing w:after="0" w:line="149" w:lineRule="exact"/>
              <w:rPr>
                <w:sz w:val="20"/>
                <w:szCs w:val="20"/>
                <w:color w:val="auto"/>
              </w:rPr>
            </w:pPr>
            <w:r>
              <w:rPr>
                <w:rFonts w:ascii="Arial" w:cs="Arial" w:eastAsia="Arial" w:hAnsi="Arial"/>
                <w:sz w:val="14"/>
                <w:szCs w:val="14"/>
                <w:color w:val="FFFFFF"/>
                <w:w w:val="95"/>
              </w:rPr>
              <w:t>Have Not</w:t>
            </w:r>
          </w:p>
        </w:tc>
        <w:tc>
          <w:tcPr>
            <w:tcW w:w="0" w:type="dxa"/>
            <w:vAlign w:val="bottom"/>
          </w:tcPr>
          <w:p>
            <w:pPr>
              <w:spacing w:after="0"/>
              <w:rPr>
                <w:sz w:val="1"/>
                <w:szCs w:val="1"/>
                <w:color w:val="auto"/>
              </w:rPr>
            </w:pPr>
          </w:p>
        </w:tc>
      </w:tr>
      <w:tr>
        <w:trPr>
          <w:trHeight w:val="165"/>
        </w:trPr>
        <w:tc>
          <w:tcPr>
            <w:tcW w:w="3860" w:type="dxa"/>
            <w:vAlign w:val="bottom"/>
            <w:shd w:val="clear" w:color="auto" w:fill="225CAB"/>
          </w:tcPr>
          <w:p>
            <w:pPr>
              <w:ind w:left="1720"/>
              <w:spacing w:after="0" w:line="149" w:lineRule="exact"/>
              <w:rPr>
                <w:sz w:val="20"/>
                <w:szCs w:val="20"/>
                <w:color w:val="auto"/>
              </w:rPr>
            </w:pPr>
            <w:r>
              <w:rPr>
                <w:rFonts w:ascii="Arial" w:cs="Arial" w:eastAsia="Arial" w:hAnsi="Arial"/>
                <w:sz w:val="14"/>
                <w:szCs w:val="14"/>
                <w:color w:val="FFFFFF"/>
              </w:rPr>
              <w:t>Name</w:t>
            </w: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color w:val="FFFFFF"/>
                <w:w w:val="96"/>
              </w:rPr>
              <w:t>Exercisable</w:t>
            </w:r>
          </w:p>
        </w:tc>
        <w:tc>
          <w:tcPr>
            <w:tcW w:w="1220" w:type="dxa"/>
            <w:vAlign w:val="bottom"/>
          </w:tcPr>
          <w:p>
            <w:pPr>
              <w:jc w:val="center"/>
              <w:ind w:right="132"/>
              <w:spacing w:after="0" w:line="149" w:lineRule="exact"/>
              <w:rPr>
                <w:sz w:val="20"/>
                <w:szCs w:val="20"/>
                <w:color w:val="auto"/>
              </w:rPr>
            </w:pPr>
            <w:r>
              <w:rPr>
                <w:rFonts w:ascii="Arial" w:cs="Arial" w:eastAsia="Arial" w:hAnsi="Arial"/>
                <w:sz w:val="14"/>
                <w:szCs w:val="14"/>
                <w:color w:val="FFFFFF"/>
                <w:w w:val="96"/>
              </w:rPr>
              <w:t>Unexercisable</w:t>
            </w:r>
          </w:p>
        </w:tc>
        <w:tc>
          <w:tcPr>
            <w:tcW w:w="640" w:type="dxa"/>
            <w:vAlign w:val="bottom"/>
          </w:tcPr>
          <w:p>
            <w:pPr>
              <w:spacing w:after="0" w:line="149" w:lineRule="exact"/>
              <w:rPr>
                <w:sz w:val="20"/>
                <w:szCs w:val="20"/>
                <w:color w:val="auto"/>
              </w:rPr>
            </w:pPr>
            <w:r>
              <w:rPr>
                <w:rFonts w:ascii="Arial" w:cs="Arial" w:eastAsia="Arial" w:hAnsi="Arial"/>
                <w:sz w:val="14"/>
                <w:szCs w:val="14"/>
                <w:color w:val="FFFFFF"/>
              </w:rPr>
              <w:t>Price ($)</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FFFFFF"/>
              </w:rPr>
              <w:t>Date</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FFFFFF"/>
                <w:w w:val="96"/>
              </w:rPr>
              <w:t>Vested</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FFFFFF"/>
                <w:w w:val="93"/>
              </w:rPr>
              <w:t>($)</w:t>
            </w:r>
          </w:p>
        </w:tc>
        <w:tc>
          <w:tcPr>
            <w:tcW w:w="1160" w:type="dxa"/>
            <w:vAlign w:val="bottom"/>
          </w:tcPr>
          <w:p>
            <w:pPr>
              <w:jc w:val="center"/>
              <w:ind w:right="152"/>
              <w:spacing w:after="0" w:line="149" w:lineRule="exact"/>
              <w:rPr>
                <w:sz w:val="20"/>
                <w:szCs w:val="20"/>
                <w:color w:val="auto"/>
              </w:rPr>
            </w:pPr>
            <w:r>
              <w:rPr>
                <w:rFonts w:ascii="Arial" w:cs="Arial" w:eastAsia="Arial" w:hAnsi="Arial"/>
                <w:sz w:val="14"/>
                <w:szCs w:val="14"/>
                <w:color w:val="FFFFFF"/>
                <w:w w:val="96"/>
              </w:rPr>
              <w:t>Vested</w:t>
            </w:r>
          </w:p>
        </w:tc>
        <w:tc>
          <w:tcPr>
            <w:tcW w:w="0" w:type="dxa"/>
            <w:vAlign w:val="bottom"/>
          </w:tcPr>
          <w:p>
            <w:pPr>
              <w:spacing w:after="0"/>
              <w:rPr>
                <w:sz w:val="1"/>
                <w:szCs w:val="1"/>
                <w:color w:val="auto"/>
              </w:rPr>
            </w:pPr>
          </w:p>
        </w:tc>
      </w:tr>
      <w:tr>
        <w:trPr>
          <w:trHeight w:val="132"/>
        </w:trPr>
        <w:tc>
          <w:tcPr>
            <w:tcW w:w="3860" w:type="dxa"/>
            <w:vAlign w:val="bottom"/>
          </w:tcPr>
          <w:p>
            <w:pPr>
              <w:spacing w:after="0" w:line="132" w:lineRule="exact"/>
              <w:rPr>
                <w:sz w:val="20"/>
                <w:szCs w:val="20"/>
                <w:color w:val="auto"/>
              </w:rPr>
            </w:pPr>
            <w:r>
              <w:rPr>
                <w:rFonts w:ascii="Arial" w:cs="Arial" w:eastAsia="Arial" w:hAnsi="Arial"/>
                <w:sz w:val="14"/>
                <w:szCs w:val="14"/>
                <w:color w:val="225CAB"/>
              </w:rPr>
              <w:t>Brian D. Jellison</w:t>
            </w:r>
          </w:p>
        </w:tc>
        <w:tc>
          <w:tcPr>
            <w:tcW w:w="9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108,084</w:t>
            </w:r>
          </w:p>
        </w:tc>
        <w:tc>
          <w:tcPr>
            <w:tcW w:w="122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4"/>
                <w:szCs w:val="14"/>
                <w:color w:val="auto"/>
              </w:rPr>
              <w:t>52.1900</w:t>
            </w:r>
          </w:p>
        </w:tc>
        <w:tc>
          <w:tcPr>
            <w:tcW w:w="760" w:type="dxa"/>
            <w:vAlign w:val="bottom"/>
          </w:tcPr>
          <w:p>
            <w:pPr>
              <w:jc w:val="right"/>
              <w:ind w:right="12"/>
              <w:spacing w:after="0" w:line="132" w:lineRule="exact"/>
              <w:rPr>
                <w:sz w:val="20"/>
                <w:szCs w:val="20"/>
                <w:color w:val="auto"/>
              </w:rPr>
            </w:pPr>
            <w:r>
              <w:rPr>
                <w:rFonts w:ascii="Arial" w:cs="Arial" w:eastAsia="Arial" w:hAnsi="Arial"/>
                <w:sz w:val="14"/>
                <w:szCs w:val="14"/>
                <w:color w:val="auto"/>
              </w:rPr>
              <w:t>02/16/17</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440,000</w:t>
            </w:r>
          </w:p>
        </w:tc>
        <w:tc>
          <w:tcPr>
            <w:tcW w:w="122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55.2200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02/18/18</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150,000</w:t>
            </w:r>
            <w:r>
              <w:rPr>
                <w:rFonts w:ascii="Arial" w:cs="Arial" w:eastAsia="Arial" w:hAnsi="Arial"/>
                <w:sz w:val="22"/>
                <w:szCs w:val="22"/>
                <w:color w:val="auto"/>
                <w:vertAlign w:val="superscript"/>
              </w:rPr>
              <w:t>(5)(8)</w:t>
            </w: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-1234440</wp:posOffset>
            </wp:positionV>
            <wp:extent cx="4845050" cy="951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45050" cy="951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FFFFFF"/>
        </w:rPr>
        <w:t>Equity</w:t>
      </w:r>
    </w:p>
    <w:p>
      <w:pPr>
        <w:jc w:val="center"/>
        <w:ind w:right="80"/>
        <w:spacing w:after="0" w:line="226" w:lineRule="auto"/>
        <w:rPr>
          <w:sz w:val="20"/>
          <w:szCs w:val="20"/>
          <w:color w:val="auto"/>
        </w:rPr>
      </w:pPr>
      <w:r>
        <w:rPr>
          <w:rFonts w:ascii="Arial" w:cs="Arial" w:eastAsia="Arial" w:hAnsi="Arial"/>
          <w:sz w:val="14"/>
          <w:szCs w:val="14"/>
          <w:color w:val="FFFFFF"/>
        </w:rPr>
        <w:t>Incentive Plan</w:t>
      </w:r>
    </w:p>
    <w:p>
      <w:pPr>
        <w:jc w:val="center"/>
        <w:ind w:right="80"/>
        <w:spacing w:after="0" w:line="222" w:lineRule="auto"/>
        <w:rPr>
          <w:sz w:val="20"/>
          <w:szCs w:val="20"/>
          <w:color w:val="auto"/>
        </w:rPr>
      </w:pPr>
      <w:r>
        <w:rPr>
          <w:rFonts w:ascii="Arial" w:cs="Arial" w:eastAsia="Arial" w:hAnsi="Arial"/>
          <w:sz w:val="14"/>
          <w:szCs w:val="14"/>
          <w:color w:val="FFFFFF"/>
        </w:rPr>
        <w:t>Awards: Market or</w:t>
      </w:r>
    </w:p>
    <w:p>
      <w:pPr>
        <w:jc w:val="center"/>
        <w:ind w:right="80"/>
        <w:spacing w:after="0" w:line="221" w:lineRule="auto"/>
        <w:rPr>
          <w:sz w:val="20"/>
          <w:szCs w:val="20"/>
          <w:color w:val="auto"/>
        </w:rPr>
      </w:pPr>
      <w:r>
        <w:rPr>
          <w:rFonts w:ascii="Arial" w:cs="Arial" w:eastAsia="Arial" w:hAnsi="Arial"/>
          <w:sz w:val="14"/>
          <w:szCs w:val="14"/>
          <w:color w:val="FFFFFF"/>
        </w:rPr>
        <w:t>Payout Value</w:t>
      </w:r>
    </w:p>
    <w:p>
      <w:pPr>
        <w:jc w:val="center"/>
        <w:ind w:right="80"/>
        <w:spacing w:after="0" w:line="222" w:lineRule="auto"/>
        <w:rPr>
          <w:sz w:val="20"/>
          <w:szCs w:val="20"/>
          <w:color w:val="auto"/>
        </w:rPr>
      </w:pPr>
      <w:r>
        <w:rPr>
          <w:rFonts w:ascii="Arial" w:cs="Arial" w:eastAsia="Arial" w:hAnsi="Arial"/>
          <w:sz w:val="14"/>
          <w:szCs w:val="14"/>
          <w:color w:val="FFFFFF"/>
        </w:rPr>
        <w:t>of Unearned</w:t>
      </w:r>
    </w:p>
    <w:p>
      <w:pPr>
        <w:jc w:val="both"/>
        <w:ind w:left="60" w:right="140" w:firstLine="26"/>
        <w:spacing w:after="0" w:line="238" w:lineRule="auto"/>
        <w:rPr>
          <w:sz w:val="20"/>
          <w:szCs w:val="20"/>
          <w:color w:val="auto"/>
        </w:rPr>
      </w:pPr>
      <w:r>
        <w:rPr>
          <w:rFonts w:ascii="Arial" w:cs="Arial" w:eastAsia="Arial" w:hAnsi="Arial"/>
          <w:sz w:val="12"/>
          <w:szCs w:val="12"/>
          <w:color w:val="FFFFFF"/>
        </w:rPr>
        <w:t>Shares, Units or Other Rights that Have Not Vested</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FFFFFF"/>
        </w:rPr>
        <w:t>($)</w:t>
      </w:r>
      <w:r>
        <w:rPr>
          <w:rFonts w:ascii="Arial" w:cs="Arial" w:eastAsia="Arial" w:hAnsi="Arial"/>
          <w:sz w:val="22"/>
          <w:szCs w:val="22"/>
          <w:color w:val="FFFFFF"/>
          <w:vertAlign w:val="superscript"/>
        </w:rPr>
        <w:t>(1)</w:t>
      </w:r>
    </w:p>
    <w:p>
      <w:pPr>
        <w:spacing w:after="0" w:line="224"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23,452,500</w:t>
      </w:r>
    </w:p>
    <w:p>
      <w:pPr>
        <w:spacing w:after="0" w:line="5" w:lineRule="exact"/>
        <w:rPr>
          <w:sz w:val="20"/>
          <w:szCs w:val="20"/>
          <w:color w:val="auto"/>
        </w:rPr>
      </w:pPr>
    </w:p>
    <w:p>
      <w:pPr>
        <w:sectPr>
          <w:pgSz w:w="11900" w:h="16838" w:orient="portrait"/>
          <w:cols w:equalWidth="0" w:num="2">
            <w:col w:w="10080" w:space="120"/>
            <w:col w:w="122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660" w:type="dxa"/>
            <w:vAlign w:val="bottom"/>
            <w:tcBorders>
              <w:top w:val="single" w:sz="8" w:color="225CAB"/>
            </w:tcBorders>
            <w:gridSpan w:val="2"/>
          </w:tcPr>
          <w:p>
            <w:pPr>
              <w:spacing w:after="0" w:line="125" w:lineRule="exact"/>
              <w:rPr>
                <w:sz w:val="20"/>
                <w:szCs w:val="20"/>
                <w:color w:val="auto"/>
              </w:rPr>
            </w:pPr>
            <w:r>
              <w:rPr>
                <w:rFonts w:ascii="Arial" w:cs="Arial" w:eastAsia="Arial" w:hAnsi="Arial"/>
                <w:sz w:val="14"/>
                <w:szCs w:val="14"/>
                <w:color w:val="225CAB"/>
              </w:rPr>
              <w:t>John Humphrey</w:t>
            </w:r>
          </w:p>
        </w:tc>
        <w:tc>
          <w:tcPr>
            <w:tcW w:w="2400" w:type="dxa"/>
            <w:vAlign w:val="bottom"/>
            <w:tcBorders>
              <w:top w:val="single" w:sz="8" w:color="225CAB"/>
            </w:tcBorders>
          </w:tcPr>
          <w:p>
            <w:pPr>
              <w:jc w:val="right"/>
              <w:ind w:right="232"/>
              <w:spacing w:after="0" w:line="125" w:lineRule="exact"/>
              <w:rPr>
                <w:sz w:val="20"/>
                <w:szCs w:val="20"/>
                <w:color w:val="auto"/>
              </w:rPr>
            </w:pPr>
            <w:r>
              <w:rPr>
                <w:rFonts w:ascii="Arial" w:cs="Arial" w:eastAsia="Arial" w:hAnsi="Arial"/>
                <w:sz w:val="14"/>
                <w:szCs w:val="14"/>
                <w:color w:val="auto"/>
              </w:rPr>
              <w:t>1,916</w:t>
            </w:r>
          </w:p>
        </w:tc>
        <w:tc>
          <w:tcPr>
            <w:tcW w:w="920" w:type="dxa"/>
            <w:vAlign w:val="bottom"/>
            <w:tcBorders>
              <w:top w:val="single" w:sz="8" w:color="225CAB"/>
            </w:tcBorders>
          </w:tcPr>
          <w:p>
            <w:pPr>
              <w:spacing w:after="0"/>
              <w:rPr>
                <w:sz w:val="10"/>
                <w:szCs w:val="10"/>
                <w:color w:val="auto"/>
              </w:rPr>
            </w:pPr>
          </w:p>
        </w:tc>
        <w:tc>
          <w:tcPr>
            <w:tcW w:w="760" w:type="dxa"/>
            <w:vAlign w:val="bottom"/>
            <w:tcBorders>
              <w:top w:val="single" w:sz="8" w:color="225CAB"/>
            </w:tcBorders>
          </w:tcPr>
          <w:p>
            <w:pPr>
              <w:jc w:val="right"/>
              <w:ind w:right="52"/>
              <w:spacing w:after="0" w:line="125" w:lineRule="exact"/>
              <w:rPr>
                <w:sz w:val="20"/>
                <w:szCs w:val="20"/>
                <w:color w:val="auto"/>
              </w:rPr>
            </w:pPr>
            <w:r>
              <w:rPr>
                <w:rFonts w:ascii="Arial" w:cs="Arial" w:eastAsia="Arial" w:hAnsi="Arial"/>
                <w:sz w:val="14"/>
                <w:szCs w:val="14"/>
                <w:color w:val="auto"/>
              </w:rPr>
              <w:t>52.1900</w:t>
            </w:r>
          </w:p>
        </w:tc>
        <w:tc>
          <w:tcPr>
            <w:tcW w:w="3680" w:type="dxa"/>
            <w:vAlign w:val="bottom"/>
            <w:tcBorders>
              <w:top w:val="single" w:sz="8" w:color="225CAB"/>
            </w:tcBorders>
          </w:tcPr>
          <w:p>
            <w:pPr>
              <w:jc w:val="right"/>
              <w:ind w:right="2974"/>
              <w:spacing w:after="0" w:line="125" w:lineRule="exact"/>
              <w:rPr>
                <w:sz w:val="20"/>
                <w:szCs w:val="20"/>
                <w:color w:val="auto"/>
              </w:rPr>
            </w:pPr>
            <w:r>
              <w:rPr>
                <w:rFonts w:ascii="Arial" w:cs="Arial" w:eastAsia="Arial" w:hAnsi="Arial"/>
                <w:sz w:val="14"/>
                <w:szCs w:val="14"/>
                <w:color w:val="auto"/>
              </w:rPr>
              <w:t>02/16/17</w:t>
            </w:r>
          </w:p>
        </w:tc>
        <w:tc>
          <w:tcPr>
            <w:tcW w:w="1000" w:type="dxa"/>
            <w:vAlign w:val="bottom"/>
            <w:tcBorders>
              <w:top w:val="single" w:sz="8" w:color="225CAB"/>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40,000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55.2200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02/18/18</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60,000</w:t>
            </w:r>
          </w:p>
        </w:tc>
        <w:tc>
          <w:tcPr>
            <w:tcW w:w="920" w:type="dxa"/>
            <w:vAlign w:val="bottom"/>
            <w:vMerge w:val="restart"/>
          </w:tcPr>
          <w:p>
            <w:pPr>
              <w:jc w:val="right"/>
              <w:ind w:right="1"/>
              <w:spacing w:after="0"/>
              <w:rPr>
                <w:sz w:val="20"/>
                <w:szCs w:val="20"/>
                <w:color w:val="auto"/>
              </w:rPr>
            </w:pPr>
            <w:r>
              <w:rPr>
                <w:rFonts w:ascii="Arial" w:cs="Arial" w:eastAsia="Arial" w:hAnsi="Arial"/>
                <w:sz w:val="14"/>
                <w:szCs w:val="14"/>
                <w:color w:val="auto"/>
              </w:rPr>
              <w:t>10,000</w:t>
            </w:r>
            <w:r>
              <w:rPr>
                <w:rFonts w:ascii="Arial" w:cs="Arial" w:eastAsia="Arial" w:hAnsi="Arial"/>
                <w:sz w:val="22"/>
                <w:szCs w:val="22"/>
                <w:color w:val="auto"/>
                <w:vertAlign w:val="superscript"/>
              </w:rPr>
              <w:t>(2)</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73.5600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01/20/21</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39" w:lineRule="exact"/>
              <w:rPr>
                <w:sz w:val="20"/>
                <w:szCs w:val="20"/>
                <w:color w:val="auto"/>
              </w:rPr>
            </w:pPr>
            <w:r>
              <w:rPr>
                <w:rFonts w:ascii="Arial" w:cs="Arial" w:eastAsia="Arial" w:hAnsi="Arial"/>
                <w:sz w:val="14"/>
                <w:szCs w:val="14"/>
                <w:color w:val="auto"/>
              </w:rPr>
              <w:t>20,000</w:t>
            </w:r>
          </w:p>
        </w:tc>
        <w:tc>
          <w:tcPr>
            <w:tcW w:w="920" w:type="dxa"/>
            <w:vAlign w:val="bottom"/>
            <w:vMerge w:val="continue"/>
          </w:tcPr>
          <w:p>
            <w:pPr>
              <w:spacing w:after="0"/>
              <w:rPr>
                <w:sz w:val="12"/>
                <w:szCs w:val="12"/>
                <w:color w:val="auto"/>
              </w:rPr>
            </w:pPr>
          </w:p>
        </w:tc>
        <w:tc>
          <w:tcPr>
            <w:tcW w:w="760" w:type="dxa"/>
            <w:vAlign w:val="bottom"/>
          </w:tcPr>
          <w:p>
            <w:pPr>
              <w:jc w:val="right"/>
              <w:ind w:right="52"/>
              <w:spacing w:after="0" w:line="139" w:lineRule="exact"/>
              <w:rPr>
                <w:sz w:val="20"/>
                <w:szCs w:val="20"/>
                <w:color w:val="auto"/>
              </w:rPr>
            </w:pPr>
            <w:r>
              <w:rPr>
                <w:rFonts w:ascii="Arial" w:cs="Arial" w:eastAsia="Arial" w:hAnsi="Arial"/>
                <w:sz w:val="14"/>
                <w:szCs w:val="14"/>
                <w:color w:val="auto"/>
              </w:rPr>
              <w:t>93.6200</w:t>
            </w:r>
          </w:p>
        </w:tc>
        <w:tc>
          <w:tcPr>
            <w:tcW w:w="3680" w:type="dxa"/>
            <w:vAlign w:val="bottom"/>
          </w:tcPr>
          <w:p>
            <w:pPr>
              <w:jc w:val="right"/>
              <w:ind w:right="2974"/>
              <w:spacing w:after="0" w:line="139" w:lineRule="exact"/>
              <w:rPr>
                <w:sz w:val="20"/>
                <w:szCs w:val="20"/>
                <w:color w:val="auto"/>
              </w:rPr>
            </w:pPr>
            <w:r>
              <w:rPr>
                <w:rFonts w:ascii="Arial" w:cs="Arial" w:eastAsia="Arial" w:hAnsi="Arial"/>
                <w:sz w:val="14"/>
                <w:szCs w:val="14"/>
                <w:color w:val="auto"/>
              </w:rPr>
              <w:t>01/18/22</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10,000</w:t>
            </w:r>
          </w:p>
        </w:tc>
        <w:tc>
          <w:tcPr>
            <w:tcW w:w="920" w:type="dxa"/>
            <w:vAlign w:val="bottom"/>
          </w:tcPr>
          <w:p>
            <w:pPr>
              <w:jc w:val="right"/>
              <w:ind w:right="1"/>
              <w:spacing w:after="0" w:line="149" w:lineRule="exact"/>
              <w:rPr>
                <w:sz w:val="20"/>
                <w:szCs w:val="20"/>
                <w:color w:val="auto"/>
              </w:rPr>
            </w:pPr>
            <w:r>
              <w:rPr>
                <w:rFonts w:ascii="Arial" w:cs="Arial" w:eastAsia="Arial" w:hAnsi="Arial"/>
                <w:sz w:val="11"/>
                <w:szCs w:val="11"/>
                <w:color w:val="auto"/>
              </w:rPr>
              <w:t>20,000</w:t>
            </w:r>
            <w:r>
              <w:rPr>
                <w:rFonts w:ascii="Arial" w:cs="Arial" w:eastAsia="Arial" w:hAnsi="Arial"/>
                <w:sz w:val="17"/>
                <w:szCs w:val="17"/>
                <w:color w:val="auto"/>
                <w:vertAlign w:val="superscript"/>
              </w:rPr>
              <w:t>(3)</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115.2200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01/17/23</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jc w:val="right"/>
              <w:ind w:right="1"/>
              <w:spacing w:after="0" w:line="149" w:lineRule="exact"/>
              <w:rPr>
                <w:sz w:val="20"/>
                <w:szCs w:val="20"/>
                <w:color w:val="auto"/>
              </w:rPr>
            </w:pPr>
            <w:r>
              <w:rPr>
                <w:rFonts w:ascii="Arial" w:cs="Arial" w:eastAsia="Arial" w:hAnsi="Arial"/>
                <w:sz w:val="11"/>
                <w:szCs w:val="11"/>
                <w:color w:val="auto"/>
              </w:rPr>
              <w:t>30,000</w:t>
            </w:r>
            <w:r>
              <w:rPr>
                <w:rFonts w:ascii="Arial" w:cs="Arial" w:eastAsia="Arial" w:hAnsi="Arial"/>
                <w:sz w:val="17"/>
                <w:szCs w:val="17"/>
                <w:color w:val="auto"/>
                <w:vertAlign w:val="superscript"/>
              </w:rPr>
              <w:t>(4)</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140.8600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01/16/24</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tcBorders>
              <w:bottom w:val="single" w:sz="8" w:color="225CAB"/>
            </w:tcBorders>
          </w:tcPr>
          <w:p>
            <w:pPr>
              <w:spacing w:after="0"/>
              <w:rPr>
                <w:sz w:val="15"/>
                <w:szCs w:val="15"/>
                <w:color w:val="auto"/>
              </w:rPr>
            </w:pPr>
          </w:p>
        </w:tc>
        <w:tc>
          <w:tcPr>
            <w:tcW w:w="2400" w:type="dxa"/>
            <w:vAlign w:val="bottom"/>
            <w:tcBorders>
              <w:bottom w:val="single" w:sz="8" w:color="225CAB"/>
            </w:tcBorders>
          </w:tcPr>
          <w:p>
            <w:pPr>
              <w:spacing w:after="0"/>
              <w:rPr>
                <w:sz w:val="15"/>
                <w:szCs w:val="15"/>
                <w:color w:val="auto"/>
              </w:rPr>
            </w:pPr>
          </w:p>
        </w:tc>
        <w:tc>
          <w:tcPr>
            <w:tcW w:w="920" w:type="dxa"/>
            <w:vAlign w:val="bottom"/>
            <w:tcBorders>
              <w:bottom w:val="single" w:sz="8" w:color="225CAB"/>
            </w:tcBorders>
          </w:tcPr>
          <w:p>
            <w:pPr>
              <w:spacing w:after="0"/>
              <w:rPr>
                <w:sz w:val="15"/>
                <w:szCs w:val="15"/>
                <w:color w:val="auto"/>
              </w:rPr>
            </w:pPr>
          </w:p>
        </w:tc>
        <w:tc>
          <w:tcPr>
            <w:tcW w:w="760" w:type="dxa"/>
            <w:vAlign w:val="bottom"/>
            <w:tcBorders>
              <w:bottom w:val="single" w:sz="8" w:color="225CAB"/>
            </w:tcBorders>
          </w:tcPr>
          <w:p>
            <w:pPr>
              <w:spacing w:after="0"/>
              <w:rPr>
                <w:sz w:val="15"/>
                <w:szCs w:val="15"/>
                <w:color w:val="auto"/>
              </w:rPr>
            </w:pPr>
          </w:p>
        </w:tc>
        <w:tc>
          <w:tcPr>
            <w:tcW w:w="3680" w:type="dxa"/>
            <w:vAlign w:val="bottom"/>
            <w:tcBorders>
              <w:bottom w:val="single" w:sz="8" w:color="225CAB"/>
            </w:tcBorders>
          </w:tcPr>
          <w:p>
            <w:pPr>
              <w:jc w:val="right"/>
              <w:ind w:right="274"/>
              <w:spacing w:after="0" w:line="176" w:lineRule="exact"/>
              <w:rPr>
                <w:sz w:val="20"/>
                <w:szCs w:val="20"/>
                <w:color w:val="auto"/>
              </w:rPr>
            </w:pPr>
            <w:r>
              <w:rPr>
                <w:rFonts w:ascii="Arial" w:cs="Arial" w:eastAsia="Arial" w:hAnsi="Arial"/>
                <w:sz w:val="13"/>
                <w:szCs w:val="13"/>
                <w:color w:val="auto"/>
              </w:rPr>
              <w:t>30,000</w:t>
            </w:r>
            <w:r>
              <w:rPr>
                <w:rFonts w:ascii="Arial" w:cs="Arial" w:eastAsia="Arial" w:hAnsi="Arial"/>
                <w:sz w:val="20"/>
                <w:szCs w:val="20"/>
                <w:color w:val="auto"/>
                <w:vertAlign w:val="superscript"/>
              </w:rPr>
              <w:t>(6)(8)</w:t>
            </w:r>
          </w:p>
        </w:tc>
        <w:tc>
          <w:tcPr>
            <w:tcW w:w="1000" w:type="dxa"/>
            <w:vAlign w:val="bottom"/>
            <w:tcBorders>
              <w:bottom w:val="single" w:sz="8" w:color="225CAB"/>
            </w:tcBorders>
          </w:tcPr>
          <w:p>
            <w:pPr>
              <w:jc w:val="right"/>
              <w:ind w:right="12"/>
              <w:spacing w:after="0"/>
              <w:rPr>
                <w:sz w:val="20"/>
                <w:szCs w:val="20"/>
                <w:color w:val="auto"/>
              </w:rPr>
            </w:pPr>
            <w:r>
              <w:rPr>
                <w:rFonts w:ascii="Arial" w:cs="Arial" w:eastAsia="Arial" w:hAnsi="Arial"/>
                <w:sz w:val="14"/>
                <w:szCs w:val="14"/>
                <w:color w:val="auto"/>
              </w:rPr>
              <w:t>4,690,500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40" w:type="dxa"/>
            <w:vAlign w:val="bottom"/>
          </w:tcPr>
          <w:p>
            <w:pPr>
              <w:spacing w:after="0" w:line="125" w:lineRule="exact"/>
              <w:rPr>
                <w:sz w:val="20"/>
                <w:szCs w:val="20"/>
                <w:color w:val="auto"/>
              </w:rPr>
            </w:pPr>
            <w:r>
              <w:rPr>
                <w:rFonts w:ascii="Arial" w:cs="Arial" w:eastAsia="Arial" w:hAnsi="Arial"/>
                <w:sz w:val="14"/>
                <w:szCs w:val="14"/>
                <w:color w:val="225CAB"/>
              </w:rPr>
              <w:t>David B. Liner</w:t>
            </w:r>
          </w:p>
        </w:tc>
        <w:tc>
          <w:tcPr>
            <w:tcW w:w="2400" w:type="dxa"/>
            <w:vAlign w:val="bottom"/>
          </w:tcPr>
          <w:p>
            <w:pPr>
              <w:jc w:val="right"/>
              <w:ind w:right="232"/>
              <w:spacing w:after="0" w:line="125"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0"/>
                <w:szCs w:val="10"/>
                <w:color w:val="auto"/>
              </w:rPr>
            </w:pPr>
          </w:p>
        </w:tc>
        <w:tc>
          <w:tcPr>
            <w:tcW w:w="760" w:type="dxa"/>
            <w:vAlign w:val="bottom"/>
          </w:tcPr>
          <w:p>
            <w:pPr>
              <w:jc w:val="right"/>
              <w:ind w:right="52"/>
              <w:spacing w:after="0" w:line="125" w:lineRule="exact"/>
              <w:rPr>
                <w:sz w:val="20"/>
                <w:szCs w:val="20"/>
                <w:color w:val="auto"/>
              </w:rPr>
            </w:pPr>
            <w:r>
              <w:rPr>
                <w:rFonts w:ascii="Arial" w:cs="Arial" w:eastAsia="Arial" w:hAnsi="Arial"/>
                <w:sz w:val="14"/>
                <w:szCs w:val="14"/>
                <w:color w:val="auto"/>
              </w:rPr>
              <w:t>52.1900</w:t>
            </w:r>
          </w:p>
        </w:tc>
        <w:tc>
          <w:tcPr>
            <w:tcW w:w="3680" w:type="dxa"/>
            <w:vAlign w:val="bottom"/>
          </w:tcPr>
          <w:p>
            <w:pPr>
              <w:jc w:val="right"/>
              <w:ind w:right="2974"/>
              <w:spacing w:after="0" w:line="125" w:lineRule="exact"/>
              <w:rPr>
                <w:sz w:val="20"/>
                <w:szCs w:val="20"/>
                <w:color w:val="auto"/>
              </w:rPr>
            </w:pPr>
            <w:r>
              <w:rPr>
                <w:rFonts w:ascii="Arial" w:cs="Arial" w:eastAsia="Arial" w:hAnsi="Arial"/>
                <w:sz w:val="14"/>
                <w:szCs w:val="14"/>
                <w:color w:val="auto"/>
              </w:rPr>
              <w:t>02/16/17</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55.2200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02/18/18</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41.9500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02/12/19</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51.1100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01/22/20</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vMerge w:val="restart"/>
          </w:tcPr>
          <w:p>
            <w:pPr>
              <w:jc w:val="right"/>
              <w:ind w:right="1"/>
              <w:spacing w:after="0"/>
              <w:rPr>
                <w:sz w:val="20"/>
                <w:szCs w:val="20"/>
                <w:color w:val="auto"/>
              </w:rPr>
            </w:pPr>
            <w:r>
              <w:rPr>
                <w:rFonts w:ascii="Arial" w:cs="Arial" w:eastAsia="Arial" w:hAnsi="Arial"/>
                <w:sz w:val="14"/>
                <w:szCs w:val="14"/>
                <w:color w:val="auto"/>
              </w:rPr>
              <w:t>4,000</w:t>
            </w:r>
            <w:r>
              <w:rPr>
                <w:rFonts w:ascii="Arial" w:cs="Arial" w:eastAsia="Arial" w:hAnsi="Arial"/>
                <w:sz w:val="22"/>
                <w:szCs w:val="22"/>
                <w:color w:val="auto"/>
                <w:vertAlign w:val="superscript"/>
              </w:rPr>
              <w:t>(2)</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73.5600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01/20/21</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39" w:lineRule="exact"/>
              <w:rPr>
                <w:sz w:val="20"/>
                <w:szCs w:val="20"/>
                <w:color w:val="auto"/>
              </w:rPr>
            </w:pPr>
            <w:r>
              <w:rPr>
                <w:rFonts w:ascii="Arial" w:cs="Arial" w:eastAsia="Arial" w:hAnsi="Arial"/>
                <w:sz w:val="14"/>
                <w:szCs w:val="14"/>
                <w:color w:val="auto"/>
              </w:rPr>
              <w:t>8,000</w:t>
            </w:r>
          </w:p>
        </w:tc>
        <w:tc>
          <w:tcPr>
            <w:tcW w:w="920" w:type="dxa"/>
            <w:vAlign w:val="bottom"/>
            <w:vMerge w:val="continue"/>
          </w:tcPr>
          <w:p>
            <w:pPr>
              <w:spacing w:after="0"/>
              <w:rPr>
                <w:sz w:val="12"/>
                <w:szCs w:val="12"/>
                <w:color w:val="auto"/>
              </w:rPr>
            </w:pPr>
          </w:p>
        </w:tc>
        <w:tc>
          <w:tcPr>
            <w:tcW w:w="760" w:type="dxa"/>
            <w:vAlign w:val="bottom"/>
          </w:tcPr>
          <w:p>
            <w:pPr>
              <w:jc w:val="right"/>
              <w:ind w:right="52"/>
              <w:spacing w:after="0" w:line="139" w:lineRule="exact"/>
              <w:rPr>
                <w:sz w:val="20"/>
                <w:szCs w:val="20"/>
                <w:color w:val="auto"/>
              </w:rPr>
            </w:pPr>
            <w:r>
              <w:rPr>
                <w:rFonts w:ascii="Arial" w:cs="Arial" w:eastAsia="Arial" w:hAnsi="Arial"/>
                <w:sz w:val="14"/>
                <w:szCs w:val="14"/>
                <w:color w:val="auto"/>
              </w:rPr>
              <w:t>93.6200</w:t>
            </w:r>
          </w:p>
        </w:tc>
        <w:tc>
          <w:tcPr>
            <w:tcW w:w="3680" w:type="dxa"/>
            <w:vAlign w:val="bottom"/>
          </w:tcPr>
          <w:p>
            <w:pPr>
              <w:jc w:val="right"/>
              <w:ind w:right="2974"/>
              <w:spacing w:after="0" w:line="139" w:lineRule="exact"/>
              <w:rPr>
                <w:sz w:val="20"/>
                <w:szCs w:val="20"/>
                <w:color w:val="auto"/>
              </w:rPr>
            </w:pPr>
            <w:r>
              <w:rPr>
                <w:rFonts w:ascii="Arial" w:cs="Arial" w:eastAsia="Arial" w:hAnsi="Arial"/>
                <w:sz w:val="14"/>
                <w:szCs w:val="14"/>
                <w:color w:val="auto"/>
              </w:rPr>
              <w:t>01/18/22</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4,000</w:t>
            </w:r>
          </w:p>
        </w:tc>
        <w:tc>
          <w:tcPr>
            <w:tcW w:w="920" w:type="dxa"/>
            <w:vAlign w:val="bottom"/>
          </w:tcPr>
          <w:p>
            <w:pPr>
              <w:jc w:val="right"/>
              <w:ind w:right="1"/>
              <w:spacing w:after="0" w:line="149" w:lineRule="exact"/>
              <w:rPr>
                <w:sz w:val="20"/>
                <w:szCs w:val="20"/>
                <w:color w:val="auto"/>
              </w:rPr>
            </w:pPr>
            <w:r>
              <w:rPr>
                <w:rFonts w:ascii="Arial" w:cs="Arial" w:eastAsia="Arial" w:hAnsi="Arial"/>
                <w:sz w:val="11"/>
                <w:szCs w:val="11"/>
                <w:color w:val="auto"/>
              </w:rPr>
              <w:t>8,000</w:t>
            </w:r>
            <w:r>
              <w:rPr>
                <w:rFonts w:ascii="Arial" w:cs="Arial" w:eastAsia="Arial" w:hAnsi="Arial"/>
                <w:sz w:val="17"/>
                <w:szCs w:val="17"/>
                <w:color w:val="auto"/>
                <w:vertAlign w:val="superscript"/>
              </w:rPr>
              <w:t>(3)</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115.2200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01/17/23</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jc w:val="right"/>
              <w:ind w:right="1"/>
              <w:spacing w:after="0" w:line="149" w:lineRule="exact"/>
              <w:rPr>
                <w:sz w:val="20"/>
                <w:szCs w:val="20"/>
                <w:color w:val="auto"/>
              </w:rPr>
            </w:pPr>
            <w:r>
              <w:rPr>
                <w:rFonts w:ascii="Arial" w:cs="Arial" w:eastAsia="Arial" w:hAnsi="Arial"/>
                <w:sz w:val="11"/>
                <w:szCs w:val="11"/>
                <w:color w:val="auto"/>
              </w:rPr>
              <w:t>12,000</w:t>
            </w:r>
            <w:r>
              <w:rPr>
                <w:rFonts w:ascii="Arial" w:cs="Arial" w:eastAsia="Arial" w:hAnsi="Arial"/>
                <w:sz w:val="17"/>
                <w:szCs w:val="17"/>
                <w:color w:val="auto"/>
                <w:vertAlign w:val="superscript"/>
              </w:rPr>
              <w:t>(4)</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140.8600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01/16/24</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tcBorders>
              <w:bottom w:val="single" w:sz="8" w:color="225CAB"/>
            </w:tcBorders>
          </w:tcPr>
          <w:p>
            <w:pPr>
              <w:spacing w:after="0"/>
              <w:rPr>
                <w:sz w:val="15"/>
                <w:szCs w:val="15"/>
                <w:color w:val="auto"/>
              </w:rPr>
            </w:pPr>
          </w:p>
        </w:tc>
        <w:tc>
          <w:tcPr>
            <w:tcW w:w="2400" w:type="dxa"/>
            <w:vAlign w:val="bottom"/>
            <w:tcBorders>
              <w:bottom w:val="single" w:sz="8" w:color="225CAB"/>
            </w:tcBorders>
          </w:tcPr>
          <w:p>
            <w:pPr>
              <w:spacing w:after="0"/>
              <w:rPr>
                <w:sz w:val="15"/>
                <w:szCs w:val="15"/>
                <w:color w:val="auto"/>
              </w:rPr>
            </w:pPr>
          </w:p>
        </w:tc>
        <w:tc>
          <w:tcPr>
            <w:tcW w:w="920" w:type="dxa"/>
            <w:vAlign w:val="bottom"/>
            <w:tcBorders>
              <w:bottom w:val="single" w:sz="8" w:color="225CAB"/>
            </w:tcBorders>
          </w:tcPr>
          <w:p>
            <w:pPr>
              <w:spacing w:after="0"/>
              <w:rPr>
                <w:sz w:val="15"/>
                <w:szCs w:val="15"/>
                <w:color w:val="auto"/>
              </w:rPr>
            </w:pPr>
          </w:p>
        </w:tc>
        <w:tc>
          <w:tcPr>
            <w:tcW w:w="760" w:type="dxa"/>
            <w:vAlign w:val="bottom"/>
            <w:tcBorders>
              <w:bottom w:val="single" w:sz="8" w:color="225CAB"/>
            </w:tcBorders>
          </w:tcPr>
          <w:p>
            <w:pPr>
              <w:spacing w:after="0"/>
              <w:rPr>
                <w:sz w:val="15"/>
                <w:szCs w:val="15"/>
                <w:color w:val="auto"/>
              </w:rPr>
            </w:pPr>
          </w:p>
        </w:tc>
        <w:tc>
          <w:tcPr>
            <w:tcW w:w="3680" w:type="dxa"/>
            <w:vAlign w:val="bottom"/>
            <w:tcBorders>
              <w:bottom w:val="single" w:sz="8" w:color="225CAB"/>
            </w:tcBorders>
          </w:tcPr>
          <w:p>
            <w:pPr>
              <w:jc w:val="right"/>
              <w:ind w:right="274"/>
              <w:spacing w:after="0" w:line="176" w:lineRule="exact"/>
              <w:rPr>
                <w:sz w:val="20"/>
                <w:szCs w:val="20"/>
                <w:color w:val="auto"/>
              </w:rPr>
            </w:pPr>
            <w:r>
              <w:rPr>
                <w:rFonts w:ascii="Arial" w:cs="Arial" w:eastAsia="Arial" w:hAnsi="Arial"/>
                <w:sz w:val="20"/>
                <w:szCs w:val="20"/>
                <w:color w:val="auto"/>
                <w:vertAlign w:val="subscript"/>
              </w:rPr>
              <w:t>6,000</w:t>
            </w:r>
            <w:r>
              <w:rPr>
                <w:rFonts w:ascii="Arial" w:cs="Arial" w:eastAsia="Arial" w:hAnsi="Arial"/>
                <w:sz w:val="9"/>
                <w:szCs w:val="9"/>
                <w:color w:val="auto"/>
              </w:rPr>
              <w:t>(7)(8)</w:t>
            </w:r>
          </w:p>
        </w:tc>
        <w:tc>
          <w:tcPr>
            <w:tcW w:w="1000" w:type="dxa"/>
            <w:vAlign w:val="bottom"/>
            <w:tcBorders>
              <w:bottom w:val="single" w:sz="8" w:color="225CAB"/>
            </w:tcBorders>
          </w:tcPr>
          <w:p>
            <w:pPr>
              <w:jc w:val="right"/>
              <w:ind w:right="12"/>
              <w:spacing w:after="0"/>
              <w:rPr>
                <w:sz w:val="20"/>
                <w:szCs w:val="20"/>
                <w:color w:val="auto"/>
              </w:rPr>
            </w:pPr>
            <w:r>
              <w:rPr>
                <w:rFonts w:ascii="Arial" w:cs="Arial" w:eastAsia="Arial" w:hAnsi="Arial"/>
                <w:sz w:val="14"/>
                <w:szCs w:val="14"/>
                <w:color w:val="auto"/>
              </w:rPr>
              <w:t>938,100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40" w:type="dxa"/>
            <w:vAlign w:val="bottom"/>
          </w:tcPr>
          <w:p>
            <w:pPr>
              <w:spacing w:after="0" w:line="125" w:lineRule="exact"/>
              <w:rPr>
                <w:sz w:val="20"/>
                <w:szCs w:val="20"/>
                <w:color w:val="auto"/>
              </w:rPr>
            </w:pPr>
            <w:r>
              <w:rPr>
                <w:rFonts w:ascii="Arial" w:cs="Arial" w:eastAsia="Arial" w:hAnsi="Arial"/>
                <w:sz w:val="14"/>
                <w:szCs w:val="14"/>
                <w:color w:val="225CAB"/>
              </w:rPr>
              <w:t>Paul J. Soni</w:t>
            </w:r>
          </w:p>
        </w:tc>
        <w:tc>
          <w:tcPr>
            <w:tcW w:w="2400" w:type="dxa"/>
            <w:vAlign w:val="bottom"/>
          </w:tcPr>
          <w:p>
            <w:pPr>
              <w:jc w:val="right"/>
              <w:ind w:right="232"/>
              <w:spacing w:after="0" w:line="125"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0"/>
                <w:szCs w:val="10"/>
                <w:color w:val="auto"/>
              </w:rPr>
            </w:pPr>
          </w:p>
        </w:tc>
        <w:tc>
          <w:tcPr>
            <w:tcW w:w="760" w:type="dxa"/>
            <w:vAlign w:val="bottom"/>
          </w:tcPr>
          <w:p>
            <w:pPr>
              <w:jc w:val="right"/>
              <w:ind w:right="52"/>
              <w:spacing w:after="0" w:line="125" w:lineRule="exact"/>
              <w:rPr>
                <w:sz w:val="20"/>
                <w:szCs w:val="20"/>
                <w:color w:val="auto"/>
              </w:rPr>
            </w:pPr>
            <w:r>
              <w:rPr>
                <w:rFonts w:ascii="Arial" w:cs="Arial" w:eastAsia="Arial" w:hAnsi="Arial"/>
                <w:sz w:val="14"/>
                <w:szCs w:val="14"/>
                <w:color w:val="auto"/>
              </w:rPr>
              <w:t>52.1900</w:t>
            </w:r>
          </w:p>
        </w:tc>
        <w:tc>
          <w:tcPr>
            <w:tcW w:w="3680" w:type="dxa"/>
            <w:vAlign w:val="bottom"/>
          </w:tcPr>
          <w:p>
            <w:pPr>
              <w:jc w:val="right"/>
              <w:ind w:right="2974"/>
              <w:spacing w:after="0" w:line="125" w:lineRule="exact"/>
              <w:rPr>
                <w:sz w:val="20"/>
                <w:szCs w:val="20"/>
                <w:color w:val="auto"/>
              </w:rPr>
            </w:pPr>
            <w:r>
              <w:rPr>
                <w:rFonts w:ascii="Arial" w:cs="Arial" w:eastAsia="Arial" w:hAnsi="Arial"/>
                <w:sz w:val="14"/>
                <w:szCs w:val="14"/>
                <w:color w:val="auto"/>
              </w:rPr>
              <w:t>02/16/17</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55.2200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02/18/18</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41.9500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02/12/19</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51.1100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01/22/20</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12,000</w:t>
            </w:r>
          </w:p>
        </w:tc>
        <w:tc>
          <w:tcPr>
            <w:tcW w:w="920" w:type="dxa"/>
            <w:vAlign w:val="bottom"/>
            <w:vMerge w:val="restart"/>
          </w:tcPr>
          <w:p>
            <w:pPr>
              <w:jc w:val="right"/>
              <w:ind w:right="1"/>
              <w:spacing w:after="0"/>
              <w:rPr>
                <w:sz w:val="20"/>
                <w:szCs w:val="20"/>
                <w:color w:val="auto"/>
              </w:rPr>
            </w:pPr>
            <w:r>
              <w:rPr>
                <w:rFonts w:ascii="Arial" w:cs="Arial" w:eastAsia="Arial" w:hAnsi="Arial"/>
                <w:sz w:val="14"/>
                <w:szCs w:val="14"/>
                <w:color w:val="auto"/>
              </w:rPr>
              <w:t>4,000</w:t>
            </w:r>
            <w:r>
              <w:rPr>
                <w:rFonts w:ascii="Arial" w:cs="Arial" w:eastAsia="Arial" w:hAnsi="Arial"/>
                <w:sz w:val="22"/>
                <w:szCs w:val="22"/>
                <w:color w:val="auto"/>
                <w:vertAlign w:val="superscript"/>
              </w:rPr>
              <w:t>(2)</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73.5600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01/20/21</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39" w:lineRule="exact"/>
              <w:rPr>
                <w:sz w:val="20"/>
                <w:szCs w:val="20"/>
                <w:color w:val="auto"/>
              </w:rPr>
            </w:pPr>
            <w:r>
              <w:rPr>
                <w:rFonts w:ascii="Arial" w:cs="Arial" w:eastAsia="Arial" w:hAnsi="Arial"/>
                <w:sz w:val="14"/>
                <w:szCs w:val="14"/>
                <w:color w:val="auto"/>
              </w:rPr>
              <w:t>8,000</w:t>
            </w:r>
          </w:p>
        </w:tc>
        <w:tc>
          <w:tcPr>
            <w:tcW w:w="920" w:type="dxa"/>
            <w:vAlign w:val="bottom"/>
            <w:vMerge w:val="continue"/>
          </w:tcPr>
          <w:p>
            <w:pPr>
              <w:spacing w:after="0"/>
              <w:rPr>
                <w:sz w:val="12"/>
                <w:szCs w:val="12"/>
                <w:color w:val="auto"/>
              </w:rPr>
            </w:pPr>
          </w:p>
        </w:tc>
        <w:tc>
          <w:tcPr>
            <w:tcW w:w="760" w:type="dxa"/>
            <w:vAlign w:val="bottom"/>
          </w:tcPr>
          <w:p>
            <w:pPr>
              <w:jc w:val="right"/>
              <w:ind w:right="52"/>
              <w:spacing w:after="0" w:line="139" w:lineRule="exact"/>
              <w:rPr>
                <w:sz w:val="20"/>
                <w:szCs w:val="20"/>
                <w:color w:val="auto"/>
              </w:rPr>
            </w:pPr>
            <w:r>
              <w:rPr>
                <w:rFonts w:ascii="Arial" w:cs="Arial" w:eastAsia="Arial" w:hAnsi="Arial"/>
                <w:sz w:val="14"/>
                <w:szCs w:val="14"/>
                <w:color w:val="auto"/>
              </w:rPr>
              <w:t>93.6200</w:t>
            </w:r>
          </w:p>
        </w:tc>
        <w:tc>
          <w:tcPr>
            <w:tcW w:w="3680" w:type="dxa"/>
            <w:vAlign w:val="bottom"/>
          </w:tcPr>
          <w:p>
            <w:pPr>
              <w:jc w:val="right"/>
              <w:ind w:right="2974"/>
              <w:spacing w:after="0" w:line="139" w:lineRule="exact"/>
              <w:rPr>
                <w:sz w:val="20"/>
                <w:szCs w:val="20"/>
                <w:color w:val="auto"/>
              </w:rPr>
            </w:pPr>
            <w:r>
              <w:rPr>
                <w:rFonts w:ascii="Arial" w:cs="Arial" w:eastAsia="Arial" w:hAnsi="Arial"/>
                <w:sz w:val="14"/>
                <w:szCs w:val="14"/>
                <w:color w:val="auto"/>
              </w:rPr>
              <w:t>01/18/22</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4,000</w:t>
            </w:r>
          </w:p>
        </w:tc>
        <w:tc>
          <w:tcPr>
            <w:tcW w:w="920" w:type="dxa"/>
            <w:vAlign w:val="bottom"/>
          </w:tcPr>
          <w:p>
            <w:pPr>
              <w:jc w:val="right"/>
              <w:ind w:right="1"/>
              <w:spacing w:after="0" w:line="149" w:lineRule="exact"/>
              <w:rPr>
                <w:sz w:val="20"/>
                <w:szCs w:val="20"/>
                <w:color w:val="auto"/>
              </w:rPr>
            </w:pPr>
            <w:r>
              <w:rPr>
                <w:rFonts w:ascii="Arial" w:cs="Arial" w:eastAsia="Arial" w:hAnsi="Arial"/>
                <w:sz w:val="11"/>
                <w:szCs w:val="11"/>
                <w:color w:val="auto"/>
              </w:rPr>
              <w:t>8,000</w:t>
            </w:r>
            <w:r>
              <w:rPr>
                <w:rFonts w:ascii="Arial" w:cs="Arial" w:eastAsia="Arial" w:hAnsi="Arial"/>
                <w:sz w:val="17"/>
                <w:szCs w:val="17"/>
                <w:color w:val="auto"/>
                <w:vertAlign w:val="superscript"/>
              </w:rPr>
              <w:t>(3)</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115.2200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01/17/23</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jc w:val="right"/>
              <w:ind w:right="1"/>
              <w:spacing w:after="0" w:line="149" w:lineRule="exact"/>
              <w:rPr>
                <w:sz w:val="20"/>
                <w:szCs w:val="20"/>
                <w:color w:val="auto"/>
              </w:rPr>
            </w:pPr>
            <w:r>
              <w:rPr>
                <w:rFonts w:ascii="Arial" w:cs="Arial" w:eastAsia="Arial" w:hAnsi="Arial"/>
                <w:sz w:val="11"/>
                <w:szCs w:val="11"/>
                <w:color w:val="auto"/>
              </w:rPr>
              <w:t>12,000</w:t>
            </w:r>
            <w:r>
              <w:rPr>
                <w:rFonts w:ascii="Arial" w:cs="Arial" w:eastAsia="Arial" w:hAnsi="Arial"/>
                <w:sz w:val="17"/>
                <w:szCs w:val="17"/>
                <w:color w:val="auto"/>
                <w:vertAlign w:val="superscript"/>
              </w:rPr>
              <w:t>(4)</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140.8600</w:t>
            </w:r>
          </w:p>
        </w:tc>
        <w:tc>
          <w:tcPr>
            <w:tcW w:w="3680" w:type="dxa"/>
            <w:vAlign w:val="bottom"/>
          </w:tcPr>
          <w:p>
            <w:pPr>
              <w:jc w:val="right"/>
              <w:ind w:right="2974"/>
              <w:spacing w:after="0" w:line="149" w:lineRule="exact"/>
              <w:rPr>
                <w:sz w:val="20"/>
                <w:szCs w:val="20"/>
                <w:color w:val="auto"/>
              </w:rPr>
            </w:pPr>
            <w:r>
              <w:rPr>
                <w:rFonts w:ascii="Arial" w:cs="Arial" w:eastAsia="Arial" w:hAnsi="Arial"/>
                <w:sz w:val="14"/>
                <w:szCs w:val="14"/>
                <w:color w:val="auto"/>
              </w:rPr>
              <w:t>01/16/24</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80" w:type="dxa"/>
            <w:vAlign w:val="bottom"/>
          </w:tcPr>
          <w:p>
            <w:pPr>
              <w:jc w:val="right"/>
              <w:ind w:right="274"/>
              <w:spacing w:after="0" w:line="182" w:lineRule="exact"/>
              <w:rPr>
                <w:sz w:val="20"/>
                <w:szCs w:val="20"/>
                <w:color w:val="auto"/>
              </w:rPr>
            </w:pPr>
            <w:r>
              <w:rPr>
                <w:rFonts w:ascii="Arial" w:cs="Arial" w:eastAsia="Arial" w:hAnsi="Arial"/>
                <w:sz w:val="21"/>
                <w:szCs w:val="21"/>
                <w:color w:val="auto"/>
                <w:vertAlign w:val="subscript"/>
              </w:rPr>
              <w:t>6,000</w:t>
            </w:r>
            <w:r>
              <w:rPr>
                <w:rFonts w:ascii="Arial" w:cs="Arial" w:eastAsia="Arial" w:hAnsi="Arial"/>
                <w:sz w:val="10"/>
                <w:szCs w:val="10"/>
                <w:color w:val="auto"/>
              </w:rPr>
              <w:t>(7)(8)</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938,100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187" w:lineRule="auto"/>
        <w:tabs>
          <w:tab w:leader="none" w:pos="340" w:val="left"/>
        </w:tabs>
        <w:numPr>
          <w:ilvl w:val="0"/>
          <w:numId w:val="84"/>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$156.35, the closing market price of our common stock on December 31, 2014, by the number of restricted shares that have not vested.</w:t>
      </w:r>
    </w:p>
    <w:p>
      <w:pPr>
        <w:spacing w:after="0" w:line="66"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18, 2012 with unexercisable shares vesting in January 2015.</w:t>
      </w:r>
    </w:p>
    <w:p>
      <w:pPr>
        <w:spacing w:after="0" w:line="65" w:lineRule="exact"/>
        <w:rPr>
          <w:rFonts w:ascii="Arial" w:cs="Arial" w:eastAsia="Arial" w:hAnsi="Arial"/>
          <w:sz w:val="19"/>
          <w:szCs w:val="19"/>
          <w:color w:val="auto"/>
          <w:vertAlign w:val="superscript"/>
        </w:rPr>
      </w:pPr>
    </w:p>
    <w:p>
      <w:pPr>
        <w:ind w:left="340" w:hanging="332"/>
        <w:spacing w:after="0" w:line="180" w:lineRule="auto"/>
        <w:tabs>
          <w:tab w:leader="none" w:pos="3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17, 2013 with unexercisable shares vesting ratably in January of 2015 and 2016.</w:t>
      </w:r>
    </w:p>
    <w:p>
      <w:pPr>
        <w:spacing w:after="0" w:line="65" w:lineRule="exact"/>
        <w:rPr>
          <w:rFonts w:ascii="Arial" w:cs="Arial" w:eastAsia="Arial" w:hAnsi="Arial"/>
          <w:sz w:val="19"/>
          <w:szCs w:val="19"/>
          <w:color w:val="auto"/>
          <w:vertAlign w:val="superscript"/>
        </w:rPr>
      </w:pPr>
    </w:p>
    <w:p>
      <w:pPr>
        <w:ind w:left="340" w:hanging="332"/>
        <w:spacing w:after="0" w:line="180" w:lineRule="auto"/>
        <w:tabs>
          <w:tab w:leader="none" w:pos="3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16, 2014 with unexercisable shares vesting ratably in January of 2015, 2016 and 2017.</w:t>
      </w:r>
    </w:p>
    <w:p>
      <w:pPr>
        <w:spacing w:after="0" w:line="65" w:lineRule="exact"/>
        <w:rPr>
          <w:rFonts w:ascii="Arial" w:cs="Arial" w:eastAsia="Arial" w:hAnsi="Arial"/>
          <w:sz w:val="19"/>
          <w:szCs w:val="19"/>
          <w:color w:val="auto"/>
          <w:vertAlign w:val="superscript"/>
        </w:rPr>
      </w:pPr>
    </w:p>
    <w:p>
      <w:pPr>
        <w:ind w:left="340" w:hanging="332"/>
        <w:spacing w:after="0" w:line="180" w:lineRule="auto"/>
        <w:tabs>
          <w:tab w:leader="none" w:pos="3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This represents multiple restricted stock awards with the remaining shares of each grant vesting, subject to applicable Company performance conditions, as follows:</w:t>
      </w:r>
    </w:p>
    <w:p>
      <w:pPr>
        <w:ind w:left="800" w:hanging="454"/>
        <w:spacing w:after="0" w:line="218" w:lineRule="auto"/>
        <w:tabs>
          <w:tab w:leader="none" w:pos="80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50,000 shares remaining from 150,000 shares granted January 17, 2013 and vesting in November 2015; and</w:t>
      </w:r>
    </w:p>
    <w:p>
      <w:pPr>
        <w:ind w:left="800" w:hanging="454"/>
        <w:spacing w:after="0" w:line="217" w:lineRule="auto"/>
        <w:tabs>
          <w:tab w:leader="none" w:pos="80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100,000 shares remaining from 150,000 shares granted January 16, 2014 and vesting ratably in November 2015 and 2016;</w:t>
      </w:r>
    </w:p>
    <w:p>
      <w:pPr>
        <w:spacing w:after="0" w:line="135"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41</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55"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awards with the remaining shares of each grant vesting, subject to applicable Company performance conditions, as follows:</w:t>
      </w:r>
    </w:p>
    <w:p>
      <w:pPr>
        <w:spacing w:after="0" w:line="65" w:lineRule="exact"/>
        <w:rPr>
          <w:rFonts w:ascii="Arial" w:cs="Arial" w:eastAsia="Arial" w:hAnsi="Arial"/>
          <w:sz w:val="22"/>
          <w:szCs w:val="22"/>
          <w:color w:val="auto"/>
          <w:vertAlign w:val="superscript"/>
        </w:rPr>
      </w:pPr>
    </w:p>
    <w:p>
      <w:pPr>
        <w:ind w:left="800" w:hanging="454"/>
        <w:spacing w:after="0" w:line="180" w:lineRule="auto"/>
        <w:tabs>
          <w:tab w:leader="none" w:pos="800" w:val="left"/>
        </w:tabs>
        <w:numPr>
          <w:ilvl w:val="1"/>
          <w:numId w:val="87"/>
        </w:numPr>
        <w:rPr>
          <w:rFonts w:ascii="Arial" w:cs="Arial" w:eastAsia="Arial" w:hAnsi="Arial"/>
          <w:sz w:val="19"/>
          <w:szCs w:val="19"/>
          <w:color w:val="auto"/>
          <w:vertAlign w:val="superscript"/>
        </w:rPr>
      </w:pPr>
      <w:r>
        <w:rPr>
          <w:rFonts w:ascii="Arial" w:cs="Arial" w:eastAsia="Arial" w:hAnsi="Arial"/>
          <w:sz w:val="12"/>
          <w:szCs w:val="12"/>
          <w:color w:val="auto"/>
        </w:rPr>
        <w:t>10,000 shares remaining from 30,000 shares granted January 17, 2013 and vesting in November 2015;</w:t>
      </w:r>
    </w:p>
    <w:p>
      <w:pPr>
        <w:ind w:left="800" w:hanging="454"/>
        <w:spacing w:after="0" w:line="218" w:lineRule="auto"/>
        <w:tabs>
          <w:tab w:leader="none" w:pos="800" w:val="left"/>
        </w:tabs>
        <w:numPr>
          <w:ilvl w:val="1"/>
          <w:numId w:val="88"/>
        </w:numPr>
        <w:rPr>
          <w:rFonts w:ascii="Arial" w:cs="Arial" w:eastAsia="Arial" w:hAnsi="Arial"/>
          <w:sz w:val="22"/>
          <w:szCs w:val="22"/>
          <w:color w:val="auto"/>
          <w:vertAlign w:val="superscript"/>
        </w:rPr>
      </w:pPr>
      <w:r>
        <w:rPr>
          <w:rFonts w:ascii="Arial" w:cs="Arial" w:eastAsia="Arial" w:hAnsi="Arial"/>
          <w:sz w:val="14"/>
          <w:szCs w:val="14"/>
          <w:color w:val="auto"/>
        </w:rPr>
        <w:t>20,000 shares remaining from 30,000 shares granted January 16, 2014 and vesting ratably in November 2015 and 2016.</w:t>
      </w:r>
    </w:p>
    <w:p>
      <w:pPr>
        <w:spacing w:after="0" w:line="65"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89"/>
        </w:numPr>
        <w:rPr>
          <w:rFonts w:ascii="Arial" w:cs="Arial" w:eastAsia="Arial" w:hAnsi="Arial"/>
          <w:sz w:val="19"/>
          <w:szCs w:val="19"/>
          <w:color w:val="auto"/>
          <w:vertAlign w:val="superscript"/>
        </w:rPr>
      </w:pPr>
      <w:r>
        <w:rPr>
          <w:rFonts w:ascii="Arial" w:cs="Arial" w:eastAsia="Arial" w:hAnsi="Arial"/>
          <w:sz w:val="12"/>
          <w:szCs w:val="12"/>
          <w:color w:val="auto"/>
        </w:rPr>
        <w:t>This represents multiple restricted stock awards with the remaining shares of each grant vesting, subject to applicable Company performance conditions, as follows:</w:t>
      </w:r>
    </w:p>
    <w:p>
      <w:pPr>
        <w:spacing w:after="0" w:line="65" w:lineRule="exact"/>
        <w:rPr>
          <w:rFonts w:ascii="Arial" w:cs="Arial" w:eastAsia="Arial" w:hAnsi="Arial"/>
          <w:sz w:val="19"/>
          <w:szCs w:val="19"/>
          <w:color w:val="auto"/>
          <w:vertAlign w:val="superscript"/>
        </w:rPr>
      </w:pPr>
    </w:p>
    <w:p>
      <w:pPr>
        <w:ind w:left="800" w:hanging="454"/>
        <w:spacing w:after="0" w:line="180" w:lineRule="auto"/>
        <w:tabs>
          <w:tab w:leader="none" w:pos="800" w:val="left"/>
        </w:tabs>
        <w:numPr>
          <w:ilvl w:val="1"/>
          <w:numId w:val="89"/>
        </w:numPr>
        <w:rPr>
          <w:rFonts w:ascii="Arial" w:cs="Arial" w:eastAsia="Arial" w:hAnsi="Arial"/>
          <w:sz w:val="19"/>
          <w:szCs w:val="19"/>
          <w:color w:val="auto"/>
          <w:vertAlign w:val="superscript"/>
        </w:rPr>
      </w:pPr>
      <w:r>
        <w:rPr>
          <w:rFonts w:ascii="Arial" w:cs="Arial" w:eastAsia="Arial" w:hAnsi="Arial"/>
          <w:sz w:val="12"/>
          <w:szCs w:val="12"/>
          <w:color w:val="auto"/>
        </w:rPr>
        <w:t>2,000 shares remaining from 6,000 shares granted January 17, 2013 and vesting in November 2015; and</w:t>
      </w:r>
    </w:p>
    <w:p>
      <w:pPr>
        <w:ind w:left="800" w:hanging="454"/>
        <w:spacing w:after="0" w:line="218" w:lineRule="auto"/>
        <w:tabs>
          <w:tab w:leader="none" w:pos="800" w:val="left"/>
        </w:tabs>
        <w:numPr>
          <w:ilvl w:val="1"/>
          <w:numId w:val="90"/>
        </w:numPr>
        <w:rPr>
          <w:rFonts w:ascii="Arial" w:cs="Arial" w:eastAsia="Arial" w:hAnsi="Arial"/>
          <w:sz w:val="22"/>
          <w:szCs w:val="22"/>
          <w:color w:val="auto"/>
          <w:vertAlign w:val="superscript"/>
        </w:rPr>
      </w:pPr>
      <w:r>
        <w:rPr>
          <w:rFonts w:ascii="Arial" w:cs="Arial" w:eastAsia="Arial" w:hAnsi="Arial"/>
          <w:sz w:val="14"/>
          <w:szCs w:val="14"/>
          <w:color w:val="auto"/>
        </w:rPr>
        <w:t>4,000 shares remaining from 6,000 shares granted January 16, 2014 and vesting ratably in November 2015 and 2016.</w:t>
      </w:r>
    </w:p>
    <w:p>
      <w:pPr>
        <w:spacing w:after="0" w:line="65"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91"/>
        </w:numPr>
        <w:rPr>
          <w:rFonts w:ascii="Arial" w:cs="Arial" w:eastAsia="Arial" w:hAnsi="Arial"/>
          <w:sz w:val="19"/>
          <w:szCs w:val="19"/>
          <w:color w:val="auto"/>
          <w:vertAlign w:val="superscript"/>
        </w:rPr>
      </w:pPr>
      <w:r>
        <w:rPr>
          <w:rFonts w:ascii="Arial" w:cs="Arial" w:eastAsia="Arial" w:hAnsi="Arial"/>
          <w:sz w:val="12"/>
          <w:szCs w:val="12"/>
          <w:color w:val="auto"/>
        </w:rPr>
        <w:t>For restricted stock granted in January 2012, 2013 and 2014, the vesting only occurs if the Compensation Committee certifies the Company’s attainment of related performance goals.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Option Exercises and Stock Vested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shd w:val="clear" w:color="auto" w:fill="225CAB"/>
          </w:tcPr>
          <w:p>
            <w:pPr>
              <w:spacing w:after="0"/>
              <w:rPr>
                <w:sz w:val="14"/>
                <w:szCs w:val="14"/>
                <w:color w:val="auto"/>
              </w:rPr>
            </w:pPr>
          </w:p>
        </w:tc>
        <w:tc>
          <w:tcPr>
            <w:tcW w:w="2060" w:type="dxa"/>
            <w:vAlign w:val="bottom"/>
            <w:shd w:val="clear" w:color="auto" w:fill="225CAB"/>
          </w:tcPr>
          <w:p>
            <w:pPr>
              <w:spacing w:after="0"/>
              <w:rPr>
                <w:sz w:val="14"/>
                <w:szCs w:val="14"/>
                <w:color w:val="auto"/>
              </w:rPr>
            </w:pPr>
          </w:p>
        </w:tc>
        <w:tc>
          <w:tcPr>
            <w:tcW w:w="2620" w:type="dxa"/>
            <w:vAlign w:val="bottom"/>
            <w:shd w:val="clear" w:color="auto" w:fill="225CAB"/>
          </w:tcPr>
          <w:p>
            <w:pPr>
              <w:jc w:val="right"/>
              <w:ind w:right="1641"/>
              <w:spacing w:after="0"/>
              <w:rPr>
                <w:sz w:val="20"/>
                <w:szCs w:val="20"/>
                <w:color w:val="auto"/>
              </w:rPr>
            </w:pPr>
            <w:r>
              <w:rPr>
                <w:rFonts w:ascii="Arial" w:cs="Arial" w:eastAsia="Arial" w:hAnsi="Arial"/>
                <w:sz w:val="14"/>
                <w:szCs w:val="14"/>
                <w:color w:val="FFFFFF"/>
                <w:w w:val="95"/>
              </w:rPr>
              <w:t>Option Awards</w:t>
            </w:r>
          </w:p>
        </w:tc>
        <w:tc>
          <w:tcPr>
            <w:tcW w:w="3740" w:type="dxa"/>
            <w:vAlign w:val="bottom"/>
            <w:gridSpan w:val="2"/>
            <w:shd w:val="clear" w:color="auto" w:fill="225CAB"/>
          </w:tcPr>
          <w:p>
            <w:pPr>
              <w:jc w:val="right"/>
              <w:ind w:right="1299"/>
              <w:spacing w:after="0"/>
              <w:rPr>
                <w:sz w:val="20"/>
                <w:szCs w:val="20"/>
                <w:color w:val="auto"/>
              </w:rPr>
            </w:pPr>
            <w:r>
              <w:rPr>
                <w:rFonts w:ascii="Arial" w:cs="Arial" w:eastAsia="Arial" w:hAnsi="Arial"/>
                <w:sz w:val="14"/>
                <w:szCs w:val="14"/>
                <w:color w:val="FFFFFF"/>
              </w:rPr>
              <w:t>Stock Awards</w:t>
            </w:r>
          </w:p>
        </w:tc>
      </w:tr>
      <w:tr>
        <w:trPr>
          <w:trHeight w:val="149"/>
        </w:trPr>
        <w:tc>
          <w:tcPr>
            <w:tcW w:w="3000" w:type="dxa"/>
            <w:vAlign w:val="bottom"/>
            <w:shd w:val="clear" w:color="auto" w:fill="225CAB"/>
          </w:tcPr>
          <w:p>
            <w:pPr>
              <w:spacing w:after="0"/>
              <w:rPr>
                <w:sz w:val="12"/>
                <w:szCs w:val="12"/>
                <w:color w:val="auto"/>
              </w:rPr>
            </w:pPr>
          </w:p>
        </w:tc>
        <w:tc>
          <w:tcPr>
            <w:tcW w:w="2060" w:type="dxa"/>
            <w:vAlign w:val="bottom"/>
            <w:shd w:val="clear" w:color="auto" w:fill="225CAB"/>
          </w:tcPr>
          <w:p>
            <w:pPr>
              <w:jc w:val="right"/>
              <w:spacing w:after="0" w:line="149" w:lineRule="exact"/>
              <w:rPr>
                <w:sz w:val="20"/>
                <w:szCs w:val="20"/>
                <w:color w:val="auto"/>
              </w:rPr>
            </w:pPr>
            <w:r>
              <w:rPr>
                <w:rFonts w:ascii="Arial" w:cs="Arial" w:eastAsia="Arial" w:hAnsi="Arial"/>
                <w:sz w:val="14"/>
                <w:szCs w:val="14"/>
                <w:color w:val="FFFFFF"/>
              </w:rPr>
              <w:t># of Shares Acquired</w:t>
            </w:r>
          </w:p>
        </w:tc>
        <w:tc>
          <w:tcPr>
            <w:tcW w:w="2620" w:type="dxa"/>
            <w:vAlign w:val="bottom"/>
            <w:shd w:val="clear" w:color="auto" w:fill="225CAB"/>
          </w:tcPr>
          <w:p>
            <w:pPr>
              <w:jc w:val="right"/>
              <w:ind w:right="381"/>
              <w:spacing w:after="0" w:line="149" w:lineRule="exact"/>
              <w:rPr>
                <w:sz w:val="20"/>
                <w:szCs w:val="20"/>
                <w:color w:val="auto"/>
              </w:rPr>
            </w:pPr>
            <w:r>
              <w:rPr>
                <w:rFonts w:ascii="Arial" w:cs="Arial" w:eastAsia="Arial" w:hAnsi="Arial"/>
                <w:sz w:val="14"/>
                <w:szCs w:val="14"/>
                <w:color w:val="FFFFFF"/>
              </w:rPr>
              <w:t>Value Realized Upon</w:t>
            </w:r>
          </w:p>
        </w:tc>
        <w:tc>
          <w:tcPr>
            <w:tcW w:w="2040" w:type="dxa"/>
            <w:vAlign w:val="bottom"/>
            <w:shd w:val="clear" w:color="auto" w:fill="225CAB"/>
          </w:tcPr>
          <w:p>
            <w:pPr>
              <w:jc w:val="right"/>
              <w:ind w:right="241"/>
              <w:spacing w:after="0" w:line="149" w:lineRule="exact"/>
              <w:rPr>
                <w:sz w:val="20"/>
                <w:szCs w:val="20"/>
                <w:color w:val="auto"/>
              </w:rPr>
            </w:pPr>
            <w:r>
              <w:rPr>
                <w:rFonts w:ascii="Arial" w:cs="Arial" w:eastAsia="Arial" w:hAnsi="Arial"/>
                <w:sz w:val="14"/>
                <w:szCs w:val="14"/>
                <w:color w:val="FFFFFF"/>
              </w:rPr>
              <w:t># of Shares Acquired</w:t>
            </w:r>
          </w:p>
        </w:tc>
        <w:tc>
          <w:tcPr>
            <w:tcW w:w="1700" w:type="dxa"/>
            <w:vAlign w:val="bottom"/>
            <w:shd w:val="clear" w:color="auto" w:fill="225CAB"/>
          </w:tcPr>
          <w:p>
            <w:pPr>
              <w:jc w:val="right"/>
              <w:ind w:right="199"/>
              <w:spacing w:after="0" w:line="149" w:lineRule="exact"/>
              <w:rPr>
                <w:sz w:val="20"/>
                <w:szCs w:val="20"/>
                <w:color w:val="auto"/>
              </w:rPr>
            </w:pPr>
            <w:r>
              <w:rPr>
                <w:rFonts w:ascii="Arial" w:cs="Arial" w:eastAsia="Arial" w:hAnsi="Arial"/>
                <w:sz w:val="14"/>
                <w:szCs w:val="14"/>
                <w:color w:val="FFFFFF"/>
              </w:rPr>
              <w:t>Value Realized on</w:t>
            </w:r>
          </w:p>
        </w:tc>
      </w:tr>
      <w:tr>
        <w:trPr>
          <w:trHeight w:val="165"/>
        </w:trPr>
        <w:tc>
          <w:tcPr>
            <w:tcW w:w="3000" w:type="dxa"/>
            <w:vAlign w:val="bottom"/>
            <w:shd w:val="clear" w:color="auto" w:fill="225CAB"/>
          </w:tcPr>
          <w:p>
            <w:pPr>
              <w:ind w:left="1320"/>
              <w:spacing w:after="0"/>
              <w:rPr>
                <w:sz w:val="20"/>
                <w:szCs w:val="20"/>
                <w:color w:val="auto"/>
              </w:rPr>
            </w:pPr>
            <w:r>
              <w:rPr>
                <w:rFonts w:ascii="Arial" w:cs="Arial" w:eastAsia="Arial" w:hAnsi="Arial"/>
                <w:sz w:val="14"/>
                <w:szCs w:val="14"/>
                <w:color w:val="FFFFFF"/>
              </w:rPr>
              <w:t>Name</w:t>
            </w:r>
          </w:p>
        </w:tc>
        <w:tc>
          <w:tcPr>
            <w:tcW w:w="2060" w:type="dxa"/>
            <w:vAlign w:val="bottom"/>
            <w:shd w:val="clear" w:color="auto" w:fill="225CAB"/>
          </w:tcPr>
          <w:p>
            <w:pPr>
              <w:jc w:val="right"/>
              <w:ind w:right="199"/>
              <w:spacing w:after="0"/>
              <w:rPr>
                <w:sz w:val="20"/>
                <w:szCs w:val="20"/>
                <w:color w:val="auto"/>
              </w:rPr>
            </w:pPr>
            <w:r>
              <w:rPr>
                <w:rFonts w:ascii="Arial" w:cs="Arial" w:eastAsia="Arial" w:hAnsi="Arial"/>
                <w:sz w:val="14"/>
                <w:szCs w:val="14"/>
                <w:color w:val="FFFFFF"/>
              </w:rPr>
              <w:t>on Exercise</w:t>
            </w:r>
          </w:p>
        </w:tc>
        <w:tc>
          <w:tcPr>
            <w:tcW w:w="2620" w:type="dxa"/>
            <w:vAlign w:val="bottom"/>
            <w:shd w:val="clear" w:color="auto" w:fill="225CAB"/>
          </w:tcPr>
          <w:p>
            <w:pPr>
              <w:jc w:val="right"/>
              <w:ind w:right="641"/>
              <w:spacing w:after="0"/>
              <w:rPr>
                <w:sz w:val="20"/>
                <w:szCs w:val="20"/>
                <w:color w:val="auto"/>
              </w:rPr>
            </w:pPr>
            <w:r>
              <w:rPr>
                <w:rFonts w:ascii="Arial" w:cs="Arial" w:eastAsia="Arial" w:hAnsi="Arial"/>
                <w:sz w:val="14"/>
                <w:szCs w:val="14"/>
                <w:color w:val="FFFFFF"/>
              </w:rPr>
              <w:t>Exercise ($)</w:t>
            </w:r>
          </w:p>
        </w:tc>
        <w:tc>
          <w:tcPr>
            <w:tcW w:w="2040" w:type="dxa"/>
            <w:vAlign w:val="bottom"/>
            <w:shd w:val="clear" w:color="auto" w:fill="225CAB"/>
          </w:tcPr>
          <w:p>
            <w:pPr>
              <w:jc w:val="right"/>
              <w:ind w:right="561"/>
              <w:spacing w:after="0"/>
              <w:rPr>
                <w:sz w:val="20"/>
                <w:szCs w:val="20"/>
                <w:color w:val="auto"/>
              </w:rPr>
            </w:pPr>
            <w:r>
              <w:rPr>
                <w:rFonts w:ascii="Arial" w:cs="Arial" w:eastAsia="Arial" w:hAnsi="Arial"/>
                <w:sz w:val="14"/>
                <w:szCs w:val="14"/>
                <w:color w:val="FFFFFF"/>
              </w:rPr>
              <w:t>on Vesting</w:t>
            </w:r>
          </w:p>
        </w:tc>
        <w:tc>
          <w:tcPr>
            <w:tcW w:w="1700" w:type="dxa"/>
            <w:vAlign w:val="bottom"/>
            <w:shd w:val="clear" w:color="auto" w:fill="225CAB"/>
          </w:tcPr>
          <w:p>
            <w:pPr>
              <w:jc w:val="right"/>
              <w:ind w:right="419"/>
              <w:spacing w:after="0"/>
              <w:rPr>
                <w:sz w:val="20"/>
                <w:szCs w:val="20"/>
                <w:color w:val="auto"/>
              </w:rPr>
            </w:pPr>
            <w:r>
              <w:rPr>
                <w:rFonts w:ascii="Arial" w:cs="Arial" w:eastAsia="Arial" w:hAnsi="Arial"/>
                <w:sz w:val="14"/>
                <w:szCs w:val="14"/>
                <w:color w:val="FFFFFF"/>
              </w:rPr>
              <w:t>Vesting ($)</w:t>
            </w:r>
          </w:p>
        </w:tc>
      </w:tr>
      <w:tr>
        <w:trPr>
          <w:trHeight w:val="203"/>
        </w:trPr>
        <w:tc>
          <w:tcPr>
            <w:tcW w:w="300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Brian D. Jellison</w:t>
            </w:r>
          </w:p>
        </w:tc>
        <w:tc>
          <w:tcPr>
            <w:tcW w:w="2060" w:type="dxa"/>
            <w:vAlign w:val="bottom"/>
            <w:tcBorders>
              <w:bottom w:val="single" w:sz="8" w:color="225CAB"/>
            </w:tcBorders>
          </w:tcPr>
          <w:p>
            <w:pPr>
              <w:jc w:val="right"/>
              <w:spacing w:after="0" w:line="202" w:lineRule="exact"/>
              <w:rPr>
                <w:sz w:val="20"/>
                <w:szCs w:val="20"/>
                <w:color w:val="auto"/>
              </w:rPr>
            </w:pPr>
            <w:r>
              <w:rPr>
                <w:rFonts w:ascii="Arial" w:cs="Arial" w:eastAsia="Arial" w:hAnsi="Arial"/>
                <w:sz w:val="18"/>
                <w:szCs w:val="18"/>
                <w:color w:val="auto"/>
              </w:rPr>
              <w:t>110,000</w:t>
            </w:r>
          </w:p>
        </w:tc>
        <w:tc>
          <w:tcPr>
            <w:tcW w:w="2620" w:type="dxa"/>
            <w:vAlign w:val="bottom"/>
            <w:tcBorders>
              <w:bottom w:val="single" w:sz="8" w:color="225CAB"/>
            </w:tcBorders>
          </w:tcPr>
          <w:p>
            <w:pPr>
              <w:jc w:val="right"/>
              <w:ind w:right="361"/>
              <w:spacing w:after="0" w:line="202" w:lineRule="exact"/>
              <w:rPr>
                <w:sz w:val="20"/>
                <w:szCs w:val="20"/>
                <w:color w:val="auto"/>
              </w:rPr>
            </w:pPr>
            <w:r>
              <w:rPr>
                <w:rFonts w:ascii="Arial" w:cs="Arial" w:eastAsia="Arial" w:hAnsi="Arial"/>
                <w:sz w:val="18"/>
                <w:szCs w:val="18"/>
                <w:color w:val="auto"/>
              </w:rPr>
              <w:t>12,310,486</w:t>
            </w:r>
          </w:p>
        </w:tc>
        <w:tc>
          <w:tcPr>
            <w:tcW w:w="2040" w:type="dxa"/>
            <w:vAlign w:val="bottom"/>
            <w:tcBorders>
              <w:bottom w:val="single" w:sz="8" w:color="225CAB"/>
            </w:tcBorders>
          </w:tcPr>
          <w:p>
            <w:pPr>
              <w:jc w:val="right"/>
              <w:ind w:right="241"/>
              <w:spacing w:after="0" w:line="202" w:lineRule="exact"/>
              <w:rPr>
                <w:sz w:val="20"/>
                <w:szCs w:val="20"/>
                <w:color w:val="auto"/>
              </w:rPr>
            </w:pPr>
            <w:r>
              <w:rPr>
                <w:rFonts w:ascii="Arial" w:cs="Arial" w:eastAsia="Arial" w:hAnsi="Arial"/>
                <w:sz w:val="18"/>
                <w:szCs w:val="18"/>
                <w:color w:val="auto"/>
              </w:rPr>
              <w:t>200,000</w:t>
            </w:r>
          </w:p>
        </w:tc>
        <w:tc>
          <w:tcPr>
            <w:tcW w:w="1700" w:type="dxa"/>
            <w:vAlign w:val="bottom"/>
            <w:tcBorders>
              <w:bottom w:val="single" w:sz="8" w:color="225CAB"/>
            </w:tcBorders>
          </w:tcPr>
          <w:p>
            <w:pPr>
              <w:jc w:val="right"/>
              <w:ind w:right="199"/>
              <w:spacing w:after="0" w:line="202" w:lineRule="exact"/>
              <w:rPr>
                <w:sz w:val="20"/>
                <w:szCs w:val="20"/>
                <w:color w:val="auto"/>
              </w:rPr>
            </w:pPr>
            <w:r>
              <w:rPr>
                <w:rFonts w:ascii="Arial" w:cs="Arial" w:eastAsia="Arial" w:hAnsi="Arial"/>
                <w:sz w:val="18"/>
                <w:szCs w:val="18"/>
                <w:color w:val="auto"/>
              </w:rPr>
              <w:t>31,256,000</w:t>
            </w:r>
          </w:p>
        </w:tc>
      </w:tr>
      <w:tr>
        <w:trPr>
          <w:trHeight w:val="196"/>
        </w:trPr>
        <w:tc>
          <w:tcPr>
            <w:tcW w:w="30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Humphrey</w:t>
            </w:r>
          </w:p>
        </w:tc>
        <w:tc>
          <w:tcPr>
            <w:tcW w:w="2060" w:type="dxa"/>
            <w:vAlign w:val="bottom"/>
            <w:tcBorders>
              <w:bottom w:val="single" w:sz="8" w:color="225CAB"/>
            </w:tcBorders>
          </w:tcPr>
          <w:p>
            <w:pPr>
              <w:jc w:val="right"/>
              <w:spacing w:after="0" w:line="196" w:lineRule="exact"/>
              <w:rPr>
                <w:sz w:val="20"/>
                <w:szCs w:val="20"/>
                <w:color w:val="auto"/>
              </w:rPr>
            </w:pPr>
            <w:r>
              <w:rPr>
                <w:rFonts w:ascii="Arial" w:cs="Arial" w:eastAsia="Arial" w:hAnsi="Arial"/>
                <w:sz w:val="18"/>
                <w:szCs w:val="18"/>
                <w:color w:val="auto"/>
              </w:rPr>
              <w:t>58,084</w:t>
            </w:r>
          </w:p>
        </w:tc>
        <w:tc>
          <w:tcPr>
            <w:tcW w:w="2620" w:type="dxa"/>
            <w:vAlign w:val="bottom"/>
            <w:tcBorders>
              <w:bottom w:val="single" w:sz="8" w:color="225CAB"/>
            </w:tcBorders>
          </w:tcPr>
          <w:p>
            <w:pPr>
              <w:jc w:val="right"/>
              <w:ind w:right="361"/>
              <w:spacing w:after="0" w:line="196" w:lineRule="exact"/>
              <w:rPr>
                <w:sz w:val="20"/>
                <w:szCs w:val="20"/>
                <w:color w:val="auto"/>
              </w:rPr>
            </w:pPr>
            <w:r>
              <w:rPr>
                <w:rFonts w:ascii="Arial" w:cs="Arial" w:eastAsia="Arial" w:hAnsi="Arial"/>
                <w:sz w:val="18"/>
                <w:szCs w:val="18"/>
                <w:color w:val="auto"/>
              </w:rPr>
              <w:t>5,251,181</w:t>
            </w:r>
          </w:p>
        </w:tc>
        <w:tc>
          <w:tcPr>
            <w:tcW w:w="2040" w:type="dxa"/>
            <w:vAlign w:val="bottom"/>
            <w:tcBorders>
              <w:bottom w:val="single" w:sz="8" w:color="225CAB"/>
            </w:tcBorders>
          </w:tcPr>
          <w:p>
            <w:pPr>
              <w:jc w:val="right"/>
              <w:ind w:right="241"/>
              <w:spacing w:after="0" w:line="196" w:lineRule="exact"/>
              <w:rPr>
                <w:sz w:val="20"/>
                <w:szCs w:val="20"/>
                <w:color w:val="auto"/>
              </w:rPr>
            </w:pPr>
            <w:r>
              <w:rPr>
                <w:rFonts w:ascii="Arial" w:cs="Arial" w:eastAsia="Arial" w:hAnsi="Arial"/>
                <w:sz w:val="18"/>
                <w:szCs w:val="18"/>
                <w:color w:val="auto"/>
              </w:rPr>
              <w:t>40,000</w:t>
            </w:r>
          </w:p>
        </w:tc>
        <w:tc>
          <w:tcPr>
            <w:tcW w:w="1700" w:type="dxa"/>
            <w:vAlign w:val="bottom"/>
            <w:tcBorders>
              <w:bottom w:val="single" w:sz="8" w:color="225CAB"/>
            </w:tcBorders>
          </w:tcPr>
          <w:p>
            <w:pPr>
              <w:jc w:val="right"/>
              <w:ind w:right="199"/>
              <w:spacing w:after="0" w:line="196" w:lineRule="exact"/>
              <w:rPr>
                <w:sz w:val="20"/>
                <w:szCs w:val="20"/>
                <w:color w:val="auto"/>
              </w:rPr>
            </w:pPr>
            <w:r>
              <w:rPr>
                <w:rFonts w:ascii="Arial" w:cs="Arial" w:eastAsia="Arial" w:hAnsi="Arial"/>
                <w:sz w:val="18"/>
                <w:szCs w:val="18"/>
                <w:color w:val="auto"/>
              </w:rPr>
              <w:t>6,194,000</w:t>
            </w:r>
          </w:p>
        </w:tc>
      </w:tr>
      <w:tr>
        <w:trPr>
          <w:trHeight w:val="196"/>
        </w:trPr>
        <w:tc>
          <w:tcPr>
            <w:tcW w:w="30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David B. Liner</w:t>
            </w:r>
          </w:p>
        </w:tc>
        <w:tc>
          <w:tcPr>
            <w:tcW w:w="2060" w:type="dxa"/>
            <w:vAlign w:val="bottom"/>
            <w:tcBorders>
              <w:bottom w:val="single" w:sz="8" w:color="225CAB"/>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620" w:type="dxa"/>
            <w:vAlign w:val="bottom"/>
            <w:tcBorders>
              <w:bottom w:val="single" w:sz="8" w:color="225CAB"/>
            </w:tcBorders>
          </w:tcPr>
          <w:p>
            <w:pPr>
              <w:jc w:val="right"/>
              <w:ind w:right="461"/>
              <w:spacing w:after="0" w:line="196" w:lineRule="exact"/>
              <w:rPr>
                <w:sz w:val="20"/>
                <w:szCs w:val="20"/>
                <w:color w:val="auto"/>
              </w:rPr>
            </w:pPr>
            <w:r>
              <w:rPr>
                <w:rFonts w:ascii="Arial" w:cs="Arial" w:eastAsia="Arial" w:hAnsi="Arial"/>
                <w:sz w:val="18"/>
                <w:szCs w:val="18"/>
                <w:color w:val="auto"/>
              </w:rPr>
              <w:t>-</w:t>
            </w:r>
          </w:p>
        </w:tc>
        <w:tc>
          <w:tcPr>
            <w:tcW w:w="2040" w:type="dxa"/>
            <w:vAlign w:val="bottom"/>
            <w:tcBorders>
              <w:bottom w:val="single" w:sz="8" w:color="225CAB"/>
            </w:tcBorders>
          </w:tcPr>
          <w:p>
            <w:pPr>
              <w:jc w:val="right"/>
              <w:ind w:right="241"/>
              <w:spacing w:after="0" w:line="196" w:lineRule="exact"/>
              <w:rPr>
                <w:sz w:val="20"/>
                <w:szCs w:val="20"/>
                <w:color w:val="auto"/>
              </w:rPr>
            </w:pPr>
            <w:r>
              <w:rPr>
                <w:rFonts w:ascii="Arial" w:cs="Arial" w:eastAsia="Arial" w:hAnsi="Arial"/>
                <w:sz w:val="18"/>
                <w:szCs w:val="18"/>
                <w:color w:val="auto"/>
              </w:rPr>
              <w:t>6,000</w:t>
            </w:r>
          </w:p>
        </w:tc>
        <w:tc>
          <w:tcPr>
            <w:tcW w:w="1700" w:type="dxa"/>
            <w:vAlign w:val="bottom"/>
            <w:tcBorders>
              <w:bottom w:val="single" w:sz="8" w:color="225CAB"/>
            </w:tcBorders>
          </w:tcPr>
          <w:p>
            <w:pPr>
              <w:jc w:val="right"/>
              <w:ind w:right="199"/>
              <w:spacing w:after="0" w:line="196" w:lineRule="exact"/>
              <w:rPr>
                <w:sz w:val="20"/>
                <w:szCs w:val="20"/>
                <w:color w:val="auto"/>
              </w:rPr>
            </w:pPr>
            <w:r>
              <w:rPr>
                <w:rFonts w:ascii="Arial" w:cs="Arial" w:eastAsia="Arial" w:hAnsi="Arial"/>
                <w:sz w:val="18"/>
                <w:szCs w:val="18"/>
                <w:color w:val="auto"/>
              </w:rPr>
              <w:t>937,680</w:t>
            </w:r>
          </w:p>
        </w:tc>
      </w:tr>
      <w:tr>
        <w:trPr>
          <w:trHeight w:val="196"/>
        </w:trPr>
        <w:tc>
          <w:tcPr>
            <w:tcW w:w="30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Paul J. Soni</w:t>
            </w:r>
          </w:p>
        </w:tc>
        <w:tc>
          <w:tcPr>
            <w:tcW w:w="2060" w:type="dxa"/>
            <w:vAlign w:val="bottom"/>
            <w:tcBorders>
              <w:bottom w:val="single" w:sz="8" w:color="225CAB"/>
            </w:tcBorders>
          </w:tcPr>
          <w:p>
            <w:pPr>
              <w:jc w:val="right"/>
              <w:spacing w:after="0" w:line="196" w:lineRule="exact"/>
              <w:rPr>
                <w:sz w:val="20"/>
                <w:szCs w:val="20"/>
                <w:color w:val="auto"/>
              </w:rPr>
            </w:pPr>
            <w:r>
              <w:rPr>
                <w:rFonts w:ascii="Arial" w:cs="Arial" w:eastAsia="Arial" w:hAnsi="Arial"/>
                <w:sz w:val="18"/>
                <w:szCs w:val="18"/>
                <w:color w:val="auto"/>
              </w:rPr>
              <w:t>6,144</w:t>
            </w:r>
          </w:p>
        </w:tc>
        <w:tc>
          <w:tcPr>
            <w:tcW w:w="2620" w:type="dxa"/>
            <w:vAlign w:val="bottom"/>
            <w:tcBorders>
              <w:bottom w:val="single" w:sz="8" w:color="225CAB"/>
            </w:tcBorders>
          </w:tcPr>
          <w:p>
            <w:pPr>
              <w:jc w:val="right"/>
              <w:ind w:right="361"/>
              <w:spacing w:after="0" w:line="196" w:lineRule="exact"/>
              <w:rPr>
                <w:sz w:val="20"/>
                <w:szCs w:val="20"/>
                <w:color w:val="auto"/>
              </w:rPr>
            </w:pPr>
            <w:r>
              <w:rPr>
                <w:rFonts w:ascii="Arial" w:cs="Arial" w:eastAsia="Arial" w:hAnsi="Arial"/>
                <w:sz w:val="18"/>
                <w:szCs w:val="18"/>
                <w:color w:val="auto"/>
              </w:rPr>
              <w:t>704,732</w:t>
            </w:r>
          </w:p>
        </w:tc>
        <w:tc>
          <w:tcPr>
            <w:tcW w:w="2040" w:type="dxa"/>
            <w:vAlign w:val="bottom"/>
            <w:tcBorders>
              <w:bottom w:val="single" w:sz="8" w:color="225CAB"/>
            </w:tcBorders>
          </w:tcPr>
          <w:p>
            <w:pPr>
              <w:jc w:val="right"/>
              <w:ind w:right="241"/>
              <w:spacing w:after="0" w:line="196" w:lineRule="exact"/>
              <w:rPr>
                <w:sz w:val="20"/>
                <w:szCs w:val="20"/>
                <w:color w:val="auto"/>
              </w:rPr>
            </w:pPr>
            <w:r>
              <w:rPr>
                <w:rFonts w:ascii="Arial" w:cs="Arial" w:eastAsia="Arial" w:hAnsi="Arial"/>
                <w:sz w:val="18"/>
                <w:szCs w:val="18"/>
                <w:color w:val="auto"/>
              </w:rPr>
              <w:t>6,000</w:t>
            </w:r>
          </w:p>
        </w:tc>
        <w:tc>
          <w:tcPr>
            <w:tcW w:w="1700" w:type="dxa"/>
            <w:vAlign w:val="bottom"/>
            <w:tcBorders>
              <w:bottom w:val="single" w:sz="8" w:color="225CAB"/>
            </w:tcBorders>
          </w:tcPr>
          <w:p>
            <w:pPr>
              <w:jc w:val="right"/>
              <w:ind w:right="199"/>
              <w:spacing w:after="0" w:line="196" w:lineRule="exact"/>
              <w:rPr>
                <w:sz w:val="20"/>
                <w:szCs w:val="20"/>
                <w:color w:val="auto"/>
              </w:rPr>
            </w:pPr>
            <w:r>
              <w:rPr>
                <w:rFonts w:ascii="Arial" w:cs="Arial" w:eastAsia="Arial" w:hAnsi="Arial"/>
                <w:sz w:val="18"/>
                <w:szCs w:val="18"/>
                <w:color w:val="auto"/>
              </w:rPr>
              <w:t>937,680</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Pension Benefits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participate in a Company-sponsored defined-benefit pension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Non-Qualified Deferred Compensation</w:t>
      </w:r>
    </w:p>
    <w:p>
      <w:pPr>
        <w:spacing w:after="0" w:line="7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Pursuant to the Company’s Non-Qualified Retirement Plan, named executive officers may defer base salary and payments earned under the annual incentive bonus plan.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37"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The following table sets forth certain information with respect to the Non-Qualified Retirement Plan for our named executive officers during the fiscal year ended December 31, 2014.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shd w:val="clear" w:color="auto" w:fill="225CAB"/>
          </w:tcPr>
          <w:p>
            <w:pPr>
              <w:spacing w:after="0"/>
              <w:rPr>
                <w:sz w:val="14"/>
                <w:szCs w:val="14"/>
                <w:color w:val="auto"/>
              </w:rPr>
            </w:pPr>
          </w:p>
        </w:tc>
        <w:tc>
          <w:tcPr>
            <w:tcW w:w="2300" w:type="dxa"/>
            <w:vAlign w:val="bottom"/>
            <w:shd w:val="clear" w:color="auto" w:fill="225CAB"/>
          </w:tcPr>
          <w:p>
            <w:pPr>
              <w:jc w:val="center"/>
              <w:ind w:left="644"/>
              <w:spacing w:after="0"/>
              <w:rPr>
                <w:sz w:val="20"/>
                <w:szCs w:val="20"/>
                <w:color w:val="auto"/>
              </w:rPr>
            </w:pPr>
            <w:r>
              <w:rPr>
                <w:rFonts w:ascii="Arial" w:cs="Arial" w:eastAsia="Arial" w:hAnsi="Arial"/>
                <w:sz w:val="14"/>
                <w:szCs w:val="14"/>
                <w:color w:val="FFFFFF"/>
                <w:w w:val="95"/>
              </w:rPr>
              <w:t>Executive</w:t>
            </w:r>
          </w:p>
        </w:tc>
        <w:tc>
          <w:tcPr>
            <w:tcW w:w="15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Registrant</w:t>
            </w:r>
          </w:p>
        </w:tc>
        <w:tc>
          <w:tcPr>
            <w:tcW w:w="15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5"/>
              </w:rPr>
              <w:t>Aggregate</w:t>
            </w:r>
          </w:p>
        </w:tc>
        <w:tc>
          <w:tcPr>
            <w:tcW w:w="15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9"/>
              </w:rPr>
              <w:t>Aggregate</w:t>
            </w:r>
          </w:p>
        </w:tc>
        <w:tc>
          <w:tcPr>
            <w:tcW w:w="1240" w:type="dxa"/>
            <w:vAlign w:val="bottom"/>
            <w:shd w:val="clear" w:color="auto" w:fill="225CAB"/>
          </w:tcPr>
          <w:p>
            <w:pPr>
              <w:jc w:val="center"/>
              <w:ind w:left="102"/>
              <w:spacing w:after="0"/>
              <w:rPr>
                <w:sz w:val="20"/>
                <w:szCs w:val="20"/>
                <w:color w:val="auto"/>
              </w:rPr>
            </w:pPr>
            <w:r>
              <w:rPr>
                <w:rFonts w:ascii="Arial" w:cs="Arial" w:eastAsia="Arial" w:hAnsi="Arial"/>
                <w:sz w:val="14"/>
                <w:szCs w:val="14"/>
                <w:color w:val="FFFFFF"/>
                <w:w w:val="95"/>
              </w:rPr>
              <w:t>Aggregate</w:t>
            </w:r>
          </w:p>
        </w:tc>
      </w:tr>
      <w:tr>
        <w:trPr>
          <w:trHeight w:val="138"/>
        </w:trPr>
        <w:tc>
          <w:tcPr>
            <w:tcW w:w="3280" w:type="dxa"/>
            <w:vAlign w:val="bottom"/>
            <w:shd w:val="clear" w:color="auto" w:fill="225CAB"/>
          </w:tcPr>
          <w:p>
            <w:pPr>
              <w:spacing w:after="0"/>
              <w:rPr>
                <w:sz w:val="12"/>
                <w:szCs w:val="12"/>
                <w:color w:val="auto"/>
              </w:rPr>
            </w:pPr>
          </w:p>
        </w:tc>
        <w:tc>
          <w:tcPr>
            <w:tcW w:w="2300" w:type="dxa"/>
            <w:vAlign w:val="bottom"/>
            <w:shd w:val="clear" w:color="auto" w:fill="225CAB"/>
          </w:tcPr>
          <w:p>
            <w:pPr>
              <w:jc w:val="center"/>
              <w:ind w:left="644"/>
              <w:spacing w:after="0" w:line="139" w:lineRule="exact"/>
              <w:rPr>
                <w:sz w:val="20"/>
                <w:szCs w:val="20"/>
                <w:color w:val="auto"/>
              </w:rPr>
            </w:pPr>
            <w:r>
              <w:rPr>
                <w:rFonts w:ascii="Arial" w:cs="Arial" w:eastAsia="Arial" w:hAnsi="Arial"/>
                <w:sz w:val="14"/>
                <w:szCs w:val="14"/>
                <w:color w:val="FFFFFF"/>
                <w:w w:val="94"/>
              </w:rPr>
              <w:t>Contributions</w:t>
            </w:r>
          </w:p>
        </w:tc>
        <w:tc>
          <w:tcPr>
            <w:tcW w:w="1560" w:type="dxa"/>
            <w:vAlign w:val="bottom"/>
            <w:shd w:val="clear" w:color="auto" w:fill="225CAB"/>
          </w:tcPr>
          <w:p>
            <w:pPr>
              <w:jc w:val="center"/>
              <w:spacing w:after="0" w:line="139" w:lineRule="exact"/>
              <w:rPr>
                <w:sz w:val="20"/>
                <w:szCs w:val="20"/>
                <w:color w:val="auto"/>
              </w:rPr>
            </w:pPr>
            <w:r>
              <w:rPr>
                <w:rFonts w:ascii="Arial" w:cs="Arial" w:eastAsia="Arial" w:hAnsi="Arial"/>
                <w:sz w:val="14"/>
                <w:szCs w:val="14"/>
                <w:color w:val="FFFFFF"/>
                <w:w w:val="96"/>
              </w:rPr>
              <w:t>Contributions</w:t>
            </w:r>
          </w:p>
        </w:tc>
        <w:tc>
          <w:tcPr>
            <w:tcW w:w="1520" w:type="dxa"/>
            <w:vAlign w:val="bottom"/>
            <w:shd w:val="clear" w:color="auto" w:fill="225CAB"/>
          </w:tcPr>
          <w:p>
            <w:pPr>
              <w:jc w:val="center"/>
              <w:spacing w:after="0" w:line="139" w:lineRule="exact"/>
              <w:rPr>
                <w:sz w:val="20"/>
                <w:szCs w:val="20"/>
                <w:color w:val="auto"/>
              </w:rPr>
            </w:pPr>
            <w:r>
              <w:rPr>
                <w:rFonts w:ascii="Arial" w:cs="Arial" w:eastAsia="Arial" w:hAnsi="Arial"/>
                <w:sz w:val="14"/>
                <w:szCs w:val="14"/>
                <w:color w:val="FFFFFF"/>
                <w:w w:val="97"/>
              </w:rPr>
              <w:t>Earnings</w:t>
            </w:r>
          </w:p>
        </w:tc>
        <w:tc>
          <w:tcPr>
            <w:tcW w:w="1520" w:type="dxa"/>
            <w:vAlign w:val="bottom"/>
            <w:shd w:val="clear" w:color="auto" w:fill="225CAB"/>
          </w:tcPr>
          <w:p>
            <w:pPr>
              <w:jc w:val="center"/>
              <w:spacing w:after="0" w:line="139" w:lineRule="exact"/>
              <w:rPr>
                <w:sz w:val="20"/>
                <w:szCs w:val="20"/>
                <w:color w:val="auto"/>
              </w:rPr>
            </w:pPr>
            <w:r>
              <w:rPr>
                <w:rFonts w:ascii="Arial" w:cs="Arial" w:eastAsia="Arial" w:hAnsi="Arial"/>
                <w:sz w:val="14"/>
                <w:szCs w:val="14"/>
                <w:color w:val="FFFFFF"/>
                <w:w w:val="94"/>
              </w:rPr>
              <w:t>Withdrawals/</w:t>
            </w:r>
          </w:p>
        </w:tc>
        <w:tc>
          <w:tcPr>
            <w:tcW w:w="1240" w:type="dxa"/>
            <w:vAlign w:val="bottom"/>
            <w:shd w:val="clear" w:color="auto" w:fill="225CAB"/>
          </w:tcPr>
          <w:p>
            <w:pPr>
              <w:jc w:val="center"/>
              <w:ind w:left="102"/>
              <w:spacing w:after="0" w:line="139" w:lineRule="exact"/>
              <w:rPr>
                <w:sz w:val="20"/>
                <w:szCs w:val="20"/>
                <w:color w:val="auto"/>
              </w:rPr>
            </w:pPr>
            <w:r>
              <w:rPr>
                <w:rFonts w:ascii="Arial" w:cs="Arial" w:eastAsia="Arial" w:hAnsi="Arial"/>
                <w:sz w:val="14"/>
                <w:szCs w:val="14"/>
                <w:color w:val="FFFFFF"/>
                <w:w w:val="98"/>
              </w:rPr>
              <w:t>Balance</w:t>
            </w:r>
          </w:p>
        </w:tc>
      </w:tr>
      <w:tr>
        <w:trPr>
          <w:trHeight w:val="159"/>
        </w:trPr>
        <w:tc>
          <w:tcPr>
            <w:tcW w:w="3280" w:type="dxa"/>
            <w:vAlign w:val="bottom"/>
            <w:shd w:val="clear" w:color="auto" w:fill="225CAB"/>
          </w:tcPr>
          <w:p>
            <w:pPr>
              <w:spacing w:after="0"/>
              <w:rPr>
                <w:sz w:val="13"/>
                <w:szCs w:val="13"/>
                <w:color w:val="auto"/>
              </w:rPr>
            </w:pPr>
          </w:p>
        </w:tc>
        <w:tc>
          <w:tcPr>
            <w:tcW w:w="2300" w:type="dxa"/>
            <w:vAlign w:val="bottom"/>
            <w:shd w:val="clear" w:color="auto" w:fill="225CAB"/>
          </w:tcPr>
          <w:p>
            <w:pPr>
              <w:jc w:val="center"/>
              <w:ind w:left="644"/>
              <w:spacing w:after="0" w:line="159" w:lineRule="exact"/>
              <w:rPr>
                <w:sz w:val="20"/>
                <w:szCs w:val="20"/>
                <w:color w:val="auto"/>
              </w:rPr>
            </w:pPr>
            <w:r>
              <w:rPr>
                <w:rFonts w:ascii="Arial" w:cs="Arial" w:eastAsia="Arial" w:hAnsi="Arial"/>
                <w:sz w:val="12"/>
                <w:szCs w:val="12"/>
                <w:color w:val="FFFFFF"/>
              </w:rPr>
              <w:t>in Last FY</w:t>
            </w:r>
            <w:r>
              <w:rPr>
                <w:rFonts w:ascii="Arial" w:cs="Arial" w:eastAsia="Arial" w:hAnsi="Arial"/>
                <w:sz w:val="18"/>
                <w:szCs w:val="18"/>
                <w:color w:val="FFFFFF"/>
                <w:vertAlign w:val="superscript"/>
              </w:rPr>
              <w:t>(1)</w:t>
            </w:r>
          </w:p>
        </w:tc>
        <w:tc>
          <w:tcPr>
            <w:tcW w:w="1560" w:type="dxa"/>
            <w:vAlign w:val="bottom"/>
            <w:shd w:val="clear" w:color="auto" w:fill="225CAB"/>
          </w:tcPr>
          <w:p>
            <w:pPr>
              <w:jc w:val="center"/>
              <w:spacing w:after="0" w:line="159" w:lineRule="exact"/>
              <w:rPr>
                <w:sz w:val="20"/>
                <w:szCs w:val="20"/>
                <w:color w:val="auto"/>
              </w:rPr>
            </w:pPr>
            <w:r>
              <w:rPr>
                <w:rFonts w:ascii="Arial" w:cs="Arial" w:eastAsia="Arial" w:hAnsi="Arial"/>
                <w:sz w:val="12"/>
                <w:szCs w:val="12"/>
                <w:color w:val="FFFFFF"/>
              </w:rPr>
              <w:t>in Last FY</w:t>
            </w:r>
            <w:r>
              <w:rPr>
                <w:rFonts w:ascii="Arial" w:cs="Arial" w:eastAsia="Arial" w:hAnsi="Arial"/>
                <w:sz w:val="18"/>
                <w:szCs w:val="18"/>
                <w:color w:val="FFFFFF"/>
                <w:vertAlign w:val="superscript"/>
              </w:rPr>
              <w:t>(2)</w:t>
            </w:r>
          </w:p>
        </w:tc>
        <w:tc>
          <w:tcPr>
            <w:tcW w:w="1520" w:type="dxa"/>
            <w:vAlign w:val="bottom"/>
            <w:shd w:val="clear" w:color="auto" w:fill="225CAB"/>
          </w:tcPr>
          <w:p>
            <w:pPr>
              <w:jc w:val="center"/>
              <w:spacing w:after="0" w:line="159" w:lineRule="exact"/>
              <w:rPr>
                <w:sz w:val="20"/>
                <w:szCs w:val="20"/>
                <w:color w:val="auto"/>
              </w:rPr>
            </w:pPr>
            <w:r>
              <w:rPr>
                <w:rFonts w:ascii="Arial" w:cs="Arial" w:eastAsia="Arial" w:hAnsi="Arial"/>
                <w:sz w:val="12"/>
                <w:szCs w:val="12"/>
                <w:color w:val="FFFFFF"/>
              </w:rPr>
              <w:t>in Last FY</w:t>
            </w:r>
            <w:r>
              <w:rPr>
                <w:rFonts w:ascii="Arial" w:cs="Arial" w:eastAsia="Arial" w:hAnsi="Arial"/>
                <w:sz w:val="18"/>
                <w:szCs w:val="18"/>
                <w:color w:val="FFFFFF"/>
                <w:vertAlign w:val="superscript"/>
              </w:rPr>
              <w:t>(3)</w:t>
            </w:r>
          </w:p>
        </w:tc>
        <w:tc>
          <w:tcPr>
            <w:tcW w:w="1520" w:type="dxa"/>
            <w:vAlign w:val="bottom"/>
            <w:shd w:val="clear" w:color="auto" w:fill="225CAB"/>
          </w:tcPr>
          <w:p>
            <w:pPr>
              <w:jc w:val="center"/>
              <w:spacing w:after="0" w:line="159" w:lineRule="exact"/>
              <w:rPr>
                <w:sz w:val="20"/>
                <w:szCs w:val="20"/>
                <w:color w:val="auto"/>
              </w:rPr>
            </w:pPr>
            <w:r>
              <w:rPr>
                <w:rFonts w:ascii="Arial" w:cs="Arial" w:eastAsia="Arial" w:hAnsi="Arial"/>
                <w:sz w:val="14"/>
                <w:szCs w:val="14"/>
                <w:color w:val="FFFFFF"/>
                <w:w w:val="98"/>
              </w:rPr>
              <w:t>Distributions</w:t>
            </w:r>
          </w:p>
        </w:tc>
        <w:tc>
          <w:tcPr>
            <w:tcW w:w="1240" w:type="dxa"/>
            <w:vAlign w:val="bottom"/>
            <w:shd w:val="clear" w:color="auto" w:fill="225CAB"/>
          </w:tcPr>
          <w:p>
            <w:pPr>
              <w:jc w:val="center"/>
              <w:ind w:left="102"/>
              <w:spacing w:after="0" w:line="159" w:lineRule="exact"/>
              <w:rPr>
                <w:sz w:val="20"/>
                <w:szCs w:val="20"/>
                <w:color w:val="auto"/>
              </w:rPr>
            </w:pPr>
            <w:r>
              <w:rPr>
                <w:rFonts w:ascii="Arial" w:cs="Arial" w:eastAsia="Arial" w:hAnsi="Arial"/>
                <w:sz w:val="14"/>
                <w:szCs w:val="14"/>
                <w:color w:val="FFFFFF"/>
                <w:w w:val="95"/>
              </w:rPr>
              <w:t>at Last FYE</w:t>
            </w:r>
          </w:p>
        </w:tc>
      </w:tr>
      <w:tr>
        <w:trPr>
          <w:trHeight w:val="165"/>
        </w:trPr>
        <w:tc>
          <w:tcPr>
            <w:tcW w:w="3280" w:type="dxa"/>
            <w:vAlign w:val="bottom"/>
            <w:shd w:val="clear" w:color="auto" w:fill="225CAB"/>
          </w:tcPr>
          <w:p>
            <w:pPr>
              <w:ind w:left="1800"/>
              <w:spacing w:after="0"/>
              <w:rPr>
                <w:sz w:val="20"/>
                <w:szCs w:val="20"/>
                <w:color w:val="auto"/>
              </w:rPr>
            </w:pPr>
            <w:r>
              <w:rPr>
                <w:rFonts w:ascii="Arial" w:cs="Arial" w:eastAsia="Arial" w:hAnsi="Arial"/>
                <w:sz w:val="14"/>
                <w:szCs w:val="14"/>
                <w:color w:val="FFFFFF"/>
              </w:rPr>
              <w:t>Name</w:t>
            </w:r>
          </w:p>
        </w:tc>
        <w:tc>
          <w:tcPr>
            <w:tcW w:w="2300" w:type="dxa"/>
            <w:vAlign w:val="bottom"/>
            <w:shd w:val="clear" w:color="auto" w:fill="225CAB"/>
          </w:tcPr>
          <w:p>
            <w:pPr>
              <w:jc w:val="center"/>
              <w:ind w:left="644"/>
              <w:spacing w:after="0"/>
              <w:rPr>
                <w:sz w:val="20"/>
                <w:szCs w:val="20"/>
                <w:color w:val="auto"/>
              </w:rPr>
            </w:pPr>
            <w:r>
              <w:rPr>
                <w:rFonts w:ascii="Arial" w:cs="Arial" w:eastAsia="Arial" w:hAnsi="Arial"/>
                <w:sz w:val="14"/>
                <w:szCs w:val="14"/>
                <w:color w:val="FFFFFF"/>
              </w:rPr>
              <w:t>($)</w:t>
            </w:r>
          </w:p>
        </w:tc>
        <w:tc>
          <w:tcPr>
            <w:tcW w:w="15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5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5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240" w:type="dxa"/>
            <w:vAlign w:val="bottom"/>
            <w:shd w:val="clear" w:color="auto" w:fill="225CAB"/>
          </w:tcPr>
          <w:p>
            <w:pPr>
              <w:jc w:val="center"/>
              <w:ind w:left="122"/>
              <w:spacing w:after="0"/>
              <w:rPr>
                <w:sz w:val="20"/>
                <w:szCs w:val="20"/>
                <w:color w:val="auto"/>
              </w:rPr>
            </w:pPr>
            <w:r>
              <w:rPr>
                <w:rFonts w:ascii="Arial" w:cs="Arial" w:eastAsia="Arial" w:hAnsi="Arial"/>
                <w:sz w:val="14"/>
                <w:szCs w:val="14"/>
                <w:color w:val="FFFFFF"/>
                <w:w w:val="93"/>
              </w:rPr>
              <w:t>($)</w:t>
            </w:r>
          </w:p>
        </w:tc>
      </w:tr>
      <w:tr>
        <w:trPr>
          <w:trHeight w:val="203"/>
        </w:trPr>
        <w:tc>
          <w:tcPr>
            <w:tcW w:w="328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Brian D. Jellison</w:t>
            </w:r>
          </w:p>
        </w:tc>
        <w:tc>
          <w:tcPr>
            <w:tcW w:w="2300" w:type="dxa"/>
            <w:vAlign w:val="bottom"/>
            <w:tcBorders>
              <w:bottom w:val="single" w:sz="8" w:color="225CAB"/>
            </w:tcBorders>
          </w:tcPr>
          <w:p>
            <w:pPr>
              <w:jc w:val="right"/>
              <w:ind w:right="304"/>
              <w:spacing w:after="0" w:line="202" w:lineRule="exact"/>
              <w:rPr>
                <w:sz w:val="20"/>
                <w:szCs w:val="20"/>
                <w:color w:val="auto"/>
              </w:rPr>
            </w:pPr>
            <w:r>
              <w:rPr>
                <w:rFonts w:ascii="Arial" w:cs="Arial" w:eastAsia="Arial" w:hAnsi="Arial"/>
                <w:sz w:val="18"/>
                <w:szCs w:val="18"/>
                <w:color w:val="auto"/>
              </w:rPr>
              <w:t>226,590</w:t>
            </w:r>
          </w:p>
        </w:tc>
        <w:tc>
          <w:tcPr>
            <w:tcW w:w="1560" w:type="dxa"/>
            <w:vAlign w:val="bottom"/>
            <w:tcBorders>
              <w:bottom w:val="single" w:sz="8" w:color="225CAB"/>
            </w:tcBorders>
          </w:tcPr>
          <w:p>
            <w:pPr>
              <w:jc w:val="right"/>
              <w:ind w:right="304"/>
              <w:spacing w:after="0" w:line="202" w:lineRule="exact"/>
              <w:rPr>
                <w:sz w:val="20"/>
                <w:szCs w:val="20"/>
                <w:color w:val="auto"/>
              </w:rPr>
            </w:pPr>
            <w:r>
              <w:rPr>
                <w:rFonts w:ascii="Arial" w:cs="Arial" w:eastAsia="Arial" w:hAnsi="Arial"/>
                <w:sz w:val="18"/>
                <w:szCs w:val="18"/>
                <w:color w:val="auto"/>
              </w:rPr>
              <w:t>263,738</w:t>
            </w:r>
          </w:p>
        </w:tc>
        <w:tc>
          <w:tcPr>
            <w:tcW w:w="1520" w:type="dxa"/>
            <w:vAlign w:val="bottom"/>
            <w:tcBorders>
              <w:bottom w:val="single" w:sz="8" w:color="225CAB"/>
            </w:tcBorders>
          </w:tcPr>
          <w:p>
            <w:pPr>
              <w:jc w:val="right"/>
              <w:ind w:right="304"/>
              <w:spacing w:after="0" w:line="202" w:lineRule="exact"/>
              <w:rPr>
                <w:sz w:val="20"/>
                <w:szCs w:val="20"/>
                <w:color w:val="auto"/>
              </w:rPr>
            </w:pPr>
            <w:r>
              <w:rPr>
                <w:rFonts w:ascii="Arial" w:cs="Arial" w:eastAsia="Arial" w:hAnsi="Arial"/>
                <w:sz w:val="18"/>
                <w:szCs w:val="18"/>
                <w:color w:val="auto"/>
              </w:rPr>
              <w:t>242</w:t>
            </w:r>
          </w:p>
        </w:tc>
        <w:tc>
          <w:tcPr>
            <w:tcW w:w="1520" w:type="dxa"/>
            <w:vAlign w:val="bottom"/>
            <w:tcBorders>
              <w:bottom w:val="single" w:sz="8" w:color="225CAB"/>
            </w:tcBorders>
          </w:tcPr>
          <w:p>
            <w:pPr>
              <w:jc w:val="right"/>
              <w:ind w:right="282"/>
              <w:spacing w:after="0" w:line="202" w:lineRule="exact"/>
              <w:rPr>
                <w:sz w:val="20"/>
                <w:szCs w:val="20"/>
                <w:color w:val="auto"/>
              </w:rPr>
            </w:pPr>
            <w:r>
              <w:rPr>
                <w:rFonts w:ascii="Arial" w:cs="Arial" w:eastAsia="Arial" w:hAnsi="Arial"/>
                <w:sz w:val="18"/>
                <w:szCs w:val="18"/>
                <w:color w:val="auto"/>
              </w:rPr>
              <w:t>298,302</w:t>
            </w:r>
          </w:p>
        </w:tc>
        <w:tc>
          <w:tcPr>
            <w:tcW w:w="1240" w:type="dxa"/>
            <w:vAlign w:val="bottom"/>
            <w:tcBorders>
              <w:bottom w:val="single" w:sz="8" w:color="225CAB"/>
            </w:tcBorders>
          </w:tcPr>
          <w:p>
            <w:pPr>
              <w:jc w:val="right"/>
              <w:ind w:right="22"/>
              <w:spacing w:after="0" w:line="202" w:lineRule="exact"/>
              <w:rPr>
                <w:sz w:val="20"/>
                <w:szCs w:val="20"/>
                <w:color w:val="auto"/>
              </w:rPr>
            </w:pPr>
            <w:r>
              <w:rPr>
                <w:rFonts w:ascii="Arial" w:cs="Arial" w:eastAsia="Arial" w:hAnsi="Arial"/>
                <w:sz w:val="18"/>
                <w:szCs w:val="18"/>
                <w:color w:val="auto"/>
              </w:rPr>
              <w:t>337,438</w:t>
            </w:r>
          </w:p>
        </w:tc>
      </w:tr>
      <w:tr>
        <w:trPr>
          <w:trHeight w:val="196"/>
        </w:trPr>
        <w:tc>
          <w:tcPr>
            <w:tcW w:w="32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Humphrey</w:t>
            </w:r>
          </w:p>
        </w:tc>
        <w:tc>
          <w:tcPr>
            <w:tcW w:w="2300" w:type="dxa"/>
            <w:vAlign w:val="bottom"/>
            <w:tcBorders>
              <w:bottom w:val="single" w:sz="8" w:color="225CAB"/>
            </w:tcBorders>
          </w:tcPr>
          <w:p>
            <w:pPr>
              <w:jc w:val="right"/>
              <w:ind w:right="304"/>
              <w:spacing w:after="0" w:line="196" w:lineRule="exact"/>
              <w:rPr>
                <w:sz w:val="20"/>
                <w:szCs w:val="20"/>
                <w:color w:val="auto"/>
              </w:rPr>
            </w:pPr>
            <w:r>
              <w:rPr>
                <w:rFonts w:ascii="Arial" w:cs="Arial" w:eastAsia="Arial" w:hAnsi="Arial"/>
                <w:sz w:val="18"/>
                <w:szCs w:val="18"/>
                <w:color w:val="auto"/>
              </w:rPr>
              <w:t>1,608,762</w:t>
            </w:r>
          </w:p>
        </w:tc>
        <w:tc>
          <w:tcPr>
            <w:tcW w:w="1560" w:type="dxa"/>
            <w:vAlign w:val="bottom"/>
            <w:tcBorders>
              <w:bottom w:val="single" w:sz="8" w:color="225CAB"/>
            </w:tcBorders>
          </w:tcPr>
          <w:p>
            <w:pPr>
              <w:jc w:val="right"/>
              <w:ind w:right="304"/>
              <w:spacing w:after="0" w:line="196" w:lineRule="exact"/>
              <w:rPr>
                <w:sz w:val="20"/>
                <w:szCs w:val="20"/>
                <w:color w:val="auto"/>
              </w:rPr>
            </w:pPr>
            <w:r>
              <w:rPr>
                <w:rFonts w:ascii="Arial" w:cs="Arial" w:eastAsia="Arial" w:hAnsi="Arial"/>
                <w:sz w:val="18"/>
                <w:szCs w:val="18"/>
                <w:color w:val="auto"/>
              </w:rPr>
              <w:t>120,657</w:t>
            </w:r>
          </w:p>
        </w:tc>
        <w:tc>
          <w:tcPr>
            <w:tcW w:w="1520" w:type="dxa"/>
            <w:vAlign w:val="bottom"/>
            <w:tcBorders>
              <w:bottom w:val="single" w:sz="8" w:color="225CAB"/>
            </w:tcBorders>
          </w:tcPr>
          <w:p>
            <w:pPr>
              <w:jc w:val="right"/>
              <w:ind w:right="304"/>
              <w:spacing w:after="0" w:line="196" w:lineRule="exact"/>
              <w:rPr>
                <w:sz w:val="20"/>
                <w:szCs w:val="20"/>
                <w:color w:val="auto"/>
              </w:rPr>
            </w:pPr>
            <w:r>
              <w:rPr>
                <w:rFonts w:ascii="Arial" w:cs="Arial" w:eastAsia="Arial" w:hAnsi="Arial"/>
                <w:sz w:val="18"/>
                <w:szCs w:val="18"/>
                <w:color w:val="auto"/>
              </w:rPr>
              <w:t>45,668</w:t>
            </w:r>
          </w:p>
        </w:tc>
        <w:tc>
          <w:tcPr>
            <w:tcW w:w="1520" w:type="dxa"/>
            <w:vAlign w:val="bottom"/>
            <w:tcBorders>
              <w:bottom w:val="single" w:sz="8" w:color="225CAB"/>
            </w:tcBorders>
          </w:tcPr>
          <w:p>
            <w:pPr>
              <w:jc w:val="right"/>
              <w:ind w:right="38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225CAB"/>
            </w:tcBorders>
          </w:tcPr>
          <w:p>
            <w:pPr>
              <w:jc w:val="right"/>
              <w:ind w:right="22"/>
              <w:spacing w:after="0" w:line="196" w:lineRule="exact"/>
              <w:rPr>
                <w:sz w:val="20"/>
                <w:szCs w:val="20"/>
                <w:color w:val="auto"/>
              </w:rPr>
            </w:pPr>
            <w:r>
              <w:rPr>
                <w:rFonts w:ascii="Arial" w:cs="Arial" w:eastAsia="Arial" w:hAnsi="Arial"/>
                <w:sz w:val="18"/>
                <w:szCs w:val="18"/>
                <w:color w:val="auto"/>
              </w:rPr>
              <w:t>2,844,461</w:t>
            </w:r>
          </w:p>
        </w:tc>
      </w:tr>
      <w:tr>
        <w:trPr>
          <w:trHeight w:val="196"/>
        </w:trPr>
        <w:tc>
          <w:tcPr>
            <w:tcW w:w="32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David B. Liner</w:t>
            </w:r>
          </w:p>
        </w:tc>
        <w:tc>
          <w:tcPr>
            <w:tcW w:w="2300" w:type="dxa"/>
            <w:vAlign w:val="bottom"/>
            <w:tcBorders>
              <w:bottom w:val="single" w:sz="8" w:color="225CAB"/>
            </w:tcBorders>
          </w:tcPr>
          <w:p>
            <w:pPr>
              <w:jc w:val="right"/>
              <w:ind w:right="304"/>
              <w:spacing w:after="0" w:line="196" w:lineRule="exact"/>
              <w:rPr>
                <w:sz w:val="20"/>
                <w:szCs w:val="20"/>
                <w:color w:val="auto"/>
              </w:rPr>
            </w:pPr>
            <w:r>
              <w:rPr>
                <w:rFonts w:ascii="Arial" w:cs="Arial" w:eastAsia="Arial" w:hAnsi="Arial"/>
                <w:sz w:val="18"/>
                <w:szCs w:val="18"/>
                <w:color w:val="auto"/>
              </w:rPr>
              <w:t>51,948</w:t>
            </w:r>
          </w:p>
        </w:tc>
        <w:tc>
          <w:tcPr>
            <w:tcW w:w="1560" w:type="dxa"/>
            <w:vAlign w:val="bottom"/>
            <w:tcBorders>
              <w:bottom w:val="single" w:sz="8" w:color="225CAB"/>
            </w:tcBorders>
          </w:tcPr>
          <w:p>
            <w:pPr>
              <w:jc w:val="right"/>
              <w:ind w:right="304"/>
              <w:spacing w:after="0" w:line="196" w:lineRule="exact"/>
              <w:rPr>
                <w:sz w:val="20"/>
                <w:szCs w:val="20"/>
                <w:color w:val="auto"/>
              </w:rPr>
            </w:pPr>
            <w:r>
              <w:rPr>
                <w:rFonts w:ascii="Arial" w:cs="Arial" w:eastAsia="Arial" w:hAnsi="Arial"/>
                <w:sz w:val="18"/>
                <w:szCs w:val="18"/>
                <w:color w:val="auto"/>
              </w:rPr>
              <w:t>45,435</w:t>
            </w:r>
          </w:p>
        </w:tc>
        <w:tc>
          <w:tcPr>
            <w:tcW w:w="1520" w:type="dxa"/>
            <w:vAlign w:val="bottom"/>
            <w:tcBorders>
              <w:bottom w:val="single" w:sz="8" w:color="225CAB"/>
            </w:tcBorders>
          </w:tcPr>
          <w:p>
            <w:pPr>
              <w:jc w:val="right"/>
              <w:ind w:right="304"/>
              <w:spacing w:after="0" w:line="196" w:lineRule="exact"/>
              <w:rPr>
                <w:sz w:val="20"/>
                <w:szCs w:val="20"/>
                <w:color w:val="auto"/>
              </w:rPr>
            </w:pPr>
            <w:r>
              <w:rPr>
                <w:rFonts w:ascii="Arial" w:cs="Arial" w:eastAsia="Arial" w:hAnsi="Arial"/>
                <w:sz w:val="18"/>
                <w:szCs w:val="18"/>
                <w:color w:val="auto"/>
              </w:rPr>
              <w:t>23,869</w:t>
            </w:r>
          </w:p>
        </w:tc>
        <w:tc>
          <w:tcPr>
            <w:tcW w:w="1520" w:type="dxa"/>
            <w:vAlign w:val="bottom"/>
            <w:tcBorders>
              <w:bottom w:val="single" w:sz="8" w:color="225CAB"/>
            </w:tcBorders>
          </w:tcPr>
          <w:p>
            <w:pPr>
              <w:jc w:val="right"/>
              <w:ind w:right="38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225CAB"/>
            </w:tcBorders>
          </w:tcPr>
          <w:p>
            <w:pPr>
              <w:jc w:val="right"/>
              <w:ind w:right="22"/>
              <w:spacing w:after="0" w:line="196" w:lineRule="exact"/>
              <w:rPr>
                <w:sz w:val="20"/>
                <w:szCs w:val="20"/>
                <w:color w:val="auto"/>
              </w:rPr>
            </w:pPr>
            <w:r>
              <w:rPr>
                <w:rFonts w:ascii="Arial" w:cs="Arial" w:eastAsia="Arial" w:hAnsi="Arial"/>
                <w:sz w:val="18"/>
                <w:szCs w:val="18"/>
                <w:color w:val="auto"/>
              </w:rPr>
              <w:t>785,129</w:t>
            </w:r>
          </w:p>
        </w:tc>
      </w:tr>
      <w:tr>
        <w:trPr>
          <w:trHeight w:val="202"/>
        </w:trPr>
        <w:tc>
          <w:tcPr>
            <w:tcW w:w="3280" w:type="dxa"/>
            <w:vAlign w:val="bottom"/>
          </w:tcPr>
          <w:p>
            <w:pPr>
              <w:spacing w:after="0" w:line="202" w:lineRule="exact"/>
              <w:rPr>
                <w:sz w:val="20"/>
                <w:szCs w:val="20"/>
                <w:color w:val="auto"/>
              </w:rPr>
            </w:pPr>
            <w:r>
              <w:rPr>
                <w:rFonts w:ascii="Arial" w:cs="Arial" w:eastAsia="Arial" w:hAnsi="Arial"/>
                <w:sz w:val="18"/>
                <w:szCs w:val="18"/>
                <w:color w:val="225CAB"/>
              </w:rPr>
              <w:t>Paul J. Soni</w:t>
            </w:r>
          </w:p>
        </w:tc>
        <w:tc>
          <w:tcPr>
            <w:tcW w:w="2300" w:type="dxa"/>
            <w:vAlign w:val="bottom"/>
          </w:tcPr>
          <w:p>
            <w:pPr>
              <w:jc w:val="right"/>
              <w:ind w:right="304"/>
              <w:spacing w:after="0" w:line="202" w:lineRule="exact"/>
              <w:rPr>
                <w:sz w:val="20"/>
                <w:szCs w:val="20"/>
                <w:color w:val="auto"/>
              </w:rPr>
            </w:pPr>
            <w:r>
              <w:rPr>
                <w:rFonts w:ascii="Arial" w:cs="Arial" w:eastAsia="Arial" w:hAnsi="Arial"/>
                <w:sz w:val="18"/>
                <w:szCs w:val="18"/>
                <w:color w:val="auto"/>
              </w:rPr>
              <w:t>59,144</w:t>
            </w:r>
          </w:p>
        </w:tc>
        <w:tc>
          <w:tcPr>
            <w:tcW w:w="1560" w:type="dxa"/>
            <w:vAlign w:val="bottom"/>
          </w:tcPr>
          <w:p>
            <w:pPr>
              <w:jc w:val="right"/>
              <w:ind w:right="304"/>
              <w:spacing w:after="0" w:line="202" w:lineRule="exact"/>
              <w:rPr>
                <w:sz w:val="20"/>
                <w:szCs w:val="20"/>
                <w:color w:val="auto"/>
              </w:rPr>
            </w:pPr>
            <w:r>
              <w:rPr>
                <w:rFonts w:ascii="Arial" w:cs="Arial" w:eastAsia="Arial" w:hAnsi="Arial"/>
                <w:sz w:val="18"/>
                <w:szCs w:val="18"/>
                <w:color w:val="auto"/>
              </w:rPr>
              <w:t>33,930</w:t>
            </w:r>
          </w:p>
        </w:tc>
        <w:tc>
          <w:tcPr>
            <w:tcW w:w="1520" w:type="dxa"/>
            <w:vAlign w:val="bottom"/>
          </w:tcPr>
          <w:p>
            <w:pPr>
              <w:jc w:val="right"/>
              <w:ind w:right="304"/>
              <w:spacing w:after="0" w:line="202" w:lineRule="exact"/>
              <w:rPr>
                <w:sz w:val="20"/>
                <w:szCs w:val="20"/>
                <w:color w:val="auto"/>
              </w:rPr>
            </w:pPr>
            <w:r>
              <w:rPr>
                <w:rFonts w:ascii="Arial" w:cs="Arial" w:eastAsia="Arial" w:hAnsi="Arial"/>
                <w:sz w:val="18"/>
                <w:szCs w:val="18"/>
                <w:color w:val="auto"/>
              </w:rPr>
              <w:t>25,115</w:t>
            </w:r>
          </w:p>
        </w:tc>
        <w:tc>
          <w:tcPr>
            <w:tcW w:w="1520" w:type="dxa"/>
            <w:vAlign w:val="bottom"/>
          </w:tcPr>
          <w:p>
            <w:pPr>
              <w:jc w:val="right"/>
              <w:ind w:right="38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466,169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60" w:hanging="332"/>
        <w:spacing w:after="0" w:line="190" w:lineRule="auto"/>
        <w:tabs>
          <w:tab w:leader="none" w:pos="340" w:val="left"/>
        </w:tabs>
        <w:numPr>
          <w:ilvl w:val="0"/>
          <w:numId w:val="92"/>
        </w:numPr>
        <w:rPr>
          <w:rFonts w:ascii="Arial" w:cs="Arial" w:eastAsia="Arial" w:hAnsi="Arial"/>
          <w:sz w:val="22"/>
          <w:szCs w:val="22"/>
          <w:color w:val="auto"/>
          <w:vertAlign w:val="superscript"/>
        </w:rPr>
      </w:pPr>
      <w:r>
        <w:rPr>
          <w:rFonts w:ascii="Arial" w:cs="Arial" w:eastAsia="Arial" w:hAnsi="Arial"/>
          <w:sz w:val="14"/>
          <w:szCs w:val="14"/>
          <w:color w:val="auto"/>
        </w:rPr>
        <w:t>Amounts reflect participant deferrals under the Non-Qualified Retirement Plan during the fiscal year and all of these amounts are included in the Summary Compensation Table above in the “Salary” or “Non-Equity Incentive Plan Compensation” column as applicable.</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92"/>
        </w:numPr>
        <w:rPr>
          <w:rFonts w:ascii="Arial" w:cs="Arial" w:eastAsia="Arial" w:hAnsi="Arial"/>
          <w:sz w:val="22"/>
          <w:szCs w:val="22"/>
          <w:color w:val="auto"/>
          <w:vertAlign w:val="superscript"/>
        </w:rPr>
      </w:pPr>
      <w:r>
        <w:rPr>
          <w:rFonts w:ascii="Arial" w:cs="Arial" w:eastAsia="Arial" w:hAnsi="Arial"/>
          <w:sz w:val="14"/>
          <w:szCs w:val="14"/>
          <w:color w:val="auto"/>
        </w:rPr>
        <w:t>The amounts are included in the Summary Compensation Table in the “All Other Compensation” column.</w:t>
      </w:r>
    </w:p>
    <w:p>
      <w:pPr>
        <w:spacing w:after="0" w:line="66" w:lineRule="exact"/>
        <w:rPr>
          <w:rFonts w:ascii="Arial" w:cs="Arial" w:eastAsia="Arial" w:hAnsi="Arial"/>
          <w:sz w:val="22"/>
          <w:szCs w:val="22"/>
          <w:color w:val="auto"/>
          <w:vertAlign w:val="superscript"/>
        </w:rPr>
      </w:pPr>
    </w:p>
    <w:p>
      <w:pPr>
        <w:ind w:left="340" w:right="60" w:hanging="332"/>
        <w:spacing w:after="0" w:line="181" w:lineRule="auto"/>
        <w:tabs>
          <w:tab w:leader="none" w:pos="340" w:val="left"/>
        </w:tabs>
        <w:numPr>
          <w:ilvl w:val="0"/>
          <w:numId w:val="92"/>
        </w:numPr>
        <w:rPr>
          <w:rFonts w:ascii="Arial" w:cs="Arial" w:eastAsia="Arial" w:hAnsi="Arial"/>
          <w:sz w:val="22"/>
          <w:szCs w:val="22"/>
          <w:color w:val="auto"/>
          <w:vertAlign w:val="superscript"/>
        </w:rPr>
      </w:pPr>
      <w:r>
        <w:rPr>
          <w:rFonts w:ascii="Arial" w:cs="Arial" w:eastAsia="Arial" w:hAnsi="Arial"/>
          <w:sz w:val="14"/>
          <w:szCs w:val="14"/>
          <w:color w:val="auto"/>
        </w:rPr>
        <w:t>No portion of these earnings was included in the Summary Compensation Table because the Non-Qualified Retirement Plan does not provide for “above-market” or preferential earnings as defined in applicable SEC rules.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Potential Payments upon Termination or Change in Control</w:t>
      </w:r>
    </w:p>
    <w:p>
      <w:pPr>
        <w:spacing w:after="0" w:line="79"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The employment agreement with Mr. Jellison and offer letters with Messrs. Humphrey and Liner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Employment Agreement with Mr. Jellison</w:t>
      </w:r>
    </w:p>
    <w:p>
      <w:pPr>
        <w:spacing w:after="0" w:line="7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i w:val="1"/>
          <w:iCs w:val="1"/>
          <w:color w:val="auto"/>
        </w:rPr>
        <w:t>Termination for Cause; Resignation Without Good Reason</w:t>
      </w:r>
      <w:r>
        <w:rPr>
          <w:rFonts w:ascii="Arial" w:cs="Arial" w:eastAsia="Arial" w:hAnsi="Arial"/>
          <w:sz w:val="18"/>
          <w:szCs w:val="18"/>
          <w:color w:val="auto"/>
        </w:rPr>
        <w:t>. If Mr. Jellison was terminated for cause or if he was to resign without good reason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are defined in his agreement), he would receive the salary and vested benefits that had accrued through the date of termination, plus a pro-rata portion of his annual bonus earned through the date of termination, assuming the Company achieved the level of performance for which a bonus would be paid for that year. No special severance benefits would be payable.</w:t>
      </w:r>
    </w:p>
    <w:p>
      <w:pPr>
        <w:spacing w:after="0" w:line="4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i w:val="1"/>
          <w:iCs w:val="1"/>
          <w:color w:val="auto"/>
        </w:rPr>
        <w:t>Termination Due to Death or Disability</w:t>
      </w:r>
      <w:r>
        <w:rPr>
          <w:rFonts w:ascii="Arial" w:cs="Arial" w:eastAsia="Arial" w:hAnsi="Arial"/>
          <w:sz w:val="18"/>
          <w:szCs w:val="18"/>
          <w:color w:val="auto"/>
        </w:rPr>
        <w:t>. If Mr. Jellison was to die or terminate employment due to disability, he (or his estate) would receive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vested benefits accrued through the date of termination, plus a pro-rata portion of his annual bonus earned through the date of termination, assuming the Company achieved the level of performance for which a bonus would be paid for that year. No special severance benefits would be payable.</w:t>
      </w:r>
    </w:p>
    <w:p>
      <w:pPr>
        <w:spacing w:after="0" w:line="4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 xml:space="preserve">Termination Without Cause; Resignation for Good Reason. </w:t>
      </w:r>
      <w:r>
        <w:rPr>
          <w:rFonts w:ascii="Arial" w:cs="Arial" w:eastAsia="Arial" w:hAnsi="Arial"/>
          <w:sz w:val="18"/>
          <w:szCs w:val="18"/>
          <w:color w:val="auto"/>
        </w:rPr>
        <w:t>If Mr. Jellison was terminated without cause or resigned for good reason, either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a change of control of the Company occurs or more than one year after a change of control, he would receive a severance payment, in addition to accrued salary, earned and unpaid bonus from the prior fiscal year and vested benefits, of two times his annual base salary. He would also receive a pro-rated target bonus for the year and continuation of health and welfare benefits for a period of two years. Any stock option that would have vested during the one-year period following termination would also become immediately exercisable.</w:t>
      </w:r>
    </w:p>
    <w:p>
      <w:pPr>
        <w:spacing w:after="0" w:line="46"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i w:val="1"/>
          <w:iCs w:val="1"/>
          <w:color w:val="auto"/>
        </w:rPr>
        <w:t xml:space="preserve">In Connection with a Change of Control </w:t>
      </w:r>
      <w:r>
        <w:rPr>
          <w:rFonts w:ascii="Arial" w:cs="Arial" w:eastAsia="Arial" w:hAnsi="Arial"/>
          <w:sz w:val="16"/>
          <w:szCs w:val="16"/>
          <w:color w:val="auto"/>
        </w:rPr>
        <w:t>. If Mr. Jellison was terminated without cause or resigned for good reason within one year following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of the Company, then in addition to accrued salary, prorated bonus and vested benefits, he would be entitled to:</w:t>
      </w:r>
    </w:p>
    <w:p>
      <w:pPr>
        <w:ind w:left="220" w:right="500" w:hanging="212"/>
        <w:spacing w:after="0" w:line="269"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severance payment equal to two times the sum of (i) his then current base salary and (ii) the greater of the average of his last two years’ annual bonuses or his target bonus for the year of termination,</w:t>
      </w:r>
    </w:p>
    <w:p>
      <w:pPr>
        <w:spacing w:after="0" w:line="22"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accelerated vesting of all of his outstanding equity awards,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two years.</w:t>
      </w:r>
    </w:p>
    <w:p>
      <w:pPr>
        <w:spacing w:after="0" w:line="7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Mr. Jellison has also agreed not to compete with the Company for a period of one year after his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reason.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Offer Letters to Messrs. Humphrey and Liner</w:t>
      </w:r>
    </w:p>
    <w:p>
      <w:pPr>
        <w:spacing w:after="0" w:line="7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i w:val="1"/>
          <w:iCs w:val="1"/>
          <w:color w:val="auto"/>
        </w:rPr>
        <w:t xml:space="preserve">Mr. Humphrey. </w:t>
      </w:r>
      <w:r>
        <w:rPr>
          <w:rFonts w:ascii="Arial" w:cs="Arial" w:eastAsia="Arial" w:hAnsi="Arial"/>
          <w:sz w:val="18"/>
          <w:szCs w:val="18"/>
          <w:color w:val="auto"/>
        </w:rPr>
        <w:t>Pursuant to an offer letter dated April 24, 2006, as amended December 30, 2008, if Mr. Humphrey’s employment is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he would be entitled to receive one year of medical benefit coverage and a severance payment equal to his then-current annual base salary.</w:t>
      </w:r>
    </w:p>
    <w:p>
      <w:pPr>
        <w:spacing w:after="0" w:line="37"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i w:val="1"/>
          <w:iCs w:val="1"/>
          <w:color w:val="auto"/>
        </w:rPr>
        <w:t xml:space="preserve">Mr. Liner. </w:t>
      </w:r>
      <w:r>
        <w:rPr>
          <w:rFonts w:ascii="Arial" w:cs="Arial" w:eastAsia="Arial" w:hAnsi="Arial"/>
          <w:sz w:val="18"/>
          <w:szCs w:val="18"/>
          <w:color w:val="auto"/>
        </w:rPr>
        <w:t>Pursuant to an offer letter dated July 21, 2005, as amended December 30, 2008, if Mr. Liner’s employment is terminated without cause,</w:t>
      </w:r>
      <w:r>
        <w:rPr>
          <w:rFonts w:ascii="Arial" w:cs="Arial" w:eastAsia="Arial" w:hAnsi="Arial"/>
          <w:sz w:val="18"/>
          <w:szCs w:val="18"/>
          <w:i w:val="1"/>
          <w:iCs w:val="1"/>
          <w:color w:val="auto"/>
        </w:rPr>
        <w:t xml:space="preserve"> </w:t>
      </w:r>
      <w:r>
        <w:rPr>
          <w:rFonts w:ascii="Arial" w:cs="Arial" w:eastAsia="Arial" w:hAnsi="Arial"/>
          <w:sz w:val="18"/>
          <w:szCs w:val="18"/>
          <w:color w:val="auto"/>
        </w:rPr>
        <w:t>he would be entitled to receive one year of medical benefit coverage and a severance payment equal to the sum of his then-current annual base salary and annual bonus earned with respect to the last year before the termination occurred.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Summary of Termination Payments and Benefits</w:t>
      </w:r>
    </w:p>
    <w:p>
      <w:pPr>
        <w:spacing w:after="0" w:line="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following tables summarize the value of the termination payments and benefits that each of our named executive officers would receive if he had terminated employment on December 31, 2014 under the circumstances shown. Scenarios for termination due to involuntarily for cause, voluntary resignation, and retirement have not been included because, in those circumstances, no severance or other additional payments</w:t>
      </w:r>
    </w:p>
    <w:p>
      <w:pPr>
        <w:spacing w:after="0" w:line="90"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43</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4" w:lineRule="exact"/>
        <w:rPr>
          <w:sz w:val="20"/>
          <w:szCs w:val="20"/>
          <w:color w:val="auto"/>
        </w:rPr>
      </w:pPr>
    </w:p>
    <w:p>
      <w:pPr>
        <w:ind w:right="760"/>
        <w:spacing w:after="0" w:line="333" w:lineRule="auto"/>
        <w:rPr>
          <w:sz w:val="20"/>
          <w:szCs w:val="20"/>
          <w:color w:val="auto"/>
        </w:rPr>
      </w:pPr>
      <w:r>
        <w:rPr>
          <w:rFonts w:ascii="Arial" w:cs="Arial" w:eastAsia="Arial" w:hAnsi="Arial"/>
          <w:sz w:val="16"/>
          <w:szCs w:val="16"/>
          <w:color w:val="auto"/>
        </w:rPr>
        <w:t>will be made to named executive officers. Scenarios for termination due to death or disability have not been included because they do not discriminate in scope, terms or operation in favor of named executive officers compared to the benefits offered to all salaried employees.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w:t>
      </w:r>
      <w:r>
        <w:rPr>
          <w:rFonts w:ascii="Arial" w:cs="Arial" w:eastAsia="Arial" w:hAnsi="Arial"/>
          <w:sz w:val="14"/>
          <w:szCs w:val="14"/>
          <w:b w:val="1"/>
          <w:bCs w:val="1"/>
          <w:color w:val="225CAB"/>
        </w:rPr>
        <w:t>RIAN</w:t>
      </w:r>
      <w:r>
        <w:rPr>
          <w:rFonts w:ascii="Arial" w:cs="Arial" w:eastAsia="Arial" w:hAnsi="Arial"/>
          <w:sz w:val="18"/>
          <w:szCs w:val="18"/>
          <w:b w:val="1"/>
          <w:bCs w:val="1"/>
          <w:color w:val="225CAB"/>
        </w:rPr>
        <w:t xml:space="preserve"> D. J</w:t>
      </w:r>
      <w:r>
        <w:rPr>
          <w:rFonts w:ascii="Arial" w:cs="Arial" w:eastAsia="Arial" w:hAnsi="Arial"/>
          <w:sz w:val="14"/>
          <w:szCs w:val="14"/>
          <w:b w:val="1"/>
          <w:bCs w:val="1"/>
          <w:color w:val="225CAB"/>
        </w:rPr>
        <w:t>ELLISON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color w:val="auto"/>
                <w:w w:val="96"/>
              </w:rPr>
              <w:t>Termination Scenario</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jc w:val="center"/>
              <w:ind w:right="252"/>
              <w:spacing w:after="0" w:line="125" w:lineRule="exact"/>
              <w:rPr>
                <w:sz w:val="20"/>
                <w:szCs w:val="20"/>
                <w:color w:val="auto"/>
              </w:rPr>
            </w:pPr>
            <w:r>
              <w:rPr>
                <w:rFonts w:ascii="Arial" w:cs="Arial" w:eastAsia="Arial" w:hAnsi="Arial"/>
                <w:sz w:val="14"/>
                <w:szCs w:val="14"/>
                <w:color w:val="auto"/>
                <w:w w:val="96"/>
              </w:rPr>
              <w:t>By Employee</w:t>
            </w:r>
          </w:p>
        </w:tc>
        <w:tc>
          <w:tcPr>
            <w:tcW w:w="1980" w:type="dxa"/>
            <w:vAlign w:val="bottom"/>
          </w:tcPr>
          <w:p>
            <w:pPr>
              <w:jc w:val="center"/>
              <w:ind w:left="40"/>
              <w:spacing w:after="0" w:line="125" w:lineRule="exact"/>
              <w:rPr>
                <w:sz w:val="20"/>
                <w:szCs w:val="20"/>
                <w:color w:val="auto"/>
              </w:rPr>
            </w:pPr>
            <w:r>
              <w:rPr>
                <w:rFonts w:ascii="Arial" w:cs="Arial" w:eastAsia="Arial" w:hAnsi="Arial"/>
                <w:sz w:val="14"/>
                <w:szCs w:val="14"/>
                <w:color w:val="auto"/>
                <w:w w:val="97"/>
              </w:rPr>
              <w:t>By Company</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center"/>
              <w:ind w:right="232"/>
              <w:spacing w:after="0" w:line="139" w:lineRule="exact"/>
              <w:rPr>
                <w:sz w:val="20"/>
                <w:szCs w:val="20"/>
                <w:color w:val="auto"/>
              </w:rPr>
            </w:pPr>
            <w:r>
              <w:rPr>
                <w:rFonts w:ascii="Arial" w:cs="Arial" w:eastAsia="Arial" w:hAnsi="Arial"/>
                <w:sz w:val="14"/>
                <w:szCs w:val="14"/>
                <w:color w:val="auto"/>
                <w:w w:val="97"/>
              </w:rPr>
              <w:t>For Good</w:t>
            </w:r>
          </w:p>
        </w:tc>
        <w:tc>
          <w:tcPr>
            <w:tcW w:w="1980" w:type="dxa"/>
            <w:vAlign w:val="bottom"/>
          </w:tcPr>
          <w:p>
            <w:pPr>
              <w:jc w:val="center"/>
              <w:ind w:left="40"/>
              <w:spacing w:after="0" w:line="139" w:lineRule="exact"/>
              <w:rPr>
                <w:sz w:val="20"/>
                <w:szCs w:val="20"/>
                <w:color w:val="auto"/>
              </w:rPr>
            </w:pPr>
            <w:r>
              <w:rPr>
                <w:rFonts w:ascii="Arial" w:cs="Arial" w:eastAsia="Arial" w:hAnsi="Arial"/>
                <w:sz w:val="14"/>
                <w:szCs w:val="14"/>
                <w:color w:val="auto"/>
                <w:w w:val="96"/>
              </w:rPr>
              <w:t>Without</w:t>
            </w:r>
          </w:p>
        </w:tc>
        <w:tc>
          <w:tcPr>
            <w:tcW w:w="1400" w:type="dxa"/>
            <w:vAlign w:val="bottom"/>
            <w:gridSpan w:val="3"/>
          </w:tcPr>
          <w:p>
            <w:pPr>
              <w:jc w:val="right"/>
              <w:ind w:right="280"/>
              <w:spacing w:after="0" w:line="139" w:lineRule="exact"/>
              <w:rPr>
                <w:sz w:val="20"/>
                <w:szCs w:val="20"/>
                <w:color w:val="auto"/>
              </w:rPr>
            </w:pPr>
            <w:r>
              <w:rPr>
                <w:rFonts w:ascii="Arial" w:cs="Arial" w:eastAsia="Arial" w:hAnsi="Arial"/>
                <w:sz w:val="14"/>
                <w:szCs w:val="14"/>
                <w:color w:val="auto"/>
              </w:rPr>
              <w:t>Change-in-</w:t>
            </w:r>
          </w:p>
        </w:tc>
        <w:tc>
          <w:tcPr>
            <w:tcW w:w="0" w:type="dxa"/>
            <w:vAlign w:val="bottom"/>
          </w:tcPr>
          <w:p>
            <w:pPr>
              <w:spacing w:after="0"/>
              <w:rPr>
                <w:sz w:val="1"/>
                <w:szCs w:val="1"/>
                <w:color w:val="auto"/>
              </w:rPr>
            </w:pPr>
          </w:p>
        </w:tc>
      </w:tr>
      <w:tr>
        <w:trPr>
          <w:trHeight w:val="176"/>
        </w:trPr>
        <w:tc>
          <w:tcPr>
            <w:tcW w:w="6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color w:val="auto"/>
                <w:w w:val="95"/>
              </w:rPr>
              <w:t>Reason</w:t>
            </w:r>
          </w:p>
        </w:tc>
        <w:tc>
          <w:tcPr>
            <w:tcW w:w="19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Cause</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color w:val="auto"/>
              </w:rPr>
              <w:t>Control</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196"/>
        </w:trPr>
        <w:tc>
          <w:tcPr>
            <w:tcW w:w="6500" w:type="dxa"/>
            <w:vAlign w:val="bottom"/>
            <w:gridSpan w:val="4"/>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16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1260" w:type="dxa"/>
            <w:vAlign w:val="bottom"/>
            <w:gridSpan w:val="2"/>
            <w:shd w:val="clear" w:color="auto" w:fill="D2DEEE"/>
          </w:tcPr>
          <w:p>
            <w:pPr>
              <w:jc w:val="right"/>
              <w:ind w:right="232"/>
              <w:spacing w:after="0" w:line="196" w:lineRule="exact"/>
              <w:rPr>
                <w:sz w:val="20"/>
                <w:szCs w:val="20"/>
                <w:color w:val="auto"/>
              </w:rPr>
            </w:pPr>
            <w:r>
              <w:rPr>
                <w:rFonts w:ascii="Arial" w:cs="Arial" w:eastAsia="Arial" w:hAnsi="Arial"/>
                <w:sz w:val="18"/>
                <w:szCs w:val="18"/>
                <w:color w:val="auto"/>
              </w:rPr>
              <w:t>$2,450,000</w:t>
            </w:r>
          </w:p>
        </w:tc>
        <w:tc>
          <w:tcPr>
            <w:tcW w:w="1980" w:type="dxa"/>
            <w:vAlign w:val="bottom"/>
            <w:shd w:val="clear" w:color="auto" w:fill="D2DEEE"/>
          </w:tcPr>
          <w:p>
            <w:pPr>
              <w:jc w:val="right"/>
              <w:ind w:right="420"/>
              <w:spacing w:after="0" w:line="196" w:lineRule="exact"/>
              <w:rPr>
                <w:sz w:val="20"/>
                <w:szCs w:val="20"/>
                <w:color w:val="auto"/>
              </w:rPr>
            </w:pPr>
            <w:r>
              <w:rPr>
                <w:rFonts w:ascii="Arial" w:cs="Arial" w:eastAsia="Arial" w:hAnsi="Arial"/>
                <w:sz w:val="18"/>
                <w:szCs w:val="18"/>
                <w:color w:val="auto"/>
              </w:rPr>
              <w:t>$2,450,000</w:t>
            </w:r>
          </w:p>
        </w:tc>
        <w:tc>
          <w:tcPr>
            <w:tcW w:w="500" w:type="dxa"/>
            <w:vAlign w:val="bottom"/>
            <w:shd w:val="clear" w:color="auto" w:fill="D2DEEE"/>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w w:val="97"/>
              </w:rPr>
              <w:t>2,450,000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4"/>
          </w:tcPr>
          <w:p>
            <w:pPr>
              <w:spacing w:after="0" w:line="203"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16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1260" w:type="dxa"/>
            <w:vAlign w:val="bottom"/>
            <w:gridSpan w:val="2"/>
            <w:shd w:val="clear" w:color="auto" w:fill="D2DEEE"/>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D2DEEE"/>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D2DEEE"/>
          </w:tcPr>
          <w:p>
            <w:pPr>
              <w:spacing w:after="0"/>
              <w:rPr>
                <w:sz w:val="17"/>
                <w:szCs w:val="17"/>
                <w:color w:val="auto"/>
              </w:rPr>
            </w:pPr>
          </w:p>
        </w:tc>
        <w:tc>
          <w:tcPr>
            <w:tcW w:w="8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w w:val="97"/>
              </w:rPr>
              <w:t>7,817,500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15,635,000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4"/>
            <w:shd w:val="clear" w:color="auto" w:fill="D2DEEE"/>
          </w:tcPr>
          <w:p>
            <w:pPr>
              <w:spacing w:after="0" w:line="202" w:lineRule="exact"/>
              <w:rPr>
                <w:sz w:val="20"/>
                <w:szCs w:val="20"/>
                <w:color w:val="auto"/>
              </w:rPr>
            </w:pPr>
            <w:r>
              <w:rPr>
                <w:rFonts w:ascii="Arial" w:cs="Arial" w:eastAsia="Arial" w:hAnsi="Arial"/>
                <w:sz w:val="18"/>
                <w:szCs w:val="18"/>
                <w:color w:val="auto"/>
              </w:rPr>
              <w:t>Continued Medical Benefits</w:t>
            </w:r>
          </w:p>
        </w:tc>
        <w:tc>
          <w:tcPr>
            <w:tcW w:w="160" w:type="dxa"/>
            <w:vAlign w:val="bottom"/>
            <w:tcBorders>
              <w:bottom w:val="single" w:sz="8" w:color="auto"/>
            </w:tcBorders>
            <w:shd w:val="clear" w:color="auto" w:fill="D2DEEE"/>
          </w:tcPr>
          <w:p>
            <w:pPr>
              <w:spacing w:after="0"/>
              <w:rPr>
                <w:sz w:val="17"/>
                <w:szCs w:val="17"/>
                <w:color w:val="auto"/>
              </w:rPr>
            </w:pPr>
          </w:p>
        </w:tc>
        <w:tc>
          <w:tcPr>
            <w:tcW w:w="120" w:type="dxa"/>
            <w:vAlign w:val="bottom"/>
            <w:tcBorders>
              <w:bottom w:val="single" w:sz="8" w:color="auto"/>
            </w:tcBorders>
            <w:shd w:val="clear" w:color="auto" w:fill="D2DEEE"/>
          </w:tcPr>
          <w:p>
            <w:pPr>
              <w:spacing w:after="0"/>
              <w:rPr>
                <w:sz w:val="17"/>
                <w:szCs w:val="17"/>
                <w:color w:val="auto"/>
              </w:rPr>
            </w:pPr>
          </w:p>
        </w:tc>
        <w:tc>
          <w:tcPr>
            <w:tcW w:w="1260" w:type="dxa"/>
            <w:vAlign w:val="bottom"/>
            <w:tcBorders>
              <w:bottom w:val="single" w:sz="8" w:color="auto"/>
            </w:tcBorders>
            <w:gridSpan w:val="2"/>
            <w:shd w:val="clear" w:color="auto" w:fill="D2DEEE"/>
          </w:tcPr>
          <w:p>
            <w:pPr>
              <w:jc w:val="right"/>
              <w:ind w:right="232"/>
              <w:spacing w:after="0" w:line="202" w:lineRule="exact"/>
              <w:rPr>
                <w:sz w:val="20"/>
                <w:szCs w:val="20"/>
                <w:color w:val="auto"/>
              </w:rPr>
            </w:pPr>
            <w:r>
              <w:rPr>
                <w:rFonts w:ascii="Arial" w:cs="Arial" w:eastAsia="Arial" w:hAnsi="Arial"/>
                <w:sz w:val="18"/>
                <w:szCs w:val="18"/>
                <w:color w:val="auto"/>
              </w:rPr>
              <w:t>26,544</w:t>
            </w:r>
          </w:p>
        </w:tc>
        <w:tc>
          <w:tcPr>
            <w:tcW w:w="1980" w:type="dxa"/>
            <w:vAlign w:val="bottom"/>
            <w:tcBorders>
              <w:bottom w:val="single" w:sz="8" w:color="auto"/>
            </w:tcBorders>
            <w:shd w:val="clear" w:color="auto" w:fill="D2DEEE"/>
          </w:tcPr>
          <w:p>
            <w:pPr>
              <w:jc w:val="right"/>
              <w:ind w:right="420"/>
              <w:spacing w:after="0" w:line="202" w:lineRule="exact"/>
              <w:rPr>
                <w:sz w:val="20"/>
                <w:szCs w:val="20"/>
                <w:color w:val="auto"/>
              </w:rPr>
            </w:pPr>
            <w:r>
              <w:rPr>
                <w:rFonts w:ascii="Arial" w:cs="Arial" w:eastAsia="Arial" w:hAnsi="Arial"/>
                <w:sz w:val="18"/>
                <w:szCs w:val="18"/>
                <w:color w:val="auto"/>
              </w:rPr>
              <w:t>26,544</w:t>
            </w:r>
          </w:p>
        </w:tc>
        <w:tc>
          <w:tcPr>
            <w:tcW w:w="500" w:type="dxa"/>
            <w:vAlign w:val="bottom"/>
            <w:tcBorders>
              <w:bottom w:val="single" w:sz="8" w:color="auto"/>
            </w:tcBorders>
            <w:shd w:val="clear" w:color="auto" w:fill="D2DEEE"/>
          </w:tcPr>
          <w:p>
            <w:pPr>
              <w:spacing w:after="0"/>
              <w:rPr>
                <w:sz w:val="17"/>
                <w:szCs w:val="17"/>
                <w:color w:val="auto"/>
              </w:rPr>
            </w:pPr>
          </w:p>
        </w:tc>
        <w:tc>
          <w:tcPr>
            <w:tcW w:w="900" w:type="dxa"/>
            <w:vAlign w:val="bottom"/>
            <w:tcBorders>
              <w:bottom w:val="single" w:sz="8" w:color="auto"/>
            </w:tcBorders>
            <w:gridSpan w:val="2"/>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26,544</w:t>
            </w:r>
          </w:p>
        </w:tc>
        <w:tc>
          <w:tcPr>
            <w:tcW w:w="0" w:type="dxa"/>
            <w:vAlign w:val="bottom"/>
          </w:tcPr>
          <w:p>
            <w:pPr>
              <w:spacing w:after="0"/>
              <w:rPr>
                <w:sz w:val="1"/>
                <w:szCs w:val="1"/>
                <w:color w:val="auto"/>
              </w:rPr>
            </w:pPr>
          </w:p>
        </w:tc>
      </w:tr>
      <w:tr>
        <w:trPr>
          <w:trHeight w:val="196"/>
        </w:trPr>
        <w:tc>
          <w:tcPr>
            <w:tcW w:w="8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5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32"/>
              <w:spacing w:after="0" w:line="196" w:lineRule="exact"/>
              <w:rPr>
                <w:sz w:val="20"/>
                <w:szCs w:val="20"/>
                <w:color w:val="auto"/>
              </w:rPr>
            </w:pPr>
            <w:r>
              <w:rPr>
                <w:rFonts w:ascii="Arial" w:cs="Arial" w:eastAsia="Arial" w:hAnsi="Arial"/>
                <w:sz w:val="18"/>
                <w:szCs w:val="18"/>
                <w:color w:val="auto"/>
              </w:rPr>
              <w:t>$2,476,544</w:t>
            </w:r>
          </w:p>
        </w:tc>
        <w:tc>
          <w:tcPr>
            <w:tcW w:w="1980" w:type="dxa"/>
            <w:vAlign w:val="bottom"/>
            <w:tcBorders>
              <w:bottom w:val="single" w:sz="8" w:color="auto"/>
            </w:tcBorders>
          </w:tcPr>
          <w:p>
            <w:pPr>
              <w:jc w:val="right"/>
              <w:ind w:right="420"/>
              <w:spacing w:after="0" w:line="196" w:lineRule="exact"/>
              <w:rPr>
                <w:sz w:val="20"/>
                <w:szCs w:val="20"/>
                <w:color w:val="auto"/>
              </w:rPr>
            </w:pPr>
            <w:r>
              <w:rPr>
                <w:rFonts w:ascii="Arial" w:cs="Arial" w:eastAsia="Arial" w:hAnsi="Arial"/>
                <w:sz w:val="18"/>
                <w:szCs w:val="18"/>
                <w:color w:val="auto"/>
              </w:rPr>
              <w:t>$2,476,544</w:t>
            </w:r>
          </w:p>
        </w:tc>
        <w:tc>
          <w:tcPr>
            <w:tcW w:w="13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$ 25,929,044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6500" w:type="dxa"/>
            <w:vAlign w:val="bottom"/>
            <w:gridSpan w:val="4"/>
          </w:tcPr>
          <w:p>
            <w:pPr>
              <w:spacing w:after="0"/>
              <w:rPr>
                <w:sz w:val="20"/>
                <w:szCs w:val="20"/>
                <w:color w:val="auto"/>
              </w:rPr>
            </w:pPr>
            <w:r>
              <w:rPr>
                <w:rFonts w:ascii="Arial" w:cs="Arial" w:eastAsia="Arial" w:hAnsi="Arial"/>
                <w:sz w:val="18"/>
                <w:szCs w:val="18"/>
                <w:b w:val="1"/>
                <w:bCs w:val="1"/>
                <w:color w:val="225CAB"/>
              </w:rPr>
              <w:t>J</w:t>
            </w:r>
            <w:r>
              <w:rPr>
                <w:rFonts w:ascii="Arial" w:cs="Arial" w:eastAsia="Arial" w:hAnsi="Arial"/>
                <w:sz w:val="14"/>
                <w:szCs w:val="14"/>
                <w:b w:val="1"/>
                <w:bCs w:val="1"/>
                <w:color w:val="225CAB"/>
              </w:rPr>
              <w:t>OHN</w:t>
            </w:r>
            <w:r>
              <w:rPr>
                <w:rFonts w:ascii="Arial" w:cs="Arial" w:eastAsia="Arial" w:hAnsi="Arial"/>
                <w:sz w:val="18"/>
                <w:szCs w:val="18"/>
                <w:b w:val="1"/>
                <w:bCs w:val="1"/>
                <w:color w:val="225CAB"/>
              </w:rPr>
              <w:t xml:space="preserve"> H</w:t>
            </w:r>
            <w:r>
              <w:rPr>
                <w:rFonts w:ascii="Arial" w:cs="Arial" w:eastAsia="Arial" w:hAnsi="Arial"/>
                <w:sz w:val="14"/>
                <w:szCs w:val="14"/>
                <w:b w:val="1"/>
                <w:bCs w:val="1"/>
                <w:color w:val="225CAB"/>
              </w:rPr>
              <w:t>UMPHREY</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Termination Scenario</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4"/>
                <w:szCs w:val="14"/>
                <w:color w:val="auto"/>
              </w:rPr>
              <w:t>By Employee</w:t>
            </w:r>
          </w:p>
        </w:tc>
        <w:tc>
          <w:tcPr>
            <w:tcW w:w="1980" w:type="dxa"/>
            <w:vAlign w:val="bottom"/>
          </w:tcPr>
          <w:p>
            <w:pPr>
              <w:jc w:val="center"/>
              <w:spacing w:after="0" w:line="125" w:lineRule="exact"/>
              <w:rPr>
                <w:sz w:val="20"/>
                <w:szCs w:val="20"/>
                <w:color w:val="auto"/>
              </w:rPr>
            </w:pPr>
            <w:r>
              <w:rPr>
                <w:rFonts w:ascii="Arial" w:cs="Arial" w:eastAsia="Arial" w:hAnsi="Arial"/>
                <w:sz w:val="14"/>
                <w:szCs w:val="14"/>
                <w:color w:val="auto"/>
                <w:w w:val="97"/>
              </w:rPr>
              <w:t>By Company</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632"/>
              <w:spacing w:after="0" w:line="139" w:lineRule="exact"/>
              <w:rPr>
                <w:sz w:val="20"/>
                <w:szCs w:val="20"/>
                <w:color w:val="auto"/>
              </w:rPr>
            </w:pPr>
            <w:r>
              <w:rPr>
                <w:rFonts w:ascii="Arial" w:cs="Arial" w:eastAsia="Arial" w:hAnsi="Arial"/>
                <w:sz w:val="14"/>
                <w:szCs w:val="14"/>
                <w:color w:val="auto"/>
                <w:w w:val="91"/>
              </w:rPr>
              <w:t>For Good</w:t>
            </w:r>
          </w:p>
        </w:tc>
        <w:tc>
          <w:tcPr>
            <w:tcW w:w="1980" w:type="dxa"/>
            <w:vAlign w:val="bottom"/>
          </w:tcPr>
          <w:p>
            <w:pPr>
              <w:jc w:val="center"/>
              <w:spacing w:after="0" w:line="139" w:lineRule="exact"/>
              <w:rPr>
                <w:sz w:val="20"/>
                <w:szCs w:val="20"/>
                <w:color w:val="auto"/>
              </w:rPr>
            </w:pPr>
            <w:r>
              <w:rPr>
                <w:rFonts w:ascii="Arial" w:cs="Arial" w:eastAsia="Arial" w:hAnsi="Arial"/>
                <w:sz w:val="14"/>
                <w:szCs w:val="14"/>
                <w:color w:val="auto"/>
                <w:w w:val="96"/>
              </w:rPr>
              <w:t>Without</w:t>
            </w:r>
          </w:p>
        </w:tc>
        <w:tc>
          <w:tcPr>
            <w:tcW w:w="500" w:type="dxa"/>
            <w:vAlign w:val="bottom"/>
          </w:tcPr>
          <w:p>
            <w:pPr>
              <w:spacing w:after="0"/>
              <w:rPr>
                <w:sz w:val="12"/>
                <w:szCs w:val="12"/>
                <w:color w:val="auto"/>
              </w:rPr>
            </w:pPr>
          </w:p>
        </w:tc>
        <w:tc>
          <w:tcPr>
            <w:tcW w:w="9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Change-in-</w:t>
            </w:r>
          </w:p>
        </w:tc>
        <w:tc>
          <w:tcPr>
            <w:tcW w:w="0" w:type="dxa"/>
            <w:vAlign w:val="bottom"/>
          </w:tcPr>
          <w:p>
            <w:pPr>
              <w:spacing w:after="0"/>
              <w:rPr>
                <w:sz w:val="1"/>
                <w:szCs w:val="1"/>
                <w:color w:val="auto"/>
              </w:rPr>
            </w:pPr>
          </w:p>
        </w:tc>
      </w:tr>
      <w:tr>
        <w:trPr>
          <w:trHeight w:val="176"/>
        </w:trPr>
        <w:tc>
          <w:tcPr>
            <w:tcW w:w="6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4"/>
                <w:szCs w:val="14"/>
                <w:color w:val="auto"/>
              </w:rPr>
              <w:t>Reason</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Cause</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60"/>
              <w:spacing w:after="0" w:line="176" w:lineRule="exact"/>
              <w:rPr>
                <w:sz w:val="20"/>
                <w:szCs w:val="20"/>
                <w:color w:val="auto"/>
              </w:rPr>
            </w:pPr>
            <w:r>
              <w:rPr>
                <w:rFonts w:ascii="Arial" w:cs="Arial" w:eastAsia="Arial" w:hAnsi="Arial"/>
                <w:sz w:val="13"/>
                <w:szCs w:val="13"/>
                <w:color w:val="auto"/>
              </w:rPr>
              <w:t>Control</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196"/>
        </w:trPr>
        <w:tc>
          <w:tcPr>
            <w:tcW w:w="6500" w:type="dxa"/>
            <w:vAlign w:val="bottom"/>
            <w:gridSpan w:val="4"/>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280" w:type="dxa"/>
            <w:vAlign w:val="bottom"/>
            <w:gridSpan w:val="2"/>
            <w:shd w:val="clear" w:color="auto" w:fill="D2DEEE"/>
          </w:tcPr>
          <w:p>
            <w:pPr>
              <w:ind w:left="16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2DEEE"/>
          </w:tcPr>
          <w:p>
            <w:pPr>
              <w:jc w:val="right"/>
              <w:ind w:right="612"/>
              <w:spacing w:after="0" w:line="196" w:lineRule="exact"/>
              <w:rPr>
                <w:sz w:val="20"/>
                <w:szCs w:val="20"/>
                <w:color w:val="auto"/>
              </w:rPr>
            </w:pPr>
            <w:r>
              <w:rPr>
                <w:rFonts w:ascii="Arial" w:cs="Arial" w:eastAsia="Arial" w:hAnsi="Arial"/>
                <w:sz w:val="18"/>
                <w:szCs w:val="18"/>
                <w:color w:val="auto"/>
              </w:rPr>
              <w:t>-</w:t>
            </w:r>
          </w:p>
        </w:tc>
        <w:tc>
          <w:tcPr>
            <w:tcW w:w="1980" w:type="dxa"/>
            <w:vAlign w:val="bottom"/>
            <w:shd w:val="clear" w:color="auto" w:fill="D2DEEE"/>
          </w:tcPr>
          <w:p>
            <w:pPr>
              <w:jc w:val="right"/>
              <w:ind w:right="560"/>
              <w:spacing w:after="0" w:line="196" w:lineRule="exact"/>
              <w:rPr>
                <w:sz w:val="20"/>
                <w:szCs w:val="20"/>
                <w:color w:val="auto"/>
              </w:rPr>
            </w:pPr>
            <w:r>
              <w:rPr>
                <w:rFonts w:ascii="Arial" w:cs="Arial" w:eastAsia="Arial" w:hAnsi="Arial"/>
                <w:sz w:val="18"/>
                <w:szCs w:val="18"/>
                <w:color w:val="auto"/>
              </w:rPr>
              <w:t>$ 767,000</w:t>
            </w:r>
          </w:p>
        </w:tc>
        <w:tc>
          <w:tcPr>
            <w:tcW w:w="50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767,000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4"/>
          </w:tcPr>
          <w:p>
            <w:pPr>
              <w:spacing w:after="0" w:line="203"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2012</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16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1260" w:type="dxa"/>
            <w:vAlign w:val="bottom"/>
            <w:gridSpan w:val="2"/>
            <w:shd w:val="clear" w:color="auto" w:fill="D2DEEE"/>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D2DEEE"/>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D2DEEE"/>
          </w:tcPr>
          <w:p>
            <w:pPr>
              <w:spacing w:after="0"/>
              <w:rPr>
                <w:sz w:val="17"/>
                <w:szCs w:val="17"/>
                <w:color w:val="auto"/>
              </w:rPr>
            </w:pPr>
          </w:p>
        </w:tc>
        <w:tc>
          <w:tcPr>
            <w:tcW w:w="8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627,300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822,600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16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1260" w:type="dxa"/>
            <w:vAlign w:val="bottom"/>
            <w:gridSpan w:val="2"/>
            <w:shd w:val="clear" w:color="auto" w:fill="D2DEEE"/>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D2DEEE"/>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D2DEEE"/>
          </w:tcPr>
          <w:p>
            <w:pPr>
              <w:spacing w:after="0"/>
              <w:rPr>
                <w:sz w:val="17"/>
                <w:szCs w:val="17"/>
                <w:color w:val="auto"/>
              </w:rPr>
            </w:pPr>
          </w:p>
        </w:tc>
        <w:tc>
          <w:tcPr>
            <w:tcW w:w="8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464,700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1,563,500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2"/>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Grants</w:t>
            </w:r>
          </w:p>
        </w:tc>
        <w:tc>
          <w:tcPr>
            <w:tcW w:w="16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1260" w:type="dxa"/>
            <w:vAlign w:val="bottom"/>
            <w:gridSpan w:val="2"/>
            <w:shd w:val="clear" w:color="auto" w:fill="D2DEEE"/>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D2DEEE"/>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D2DEEE"/>
          </w:tcPr>
          <w:p>
            <w:pPr>
              <w:spacing w:after="0"/>
              <w:rPr>
                <w:sz w:val="17"/>
                <w:szCs w:val="17"/>
                <w:color w:val="auto"/>
              </w:rPr>
            </w:pPr>
          </w:p>
        </w:tc>
        <w:tc>
          <w:tcPr>
            <w:tcW w:w="8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w w:val="97"/>
              </w:rPr>
              <w:t>3,127,000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4"/>
          </w:tcPr>
          <w:p>
            <w:pPr>
              <w:spacing w:after="0" w:line="202" w:lineRule="exact"/>
              <w:rPr>
                <w:sz w:val="20"/>
                <w:szCs w:val="20"/>
                <w:color w:val="auto"/>
              </w:rPr>
            </w:pPr>
            <w:r>
              <w:rPr>
                <w:rFonts w:ascii="Arial" w:cs="Arial" w:eastAsia="Arial" w:hAnsi="Arial"/>
                <w:sz w:val="18"/>
                <w:szCs w:val="18"/>
                <w:color w:val="auto"/>
              </w:rPr>
              <w:t>Continued Medical Benefits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560"/>
              <w:spacing w:after="0" w:line="202" w:lineRule="exact"/>
              <w:rPr>
                <w:sz w:val="20"/>
                <w:szCs w:val="20"/>
                <w:color w:val="auto"/>
              </w:rPr>
            </w:pPr>
            <w:r>
              <w:rPr>
                <w:rFonts w:ascii="Arial" w:cs="Arial" w:eastAsia="Arial" w:hAnsi="Arial"/>
                <w:sz w:val="18"/>
                <w:szCs w:val="18"/>
                <w:color w:val="auto"/>
              </w:rPr>
              <w:t>18,528</w:t>
            </w:r>
          </w:p>
        </w:tc>
        <w:tc>
          <w:tcPr>
            <w:tcW w:w="5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18,528</w:t>
            </w:r>
          </w:p>
        </w:tc>
        <w:tc>
          <w:tcPr>
            <w:tcW w:w="0" w:type="dxa"/>
            <w:vAlign w:val="bottom"/>
          </w:tcPr>
          <w:p>
            <w:pPr>
              <w:spacing w:after="0"/>
              <w:rPr>
                <w:sz w:val="1"/>
                <w:szCs w:val="1"/>
                <w:color w:val="auto"/>
              </w:rPr>
            </w:pPr>
          </w:p>
        </w:tc>
      </w:tr>
      <w:tr>
        <w:trPr>
          <w:trHeight w:val="196"/>
        </w:trPr>
        <w:tc>
          <w:tcPr>
            <w:tcW w:w="860" w:type="dxa"/>
            <w:vAlign w:val="bottom"/>
            <w:tcBorders>
              <w:top w:val="single" w:sz="8" w:color="D2DEEE"/>
              <w:bottom w:val="single" w:sz="8" w:color="auto"/>
            </w:tcBorders>
            <w:gridSpan w:val="2"/>
            <w:shd w:val="clear" w:color="auto" w:fill="D2DEEE"/>
          </w:tcPr>
          <w:p>
            <w:pPr>
              <w:spacing w:after="0" w:line="196" w:lineRule="exact"/>
              <w:rPr>
                <w:sz w:val="20"/>
                <w:szCs w:val="20"/>
                <w:color w:val="auto"/>
              </w:rPr>
            </w:pPr>
            <w:r>
              <w:rPr>
                <w:rFonts w:ascii="Arial" w:cs="Arial" w:eastAsia="Arial" w:hAnsi="Arial"/>
                <w:sz w:val="18"/>
                <w:szCs w:val="18"/>
                <w:color w:val="auto"/>
              </w:rPr>
              <w:t>Total</w:t>
            </w:r>
          </w:p>
        </w:tc>
        <w:tc>
          <w:tcPr>
            <w:tcW w:w="5180" w:type="dxa"/>
            <w:vAlign w:val="bottom"/>
            <w:tcBorders>
              <w:top w:val="single" w:sz="8" w:color="D2DEEE"/>
              <w:bottom w:val="single" w:sz="8" w:color="auto"/>
            </w:tcBorders>
            <w:shd w:val="clear" w:color="auto" w:fill="D2DEEE"/>
          </w:tcPr>
          <w:p>
            <w:pPr>
              <w:spacing w:after="0"/>
              <w:rPr>
                <w:sz w:val="17"/>
                <w:szCs w:val="17"/>
                <w:color w:val="auto"/>
              </w:rPr>
            </w:pPr>
          </w:p>
        </w:tc>
        <w:tc>
          <w:tcPr>
            <w:tcW w:w="460" w:type="dxa"/>
            <w:vAlign w:val="bottom"/>
            <w:tcBorders>
              <w:top w:val="single" w:sz="8" w:color="auto"/>
              <w:bottom w:val="single" w:sz="8" w:color="auto"/>
            </w:tcBorders>
            <w:shd w:val="clear" w:color="auto" w:fill="D2DEEE"/>
          </w:tcPr>
          <w:p>
            <w:pPr>
              <w:spacing w:after="0"/>
              <w:rPr>
                <w:sz w:val="17"/>
                <w:szCs w:val="17"/>
                <w:color w:val="auto"/>
              </w:rPr>
            </w:pPr>
          </w:p>
        </w:tc>
        <w:tc>
          <w:tcPr>
            <w:tcW w:w="280" w:type="dxa"/>
            <w:vAlign w:val="bottom"/>
            <w:tcBorders>
              <w:top w:val="single" w:sz="8" w:color="auto"/>
              <w:bottom w:val="single" w:sz="8" w:color="auto"/>
            </w:tcBorders>
            <w:gridSpan w:val="2"/>
            <w:shd w:val="clear" w:color="auto" w:fill="D2DEEE"/>
          </w:tcPr>
          <w:p>
            <w:pPr>
              <w:ind w:left="16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shd w:val="clear" w:color="auto" w:fill="D2DEEE"/>
          </w:tcPr>
          <w:p>
            <w:pPr>
              <w:jc w:val="right"/>
              <w:ind w:right="612"/>
              <w:spacing w:after="0" w:line="196" w:lineRule="exact"/>
              <w:rPr>
                <w:sz w:val="20"/>
                <w:szCs w:val="20"/>
                <w:color w:val="auto"/>
              </w:rPr>
            </w:pPr>
            <w:r>
              <w:rPr>
                <w:rFonts w:ascii="Arial" w:cs="Arial" w:eastAsia="Arial" w:hAnsi="Arial"/>
                <w:sz w:val="18"/>
                <w:szCs w:val="18"/>
                <w:color w:val="auto"/>
              </w:rPr>
              <w:t>-</w:t>
            </w:r>
          </w:p>
        </w:tc>
        <w:tc>
          <w:tcPr>
            <w:tcW w:w="1980" w:type="dxa"/>
            <w:vAlign w:val="bottom"/>
            <w:tcBorders>
              <w:top w:val="single" w:sz="8" w:color="auto"/>
              <w:bottom w:val="single" w:sz="8" w:color="auto"/>
            </w:tcBorders>
            <w:shd w:val="clear" w:color="auto" w:fill="D2DEEE"/>
          </w:tcPr>
          <w:p>
            <w:pPr>
              <w:jc w:val="right"/>
              <w:ind w:right="560"/>
              <w:spacing w:after="0" w:line="196" w:lineRule="exact"/>
              <w:rPr>
                <w:sz w:val="20"/>
                <w:szCs w:val="20"/>
                <w:color w:val="auto"/>
              </w:rPr>
            </w:pPr>
            <w:r>
              <w:rPr>
                <w:rFonts w:ascii="Arial" w:cs="Arial" w:eastAsia="Arial" w:hAnsi="Arial"/>
                <w:sz w:val="18"/>
                <w:szCs w:val="18"/>
                <w:color w:val="auto"/>
              </w:rPr>
              <w:t>$ 785,528</w:t>
            </w:r>
          </w:p>
        </w:tc>
        <w:tc>
          <w:tcPr>
            <w:tcW w:w="1300" w:type="dxa"/>
            <w:vAlign w:val="bottom"/>
            <w:tcBorders>
              <w:top w:val="single" w:sz="8" w:color="auto"/>
              <w:bottom w:val="single" w:sz="8" w:color="auto"/>
            </w:tcBorders>
            <w:gridSpan w:val="2"/>
            <w:shd w:val="clear" w:color="auto" w:fill="D2DEEE"/>
          </w:tcPr>
          <w:p>
            <w:pPr>
              <w:jc w:val="right"/>
              <w:spacing w:after="0" w:line="196" w:lineRule="exact"/>
              <w:rPr>
                <w:sz w:val="20"/>
                <w:szCs w:val="20"/>
                <w:color w:val="auto"/>
              </w:rPr>
            </w:pPr>
            <w:r>
              <w:rPr>
                <w:rFonts w:ascii="Arial" w:cs="Arial" w:eastAsia="Arial" w:hAnsi="Arial"/>
                <w:sz w:val="18"/>
                <w:szCs w:val="18"/>
                <w:color w:val="auto"/>
              </w:rPr>
              <w:t>$7,390,628</w:t>
            </w:r>
          </w:p>
        </w:tc>
        <w:tc>
          <w:tcPr>
            <w:tcW w:w="100" w:type="dxa"/>
            <w:vAlign w:val="bottom"/>
            <w:tcBorders>
              <w:top w:val="single" w:sz="8" w:color="auto"/>
              <w:bottom w:val="single" w:sz="8" w:color="auto"/>
            </w:tcBorders>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225CAB"/>
              </w:rPr>
              <w:t>44</w:t>
            </w:r>
          </w:p>
        </w:tc>
        <w:tc>
          <w:tcPr>
            <w:tcW w:w="540" w:type="dxa"/>
            <w:vAlign w:val="bottom"/>
          </w:tcPr>
          <w:p>
            <w:pPr>
              <w:spacing w:after="0"/>
              <w:rPr>
                <w:sz w:val="12"/>
                <w:szCs w:val="12"/>
                <w:color w:val="auto"/>
              </w:rPr>
            </w:pPr>
          </w:p>
        </w:tc>
        <w:tc>
          <w:tcPr>
            <w:tcW w:w="56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225CAB"/>
              </w:rPr>
              <w:t>Roper Technologies, Inc. 2015 Proxy Statement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320" w:type="dxa"/>
            <w:vAlign w:val="bottom"/>
            <w:vMerge w:val="continue"/>
          </w:tcPr>
          <w:p>
            <w:pPr>
              <w:spacing w:after="0"/>
              <w:rPr>
                <w:sz w:val="24"/>
                <w:szCs w:val="24"/>
                <w:color w:val="auto"/>
              </w:rPr>
            </w:pPr>
          </w:p>
        </w:tc>
        <w:tc>
          <w:tcPr>
            <w:tcW w:w="540" w:type="dxa"/>
            <w:vAlign w:val="bottom"/>
            <w:tcBorders>
              <w:left w:val="single" w:sz="8" w:color="225CAB"/>
            </w:tcBorders>
          </w:tcPr>
          <w:p>
            <w:pPr>
              <w:spacing w:after="0"/>
              <w:rPr>
                <w:sz w:val="24"/>
                <w:szCs w:val="24"/>
                <w:color w:val="auto"/>
              </w:rPr>
            </w:pPr>
          </w:p>
        </w:tc>
        <w:tc>
          <w:tcPr>
            <w:tcW w:w="5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0" w:type="dxa"/>
            <w:vAlign w:val="bottom"/>
          </w:tcPr>
          <w:p>
            <w:pPr>
              <w:spacing w:after="0"/>
              <w:rPr>
                <w:sz w:val="8"/>
                <w:szCs w:val="8"/>
                <w:color w:val="auto"/>
              </w:rPr>
            </w:pPr>
          </w:p>
        </w:tc>
        <w:tc>
          <w:tcPr>
            <w:tcW w:w="540" w:type="dxa"/>
            <w:vAlign w:val="bottom"/>
            <w:tcBorders>
              <w:left w:val="single" w:sz="8" w:color="225CAB"/>
            </w:tcBorders>
          </w:tcPr>
          <w:p>
            <w:pPr>
              <w:spacing w:after="0"/>
              <w:rPr>
                <w:sz w:val="8"/>
                <w:szCs w:val="8"/>
                <w:color w:val="auto"/>
              </w:rPr>
            </w:pPr>
          </w:p>
        </w:tc>
        <w:tc>
          <w:tcPr>
            <w:tcW w:w="5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D</w:t>
      </w:r>
      <w:r>
        <w:rPr>
          <w:rFonts w:ascii="Arial" w:cs="Arial" w:eastAsia="Arial" w:hAnsi="Arial"/>
          <w:sz w:val="14"/>
          <w:szCs w:val="14"/>
          <w:b w:val="1"/>
          <w:bCs w:val="1"/>
          <w:color w:val="225CAB"/>
        </w:rPr>
        <w:t>AVID</w:t>
      </w:r>
      <w:r>
        <w:rPr>
          <w:rFonts w:ascii="Arial" w:cs="Arial" w:eastAsia="Arial" w:hAnsi="Arial"/>
          <w:sz w:val="18"/>
          <w:szCs w:val="18"/>
          <w:b w:val="1"/>
          <w:bCs w:val="1"/>
          <w:color w:val="225CAB"/>
        </w:rPr>
        <w:t xml:space="preserve"> B. L</w:t>
      </w:r>
      <w:r>
        <w:rPr>
          <w:rFonts w:ascii="Arial" w:cs="Arial" w:eastAsia="Arial" w:hAnsi="Arial"/>
          <w:sz w:val="14"/>
          <w:szCs w:val="14"/>
          <w:b w:val="1"/>
          <w:bCs w:val="1"/>
          <w:color w:val="225CAB"/>
        </w:rPr>
        <w:t>INER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color w:val="auto"/>
              </w:rPr>
              <w:t>Termination Scenario</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8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center"/>
              <w:ind w:right="54"/>
              <w:spacing w:after="0" w:line="125" w:lineRule="exact"/>
              <w:rPr>
                <w:sz w:val="20"/>
                <w:szCs w:val="20"/>
                <w:color w:val="auto"/>
              </w:rPr>
            </w:pPr>
            <w:r>
              <w:rPr>
                <w:rFonts w:ascii="Arial" w:cs="Arial" w:eastAsia="Arial" w:hAnsi="Arial"/>
                <w:sz w:val="14"/>
                <w:szCs w:val="14"/>
                <w:color w:val="auto"/>
                <w:w w:val="96"/>
              </w:rPr>
              <w:t>By Employee</w:t>
            </w:r>
          </w:p>
        </w:tc>
        <w:tc>
          <w:tcPr>
            <w:tcW w:w="560" w:type="dxa"/>
            <w:vAlign w:val="bottom"/>
          </w:tcPr>
          <w:p>
            <w:pPr>
              <w:spacing w:after="0"/>
              <w:rPr>
                <w:sz w:val="10"/>
                <w:szCs w:val="10"/>
                <w:color w:val="auto"/>
              </w:rPr>
            </w:pPr>
          </w:p>
        </w:tc>
        <w:tc>
          <w:tcPr>
            <w:tcW w:w="1160" w:type="dxa"/>
            <w:vAlign w:val="bottom"/>
          </w:tcPr>
          <w:p>
            <w:pPr>
              <w:jc w:val="center"/>
              <w:ind w:right="257"/>
              <w:spacing w:after="0" w:line="125" w:lineRule="exact"/>
              <w:rPr>
                <w:sz w:val="20"/>
                <w:szCs w:val="20"/>
                <w:color w:val="auto"/>
              </w:rPr>
            </w:pPr>
            <w:r>
              <w:rPr>
                <w:rFonts w:ascii="Arial" w:cs="Arial" w:eastAsia="Arial" w:hAnsi="Arial"/>
                <w:sz w:val="14"/>
                <w:szCs w:val="14"/>
                <w:color w:val="auto"/>
                <w:w w:val="97"/>
              </w:rPr>
              <w:t>By Company</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8"/>
        </w:trPr>
        <w:tc>
          <w:tcPr>
            <w:tcW w:w="8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4"/>
              <w:spacing w:after="0" w:line="139" w:lineRule="exact"/>
              <w:rPr>
                <w:sz w:val="20"/>
                <w:szCs w:val="20"/>
                <w:color w:val="auto"/>
              </w:rPr>
            </w:pPr>
            <w:r>
              <w:rPr>
                <w:rFonts w:ascii="Arial" w:cs="Arial" w:eastAsia="Arial" w:hAnsi="Arial"/>
                <w:sz w:val="14"/>
                <w:szCs w:val="14"/>
                <w:color w:val="auto"/>
                <w:w w:val="97"/>
              </w:rPr>
              <w:t>For Good</w:t>
            </w:r>
          </w:p>
        </w:tc>
        <w:tc>
          <w:tcPr>
            <w:tcW w:w="560" w:type="dxa"/>
            <w:vAlign w:val="bottom"/>
          </w:tcPr>
          <w:p>
            <w:pPr>
              <w:spacing w:after="0"/>
              <w:rPr>
                <w:sz w:val="12"/>
                <w:szCs w:val="12"/>
                <w:color w:val="auto"/>
              </w:rPr>
            </w:pPr>
          </w:p>
        </w:tc>
        <w:tc>
          <w:tcPr>
            <w:tcW w:w="1160" w:type="dxa"/>
            <w:vAlign w:val="bottom"/>
          </w:tcPr>
          <w:p>
            <w:pPr>
              <w:jc w:val="center"/>
              <w:ind w:right="257"/>
              <w:spacing w:after="0" w:line="139" w:lineRule="exact"/>
              <w:rPr>
                <w:sz w:val="20"/>
                <w:szCs w:val="20"/>
                <w:color w:val="auto"/>
              </w:rPr>
            </w:pPr>
            <w:r>
              <w:rPr>
                <w:rFonts w:ascii="Arial" w:cs="Arial" w:eastAsia="Arial" w:hAnsi="Arial"/>
                <w:sz w:val="14"/>
                <w:szCs w:val="14"/>
                <w:color w:val="auto"/>
                <w:w w:val="96"/>
              </w:rPr>
              <w:t>Without</w:t>
            </w:r>
          </w:p>
        </w:tc>
        <w:tc>
          <w:tcPr>
            <w:tcW w:w="280" w:type="dxa"/>
            <w:vAlign w:val="bottom"/>
          </w:tcPr>
          <w:p>
            <w:pPr>
              <w:spacing w:after="0"/>
              <w:rPr>
                <w:sz w:val="12"/>
                <w:szCs w:val="12"/>
                <w:color w:val="auto"/>
              </w:rPr>
            </w:pPr>
          </w:p>
        </w:tc>
        <w:tc>
          <w:tcPr>
            <w:tcW w:w="1000" w:type="dxa"/>
            <w:vAlign w:val="bottom"/>
            <w:gridSpan w:val="3"/>
          </w:tcPr>
          <w:p>
            <w:pPr>
              <w:jc w:val="center"/>
              <w:ind w:right="320"/>
              <w:spacing w:after="0" w:line="139" w:lineRule="exact"/>
              <w:rPr>
                <w:sz w:val="20"/>
                <w:szCs w:val="20"/>
                <w:color w:val="auto"/>
              </w:rPr>
            </w:pPr>
            <w:r>
              <w:rPr>
                <w:rFonts w:ascii="Arial" w:cs="Arial" w:eastAsia="Arial" w:hAnsi="Arial"/>
                <w:sz w:val="14"/>
                <w:szCs w:val="14"/>
                <w:color w:val="auto"/>
                <w:w w:val="98"/>
              </w:rPr>
              <w:t>Change-in-</w:t>
            </w:r>
          </w:p>
        </w:tc>
      </w:tr>
      <w:tr>
        <w:trPr>
          <w:trHeight w:val="176"/>
        </w:trPr>
        <w:tc>
          <w:tcPr>
            <w:tcW w:w="6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5"/>
              </w:rPr>
              <w:t>Reason</w:t>
            </w: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93"/>
              </w:rPr>
              <w:t>Cause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line="176" w:lineRule="exact"/>
              <w:rPr>
                <w:sz w:val="20"/>
                <w:szCs w:val="20"/>
                <w:color w:val="auto"/>
              </w:rPr>
            </w:pPr>
            <w:r>
              <w:rPr>
                <w:rFonts w:ascii="Arial" w:cs="Arial" w:eastAsia="Arial" w:hAnsi="Arial"/>
                <w:sz w:val="13"/>
                <w:szCs w:val="13"/>
                <w:color w:val="auto"/>
                <w:w w:val="96"/>
              </w:rPr>
              <w:t>Control</w:t>
            </w:r>
            <w:r>
              <w:rPr>
                <w:rFonts w:ascii="Arial" w:cs="Arial" w:eastAsia="Arial" w:hAnsi="Arial"/>
                <w:sz w:val="20"/>
                <w:szCs w:val="20"/>
                <w:color w:val="auto"/>
                <w:w w:val="96"/>
                <w:vertAlign w:val="superscript"/>
              </w:rPr>
              <w:t>(1)</w:t>
            </w:r>
          </w:p>
        </w:tc>
      </w:tr>
      <w:tr>
        <w:trPr>
          <w:trHeight w:val="196"/>
        </w:trPr>
        <w:tc>
          <w:tcPr>
            <w:tcW w:w="6860" w:type="dxa"/>
            <w:vAlign w:val="bottom"/>
            <w:gridSpan w:val="3"/>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72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D2DEEE"/>
          </w:tcPr>
          <w:p>
            <w:pPr>
              <w:jc w:val="right"/>
              <w:ind w:right="154"/>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277"/>
              <w:spacing w:after="0" w:line="196" w:lineRule="exact"/>
              <w:rPr>
                <w:sz w:val="20"/>
                <w:szCs w:val="20"/>
                <w:color w:val="auto"/>
              </w:rPr>
            </w:pPr>
            <w:r>
              <w:rPr>
                <w:rFonts w:ascii="Arial" w:cs="Arial" w:eastAsia="Arial" w:hAnsi="Arial"/>
                <w:sz w:val="18"/>
                <w:szCs w:val="18"/>
                <w:color w:val="auto"/>
                <w:w w:val="97"/>
              </w:rPr>
              <w:t>$ 900,000</w:t>
            </w:r>
          </w:p>
        </w:tc>
        <w:tc>
          <w:tcPr>
            <w:tcW w:w="2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900,000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6860" w:type="dxa"/>
            <w:vAlign w:val="bottom"/>
            <w:gridSpan w:val="3"/>
          </w:tcPr>
          <w:p>
            <w:pPr>
              <w:spacing w:after="0" w:line="203"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2012</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7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250,920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6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329,040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7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185,880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6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312,700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7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625,400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6860" w:type="dxa"/>
            <w:vAlign w:val="bottom"/>
            <w:tcBorders>
              <w:bottom w:val="single" w:sz="8" w:color="D2DEEE"/>
            </w:tcBorders>
            <w:gridSpan w:val="3"/>
          </w:tcPr>
          <w:p>
            <w:pPr>
              <w:spacing w:after="0" w:line="202" w:lineRule="exact"/>
              <w:rPr>
                <w:sz w:val="20"/>
                <w:szCs w:val="20"/>
                <w:color w:val="auto"/>
              </w:rPr>
            </w:pPr>
            <w:r>
              <w:rPr>
                <w:rFonts w:ascii="Arial" w:cs="Arial" w:eastAsia="Arial" w:hAnsi="Arial"/>
                <w:sz w:val="18"/>
                <w:szCs w:val="18"/>
                <w:color w:val="auto"/>
              </w:rPr>
              <w:t>Continued Medical Benefits</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7"/>
              <w:spacing w:after="0" w:line="202" w:lineRule="exact"/>
              <w:rPr>
                <w:sz w:val="20"/>
                <w:szCs w:val="20"/>
                <w:color w:val="auto"/>
              </w:rPr>
            </w:pPr>
            <w:r>
              <w:rPr>
                <w:rFonts w:ascii="Arial" w:cs="Arial" w:eastAsia="Arial" w:hAnsi="Arial"/>
                <w:sz w:val="18"/>
                <w:szCs w:val="18"/>
                <w:color w:val="auto"/>
              </w:rPr>
              <w:t>13,272</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13,272</w:t>
            </w:r>
          </w:p>
        </w:tc>
        <w:tc>
          <w:tcPr>
            <w:tcW w:w="200" w:type="dxa"/>
            <w:vAlign w:val="bottom"/>
            <w:tcBorders>
              <w:bottom w:val="single" w:sz="8" w:color="auto"/>
            </w:tcBorders>
          </w:tcPr>
          <w:p>
            <w:pPr>
              <w:spacing w:after="0"/>
              <w:rPr>
                <w:sz w:val="17"/>
                <w:szCs w:val="17"/>
                <w:color w:val="auto"/>
              </w:rPr>
            </w:pPr>
          </w:p>
        </w:tc>
      </w:tr>
      <w:tr>
        <w:trPr>
          <w:trHeight w:val="196"/>
        </w:trPr>
        <w:tc>
          <w:tcPr>
            <w:tcW w:w="860" w:type="dxa"/>
            <w:vAlign w:val="bottom"/>
            <w:tcBorders>
              <w:bottom w:val="single" w:sz="8" w:color="auto"/>
            </w:tcBorders>
            <w:shd w:val="clear" w:color="auto" w:fill="D2DEEE"/>
          </w:tcPr>
          <w:p>
            <w:pPr>
              <w:spacing w:after="0" w:line="196" w:lineRule="exact"/>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shd w:val="clear" w:color="auto" w:fill="D2DEEE"/>
          </w:tcPr>
          <w:p>
            <w:pPr>
              <w:spacing w:after="0"/>
              <w:rPr>
                <w:sz w:val="17"/>
                <w:szCs w:val="17"/>
                <w:color w:val="auto"/>
              </w:rPr>
            </w:pPr>
          </w:p>
        </w:tc>
        <w:tc>
          <w:tcPr>
            <w:tcW w:w="420" w:type="dxa"/>
            <w:vAlign w:val="bottom"/>
            <w:tcBorders>
              <w:bottom w:val="single" w:sz="8" w:color="auto"/>
            </w:tcBorders>
            <w:shd w:val="clear" w:color="auto" w:fill="D2DEEE"/>
          </w:tcPr>
          <w:p>
            <w:pPr>
              <w:spacing w:after="0"/>
              <w:rPr>
                <w:sz w:val="17"/>
                <w:szCs w:val="17"/>
                <w:color w:val="auto"/>
              </w:rPr>
            </w:pPr>
          </w:p>
        </w:tc>
        <w:tc>
          <w:tcPr>
            <w:tcW w:w="720" w:type="dxa"/>
            <w:vAlign w:val="bottom"/>
            <w:tcBorders>
              <w:bottom w:val="single" w:sz="8" w:color="auto"/>
            </w:tcBorders>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2DEEE"/>
          </w:tcPr>
          <w:p>
            <w:pPr>
              <w:jc w:val="right"/>
              <w:ind w:right="154"/>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D2DEEE"/>
          </w:tcPr>
          <w:p>
            <w:pPr>
              <w:spacing w:after="0"/>
              <w:rPr>
                <w:sz w:val="17"/>
                <w:szCs w:val="17"/>
                <w:color w:val="auto"/>
              </w:rPr>
            </w:pPr>
          </w:p>
        </w:tc>
        <w:tc>
          <w:tcPr>
            <w:tcW w:w="1160" w:type="dxa"/>
            <w:vAlign w:val="bottom"/>
            <w:tcBorders>
              <w:bottom w:val="single" w:sz="8" w:color="auto"/>
            </w:tcBorders>
            <w:shd w:val="clear" w:color="auto" w:fill="D2DEEE"/>
          </w:tcPr>
          <w:p>
            <w:pPr>
              <w:jc w:val="right"/>
              <w:ind w:right="277"/>
              <w:spacing w:after="0" w:line="196" w:lineRule="exact"/>
              <w:rPr>
                <w:sz w:val="20"/>
                <w:szCs w:val="20"/>
                <w:color w:val="auto"/>
              </w:rPr>
            </w:pPr>
            <w:r>
              <w:rPr>
                <w:rFonts w:ascii="Arial" w:cs="Arial" w:eastAsia="Arial" w:hAnsi="Arial"/>
                <w:sz w:val="18"/>
                <w:szCs w:val="18"/>
                <w:color w:val="auto"/>
                <w:w w:val="97"/>
              </w:rPr>
              <w:t>$ 913,272</w:t>
            </w:r>
          </w:p>
        </w:tc>
        <w:tc>
          <w:tcPr>
            <w:tcW w:w="280" w:type="dxa"/>
            <w:vAlign w:val="bottom"/>
            <w:tcBorders>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w w:val="94"/>
              </w:rPr>
              <w:t>2,617,212</w:t>
            </w:r>
          </w:p>
        </w:tc>
        <w:tc>
          <w:tcPr>
            <w:tcW w:w="20" w:type="dxa"/>
            <w:vAlign w:val="bottom"/>
            <w:tcBorders>
              <w:bottom w:val="single" w:sz="8" w:color="auto"/>
            </w:tcBorders>
            <w:shd w:val="clear" w:color="auto" w:fill="D2DEEE"/>
          </w:tcPr>
          <w:p>
            <w:pPr>
              <w:spacing w:after="0"/>
              <w:rPr>
                <w:sz w:val="17"/>
                <w:szCs w:val="17"/>
                <w:color w:val="auto"/>
              </w:rPr>
            </w:pPr>
          </w:p>
        </w:tc>
        <w:tc>
          <w:tcPr>
            <w:tcW w:w="200" w:type="dxa"/>
            <w:vAlign w:val="bottom"/>
            <w:tcBorders>
              <w:bottom w:val="single" w:sz="8" w:color="auto"/>
            </w:tcBorders>
            <w:shd w:val="clear" w:color="auto" w:fill="D2DEEE"/>
          </w:tcPr>
          <w:p>
            <w:pPr>
              <w:spacing w:after="0"/>
              <w:rPr>
                <w:sz w:val="17"/>
                <w:szCs w:val="17"/>
                <w:color w:val="auto"/>
              </w:rPr>
            </w:pPr>
          </w:p>
        </w:tc>
      </w:tr>
      <w:tr>
        <w:trPr>
          <w:trHeight w:val="463"/>
        </w:trPr>
        <w:tc>
          <w:tcPr>
            <w:tcW w:w="6860" w:type="dxa"/>
            <w:vAlign w:val="bottom"/>
            <w:gridSpan w:val="3"/>
          </w:tcPr>
          <w:p>
            <w:pPr>
              <w:spacing w:after="0"/>
              <w:rPr>
                <w:sz w:val="20"/>
                <w:szCs w:val="20"/>
                <w:color w:val="auto"/>
              </w:rPr>
            </w:pPr>
            <w:r>
              <w:rPr>
                <w:rFonts w:ascii="Arial" w:cs="Arial" w:eastAsia="Arial" w:hAnsi="Arial"/>
                <w:sz w:val="18"/>
                <w:szCs w:val="18"/>
                <w:b w:val="1"/>
                <w:bCs w:val="1"/>
                <w:color w:val="225CAB"/>
              </w:rPr>
              <w:t>P</w:t>
            </w:r>
            <w:r>
              <w:rPr>
                <w:rFonts w:ascii="Arial" w:cs="Arial" w:eastAsia="Arial" w:hAnsi="Arial"/>
                <w:sz w:val="14"/>
                <w:szCs w:val="14"/>
                <w:b w:val="1"/>
                <w:bCs w:val="1"/>
                <w:color w:val="225CAB"/>
              </w:rPr>
              <w:t>AUL</w:t>
            </w:r>
            <w:r>
              <w:rPr>
                <w:rFonts w:ascii="Arial" w:cs="Arial" w:eastAsia="Arial" w:hAnsi="Arial"/>
                <w:sz w:val="18"/>
                <w:szCs w:val="18"/>
                <w:b w:val="1"/>
                <w:bCs w:val="1"/>
                <w:color w:val="225CAB"/>
              </w:rPr>
              <w:t xml:space="preserve"> J. S</w:t>
            </w:r>
            <w:r>
              <w:rPr>
                <w:rFonts w:ascii="Arial" w:cs="Arial" w:eastAsia="Arial" w:hAnsi="Arial"/>
                <w:sz w:val="14"/>
                <w:szCs w:val="14"/>
                <w:b w:val="1"/>
                <w:bCs w:val="1"/>
                <w:color w:val="225CAB"/>
              </w:rPr>
              <w:t>ONI</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6"/>
        </w:trPr>
        <w:tc>
          <w:tcPr>
            <w:tcW w:w="8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4"/>
                <w:szCs w:val="14"/>
                <w:color w:val="auto"/>
              </w:rPr>
              <w:t>Termination Scenario</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25"/>
        </w:trPr>
        <w:tc>
          <w:tcPr>
            <w:tcW w:w="8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3"/>
          </w:tcPr>
          <w:p>
            <w:pPr>
              <w:spacing w:after="0" w:line="125" w:lineRule="exact"/>
              <w:rPr>
                <w:sz w:val="20"/>
                <w:szCs w:val="20"/>
                <w:color w:val="auto"/>
              </w:rPr>
            </w:pPr>
            <w:r>
              <w:rPr>
                <w:rFonts w:ascii="Arial" w:cs="Arial" w:eastAsia="Arial" w:hAnsi="Arial"/>
                <w:sz w:val="14"/>
                <w:szCs w:val="14"/>
                <w:color w:val="auto"/>
              </w:rPr>
              <w:t>By Employee</w:t>
            </w:r>
          </w:p>
        </w:tc>
        <w:tc>
          <w:tcPr>
            <w:tcW w:w="1720" w:type="dxa"/>
            <w:vAlign w:val="bottom"/>
            <w:gridSpan w:val="2"/>
          </w:tcPr>
          <w:p>
            <w:pPr>
              <w:ind w:left="440"/>
              <w:spacing w:after="0" w:line="125" w:lineRule="exact"/>
              <w:rPr>
                <w:sz w:val="20"/>
                <w:szCs w:val="20"/>
                <w:color w:val="auto"/>
              </w:rPr>
            </w:pPr>
            <w:r>
              <w:rPr>
                <w:rFonts w:ascii="Arial" w:cs="Arial" w:eastAsia="Arial" w:hAnsi="Arial"/>
                <w:sz w:val="14"/>
                <w:szCs w:val="14"/>
                <w:color w:val="auto"/>
              </w:rPr>
              <w:t>By Company</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8"/>
        </w:trPr>
        <w:tc>
          <w:tcPr>
            <w:tcW w:w="8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454"/>
              <w:spacing w:after="0" w:line="139" w:lineRule="exact"/>
              <w:rPr>
                <w:sz w:val="20"/>
                <w:szCs w:val="20"/>
                <w:color w:val="auto"/>
              </w:rPr>
            </w:pPr>
            <w:r>
              <w:rPr>
                <w:rFonts w:ascii="Arial" w:cs="Arial" w:eastAsia="Arial" w:hAnsi="Arial"/>
                <w:sz w:val="14"/>
                <w:szCs w:val="14"/>
                <w:color w:val="auto"/>
              </w:rPr>
              <w:t>For Good</w:t>
            </w:r>
          </w:p>
        </w:tc>
        <w:tc>
          <w:tcPr>
            <w:tcW w:w="560" w:type="dxa"/>
            <w:vAlign w:val="bottom"/>
          </w:tcPr>
          <w:p>
            <w:pPr>
              <w:spacing w:after="0"/>
              <w:rPr>
                <w:sz w:val="12"/>
                <w:szCs w:val="12"/>
                <w:color w:val="auto"/>
              </w:rPr>
            </w:pPr>
          </w:p>
        </w:tc>
        <w:tc>
          <w:tcPr>
            <w:tcW w:w="1160" w:type="dxa"/>
            <w:vAlign w:val="bottom"/>
          </w:tcPr>
          <w:p>
            <w:pPr>
              <w:jc w:val="right"/>
              <w:ind w:right="577"/>
              <w:spacing w:after="0" w:line="139" w:lineRule="exact"/>
              <w:rPr>
                <w:sz w:val="20"/>
                <w:szCs w:val="20"/>
                <w:color w:val="auto"/>
              </w:rPr>
            </w:pPr>
            <w:r>
              <w:rPr>
                <w:rFonts w:ascii="Arial" w:cs="Arial" w:eastAsia="Arial" w:hAnsi="Arial"/>
                <w:sz w:val="14"/>
                <w:szCs w:val="14"/>
                <w:color w:val="auto"/>
              </w:rPr>
              <w:t>Without</w:t>
            </w:r>
          </w:p>
        </w:tc>
        <w:tc>
          <w:tcPr>
            <w:tcW w:w="280" w:type="dxa"/>
            <w:vAlign w:val="bottom"/>
          </w:tcPr>
          <w:p>
            <w:pPr>
              <w:spacing w:after="0"/>
              <w:rPr>
                <w:sz w:val="12"/>
                <w:szCs w:val="12"/>
                <w:color w:val="auto"/>
              </w:rPr>
            </w:pPr>
          </w:p>
        </w:tc>
        <w:tc>
          <w:tcPr>
            <w:tcW w:w="1000" w:type="dxa"/>
            <w:vAlign w:val="bottom"/>
            <w:gridSpan w:val="3"/>
          </w:tcPr>
          <w:p>
            <w:pPr>
              <w:jc w:val="center"/>
              <w:ind w:right="300"/>
              <w:spacing w:after="0" w:line="139" w:lineRule="exact"/>
              <w:rPr>
                <w:sz w:val="20"/>
                <w:szCs w:val="20"/>
                <w:color w:val="auto"/>
              </w:rPr>
            </w:pPr>
            <w:r>
              <w:rPr>
                <w:rFonts w:ascii="Arial" w:cs="Arial" w:eastAsia="Arial" w:hAnsi="Arial"/>
                <w:sz w:val="14"/>
                <w:szCs w:val="14"/>
                <w:color w:val="auto"/>
                <w:w w:val="95"/>
              </w:rPr>
              <w:t>Change-in-</w:t>
            </w:r>
          </w:p>
        </w:tc>
      </w:tr>
      <w:tr>
        <w:trPr>
          <w:trHeight w:val="176"/>
        </w:trPr>
        <w:tc>
          <w:tcPr>
            <w:tcW w:w="6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Reason</w:t>
            </w: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Cause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00"/>
              <w:spacing w:after="0" w:line="176" w:lineRule="exact"/>
              <w:rPr>
                <w:sz w:val="20"/>
                <w:szCs w:val="20"/>
                <w:color w:val="auto"/>
              </w:rPr>
            </w:pPr>
            <w:r>
              <w:rPr>
                <w:rFonts w:ascii="Arial" w:cs="Arial" w:eastAsia="Arial" w:hAnsi="Arial"/>
                <w:sz w:val="13"/>
                <w:szCs w:val="13"/>
                <w:color w:val="auto"/>
                <w:w w:val="99"/>
              </w:rPr>
              <w:t>Control</w:t>
            </w:r>
            <w:r>
              <w:rPr>
                <w:rFonts w:ascii="Arial" w:cs="Arial" w:eastAsia="Arial" w:hAnsi="Arial"/>
                <w:sz w:val="20"/>
                <w:szCs w:val="20"/>
                <w:color w:val="auto"/>
                <w:w w:val="99"/>
                <w:vertAlign w:val="superscript"/>
              </w:rPr>
              <w:t>(1)</w:t>
            </w:r>
          </w:p>
        </w:tc>
      </w:tr>
      <w:tr>
        <w:trPr>
          <w:trHeight w:val="196"/>
        </w:trPr>
        <w:tc>
          <w:tcPr>
            <w:tcW w:w="6860" w:type="dxa"/>
            <w:vAlign w:val="bottom"/>
            <w:gridSpan w:val="3"/>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620" w:type="dxa"/>
            <w:vAlign w:val="bottom"/>
            <w:gridSpan w:val="2"/>
            <w:shd w:val="clear" w:color="auto" w:fill="D2DEEE"/>
          </w:tcPr>
          <w:p>
            <w:pPr>
              <w:ind w:left="3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ind w:left="44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D2DEEE"/>
          </w:tcPr>
          <w:p>
            <w:pPr>
              <w:jc w:val="right"/>
              <w:ind w:right="517"/>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6860" w:type="dxa"/>
            <w:vAlign w:val="bottom"/>
            <w:gridSpan w:val="3"/>
          </w:tcPr>
          <w:p>
            <w:pPr>
              <w:spacing w:after="0" w:line="203"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2012</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100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250,920</w:t>
            </w: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116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329,040</w:t>
            </w: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100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185,880</w:t>
            </w: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116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312,700</w:t>
            </w: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100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625,400</w:t>
            </w:r>
          </w:p>
        </w:tc>
      </w:tr>
      <w:tr>
        <w:trPr>
          <w:trHeight w:val="203"/>
        </w:trPr>
        <w:tc>
          <w:tcPr>
            <w:tcW w:w="6860" w:type="dxa"/>
            <w:vAlign w:val="bottom"/>
            <w:gridSpan w:val="3"/>
          </w:tcPr>
          <w:p>
            <w:pPr>
              <w:spacing w:after="0" w:line="202" w:lineRule="exact"/>
              <w:rPr>
                <w:sz w:val="20"/>
                <w:szCs w:val="20"/>
                <w:color w:val="auto"/>
              </w:rPr>
            </w:pPr>
            <w:r>
              <w:rPr>
                <w:rFonts w:ascii="Arial" w:cs="Arial" w:eastAsia="Arial" w:hAnsi="Arial"/>
                <w:sz w:val="18"/>
                <w:szCs w:val="18"/>
                <w:color w:val="auto"/>
              </w:rPr>
              <w:t>Continued Medical Benefits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116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860" w:type="dxa"/>
            <w:vAlign w:val="bottom"/>
            <w:tcBorders>
              <w:top w:val="single" w:sz="8" w:color="D2DEEE"/>
            </w:tcBorders>
            <w:shd w:val="clear" w:color="auto" w:fill="D2DEEE"/>
          </w:tcPr>
          <w:p>
            <w:pPr>
              <w:spacing w:after="0" w:line="196" w:lineRule="exact"/>
              <w:rPr>
                <w:sz w:val="20"/>
                <w:szCs w:val="20"/>
                <w:color w:val="auto"/>
              </w:rPr>
            </w:pPr>
            <w:r>
              <w:rPr>
                <w:rFonts w:ascii="Arial" w:cs="Arial" w:eastAsia="Arial" w:hAnsi="Arial"/>
                <w:sz w:val="18"/>
                <w:szCs w:val="18"/>
                <w:color w:val="auto"/>
              </w:rPr>
              <w:t>Total</w:t>
            </w:r>
          </w:p>
        </w:tc>
        <w:tc>
          <w:tcPr>
            <w:tcW w:w="5580" w:type="dxa"/>
            <w:vAlign w:val="bottom"/>
            <w:tcBorders>
              <w:top w:val="single" w:sz="8" w:color="D2DEEE"/>
            </w:tcBorders>
            <w:shd w:val="clear" w:color="auto" w:fill="D2DEEE"/>
          </w:tcPr>
          <w:p>
            <w:pPr>
              <w:spacing w:after="0"/>
              <w:rPr>
                <w:sz w:val="17"/>
                <w:szCs w:val="17"/>
                <w:color w:val="auto"/>
              </w:rPr>
            </w:pPr>
          </w:p>
        </w:tc>
        <w:tc>
          <w:tcPr>
            <w:tcW w:w="420" w:type="dxa"/>
            <w:vAlign w:val="bottom"/>
            <w:tcBorders>
              <w:top w:val="single" w:sz="8" w:color="auto"/>
            </w:tcBorders>
            <w:shd w:val="clear" w:color="auto" w:fill="D2DEEE"/>
          </w:tcPr>
          <w:p>
            <w:pPr>
              <w:spacing w:after="0"/>
              <w:rPr>
                <w:sz w:val="17"/>
                <w:szCs w:val="17"/>
                <w:color w:val="auto"/>
              </w:rPr>
            </w:pPr>
          </w:p>
        </w:tc>
        <w:tc>
          <w:tcPr>
            <w:tcW w:w="620" w:type="dxa"/>
            <w:vAlign w:val="bottom"/>
            <w:tcBorders>
              <w:top w:val="single" w:sz="8" w:color="auto"/>
            </w:tcBorders>
            <w:gridSpan w:val="2"/>
            <w:shd w:val="clear" w:color="auto" w:fill="D2DEEE"/>
          </w:tcPr>
          <w:p>
            <w:pPr>
              <w:ind w:left="34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D2DEEE"/>
          </w:tcPr>
          <w:p>
            <w:pPr>
              <w:spacing w:after="0"/>
              <w:rPr>
                <w:sz w:val="17"/>
                <w:szCs w:val="17"/>
                <w:color w:val="auto"/>
              </w:rPr>
            </w:pPr>
          </w:p>
        </w:tc>
        <w:tc>
          <w:tcPr>
            <w:tcW w:w="840" w:type="dxa"/>
            <w:vAlign w:val="bottom"/>
            <w:tcBorders>
              <w:top w:val="single" w:sz="8" w:color="auto"/>
            </w:tcBorders>
            <w:shd w:val="clear" w:color="auto" w:fill="D2DEEE"/>
          </w:tcPr>
          <w:p>
            <w:pPr>
              <w:jc w:val="center"/>
              <w:ind w:right="174"/>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D2DEEE"/>
          </w:tcPr>
          <w:p>
            <w:pPr>
              <w:ind w:left="44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2DEEE"/>
          </w:tcPr>
          <w:p>
            <w:pPr>
              <w:jc w:val="right"/>
              <w:ind w:right="517"/>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D2DEEE"/>
          </w:tcPr>
          <w:p>
            <w:pPr>
              <w:jc w:val="right"/>
              <w:ind w:right="200"/>
              <w:spacing w:after="0" w:line="196" w:lineRule="exact"/>
              <w:rPr>
                <w:sz w:val="20"/>
                <w:szCs w:val="20"/>
                <w:color w:val="auto"/>
              </w:rPr>
            </w:pPr>
            <w:r>
              <w:rPr>
                <w:rFonts w:ascii="Arial" w:cs="Arial" w:eastAsia="Arial" w:hAnsi="Arial"/>
                <w:sz w:val="18"/>
                <w:szCs w:val="18"/>
                <w:color w:val="auto"/>
                <w:w w:val="97"/>
              </w:rPr>
              <w:t>1,703,940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193" w:lineRule="auto"/>
        <w:tabs>
          <w:tab w:leader="none" w:pos="340" w:val="left"/>
        </w:tabs>
        <w:numPr>
          <w:ilvl w:val="0"/>
          <w:numId w:val="94"/>
        </w:numPr>
        <w:rPr>
          <w:rFonts w:ascii="Arial" w:cs="Arial" w:eastAsia="Arial" w:hAnsi="Arial"/>
          <w:sz w:val="22"/>
          <w:szCs w:val="22"/>
          <w:color w:val="auto"/>
          <w:vertAlign w:val="superscript"/>
        </w:rPr>
      </w:pPr>
      <w:r>
        <w:rPr>
          <w:rFonts w:ascii="Arial" w:cs="Arial" w:eastAsia="Arial" w:hAnsi="Arial"/>
          <w:sz w:val="14"/>
          <w:szCs w:val="14"/>
          <w:color w:val="auto"/>
        </w:rPr>
        <w:t>Assumes employment is terminated involuntarily without cause, or also with respect to Mr. Jellison, he resigns for good reason.</w:t>
      </w:r>
    </w:p>
    <w:p>
      <w:pPr>
        <w:spacing w:after="0" w:line="66"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94"/>
        </w:numPr>
        <w:rPr>
          <w:rFonts w:ascii="Arial" w:cs="Arial" w:eastAsia="Arial" w:hAnsi="Arial"/>
          <w:sz w:val="19"/>
          <w:szCs w:val="19"/>
          <w:color w:val="auto"/>
          <w:vertAlign w:val="superscript"/>
        </w:rPr>
      </w:pPr>
      <w:r>
        <w:rPr>
          <w:rFonts w:ascii="Arial" w:cs="Arial" w:eastAsia="Arial" w:hAnsi="Arial"/>
          <w:sz w:val="12"/>
          <w:szCs w:val="12"/>
          <w:color w:val="auto"/>
        </w:rPr>
        <w:t>Based on $156.35 closing price as of December 31, 2014.</w:t>
      </w:r>
    </w:p>
    <w:p>
      <w:pPr>
        <w:spacing w:after="0" w:line="65" w:lineRule="exact"/>
        <w:rPr>
          <w:rFonts w:ascii="Arial" w:cs="Arial" w:eastAsia="Arial" w:hAnsi="Arial"/>
          <w:sz w:val="19"/>
          <w:szCs w:val="19"/>
          <w:color w:val="auto"/>
          <w:vertAlign w:val="superscript"/>
        </w:rPr>
      </w:pPr>
    </w:p>
    <w:p>
      <w:pPr>
        <w:ind w:left="340" w:right="80" w:hanging="332"/>
        <w:spacing w:after="0" w:line="198" w:lineRule="auto"/>
        <w:tabs>
          <w:tab w:leader="none" w:pos="340" w:val="left"/>
        </w:tabs>
        <w:numPr>
          <w:ilvl w:val="0"/>
          <w:numId w:val="94"/>
        </w:numPr>
        <w:rPr>
          <w:rFonts w:ascii="Arial" w:cs="Arial" w:eastAsia="Arial" w:hAnsi="Arial"/>
          <w:sz w:val="22"/>
          <w:szCs w:val="22"/>
          <w:color w:val="auto"/>
          <w:vertAlign w:val="superscript"/>
        </w:rPr>
      </w:pPr>
      <w:r>
        <w:rPr>
          <w:rFonts w:ascii="Arial" w:cs="Arial" w:eastAsia="Arial" w:hAnsi="Arial"/>
          <w:sz w:val="14"/>
          <w:szCs w:val="14"/>
          <w:color w:val="auto"/>
        </w:rPr>
        <w:t>Under the terms of our 2006 Incentive Plan, if within two years after a change of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awards lapse, and (iii) the target payout opportunities on outstanding performance-based restricted stock awards shall be deemed to have been fully earned (subject to the conditions provided in the 2006 Incentive Plan).</w:t>
      </w:r>
    </w:p>
    <w:p>
      <w:pPr>
        <w:spacing w:after="0" w:line="136"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45</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ind w:right="1980"/>
        <w:spacing w:after="0" w:line="293" w:lineRule="auto"/>
        <w:rPr>
          <w:sz w:val="20"/>
          <w:szCs w:val="20"/>
          <w:color w:val="auto"/>
        </w:rPr>
      </w:pPr>
      <w:r>
        <w:rPr>
          <w:rFonts w:ascii="Arial" w:cs="Arial" w:eastAsia="Arial" w:hAnsi="Arial"/>
          <w:sz w:val="32"/>
          <w:szCs w:val="32"/>
          <w:color w:val="225CAB"/>
        </w:rPr>
        <w:t>PROPOSAL 2: ADVISORY VOTE ON THE COMPENSATION OF THE COMPANY’S NAMED EXECUTIVE OFFICERS</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are seeking your advisory vote approving the compensation of our named executive officers as disclosed in this Proxy Statement. We believe that our executive compensation programs are structured in the best manner possible to support our business objectives, evidenced by the superior returns we have delivered to our shareholders. Over the past 10 years, our total return to shareholders was 18.5% compounded annually, compared to 7.7% annually for the S&amp;P 500. Over the past five years, our return was 25.2% annually, compared to 15.5% for the S&amp;P 500.</w:t>
      </w:r>
    </w:p>
    <w:p>
      <w:pPr>
        <w:spacing w:after="0" w:line="11" w:lineRule="exact"/>
        <w:rPr>
          <w:sz w:val="20"/>
          <w:szCs w:val="20"/>
          <w:color w:val="auto"/>
        </w:rPr>
      </w:pPr>
    </w:p>
    <w:p>
      <w:pPr>
        <w:ind w:right="640"/>
        <w:spacing w:after="0" w:line="298" w:lineRule="auto"/>
        <w:rPr>
          <w:sz w:val="20"/>
          <w:szCs w:val="20"/>
          <w:color w:val="auto"/>
        </w:rPr>
      </w:pPr>
      <w:r>
        <w:rPr>
          <w:rFonts w:ascii="Arial" w:cs="Arial" w:eastAsia="Arial" w:hAnsi="Arial"/>
          <w:sz w:val="16"/>
          <w:szCs w:val="16"/>
          <w:color w:val="auto"/>
        </w:rPr>
        <w:t>Our executive compensation programs are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 are seeking shareholder approval of the following resolution:</w:t>
      </w:r>
    </w:p>
    <w:p>
      <w:pPr>
        <w:spacing w:after="0" w:line="77" w:lineRule="exact"/>
        <w:rPr>
          <w:sz w:val="20"/>
          <w:szCs w:val="20"/>
          <w:color w:val="auto"/>
        </w:rPr>
      </w:pPr>
    </w:p>
    <w:p>
      <w:pPr>
        <w:ind w:left="460" w:right="200"/>
        <w:spacing w:after="0" w:line="252"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3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vote on this proposal is advisory and non-binding; however, the Compensation Committee and our Board will review the results of the vote and consider them when making future determinations regarding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300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49" w:lineRule="exact"/>
        <w:rPr>
          <w:sz w:val="20"/>
          <w:szCs w:val="20"/>
          <w:color w:val="auto"/>
        </w:rPr>
      </w:pPr>
    </w:p>
    <w:p>
      <w:pPr>
        <w:ind w:left="460" w:right="1380"/>
        <w:spacing w:after="0" w:line="281" w:lineRule="auto"/>
        <w:rPr>
          <w:sz w:val="20"/>
          <w:szCs w:val="20"/>
          <w:color w:val="auto"/>
        </w:rPr>
      </w:pPr>
      <w:r>
        <w:rPr>
          <w:rFonts w:ascii="Arial" w:cs="Arial" w:eastAsia="Arial" w:hAnsi="Arial"/>
          <w:sz w:val="18"/>
          <w:szCs w:val="18"/>
          <w:b w:val="1"/>
          <w:bCs w:val="1"/>
          <w:color w:val="auto"/>
        </w:rPr>
        <w:t>The Board of Directors recommends a vote “FOR” the resolution providing an advisory approval of the Company’s compensation of executive officers.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AUDIT COMMITTEE REPORT</w:t>
      </w:r>
    </w:p>
    <w:p>
      <w:pPr>
        <w:spacing w:after="0" w:line="273"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The Audit Committee of the Board of Directors is comprised of three non-employee directors, each of whom has been determined by the Board of Directors to be independent under the rules of the NYSE and the SEC. The Audit Committee’s responsibilities are set forth in its charter.</w:t>
      </w:r>
    </w:p>
    <w:p>
      <w:pPr>
        <w:ind w:right="60"/>
        <w:spacing w:after="0" w:line="238" w:lineRule="auto"/>
        <w:rPr>
          <w:sz w:val="20"/>
          <w:szCs w:val="20"/>
          <w:color w:val="auto"/>
        </w:rPr>
      </w:pPr>
      <w:r>
        <w:rPr>
          <w:rFonts w:ascii="Arial" w:cs="Arial" w:eastAsia="Arial" w:hAnsi="Arial"/>
          <w:sz w:val="18"/>
          <w:szCs w:val="18"/>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Certified Public Accountants and the performance of the Company’s internal audit function. The Committee retains the Company’s Independent Certified Public Accountants to undertake appropriate reviews and audits of the Company’s financial statements, determines the compensation of the Independent Certified Public Accountants, and pre-approves all of their services. The Company’s management is primarily responsible for the Company’s financial reporting process and for the preparation of the Company’s financial statements in accordance with accounting principles generally accepted in the United States. The Audit Committee maintains oversight of the Independent Certified Public Accountants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w:t>
      </w:r>
    </w:p>
    <w:p>
      <w:pPr>
        <w:spacing w:after="0" w:line="5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Audit Committee maintains oversight of the Company’s internal audit function by evaluating the appointment and performance of the Company’s Vice President of Internal Auditing and periodically meeting with the Vice President of Internal Auditing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4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The Audit Committee has: (i) appointed and retained PricewaterhouseCoopers LLP (“PwC”) as the Company’s independent accounting firm for the fiscal year ended December 31, 2014; (ii) reviewed and discussed with the Company’s management the Company’s audited financial statements for the fiscal year ended December 31, 2014; (iii) discussed with PwC the matters required to be discussed by the statements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xml:space="preserve">, Vol. 1. </w:t>
      </w:r>
      <w:r>
        <w:rPr>
          <w:rFonts w:ascii="Arial" w:cs="Arial" w:eastAsia="Arial" w:hAnsi="Arial"/>
          <w:sz w:val="18"/>
          <w:szCs w:val="18"/>
          <w:i w:val="1"/>
          <w:iCs w:val="1"/>
          <w:color w:val="auto"/>
        </w:rPr>
        <w:t>AU Section 380</w:t>
      </w:r>
      <w:r>
        <w:rPr>
          <w:rFonts w:ascii="Arial" w:cs="Arial" w:eastAsia="Arial" w:hAnsi="Arial"/>
          <w:sz w:val="18"/>
          <w:szCs w:val="18"/>
          <w:color w:val="auto"/>
        </w:rPr>
        <w:t>), as adopted by the Public Company Accounting Oversight Board in Rule 3200T; (iv) received the written disclosures and the letter from the Independent Certified Public Accountants required by applicable requirements of the Public Company Accounting Oversight Board regarding the Independent Certified Public Accountants’ communications with the audit committee concerning independence, and has discussed with the Independent Certified Public Accountants its independence; (v) discussed 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 404 of the Sarbanes-Oxley Act.</w:t>
      </w:r>
    </w:p>
    <w:p>
      <w:pPr>
        <w:spacing w:after="0" w:line="5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reliance on the reviews, reports and discussions referred to above, the Audit Committee recommended to the Company’s Board of Directors, and the Board of Directors has approved, that the audited financial statements be included in the Company’s Annual Report on Form 10-K for the year ended December 31, 2014, for filing with the Securities and Exchange Commission.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W. Devonshire, Chairman</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F. Fort III</w:t>
      </w:r>
    </w:p>
    <w:p>
      <w:pPr>
        <w:ind w:left="460"/>
        <w:spacing w:after="0"/>
        <w:rPr>
          <w:sz w:val="20"/>
          <w:szCs w:val="20"/>
          <w:color w:val="auto"/>
        </w:rPr>
      </w:pPr>
      <w:r>
        <w:rPr>
          <w:rFonts w:ascii="Arial" w:cs="Arial" w:eastAsia="Arial" w:hAnsi="Arial"/>
          <w:sz w:val="18"/>
          <w:szCs w:val="18"/>
          <w:color w:val="auto"/>
        </w:rPr>
        <w:t>Christopher Wright</w:t>
      </w:r>
    </w:p>
    <w:p>
      <w:pPr>
        <w:spacing w:after="0" w:line="30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225CAB"/>
        </w:rPr>
        <w:t>The foregoing report and other information provided above regarding the Audit Committee should not be deemed incorporated by reference by any general statement incorporating by reference this Proxy Statement into any filing under the Securities Act of 1933, as amended or Securities Exchange Act of 1934, as amended, except to the extent that Roper specifically incorporates this information by reference, and shall not otherwise be deemed filed under such Acts.</w:t>
      </w:r>
    </w:p>
    <w:p>
      <w:pPr>
        <w:spacing w:after="0" w:line="131"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47</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INDEPENDENT PUBLIC ACCOUNTANTS FEES</w:t>
      </w:r>
    </w:p>
    <w:p>
      <w:pPr>
        <w:spacing w:after="0" w:line="27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Set forth below are the professional fees billed by PwC for the fiscal years ended December 31, 2014 and 2013. It is the Audit Committee’s policy that all services performed by and all fees paid to the independent auditor require the Audit Committee’s prior approval. As such, all audit, audit-related tax and other fees were pre-approved by the Audit Committee.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40" w:type="dxa"/>
            <w:vAlign w:val="bottom"/>
            <w:vMerge w:val="restart"/>
          </w:tcPr>
          <w:p>
            <w:pPr>
              <w:spacing w:after="0"/>
              <w:rPr>
                <w:sz w:val="20"/>
                <w:szCs w:val="20"/>
                <w:color w:val="auto"/>
              </w:rPr>
            </w:pPr>
            <w:r>
              <w:rPr>
                <w:rFonts w:ascii="Arial" w:cs="Arial" w:eastAsia="Arial" w:hAnsi="Arial"/>
                <w:sz w:val="14"/>
                <w:szCs w:val="14"/>
                <w:color w:val="auto"/>
              </w:rPr>
              <w:t>Fees</w:t>
            </w:r>
          </w:p>
        </w:tc>
        <w:tc>
          <w:tcPr>
            <w:tcW w:w="420" w:type="dxa"/>
            <w:vAlign w:val="bottom"/>
          </w:tcPr>
          <w:p>
            <w:pPr>
              <w:spacing w:after="0"/>
              <w:rPr>
                <w:sz w:val="14"/>
                <w:szCs w:val="14"/>
                <w:color w:val="auto"/>
              </w:rPr>
            </w:pPr>
          </w:p>
        </w:tc>
        <w:tc>
          <w:tcPr>
            <w:tcW w:w="1760" w:type="dxa"/>
            <w:vAlign w:val="bottom"/>
            <w:gridSpan w:val="3"/>
          </w:tcPr>
          <w:p>
            <w:pPr>
              <w:ind w:left="20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98"/>
              </w:rPr>
              <w:t>FY 2014</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FY 2013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D2DEEE"/>
          </w:tcPr>
          <w:p>
            <w:pPr>
              <w:spacing w:after="0" w:line="19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240" w:type="dxa"/>
            <w:vAlign w:val="bottom"/>
            <w:gridSpan w:val="2"/>
            <w:shd w:val="clear" w:color="auto" w:fill="D2DEEE"/>
          </w:tcPr>
          <w:p>
            <w:pPr>
              <w:jc w:val="right"/>
              <w:ind w:right="192"/>
              <w:spacing w:after="0" w:line="196" w:lineRule="exact"/>
              <w:rPr>
                <w:sz w:val="20"/>
                <w:szCs w:val="20"/>
                <w:color w:val="auto"/>
              </w:rPr>
            </w:pPr>
            <w:r>
              <w:rPr>
                <w:rFonts w:ascii="Arial" w:cs="Arial" w:eastAsia="Arial" w:hAnsi="Arial"/>
                <w:sz w:val="18"/>
                <w:szCs w:val="18"/>
                <w:color w:val="auto"/>
              </w:rPr>
              <w:t>$3,940</w:t>
            </w:r>
          </w:p>
        </w:tc>
        <w:tc>
          <w:tcPr>
            <w:tcW w:w="84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$4,346</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3"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24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845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D2DEEE"/>
          </w:tcPr>
          <w:p>
            <w:pPr>
              <w:spacing w:after="0" w:line="203"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240" w:type="dxa"/>
            <w:vAlign w:val="bottom"/>
            <w:gridSpan w:val="2"/>
            <w:shd w:val="clear" w:color="auto" w:fill="D2DEEE"/>
          </w:tcPr>
          <w:p>
            <w:pPr>
              <w:jc w:val="right"/>
              <w:ind w:right="192"/>
              <w:spacing w:after="0" w:line="202" w:lineRule="exact"/>
              <w:rPr>
                <w:sz w:val="20"/>
                <w:szCs w:val="20"/>
                <w:color w:val="auto"/>
              </w:rPr>
            </w:pPr>
            <w:r>
              <w:rPr>
                <w:rFonts w:ascii="Arial" w:cs="Arial" w:eastAsia="Arial" w:hAnsi="Arial"/>
                <w:sz w:val="18"/>
                <w:szCs w:val="18"/>
                <w:color w:val="auto"/>
              </w:rPr>
              <w:t>884</w:t>
            </w:r>
          </w:p>
        </w:tc>
        <w:tc>
          <w:tcPr>
            <w:tcW w:w="84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843</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Borders>
              <w:bottom w:val="single" w:sz="8" w:color="D2DEEE"/>
            </w:tcBorders>
          </w:tcPr>
          <w:p>
            <w:pPr>
              <w:spacing w:after="0" w:line="202" w:lineRule="exact"/>
              <w:rPr>
                <w:sz w:val="20"/>
                <w:szCs w:val="20"/>
                <w:color w:val="auto"/>
              </w:rPr>
            </w:pPr>
            <w:r>
              <w:rPr>
                <w:rFonts w:ascii="Arial" w:cs="Arial" w:eastAsia="Arial" w:hAnsi="Arial"/>
                <w:sz w:val="18"/>
                <w:szCs w:val="18"/>
                <w:color w:val="auto"/>
              </w:rPr>
              <w:t>All Other Fees</w:t>
            </w:r>
          </w:p>
        </w:tc>
        <w:tc>
          <w:tcPr>
            <w:tcW w:w="1240" w:type="dxa"/>
            <w:vAlign w:val="bottom"/>
            <w:tcBorders>
              <w:bottom w:val="single" w:sz="8" w:color="auto"/>
            </w:tcBorders>
            <w:gridSpan w:val="2"/>
          </w:tcPr>
          <w:p>
            <w:pPr>
              <w:jc w:val="right"/>
              <w:ind w:right="192"/>
              <w:spacing w:after="0" w:line="202" w:lineRule="exact"/>
              <w:rPr>
                <w:sz w:val="20"/>
                <w:szCs w:val="20"/>
                <w:color w:val="auto"/>
              </w:rPr>
            </w:pPr>
            <w:r>
              <w:rPr>
                <w:rFonts w:ascii="Arial" w:cs="Arial" w:eastAsia="Arial" w:hAnsi="Arial"/>
                <w:sz w:val="18"/>
                <w:szCs w:val="18"/>
                <w:color w:val="auto"/>
              </w:rPr>
              <w:t>6</w:t>
            </w: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40" w:type="dxa"/>
            <w:vAlign w:val="bottom"/>
            <w:shd w:val="clear" w:color="auto" w:fill="D2DEEE"/>
          </w:tcPr>
          <w:p>
            <w:pPr>
              <w:spacing w:after="0" w:line="196" w:lineRule="exact"/>
              <w:rPr>
                <w:sz w:val="20"/>
                <w:szCs w:val="20"/>
                <w:color w:val="auto"/>
              </w:rPr>
            </w:pPr>
            <w:r>
              <w:rPr>
                <w:rFonts w:ascii="Arial" w:cs="Arial" w:eastAsia="Arial" w:hAnsi="Arial"/>
                <w:sz w:val="18"/>
                <w:szCs w:val="18"/>
                <w:color w:val="auto"/>
              </w:rPr>
              <w:t>Total Fees</w:t>
            </w:r>
          </w:p>
        </w:tc>
        <w:tc>
          <w:tcPr>
            <w:tcW w:w="1240" w:type="dxa"/>
            <w:vAlign w:val="bottom"/>
            <w:gridSpan w:val="2"/>
            <w:shd w:val="clear" w:color="auto" w:fill="D2DEEE"/>
          </w:tcPr>
          <w:p>
            <w:pPr>
              <w:jc w:val="right"/>
              <w:ind w:right="192"/>
              <w:spacing w:after="0" w:line="196" w:lineRule="exact"/>
              <w:rPr>
                <w:sz w:val="20"/>
                <w:szCs w:val="20"/>
                <w:color w:val="auto"/>
              </w:rPr>
            </w:pPr>
            <w:r>
              <w:rPr>
                <w:rFonts w:ascii="Arial" w:cs="Arial" w:eastAsia="Arial" w:hAnsi="Arial"/>
                <w:sz w:val="18"/>
                <w:szCs w:val="18"/>
                <w:color w:val="auto"/>
              </w:rPr>
              <w:t>$5,675</w:t>
            </w:r>
          </w:p>
        </w:tc>
        <w:tc>
          <w:tcPr>
            <w:tcW w:w="84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$5,633</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0"/>
          <w:szCs w:val="20"/>
          <w:color w:val="auto"/>
        </w:rPr>
      </w:pPr>
    </w:p>
    <w:p>
      <w:pPr>
        <w:ind w:left="340" w:right="40" w:hanging="332"/>
        <w:spacing w:after="0" w:line="199" w:lineRule="auto"/>
        <w:tabs>
          <w:tab w:leader="none" w:pos="340" w:val="left"/>
        </w:tabs>
        <w:numPr>
          <w:ilvl w:val="0"/>
          <w:numId w:val="95"/>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audit or review services in accordance with the standards of the Public Company Accounting Oversight Board (United States) and fees for services, such as statutory audits and review of documents filed with SEC. Audit fees also include fees paid in connection with services required for compliance with Section 404 of the Sarbanes-Oxley Act.</w:t>
      </w:r>
    </w:p>
    <w:p>
      <w:pPr>
        <w:ind w:left="340" w:hanging="332"/>
        <w:spacing w:after="0" w:line="217" w:lineRule="auto"/>
        <w:tabs>
          <w:tab w:leader="none" w:pos="340" w:val="left"/>
        </w:tabs>
        <w:numPr>
          <w:ilvl w:val="0"/>
          <w:numId w:val="95"/>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assurance and related services which primarily include due diligence on acquisition targets.</w:t>
      </w:r>
    </w:p>
    <w:p>
      <w:pPr>
        <w:spacing w:after="0" w:line="66"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Tax fees include tax compliance, assistance with tax audits, tax advice and tax planning.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ind w:right="2120"/>
        <w:spacing w:after="0" w:line="262" w:lineRule="auto"/>
        <w:rPr>
          <w:sz w:val="20"/>
          <w:szCs w:val="20"/>
          <w:color w:val="auto"/>
        </w:rPr>
      </w:pPr>
      <w:r>
        <w:rPr>
          <w:rFonts w:ascii="Arial" w:cs="Arial" w:eastAsia="Arial" w:hAnsi="Arial"/>
          <w:sz w:val="32"/>
          <w:szCs w:val="32"/>
          <w:color w:val="225CAB"/>
        </w:rPr>
        <w:t>PROPOSAL 3: RATIFICATION OF THE APPOINTMENT OF PRICEWATERHOUSECOOPERS LLP AS OUR INDEPENDENT REGISTERED ACCOUNTING FIRM FOR THE YEAR ENDING DECEMBER 31, 2015</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Audit Committee has appointed PricewaterhouseCoopers LLP (“PwC”) as our independent registered accounting firm for the year ending December 31, 2015. Our Board of Directors recommends that the shareholders ratify this appointment. PwC has been the Company’s independent auditor since May 2002. One or more representatives of PwC are expected to be present at the Annual Meeting and will be given the opportunity to make a statement if they so desire, and to respond to appropriate questions of shareholders in attendance. If this proposal does not pass, the selection of our independent registered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300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76" w:lineRule="exact"/>
        <w:rPr>
          <w:sz w:val="20"/>
          <w:szCs w:val="20"/>
          <w:color w:val="auto"/>
        </w:rPr>
      </w:pPr>
    </w:p>
    <w:p>
      <w:pPr>
        <w:ind w:left="460" w:right="580"/>
        <w:spacing w:after="0" w:line="281" w:lineRule="auto"/>
        <w:rPr>
          <w:sz w:val="20"/>
          <w:szCs w:val="20"/>
          <w:color w:val="auto"/>
        </w:rPr>
      </w:pPr>
      <w:r>
        <w:rPr>
          <w:rFonts w:ascii="Arial" w:cs="Arial" w:eastAsia="Arial" w:hAnsi="Arial"/>
          <w:sz w:val="18"/>
          <w:szCs w:val="18"/>
          <w:b w:val="1"/>
          <w:bCs w:val="1"/>
          <w:color w:val="auto"/>
        </w:rPr>
        <w:t>The Board recommends a vote “FOR” approval of the ratification of the appointment of PricewaterhouseCoopers LLP as our independent registered accounting firm for the year ending December 31, 2015.</w:t>
      </w:r>
    </w:p>
    <w:p>
      <w:pPr>
        <w:spacing w:after="0" w:line="279"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49</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ind w:right="800"/>
        <w:spacing w:after="0" w:line="293" w:lineRule="auto"/>
        <w:rPr>
          <w:sz w:val="20"/>
          <w:szCs w:val="20"/>
          <w:color w:val="auto"/>
        </w:rPr>
      </w:pPr>
      <w:r>
        <w:rPr>
          <w:rFonts w:ascii="Arial" w:cs="Arial" w:eastAsia="Arial" w:hAnsi="Arial"/>
          <w:sz w:val="32"/>
          <w:szCs w:val="32"/>
          <w:color w:val="225CAB"/>
        </w:rPr>
        <w:t>PROPOSAL 4: SHAREHOLDER PROPOSAL—SHAREHOLDER PROXY ACCESS</w:t>
      </w:r>
    </w:p>
    <w:p>
      <w:pPr>
        <w:spacing w:after="0" w:line="12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Roper’s Board of Directors has concluded, after careful consideration, that adoption of the following shareholder proposal would not be in the best interests of the Company or its shareholders. For the reasons stated after the proposal, the Board recommends a vote “AGAINST” this shareholder proposal. We have presented the proposal and supporting statement as received, in accordance with SEC rules, and we disclaim any responsibility for its content. The name, address and number of shares owned by the shareholders submitting this proposal is available upon oral or written request.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w:t>
      </w:r>
    </w:p>
    <w:p>
      <w:pPr>
        <w:spacing w:after="0" w:line="79" w:lineRule="exact"/>
        <w:rPr>
          <w:sz w:val="20"/>
          <w:szCs w:val="20"/>
          <w:color w:val="auto"/>
        </w:rPr>
      </w:pPr>
    </w:p>
    <w:p>
      <w:pPr>
        <w:ind w:left="460" w:right="180"/>
        <w:spacing w:after="0" w:line="243" w:lineRule="auto"/>
        <w:rPr>
          <w:sz w:val="20"/>
          <w:szCs w:val="20"/>
          <w:color w:val="auto"/>
        </w:rPr>
      </w:pPr>
      <w:r>
        <w:rPr>
          <w:rFonts w:ascii="Arial" w:cs="Arial" w:eastAsia="Arial" w:hAnsi="Arial"/>
          <w:sz w:val="18"/>
          <w:szCs w:val="18"/>
          <w:color w:val="auto"/>
        </w:rPr>
        <w:t>RESOLVED: Shareholders of Roper Industries, Inc. (the “Company”) ask the board of directors (the “Board”) to adopt, and present for shareholder approval, a “proxy access” bylaw. Such a bylaw shall require the Company to include in proxy materials prepared for a shareholder meeting at which directors are to be elected the name, Disclosure and Statement (as defined herein) of any person nominated for election to the board by a shareholder or group (the “Nominator”) that meets the criteria established below. The Company shall allow shareholders to vote on such nominee on the Company’s proxy card.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shareholder-nominated candidates appearing in proxy materials shall not exceed one quarter of the directors then serving.</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bylaw, which shall supplement existing rights under Company bylaws, should provide that a Nominator must:</w:t>
      </w:r>
    </w:p>
    <w:p>
      <w:pPr>
        <w:spacing w:after="0" w:line="55" w:lineRule="exact"/>
        <w:rPr>
          <w:sz w:val="20"/>
          <w:szCs w:val="20"/>
          <w:color w:val="auto"/>
        </w:rPr>
      </w:pPr>
    </w:p>
    <w:p>
      <w:pPr>
        <w:ind w:left="680" w:right="140" w:hanging="334"/>
        <w:spacing w:after="0" w:line="269" w:lineRule="auto"/>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have beneficially owned 3% or more of the Company’s outstanding common stock continuously for at least three years before submitting the nomination;</w:t>
      </w:r>
    </w:p>
    <w:p>
      <w:pPr>
        <w:spacing w:after="0" w:line="22" w:lineRule="exact"/>
        <w:rPr>
          <w:rFonts w:ascii="Arial" w:cs="Arial" w:eastAsia="Arial" w:hAnsi="Arial"/>
          <w:sz w:val="18"/>
          <w:szCs w:val="18"/>
          <w:color w:val="auto"/>
        </w:rPr>
      </w:pPr>
    </w:p>
    <w:p>
      <w:pPr>
        <w:ind w:left="680" w:right="40" w:hanging="334"/>
        <w:spacing w:after="0" w:line="252" w:lineRule="auto"/>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give the Company, within the time period identified in its bylaws, written notice of the information required by the bylaws and any Securities and Exchange Commission rules about (i) the nominee, including consent to being named in the proxy materials and to serving as director if elected; and (ii) the Nominator, including proof it owns the required shares (the “Disclosure”); and</w:t>
      </w:r>
    </w:p>
    <w:p>
      <w:pPr>
        <w:spacing w:after="0" w:line="36" w:lineRule="exact"/>
        <w:rPr>
          <w:rFonts w:ascii="Arial" w:cs="Arial" w:eastAsia="Arial" w:hAnsi="Arial"/>
          <w:sz w:val="18"/>
          <w:szCs w:val="18"/>
          <w:color w:val="auto"/>
        </w:rPr>
      </w:pPr>
    </w:p>
    <w:p>
      <w:pPr>
        <w:ind w:left="680" w:right="20" w:hanging="334"/>
        <w:spacing w:after="0" w:line="246" w:lineRule="auto"/>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certify that (i) it will assume liability stemming from any legal or regulatory violation arising out of the Nominator’s communications with the Company shareholders, including the Disclosure and Statement; (ii) it will comply with all applicable laws and regulations if it uses soliciting material other than the Company’s proxy materials; and (c) to the best of its knowledge, the required shares were acquired in the ordinary course of business and not to change or influence control at the Company.</w:t>
      </w:r>
    </w:p>
    <w:p>
      <w:pPr>
        <w:spacing w:after="0" w:line="43" w:lineRule="exact"/>
        <w:rPr>
          <w:sz w:val="20"/>
          <w:szCs w:val="20"/>
          <w:color w:val="auto"/>
        </w:rPr>
      </w:pPr>
    </w:p>
    <w:p>
      <w:pPr>
        <w:ind w:left="460" w:right="20"/>
        <w:spacing w:after="0" w:line="246" w:lineRule="auto"/>
        <w:rPr>
          <w:sz w:val="20"/>
          <w:szCs w:val="20"/>
          <w:color w:val="auto"/>
        </w:rPr>
      </w:pPr>
      <w:r>
        <w:rPr>
          <w:rFonts w:ascii="Arial" w:cs="Arial" w:eastAsia="Arial" w:hAnsi="Arial"/>
          <w:sz w:val="18"/>
          <w:szCs w:val="18"/>
          <w:color w:val="auto"/>
        </w:rPr>
        <w:t>The Nominator may submit with the Disclosure a statement not exceeding 500 words in support of the nominee (the “Statement”). The Board shall adopt procedures for promptly resolving disputes over whether notice of a nomination was timely, whether the Disclosure and Statement satisfy the bylaw and applicable federal regulations, and the priority to be given to multiple nominations exceeding the one-quarter limit.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7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believe proxy access is a fundamental shareholder right that will make directors more accountable and contribute to increased shareholder value. The CFA Institute’s 2014 assessment of pertinent academic studies and the use of proxy access in other markets similarly concluded that proxy access:</w:t>
      </w:r>
    </w:p>
    <w:p>
      <w:pPr>
        <w:spacing w:after="0" w:line="37"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Would “benefit both the markets and corporate boardrooms, with little cost or disruption.”</w:t>
      </w:r>
    </w:p>
    <w:p>
      <w:pPr>
        <w:spacing w:after="0" w:line="76" w:lineRule="exact"/>
        <w:rPr>
          <w:rFonts w:ascii="Arial" w:cs="Arial" w:eastAsia="Arial" w:hAnsi="Arial"/>
          <w:sz w:val="18"/>
          <w:szCs w:val="18"/>
          <w:color w:val="auto"/>
        </w:rPr>
      </w:pPr>
    </w:p>
    <w:p>
      <w:pPr>
        <w:ind w:left="220" w:right="3100" w:hanging="212"/>
        <w:spacing w:after="0" w:line="269"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Has the potential to raise overall US market capitalization by up to $140.3 billion if adopted market-wide. (http://www.cfapubs.org/doi/pdf/10.2469/ccb.v2014.n9.1)</w:t>
      </w:r>
    </w:p>
    <w:p>
      <w:pPr>
        <w:spacing w:after="0" w:line="22"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color w:val="auto"/>
        </w:rPr>
        <w:t>The proposed bylaw terms enjoy strong investor support—votes for similar shareholder proposals averaged 55% from 2012 through September 2014—and similar bylaws have been adopted by companies of various sizes across industries, including Chesapeake Energy, Hewlett-Packard, Western Union and Verizon.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Board of Directors’ Statement in Opposition</w:t>
      </w:r>
    </w:p>
    <w:p>
      <w:pPr>
        <w:spacing w:after="0" w:line="273"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Board of Directors and its Nominating and Governance Committee have carefully considered this proposal and concluded that its adoption is unnecessary and not in the best interests of our shareholders.</w:t>
      </w:r>
    </w:p>
    <w:p>
      <w:pPr>
        <w:spacing w:after="0" w:line="103"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225CAB"/>
        </w:rPr>
        <w:t>Our selection process has identified directors who have devoted extensive amounts of time and expertise toward developing an effective board structure, which has resulted in exceptional long-term returns for our shareholders.</w:t>
      </w:r>
    </w:p>
    <w:p>
      <w:pPr>
        <w:spacing w:after="0" w:line="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believe that the Board contributes significantly to the Company’s strong performance. Each of the directors understands and is able to satisfy the rigor and extensive time commitment required to serve on our Board. The board structure and processes that the directors have developed includes being actively involved in overseeing the strategy, business and affairs of the Company to drive shareholder value and actively participating in meetings that typically extend over several days. Over the past five years (ending December 31, 2014), the Company’s performance has resulted in a 25.2% compounded annual return for our shareholders.</w:t>
      </w:r>
    </w:p>
    <w:p>
      <w:pPr>
        <w:spacing w:after="0" w:line="4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directors come well prepared to monitor the existing portfolio of businesses and to analyze and carefully examine with management different ways we can invest for future growth, both internally and through acquisitions, to optimize shareholder return. Between scheduled board meetings, directors continue their discussions with management and each other, enabling the Company to draw from our directors’ experiences and expertise. The directors are well-informed about our corporate strategy and the factors that affect the Company globally, and they keep abreast of the issues encountered by our diverse business operations.</w:t>
      </w:r>
    </w:p>
    <w:p>
      <w:pPr>
        <w:spacing w:after="0" w:line="4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board recruitment and evaluation process has contributed to bring together a group of directors who complement each other and who collectively provide effective oversight of management in ways that include challenging and debating different perspectives. Recognizing the specific needs of the Company, the Board also carefully considers the importance of director succession planning to add new competencies as appropriate.</w:t>
      </w:r>
    </w:p>
    <w:p>
      <w:pPr>
        <w:spacing w:after="0" w:line="4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understand that proxy access is currently being debated within the U.S. corporate governance community. We believe we have demonstrated that the Board has created and maintained a high-quality and effective board process that serves the best interests of our shareholders. The individuals nominated under our existing board structure bring invaluable expertise and work together effectively under well-established practices that contribute to the Board’s overall effectiveness. As we have been able to both design and sustain board processes and practices that demonstrably enhance shareholder value, we do not believe proxy access is necessary for Roper, and will not benefit our ability to maintain an effective board.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Shareholders currently have the ability to recommend director candidates.</w:t>
      </w:r>
    </w:p>
    <w:p>
      <w:pPr>
        <w:spacing w:after="0" w:line="7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As discussed above under “Corporate Governance—Nominating Process,” our By-laws provide a well-defined process for shareholders to submit director nominees, and such nominees will be considered under the same criteria that are applied to other candidates. This procedure is described in “Information Regarding the 2016 Annual Meeting of Shareholders.”</w:t>
      </w:r>
    </w:p>
    <w:p>
      <w:pPr>
        <w:spacing w:after="0" w:line="118"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225CAB"/>
        </w:rPr>
        <w:t>Roper’s corporate governance policies and practices ensure that the Board of Directors is held accountable and provides shareholders with access to the Board.</w:t>
      </w:r>
    </w:p>
    <w:p>
      <w:pPr>
        <w:spacing w:after="0" w:line="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Board is accountable to our shareholders through the protections that are embedded in our governing documents. Upon the Board’s unanimous recommendation and approval by our shareholders, we declassified the Board in 2013, with the phase-in being completed next year at the annual meeting when all directors will be elected annually. Our By-laws require that we use a majority voting standard in uncontested director elections and include a resignation requirement for directors who fail to receive the required majority vote. In addition, seven of our eight current directors are independent under New York Stock Exchange standards, and we have a Lead Independent Director.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currently have the right to:</w:t>
      </w:r>
    </w:p>
    <w:p>
      <w:pPr>
        <w:spacing w:after="0" w:line="77" w:lineRule="exact"/>
        <w:rPr>
          <w:sz w:val="20"/>
          <w:szCs w:val="20"/>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Communicate directly with any director, any Board committee or the full Board;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Propose director nominees to the Nominating and Governance Committee, as discussed above;</w:t>
      </w:r>
    </w:p>
    <w:p>
      <w:pPr>
        <w:spacing w:after="0" w:line="163"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51</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Submit proposals for presentation at an annual meeting and for inclusion in our Proxy Statement for that annual meeting;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Submit proposals, including nominations of director candidates, directly at an annual meeting, as set forth in our By-laws.</w:t>
      </w:r>
    </w:p>
    <w:p>
      <w:pPr>
        <w:spacing w:after="0" w:line="77"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We believe that our existing corporate governance policies and practices ensure meaningful board accountability to shareholders and provide shareholders with meaningful access to Board members.</w:t>
      </w:r>
    </w:p>
    <w:p>
      <w:pPr>
        <w:spacing w:after="0" w:line="103"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225CAB"/>
        </w:rPr>
        <w:t>Proxy access would bypass the role of the Nominating and Governance Committee in identifying, evaluating and recommending director nominees.</w:t>
      </w:r>
    </w:p>
    <w:p>
      <w:pPr>
        <w:spacing w:after="0" w:line="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believe the independent Nominating and Governance Committee and Board of Directors are best situated to assess the qualifications of potential director nominees and determine whether they will contribute to an effective and well-rounded board that is committed and engaged in the oversight of the business. Allowing shareholders to nominate directors in our Proxy Statement would bypass this governance process and the important role of the Nominating and Governance Committee and the Board in one of the most crucial elements that has driven Roper’s strong financial performance—the election of uniquely qualified and committed directors.</w:t>
      </w:r>
    </w:p>
    <w:p>
      <w:pPr>
        <w:spacing w:after="0" w:line="4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Nominating and Governance Committee is responsible for identifying and recommending to the Board individuals qualified to become directors, which includes evaluating candidates suggested by shareholders. The Nominating and Governance Committee determines the Board’s needs and desired skills, ability, judgment, diversity and other criteria, including high personal and professional ethics, integrity and values, as well as the time commitment. It considers candidates’ qualifications based on those criteria and then makes recommendations to the Board. In undertaking this responsibility, the Nominating and Governance Committee has a fiduciary duty to act in good faith for the best interests of Roper and all of our shareholders.</w:t>
      </w:r>
    </w:p>
    <w:p>
      <w:pPr>
        <w:spacing w:after="0" w:line="4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Nominating and Governance Committee is also responsible for reviewing with the Board, at least annually, the requisite balance of skills and areas of expertise and other qualification standards of its individual directors as well as the composition of the Board as a whole, including the need for non-management directors to maintain high standards of independence.</w:t>
      </w:r>
    </w:p>
    <w:p>
      <w:pPr>
        <w:spacing w:after="0" w:line="3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Nominating and Governance Committee reviews each director’s qualifications for re-nomination for continued service on the Board. The Committee also considers director succession planning and recruits diverse nominees that it believes will continue to provide excellent board leadership and establish the Board’s commitment and interest in diverse viewpoints, recognizing that effective boards continue to evolve and introduce new membership. With this process, we believe that our Nominating and Governance Committee and Board achieve the optimal balance of directors that best serve Roper and our shareholders.</w:t>
      </w:r>
    </w:p>
    <w:p>
      <w:pPr>
        <w:spacing w:after="0" w:line="4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believe that our current policies and practices for identifying director candidates is sound, effective and benefits all shareholders and that this proxy access proposal is unnecessary and not in the best interests of our shareholders. Accordingly, we recommend that you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this proposal.</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ind w:right="2060"/>
        <w:spacing w:after="0" w:line="293" w:lineRule="auto"/>
        <w:rPr>
          <w:sz w:val="20"/>
          <w:szCs w:val="20"/>
          <w:color w:val="auto"/>
        </w:rPr>
      </w:pPr>
      <w:r>
        <w:rPr>
          <w:rFonts w:ascii="Arial" w:cs="Arial" w:eastAsia="Arial" w:hAnsi="Arial"/>
          <w:sz w:val="32"/>
          <w:szCs w:val="32"/>
          <w:color w:val="225CAB"/>
        </w:rPr>
        <w:t>INFORMATION REGARDING THE 2016 ANNUAL MEETING OF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If you wish to submit a matter to be considered at the 2016 Annual Meeting, you must comply with the following procedures:</w:t>
      </w:r>
    </w:p>
    <w:p>
      <w:pPr>
        <w:spacing w:after="0" w:line="77" w:lineRule="exact"/>
        <w:rPr>
          <w:sz w:val="20"/>
          <w:szCs w:val="20"/>
          <w:color w:val="auto"/>
        </w:rPr>
      </w:pPr>
    </w:p>
    <w:p>
      <w:pPr>
        <w:ind w:left="220" w:right="140" w:hanging="212"/>
        <w:spacing w:after="0" w:line="246"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you intend to submit a proposal to be included in the Proxy Statement for the 2016 Annual Meeting of Shareholders, we must receive your proposal at Roper’s corporate offices at 6901 Professional Parkway East, Suite 200, Sarasota, Florida 34240, Attn: Secretary, no later than December 30, 2015. All proposals must comply with the SEC regulations under Rule 14a-8 for including shareholder proposals in a company’s proxy material.</w:t>
      </w:r>
    </w:p>
    <w:p>
      <w:pPr>
        <w:spacing w:after="0" w:line="42" w:lineRule="exact"/>
        <w:rPr>
          <w:rFonts w:ascii="Arial" w:cs="Arial" w:eastAsia="Arial" w:hAnsi="Arial"/>
          <w:sz w:val="18"/>
          <w:szCs w:val="18"/>
          <w:color w:val="auto"/>
        </w:rPr>
      </w:pPr>
    </w:p>
    <w:p>
      <w:pPr>
        <w:ind w:left="220" w:right="120" w:hanging="212"/>
        <w:spacing w:after="0" w:line="298" w:lineRule="auto"/>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you wish to nominate a director candidate or have other business brought before the 2016 Annual Meeting of Shareholders, you must submit the nomination or proposal between January 30, 2016 and February 29, 2016, in accordance with our By-laws. The nomination or proposal must be delivered to Roper’s corporate offices at 6901 Professional Parkway East, Suite 200, Sarasota, Florida 34240, Attention: Secretary.</w:t>
      </w:r>
    </w:p>
    <w:p>
      <w:pPr>
        <w:spacing w:after="0" w:line="3" w:lineRule="exact"/>
        <w:rPr>
          <w:rFonts w:ascii="Arial" w:cs="Arial" w:eastAsia="Arial" w:hAnsi="Arial"/>
          <w:sz w:val="16"/>
          <w:szCs w:val="16"/>
          <w:color w:val="auto"/>
        </w:rPr>
      </w:pPr>
    </w:p>
    <w:p>
      <w:pPr>
        <w:ind w:left="660" w:right="20" w:hanging="436"/>
        <w:spacing w:after="0" w:line="271" w:lineRule="auto"/>
        <w:tabs>
          <w:tab w:leader="none" w:pos="6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notice to nominate a person for election as a Company director, notice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the Company if elected; (v) your name and address; (vi) 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231" w:lineRule="exact"/>
        <w:rPr>
          <w:rFonts w:ascii="Arial" w:cs="Arial" w:eastAsia="Arial" w:hAnsi="Arial"/>
          <w:sz w:val="16"/>
          <w:szCs w:val="16"/>
          <w:color w:val="auto"/>
        </w:rPr>
      </w:pPr>
    </w:p>
    <w:p>
      <w:pPr>
        <w:ind w:left="660" w:right="20" w:hanging="436"/>
        <w:spacing w:after="0" w:line="239"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you intend to present a matter (other than the nomination of a director candidate) directly at the 2016 Annual Meeting of Shareholders, the notice must include the text of the proposal; a brief statement of the reasons why you favor the proposal; your name and address; the number and class of all shares of each class of Company stock owned of record and beneficially by you (and any beneficial owner on whose behalf the proposal is made);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the Roper’s securities; and if applicable, any material interest of you and such beneficial owner in the matter proposed (other than as a shareholder).</w:t>
      </w:r>
    </w:p>
    <w:p>
      <w:pPr>
        <w:spacing w:after="0" w:line="4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With respect to matters not included in the Proxy Statement but properly presented at the Annual Meeting of Shareholders, management generally will be able to vote proxies in its discretion if it receives notice of the proposal during the period specified above and advises shareholders in the Proxy Statement for the 2016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137" w:lineRule="exact"/>
        <w:rPr>
          <w:sz w:val="20"/>
          <w:szCs w:val="20"/>
          <w:color w:val="auto"/>
        </w:rPr>
      </w:pPr>
    </w:p>
    <w:tbl>
      <w:tblPr>
        <w:tblLayout w:type="fixed"/>
        <w:tblInd w:w="6900" w:type="dxa"/>
        <w:tblCellMar>
          <w:top w:w="0" w:type="dxa"/>
          <w:left w:w="0" w:type="dxa"/>
          <w:bottom w:w="0" w:type="dxa"/>
          <w:right w:w="0" w:type="dxa"/>
        </w:tblCellMar>
      </w:tblPr>
      <w:tr>
        <w:trPr>
          <w:trHeight w:val="321"/>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2015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53</w:t>
            </w:r>
          </w:p>
        </w:tc>
      </w:tr>
      <w:tr>
        <w:trPr>
          <w:trHeight w:val="71"/>
        </w:trPr>
        <w:tc>
          <w:tcPr>
            <w:tcW w:w="4080" w:type="dxa"/>
            <w:vAlign w:val="bottom"/>
            <w:tcBorders>
              <w:right w:val="single" w:sz="8" w:color="225CAB"/>
            </w:tcBorders>
          </w:tcPr>
          <w:p>
            <w:pPr>
              <w:spacing w:after="0"/>
              <w:rPr>
                <w:sz w:val="6"/>
                <w:szCs w:val="6"/>
                <w:color w:val="auto"/>
              </w:rPr>
            </w:pPr>
          </w:p>
        </w:tc>
        <w:tc>
          <w:tcPr>
            <w:tcW w:w="4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225CAB"/>
        </w:rPr>
        <w:t>OTHER MATTERS</w:t>
      </w:r>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the date of this Proxy Statement, the Board of Directors knows of no other business which will be or is intended to be presented at the Annual Meeting. If any other business properly comes before the Annual Meeting or any adjourned Annual Meeting, the proxy holders named in the enclosed proxy will have discretionary authority to vote the shares represented by the proxy in their discretion.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29765" cy="574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29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Brian D. Jellison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2015 Proxy Statement</w:t>
            </w:r>
          </w:p>
        </w:tc>
      </w:tr>
      <w:tr>
        <w:trPr>
          <w:trHeight w:val="98"/>
        </w:trPr>
        <w:tc>
          <w:tcPr>
            <w:tcW w:w="340" w:type="dxa"/>
            <w:vAlign w:val="bottom"/>
            <w:tcBorders>
              <w:right w:val="single" w:sz="8" w:color="225CAB"/>
            </w:tcBorders>
          </w:tcPr>
          <w:p>
            <w:pPr>
              <w:spacing w:after="0"/>
              <w:rPr>
                <w:sz w:val="8"/>
                <w:szCs w:val="8"/>
                <w:color w:val="auto"/>
              </w:rPr>
            </w:pPr>
          </w:p>
        </w:tc>
        <w:tc>
          <w:tcPr>
            <w:tcW w:w="5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bookmarkStart w:id="62" w:name="page63"/>
    <w:bookmarkEnd w:id="6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-641985</wp:posOffset>
            </wp:positionV>
            <wp:extent cx="1063625" cy="523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63625" cy="52324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b w:val="1"/>
          <w:bCs w:val="1"/>
          <w:i w:val="1"/>
          <w:iCs w:val="1"/>
          <w:color w:val="auto"/>
        </w:rPr>
        <w:t>6901 PROFESSIONAL PKWY EAST</w:t>
      </w:r>
    </w:p>
    <w:p>
      <w:pPr>
        <w:ind w:left="660"/>
        <w:spacing w:after="0" w:line="234" w:lineRule="auto"/>
        <w:rPr>
          <w:sz w:val="20"/>
          <w:szCs w:val="20"/>
          <w:color w:val="auto"/>
        </w:rPr>
      </w:pPr>
      <w:r>
        <w:rPr>
          <w:rFonts w:ascii="Arial" w:cs="Arial" w:eastAsia="Arial" w:hAnsi="Arial"/>
          <w:sz w:val="18"/>
          <w:szCs w:val="18"/>
          <w:b w:val="1"/>
          <w:bCs w:val="1"/>
          <w:i w:val="1"/>
          <w:iCs w:val="1"/>
          <w:color w:val="auto"/>
        </w:rPr>
        <w:t>SARASOTA, FL 34240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ATTN: LEGAL DEPT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6"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May 28, 2015. Have your proxy card in hand when you access the web site and follow the instructions to obtain your records and to create an electronic voting instruction form.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28, 2015. Have your proxy card in hand when you call and then follow the instructions.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6"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96" w:lineRule="exact"/>
        <w:rPr>
          <w:sz w:val="20"/>
          <w:szCs w:val="20"/>
          <w:color w:val="auto"/>
        </w:rPr>
      </w:pPr>
    </w:p>
    <w:p>
      <w:pPr>
        <w:ind w:left="960"/>
        <w:spacing w:after="0"/>
        <w:tabs>
          <w:tab w:leader="none" w:pos="2540" w:val="left"/>
        </w:tabs>
        <w:rPr>
          <w:sz w:val="20"/>
          <w:szCs w:val="20"/>
          <w:color w:val="auto"/>
        </w:rPr>
      </w:pPr>
      <w:r>
        <w:rPr>
          <w:rFonts w:ascii="Arial" w:cs="Arial" w:eastAsia="Arial" w:hAnsi="Arial"/>
          <w:sz w:val="14"/>
          <w:szCs w:val="14"/>
          <w:color w:val="auto"/>
        </w:rPr>
        <w:t>M91844-P65742</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240" w:space="720"/>
            <w:col w:w="5460"/>
          </w:cols>
          <w:pgMar w:left="240" w:top="455" w:right="239" w:bottom="1440" w:gutter="0" w:footer="0" w:header="0"/>
          <w:type w:val="continuous"/>
        </w:sectPr>
      </w:pPr>
    </w:p>
    <w:p>
      <w:pPr>
        <w:spacing w:after="0"/>
        <w:rPr>
          <w:sz w:val="20"/>
          <w:szCs w:val="20"/>
          <w:color w:val="auto"/>
        </w:rPr>
      </w:pPr>
      <w:r>
        <w:rPr>
          <w:rFonts w:ascii="Arial" w:cs="Arial" w:eastAsia="Arial" w:hAnsi="Arial"/>
          <w:sz w:val="18"/>
          <w:szCs w:val="18"/>
          <w:color w:val="auto"/>
        </w:rPr>
        <w:t>— — — — — — — — — — — — — — — — — — — — — — — — — — — — — — — — — — — — — — — — — —</w:t>
      </w:r>
    </w:p>
    <w:p>
      <w:pPr>
        <w:jc w:val="right"/>
        <w:spacing w:after="0" w:line="221"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wp:posOffset>
            </wp:positionV>
            <wp:extent cx="7276465" cy="40176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6465" cy="40176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p>
      <w:pPr>
        <w:spacing w:after="0" w:line="11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ROPER TECHNOLOGIES, INC.</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The Board of Directors recommends you vote</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FOR the following:</w:t>
      </w:r>
    </w:p>
    <w:p>
      <w:pPr>
        <w:spacing w:after="0" w:line="147" w:lineRule="exact"/>
        <w:rPr>
          <w:sz w:val="20"/>
          <w:szCs w:val="20"/>
          <w:color w:val="auto"/>
        </w:rPr>
      </w:pPr>
    </w:p>
    <w:p>
      <w:pPr>
        <w:ind w:left="760" w:hanging="358"/>
        <w:spacing w:after="0"/>
        <w:tabs>
          <w:tab w:leader="none" w:pos="7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0"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840" w:type="dxa"/>
            <w:vAlign w:val="bottom"/>
          </w:tcPr>
          <w:p>
            <w:pPr>
              <w:jc w:val="center"/>
              <w:ind w:right="172"/>
              <w:spacing w:after="0"/>
              <w:rPr>
                <w:sz w:val="20"/>
                <w:szCs w:val="20"/>
                <w:color w:val="auto"/>
              </w:rPr>
            </w:pPr>
            <w:r>
              <w:rPr>
                <w:rFonts w:ascii="Arial" w:cs="Arial" w:eastAsia="Arial" w:hAnsi="Arial"/>
                <w:sz w:val="14"/>
                <w:szCs w:val="14"/>
                <w:b w:val="1"/>
                <w:bCs w:val="1"/>
                <w:color w:val="auto"/>
                <w:w w:val="99"/>
              </w:rPr>
              <w:t>For All</w:t>
            </w:r>
          </w:p>
        </w:tc>
        <w:tc>
          <w:tcPr>
            <w:tcW w:w="2380" w:type="dxa"/>
            <w:vAlign w:val="bottom"/>
          </w:tcPr>
          <w:p>
            <w:pPr>
              <w:spacing w:after="0"/>
              <w:rPr>
                <w:sz w:val="20"/>
                <w:szCs w:val="20"/>
                <w:color w:val="auto"/>
              </w:rPr>
            </w:pPr>
            <w:r>
              <w:rPr>
                <w:rFonts w:ascii="Arial" w:cs="Arial" w:eastAsia="Arial" w:hAnsi="Arial"/>
                <w:sz w:val="14"/>
                <w:szCs w:val="14"/>
                <w:color w:val="auto"/>
              </w:rPr>
              <w:t>To  withhold  authority  to  vote  for</w:t>
            </w:r>
          </w:p>
        </w:tc>
        <w:tc>
          <w:tcPr>
            <w:tcW w:w="340" w:type="dxa"/>
            <w:vAlign w:val="bottom"/>
          </w:tcPr>
          <w:p>
            <w:pPr>
              <w:ind w:left="60"/>
              <w:spacing w:after="0"/>
              <w:rPr>
                <w:sz w:val="20"/>
                <w:szCs w:val="20"/>
                <w:color w:val="auto"/>
              </w:rPr>
            </w:pPr>
            <w:r>
              <w:rPr>
                <w:rFonts w:ascii="Arial" w:cs="Arial" w:eastAsia="Arial" w:hAnsi="Arial"/>
                <w:sz w:val="14"/>
                <w:szCs w:val="14"/>
                <w:color w:val="auto"/>
              </w:rPr>
              <w:t>any</w:t>
            </w:r>
          </w:p>
        </w:tc>
        <w:tc>
          <w:tcPr>
            <w:tcW w:w="640" w:type="dxa"/>
            <w:vAlign w:val="bottom"/>
          </w:tcPr>
          <w:p>
            <w:pPr>
              <w:jc w:val="right"/>
              <w:spacing w:after="0"/>
              <w:rPr>
                <w:sz w:val="20"/>
                <w:szCs w:val="20"/>
                <w:color w:val="auto"/>
              </w:rPr>
            </w:pPr>
            <w:r>
              <w:rPr>
                <w:rFonts w:ascii="Arial" w:cs="Arial" w:eastAsia="Arial" w:hAnsi="Arial"/>
                <w:sz w:val="14"/>
                <w:szCs w:val="14"/>
                <w:color w:val="auto"/>
              </w:rPr>
              <w:t>individual</w:t>
            </w:r>
          </w:p>
        </w:tc>
      </w:tr>
      <w:tr>
        <w:trPr>
          <w:trHeight w:val="151"/>
        </w:trPr>
        <w:tc>
          <w:tcPr>
            <w:tcW w:w="280" w:type="dxa"/>
            <w:vAlign w:val="bottom"/>
          </w:tcPr>
          <w:p>
            <w:pPr>
              <w:jc w:val="center"/>
              <w:ind w:right="12"/>
              <w:spacing w:after="0" w:line="151" w:lineRule="exact"/>
              <w:rPr>
                <w:sz w:val="20"/>
                <w:szCs w:val="20"/>
                <w:color w:val="auto"/>
              </w:rPr>
            </w:pPr>
            <w:r>
              <w:rPr>
                <w:rFonts w:ascii="Arial" w:cs="Arial" w:eastAsia="Arial" w:hAnsi="Arial"/>
                <w:sz w:val="14"/>
                <w:szCs w:val="14"/>
                <w:b w:val="1"/>
                <w:bCs w:val="1"/>
                <w:color w:val="auto"/>
                <w:w w:val="89"/>
              </w:rPr>
              <w:t>All</w:t>
            </w:r>
          </w:p>
        </w:tc>
        <w:tc>
          <w:tcPr>
            <w:tcW w:w="7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All</w:t>
            </w:r>
          </w:p>
        </w:tc>
        <w:tc>
          <w:tcPr>
            <w:tcW w:w="840" w:type="dxa"/>
            <w:vAlign w:val="bottom"/>
          </w:tcPr>
          <w:p>
            <w:pPr>
              <w:jc w:val="center"/>
              <w:ind w:right="172"/>
              <w:spacing w:after="0" w:line="151" w:lineRule="exact"/>
              <w:rPr>
                <w:sz w:val="20"/>
                <w:szCs w:val="20"/>
                <w:color w:val="auto"/>
              </w:rPr>
            </w:pPr>
            <w:r>
              <w:rPr>
                <w:rFonts w:ascii="Arial" w:cs="Arial" w:eastAsia="Arial" w:hAnsi="Arial"/>
                <w:sz w:val="14"/>
                <w:szCs w:val="14"/>
                <w:b w:val="1"/>
                <w:bCs w:val="1"/>
                <w:color w:val="auto"/>
                <w:w w:val="95"/>
              </w:rPr>
              <w:t>Except</w:t>
            </w:r>
          </w:p>
        </w:tc>
        <w:tc>
          <w:tcPr>
            <w:tcW w:w="2380" w:type="dxa"/>
            <w:vAlign w:val="bottom"/>
          </w:tcPr>
          <w:p>
            <w:pPr>
              <w:spacing w:after="0" w:line="151" w:lineRule="exact"/>
              <w:rPr>
                <w:sz w:val="20"/>
                <w:szCs w:val="20"/>
                <w:color w:val="auto"/>
              </w:rPr>
            </w:pPr>
            <w:r>
              <w:rPr>
                <w:rFonts w:ascii="Arial" w:cs="Arial" w:eastAsia="Arial" w:hAnsi="Arial"/>
                <w:sz w:val="14"/>
                <w:szCs w:val="14"/>
                <w:color w:val="auto"/>
              </w:rPr>
              <w:t>nominee(s),  mark  “For  All  Except”</w:t>
            </w:r>
          </w:p>
        </w:tc>
        <w:tc>
          <w:tcPr>
            <w:tcW w:w="340" w:type="dxa"/>
            <w:vAlign w:val="bottom"/>
          </w:tcPr>
          <w:p>
            <w:pPr>
              <w:ind w:left="60"/>
              <w:spacing w:after="0" w:line="151" w:lineRule="exact"/>
              <w:rPr>
                <w:sz w:val="20"/>
                <w:szCs w:val="20"/>
                <w:color w:val="auto"/>
              </w:rPr>
            </w:pPr>
            <w:r>
              <w:rPr>
                <w:rFonts w:ascii="Arial" w:cs="Arial" w:eastAsia="Arial" w:hAnsi="Arial"/>
                <w:sz w:val="14"/>
                <w:szCs w:val="14"/>
                <w:color w:val="auto"/>
              </w:rPr>
              <w:t>and</w:t>
            </w: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write  the</w:t>
            </w:r>
          </w:p>
        </w:tc>
      </w:tr>
      <w:tr>
        <w:trPr>
          <w:trHeight w:val="180"/>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number(s) of the nominee(s) on the line below.</w:t>
            </w:r>
          </w:p>
        </w:tc>
      </w:tr>
      <w:tr>
        <w:trPr>
          <w:trHeight w:val="390"/>
        </w:trPr>
        <w:tc>
          <w:tcPr>
            <w:tcW w:w="28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ind w:right="172"/>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pacing w:after="0" w:line="348" w:lineRule="exact"/>
        <w:rPr>
          <w:sz w:val="20"/>
          <w:szCs w:val="20"/>
          <w:color w:val="auto"/>
        </w:rPr>
      </w:pPr>
    </w:p>
    <w:p>
      <w:pPr>
        <w:sectPr>
          <w:pgSz w:w="11900" w:h="16838" w:orient="portrait"/>
          <w:cols w:equalWidth="0" w:num="2">
            <w:col w:w="3540" w:space="720"/>
            <w:col w:w="7160"/>
          </w:cols>
          <w:pgMar w:left="240" w:top="455" w:right="239" w:bottom="1440" w:gutter="0" w:footer="0" w:header="0"/>
          <w:type w:val="continuous"/>
        </w:sectPr>
      </w:pPr>
    </w:p>
    <w:tbl>
      <w:tblPr>
        <w:tblLayout w:type="fixed"/>
        <w:tblInd w:w="760" w:type="dxa"/>
        <w:tblCellMar>
          <w:top w:w="0" w:type="dxa"/>
          <w:left w:w="0" w:type="dxa"/>
          <w:bottom w:w="0" w:type="dxa"/>
          <w:right w:w="0" w:type="dxa"/>
        </w:tblCellMar>
      </w:tblPr>
      <w:tr>
        <w:trPr>
          <w:trHeight w:val="161"/>
        </w:trPr>
        <w:tc>
          <w:tcPr>
            <w:tcW w:w="260" w:type="dxa"/>
            <w:vAlign w:val="bottom"/>
          </w:tcPr>
          <w:p>
            <w:pPr>
              <w:jc w:val="right"/>
              <w:ind w:right="12"/>
              <w:spacing w:after="0"/>
              <w:rPr>
                <w:sz w:val="20"/>
                <w:szCs w:val="20"/>
                <w:color w:val="auto"/>
              </w:rPr>
            </w:pPr>
            <w:r>
              <w:rPr>
                <w:rFonts w:ascii="Arial" w:cs="Arial" w:eastAsia="Arial" w:hAnsi="Arial"/>
                <w:sz w:val="14"/>
                <w:szCs w:val="14"/>
                <w:color w:val="auto"/>
                <w:w w:val="78"/>
              </w:rPr>
              <w:t>01)</w:t>
            </w:r>
          </w:p>
        </w:tc>
        <w:tc>
          <w:tcPr>
            <w:tcW w:w="1680" w:type="dxa"/>
            <w:vAlign w:val="bottom"/>
          </w:tcPr>
          <w:p>
            <w:pPr>
              <w:ind w:left="80"/>
              <w:spacing w:after="0"/>
              <w:rPr>
                <w:sz w:val="20"/>
                <w:szCs w:val="20"/>
                <w:color w:val="auto"/>
              </w:rPr>
            </w:pPr>
            <w:r>
              <w:rPr>
                <w:rFonts w:ascii="Arial" w:cs="Arial" w:eastAsia="Arial" w:hAnsi="Arial"/>
                <w:sz w:val="14"/>
                <w:szCs w:val="14"/>
                <w:color w:val="auto"/>
              </w:rPr>
              <w:t>Amy Woods Brinkley</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05)</w:t>
            </w:r>
          </w:p>
        </w:tc>
        <w:tc>
          <w:tcPr>
            <w:tcW w:w="1240" w:type="dxa"/>
            <w:vAlign w:val="bottom"/>
          </w:tcPr>
          <w:p>
            <w:pPr>
              <w:ind w:left="80"/>
              <w:spacing w:after="0"/>
              <w:rPr>
                <w:sz w:val="20"/>
                <w:szCs w:val="20"/>
                <w:color w:val="auto"/>
              </w:rPr>
            </w:pPr>
            <w:r>
              <w:rPr>
                <w:rFonts w:ascii="Arial" w:cs="Arial" w:eastAsia="Arial" w:hAnsi="Arial"/>
                <w:sz w:val="14"/>
                <w:szCs w:val="14"/>
                <w:color w:val="auto"/>
              </w:rPr>
              <w:t>Laura G. Thatcher</w:t>
            </w:r>
          </w:p>
        </w:tc>
      </w:tr>
      <w:tr>
        <w:trPr>
          <w:trHeight w:val="149"/>
        </w:trPr>
        <w:tc>
          <w:tcPr>
            <w:tcW w:w="2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8"/>
              </w:rPr>
              <w:t>02)</w:t>
            </w:r>
          </w:p>
        </w:tc>
        <w:tc>
          <w:tcPr>
            <w:tcW w:w="1680" w:type="dxa"/>
            <w:vAlign w:val="bottom"/>
          </w:tcPr>
          <w:p>
            <w:pPr>
              <w:ind w:left="80"/>
              <w:spacing w:after="0" w:line="149" w:lineRule="exact"/>
              <w:rPr>
                <w:sz w:val="20"/>
                <w:szCs w:val="20"/>
                <w:color w:val="auto"/>
              </w:rPr>
            </w:pPr>
            <w:r>
              <w:rPr>
                <w:rFonts w:ascii="Arial" w:cs="Arial" w:eastAsia="Arial" w:hAnsi="Arial"/>
                <w:sz w:val="14"/>
                <w:szCs w:val="14"/>
                <w:color w:val="auto"/>
              </w:rPr>
              <w:t>Robert D. Johnson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240" w:type="dxa"/>
            <w:vAlign w:val="bottom"/>
          </w:tcPr>
          <w:p>
            <w:pPr>
              <w:ind w:left="80"/>
              <w:spacing w:after="0" w:line="149" w:lineRule="exact"/>
              <w:rPr>
                <w:sz w:val="20"/>
                <w:szCs w:val="20"/>
                <w:color w:val="auto"/>
              </w:rPr>
            </w:pPr>
            <w:r>
              <w:rPr>
                <w:rFonts w:ascii="Arial" w:cs="Arial" w:eastAsia="Arial" w:hAnsi="Arial"/>
                <w:sz w:val="14"/>
                <w:szCs w:val="14"/>
                <w:color w:val="auto"/>
                <w:w w:val="92"/>
              </w:rPr>
              <w:t>Richard F. Wallman</w:t>
            </w:r>
          </w:p>
        </w:tc>
      </w:tr>
      <w:tr>
        <w:trPr>
          <w:trHeight w:val="165"/>
        </w:trPr>
        <w:tc>
          <w:tcPr>
            <w:tcW w:w="260" w:type="dxa"/>
            <w:vAlign w:val="bottom"/>
          </w:tcPr>
          <w:p>
            <w:pPr>
              <w:jc w:val="right"/>
              <w:ind w:right="12"/>
              <w:spacing w:after="0"/>
              <w:rPr>
                <w:sz w:val="20"/>
                <w:szCs w:val="20"/>
                <w:color w:val="auto"/>
              </w:rPr>
            </w:pPr>
            <w:r>
              <w:rPr>
                <w:rFonts w:ascii="Arial" w:cs="Arial" w:eastAsia="Arial" w:hAnsi="Arial"/>
                <w:sz w:val="14"/>
                <w:szCs w:val="14"/>
                <w:color w:val="auto"/>
                <w:w w:val="78"/>
              </w:rPr>
              <w:t>03)</w:t>
            </w:r>
          </w:p>
        </w:tc>
        <w:tc>
          <w:tcPr>
            <w:tcW w:w="1680" w:type="dxa"/>
            <w:vAlign w:val="bottom"/>
          </w:tcPr>
          <w:p>
            <w:pPr>
              <w:ind w:left="80"/>
              <w:spacing w:after="0"/>
              <w:rPr>
                <w:sz w:val="20"/>
                <w:szCs w:val="20"/>
                <w:color w:val="auto"/>
              </w:rPr>
            </w:pPr>
            <w:r>
              <w:rPr>
                <w:rFonts w:ascii="Arial" w:cs="Arial" w:eastAsia="Arial" w:hAnsi="Arial"/>
                <w:sz w:val="14"/>
                <w:szCs w:val="14"/>
                <w:color w:val="auto"/>
              </w:rPr>
              <w:t>Robert E. Knowling, Jr.</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07)</w:t>
            </w:r>
          </w:p>
        </w:tc>
        <w:tc>
          <w:tcPr>
            <w:tcW w:w="1240" w:type="dxa"/>
            <w:vAlign w:val="bottom"/>
          </w:tcPr>
          <w:p>
            <w:pPr>
              <w:ind w:left="60"/>
              <w:spacing w:after="0"/>
              <w:rPr>
                <w:sz w:val="20"/>
                <w:szCs w:val="20"/>
                <w:color w:val="auto"/>
              </w:rPr>
            </w:pPr>
            <w:r>
              <w:rPr>
                <w:rFonts w:ascii="Arial" w:cs="Arial" w:eastAsia="Arial" w:hAnsi="Arial"/>
                <w:sz w:val="14"/>
                <w:szCs w:val="14"/>
                <w:color w:val="auto"/>
                <w:w w:val="99"/>
              </w:rPr>
              <w:t>Christopher Wright</w:t>
            </w:r>
          </w:p>
        </w:tc>
      </w:tr>
    </w:tbl>
    <w:p>
      <w:pPr>
        <w:ind w:left="1100" w:hanging="347"/>
        <w:spacing w:after="0"/>
        <w:tabs>
          <w:tab w:leader="none" w:pos="11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Wilbur J. Prezzano</w:t>
      </w:r>
    </w:p>
    <w:p>
      <w:pPr>
        <w:spacing w:after="0" w:line="78"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1180" w:type="dxa"/>
            <w:vAlign w:val="bottom"/>
          </w:tcPr>
          <w:p>
            <w:pPr>
              <w:jc w:val="center"/>
              <w:ind w:left="77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80" w:type="dxa"/>
            <w:vAlign w:val="bottom"/>
          </w:tcPr>
          <w:p>
            <w:pPr>
              <w:jc w:val="center"/>
              <w:ind w:left="12"/>
              <w:spacing w:after="0"/>
              <w:rPr>
                <w:sz w:val="20"/>
                <w:szCs w:val="20"/>
                <w:color w:val="auto"/>
              </w:rPr>
            </w:pPr>
            <w:r>
              <w:rPr>
                <w:rFonts w:ascii="Arial" w:cs="Arial" w:eastAsia="Arial" w:hAnsi="Arial"/>
                <w:sz w:val="14"/>
                <w:szCs w:val="14"/>
                <w:b w:val="1"/>
                <w:bCs w:val="1"/>
                <w:color w:val="auto"/>
                <w:w w:val="97"/>
              </w:rPr>
              <w:t>Abstain</w:t>
            </w:r>
          </w:p>
        </w:tc>
      </w:tr>
      <w:tr>
        <w:trPr>
          <w:trHeight w:val="261"/>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8260" w:type="dxa"/>
            <w:vAlign w:val="bottom"/>
          </w:tcPr>
          <w:p>
            <w:pPr>
              <w:ind w:left="120"/>
              <w:spacing w:after="0"/>
              <w:rPr>
                <w:sz w:val="20"/>
                <w:szCs w:val="20"/>
                <w:color w:val="auto"/>
              </w:rPr>
            </w:pPr>
            <w:r>
              <w:rPr>
                <w:rFonts w:ascii="Arial" w:cs="Arial" w:eastAsia="Arial" w:hAnsi="Arial"/>
                <w:sz w:val="14"/>
                <w:szCs w:val="14"/>
                <w:color w:val="auto"/>
              </w:rPr>
              <w:t>To consider, on a non-binding, advisory basis, a resolution approving the compensation of our named executive officers.</w:t>
            </w:r>
          </w:p>
        </w:tc>
        <w:tc>
          <w:tcPr>
            <w:tcW w:w="1180" w:type="dxa"/>
            <w:vAlign w:val="bottom"/>
          </w:tcPr>
          <w:p>
            <w:pPr>
              <w:jc w:val="center"/>
              <w:ind w:left="7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8260" w:type="dxa"/>
            <w:vAlign w:val="bottom"/>
          </w:tcPr>
          <w:p>
            <w:pPr>
              <w:ind w:left="120"/>
              <w:spacing w:after="0"/>
              <w:rPr>
                <w:sz w:val="20"/>
                <w:szCs w:val="20"/>
                <w:color w:val="auto"/>
              </w:rPr>
            </w:pPr>
            <w:r>
              <w:rPr>
                <w:rFonts w:ascii="Arial" w:cs="Arial" w:eastAsia="Arial" w:hAnsi="Arial"/>
                <w:sz w:val="14"/>
                <w:szCs w:val="14"/>
                <w:color w:val="auto"/>
              </w:rPr>
              <w:t>To ratify the appointment of PricewaterhouseCoopers LLP as the independent registered accounting firm of the Company.</w:t>
            </w:r>
          </w:p>
        </w:tc>
        <w:tc>
          <w:tcPr>
            <w:tcW w:w="1180" w:type="dxa"/>
            <w:vAlign w:val="bottom"/>
          </w:tcPr>
          <w:p>
            <w:pPr>
              <w:jc w:val="center"/>
              <w:ind w:left="7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1"/>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AGAINST the following proposal:</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8260" w:type="dxa"/>
            <w:vAlign w:val="bottom"/>
          </w:tcPr>
          <w:p>
            <w:pPr>
              <w:ind w:left="120"/>
              <w:spacing w:after="0"/>
              <w:rPr>
                <w:sz w:val="20"/>
                <w:szCs w:val="20"/>
                <w:color w:val="auto"/>
              </w:rPr>
            </w:pPr>
            <w:r>
              <w:rPr>
                <w:rFonts w:ascii="Arial" w:cs="Arial" w:eastAsia="Arial" w:hAnsi="Arial"/>
                <w:sz w:val="14"/>
                <w:szCs w:val="14"/>
                <w:color w:val="auto"/>
              </w:rPr>
              <w:t>To consider a shareholder proposal; if properly presented at the Annual Meeting.</w:t>
            </w:r>
          </w:p>
        </w:tc>
        <w:tc>
          <w:tcPr>
            <w:tcW w:w="1180" w:type="dxa"/>
            <w:vAlign w:val="bottom"/>
          </w:tcPr>
          <w:p>
            <w:pPr>
              <w:jc w:val="center"/>
              <w:ind w:left="7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4" w:lineRule="exact"/>
        <w:rPr>
          <w:sz w:val="20"/>
          <w:szCs w:val="20"/>
          <w:color w:val="auto"/>
        </w:rPr>
      </w:pPr>
    </w:p>
    <w:p>
      <w:pPr>
        <w:ind w:left="760" w:hanging="358"/>
        <w:spacing w:after="0"/>
        <w:tabs>
          <w:tab w:leader="none" w:pos="7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transact any other business properly brought before the meeting.</w:t>
      </w:r>
    </w:p>
    <w:p>
      <w:pPr>
        <w:spacing w:after="0" w:line="40" w:lineRule="exact"/>
        <w:rPr>
          <w:sz w:val="20"/>
          <w:szCs w:val="20"/>
          <w:color w:val="auto"/>
        </w:rPr>
      </w:pPr>
    </w:p>
    <w:p>
      <w:pPr>
        <w:jc w:val="both"/>
        <w:ind w:left="400" w:right="1740"/>
        <w:spacing w:after="0" w:line="23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shares represented by this proxy, when properly executed, will be voted in the manner directed herein by the undersigned Shareholder(s).</w:t>
      </w:r>
      <w:r>
        <w:rPr>
          <w:rFonts w:ascii="Arial" w:cs="Arial" w:eastAsia="Arial" w:hAnsi="Arial"/>
          <w:sz w:val="14"/>
          <w:szCs w:val="14"/>
          <w:b w:val="1"/>
          <w:bCs w:val="1"/>
          <w:color w:val="auto"/>
        </w:rPr>
        <w:t xml:space="preserve"> If no direction is made, this proxy will be voted FOR all nominees listed and FOR Proposals 2 and 3, and AGAINST Proposal 4. </w:t>
      </w:r>
      <w:r>
        <w:rPr>
          <w:rFonts w:ascii="Arial" w:cs="Arial" w:eastAsia="Arial" w:hAnsi="Arial"/>
          <w:sz w:val="14"/>
          <w:szCs w:val="14"/>
          <w:color w:val="auto"/>
        </w:rPr>
        <w:t>If any other matters</w:t>
      </w:r>
      <w:r>
        <w:rPr>
          <w:rFonts w:ascii="Arial" w:cs="Arial" w:eastAsia="Arial" w:hAnsi="Arial"/>
          <w:sz w:val="14"/>
          <w:szCs w:val="14"/>
          <w:b w:val="1"/>
          <w:bCs w:val="1"/>
          <w:color w:val="auto"/>
        </w:rPr>
        <w:t xml:space="preserve"> </w:t>
      </w:r>
      <w:r>
        <w:rPr>
          <w:rFonts w:ascii="Arial" w:cs="Arial" w:eastAsia="Arial" w:hAnsi="Arial"/>
          <w:sz w:val="14"/>
          <w:szCs w:val="14"/>
          <w:color w:val="auto"/>
        </w:rPr>
        <w:t>properly come before the meeting, the person(s) named in this proxy will vote in their discretion.</w:t>
      </w:r>
    </w:p>
    <w:p>
      <w:pPr>
        <w:spacing w:after="0" w:line="71" w:lineRule="exact"/>
        <w:rPr>
          <w:sz w:val="20"/>
          <w:szCs w:val="20"/>
          <w:color w:val="auto"/>
        </w:rPr>
      </w:pPr>
    </w:p>
    <w:p>
      <w:pPr>
        <w:ind w:left="400"/>
        <w:spacing w:after="0" w:line="161" w:lineRule="exact"/>
        <w:tabs>
          <w:tab w:leader="none" w:pos="5600" w:val="left"/>
        </w:tabs>
        <w:rPr>
          <w:sz w:val="20"/>
          <w:szCs w:val="20"/>
          <w:color w:val="auto"/>
        </w:rPr>
      </w:pPr>
      <w:r>
        <w:rPr>
          <w:rFonts w:ascii="Arial" w:cs="Arial" w:eastAsia="Arial" w:hAnsi="Arial"/>
          <w:sz w:val="14"/>
          <w:szCs w:val="14"/>
          <w:color w:val="auto"/>
        </w:rPr>
        <w:t>For address changes and/or comments, please check this box and write them on</w:t>
      </w:r>
      <w:r>
        <w:rPr>
          <w:sz w:val="20"/>
          <w:szCs w:val="20"/>
          <w:color w:val="auto"/>
        </w:rPr>
        <w:tab/>
      </w:r>
      <w:r>
        <w:rPr>
          <w:rFonts w:ascii="MS PGothic" w:cs="MS PGothic" w:eastAsia="MS PGothic" w:hAnsi="MS PGothic"/>
          <w:sz w:val="12"/>
          <w:szCs w:val="12"/>
          <w:color w:val="auto"/>
        </w:rPr>
        <w: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back where indicated.</w:t>
      </w:r>
    </w:p>
    <w:p>
      <w:pPr>
        <w:spacing w:after="0" w:line="60" w:lineRule="exact"/>
        <w:rPr>
          <w:sz w:val="20"/>
          <w:szCs w:val="20"/>
          <w:color w:val="auto"/>
        </w:rPr>
      </w:pPr>
    </w:p>
    <w:p>
      <w:pPr>
        <w:ind w:left="400"/>
        <w:spacing w:after="0" w:line="161" w:lineRule="exact"/>
        <w:tabs>
          <w:tab w:leader="none" w:pos="4380" w:val="left"/>
          <w:tab w:leader="none" w:pos="494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3"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Please sign your name exactly as it appears hereon. When signing as attorney, executor,</w:t>
      </w:r>
    </w:p>
    <w:p>
      <w:pPr>
        <w:ind w:left="400"/>
        <w:spacing w:after="0" w:line="226" w:lineRule="auto"/>
        <w:rPr>
          <w:sz w:val="20"/>
          <w:szCs w:val="20"/>
          <w:color w:val="auto"/>
        </w:rPr>
      </w:pPr>
      <w:r>
        <w:rPr>
          <w:rFonts w:ascii="Arial" w:cs="Arial" w:eastAsia="Arial" w:hAnsi="Arial"/>
          <w:sz w:val="14"/>
          <w:szCs w:val="14"/>
          <w:color w:val="auto"/>
        </w:rPr>
        <w:t>administrator, trustee or guardian, please add your title as such. When signing as joint</w:t>
      </w:r>
    </w:p>
    <w:p>
      <w:pPr>
        <w:ind w:left="400"/>
        <w:spacing w:after="0" w:line="222" w:lineRule="auto"/>
        <w:rPr>
          <w:sz w:val="20"/>
          <w:szCs w:val="20"/>
          <w:color w:val="auto"/>
        </w:rPr>
      </w:pPr>
      <w:r>
        <w:rPr>
          <w:rFonts w:ascii="Arial" w:cs="Arial" w:eastAsia="Arial" w:hAnsi="Arial"/>
          <w:sz w:val="14"/>
          <w:szCs w:val="14"/>
          <w:color w:val="auto"/>
        </w:rPr>
        <w:t>tenants, all parties in the joint tenancy must sign. If a signer is a corporation, please sign in</w:t>
      </w:r>
    </w:p>
    <w:p>
      <w:pPr>
        <w:ind w:left="400"/>
        <w:spacing w:after="0"/>
        <w:rPr>
          <w:sz w:val="20"/>
          <w:szCs w:val="20"/>
          <w:color w:val="auto"/>
        </w:rPr>
      </w:pPr>
      <w:r>
        <w:rPr>
          <w:rFonts w:ascii="Arial" w:cs="Arial" w:eastAsia="Arial" w:hAnsi="Arial"/>
          <w:sz w:val="14"/>
          <w:szCs w:val="14"/>
          <w:color w:val="auto"/>
        </w:rPr>
        <w:t>full corporate name by duly authorized officer.</w:t>
      </w:r>
    </w:p>
    <w:p>
      <w:pPr>
        <w:spacing w:after="0" w:line="200" w:lineRule="exact"/>
        <w:rPr>
          <w:sz w:val="20"/>
          <w:szCs w:val="20"/>
          <w:color w:val="auto"/>
        </w:rPr>
      </w:pPr>
    </w:p>
    <w:p>
      <w:pPr>
        <w:spacing w:after="0" w:line="312" w:lineRule="exact"/>
        <w:rPr>
          <w:sz w:val="20"/>
          <w:szCs w:val="20"/>
          <w:color w:val="auto"/>
        </w:rPr>
      </w:pPr>
    </w:p>
    <w:p>
      <w:pPr>
        <w:ind w:left="340"/>
        <w:spacing w:after="0"/>
        <w:tabs>
          <w:tab w:leader="none" w:pos="3800" w:val="left"/>
          <w:tab w:leader="none" w:pos="5960" w:val="left"/>
          <w:tab w:leader="none" w:pos="89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5" w:right="2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 to be</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Held on May 29, 2015:</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Notice and Proxy Statement and Annual Report to Shareholders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M91845-P65742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44450</wp:posOffset>
            </wp:positionV>
            <wp:extent cx="7276465" cy="3091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6465" cy="30911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left="420" w:right="2520"/>
        <w:spacing w:after="0" w:line="264" w:lineRule="auto"/>
        <w:rPr>
          <w:sz w:val="20"/>
          <w:szCs w:val="20"/>
          <w:color w:val="auto"/>
        </w:rPr>
      </w:pPr>
      <w:r>
        <w:rPr>
          <w:rFonts w:ascii="Arial" w:cs="Arial" w:eastAsia="Arial" w:hAnsi="Arial"/>
          <w:sz w:val="18"/>
          <w:szCs w:val="18"/>
          <w:b w:val="1"/>
          <w:bCs w:val="1"/>
          <w:color w:val="auto"/>
        </w:rPr>
        <w:t>THIS PROXY IS SOLICITED ON BEHALF OF THE BOARD OF DIRECTORS ANNUAL MEETING OF SHAREHOLDERS MAY 29, 2015</w:t>
      </w:r>
    </w:p>
    <w:p>
      <w:pPr>
        <w:spacing w:after="0" w:line="316" w:lineRule="exact"/>
        <w:rPr>
          <w:sz w:val="20"/>
          <w:szCs w:val="20"/>
          <w:color w:val="auto"/>
        </w:rPr>
      </w:pPr>
    </w:p>
    <w:p>
      <w:pPr>
        <w:jc w:val="both"/>
        <w:ind w:left="280" w:right="100"/>
        <w:spacing w:after="0" w:line="246" w:lineRule="auto"/>
        <w:rPr>
          <w:sz w:val="20"/>
          <w:szCs w:val="20"/>
          <w:color w:val="auto"/>
        </w:rPr>
      </w:pPr>
      <w:r>
        <w:rPr>
          <w:rFonts w:ascii="Arial" w:cs="Arial" w:eastAsia="Arial" w:hAnsi="Arial"/>
          <w:sz w:val="18"/>
          <w:szCs w:val="18"/>
          <w:color w:val="auto"/>
        </w:rPr>
        <w:t>The undersigned hereby authorize(s) BRIAN D. JELLISON and DAVID B. LINER, or either of them, as proxies, and each with full power of substitution and revocation, to represent and vote the shares of common stock the undersigned would be entitled to vote if personally present at the Annual Meeting of Shareholders to be held on May 29, 2015, at 6901 Professional Parkway East, Suite 200, Sarasota, Florida 34240 at 11:30 a.m. (local time) and at any adjournments or postponements thereof.</w:t>
      </w:r>
    </w:p>
    <w:p>
      <w:pPr>
        <w:spacing w:after="0" w:line="122" w:lineRule="exact"/>
        <w:rPr>
          <w:sz w:val="20"/>
          <w:szCs w:val="20"/>
          <w:color w:val="auto"/>
        </w:rPr>
      </w:pPr>
    </w:p>
    <w:p>
      <w:pPr>
        <w:jc w:val="both"/>
        <w:ind w:left="280" w:right="100"/>
        <w:spacing w:after="0" w:line="258" w:lineRule="auto"/>
        <w:rPr>
          <w:sz w:val="20"/>
          <w:szCs w:val="20"/>
          <w:color w:val="auto"/>
        </w:rPr>
      </w:pPr>
      <w:r>
        <w:rPr>
          <w:rFonts w:ascii="Arial" w:cs="Arial" w:eastAsia="Arial" w:hAnsi="Arial"/>
          <w:sz w:val="18"/>
          <w:szCs w:val="18"/>
          <w:b w:val="1"/>
          <w:bCs w:val="1"/>
          <w:color w:val="auto"/>
        </w:rPr>
        <w:t>THIS PROXY, WHEN PROPERLY EXECUTED, WILL BE VOTED AS DIRECTED BY THE SHAREHOLDER. IF NO SUCH DIRECTIONS ARE MADE, THIS PROXY WILL BE VOTED FOR THE ELECTION OF THE NOMINEES LISTED ON THE REVERSE SIDE, FOR PROPOSALS 2 AND 3, AND AGAINST PROPOSAL 4.</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37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20"/>
      </w:cols>
      <w:pgMar w:left="240" w:top="4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lvl w:ilvl="1">
      <w:lvlJc w:val="left"/>
      <w:lvlText w:val="(%2)"/>
      <w:numFmt w:val="decimal"/>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1"/>
      <w:numFmt w:val="decimal"/>
      <w:start w:val="12"/>
    </w:lvl>
  </w:abstractNum>
  <w:abstractNum w:abstractNumId="5">
    <w:nsid w:val="4F4EF005"/>
    <w:multiLevelType w:val="hybridMultilevel"/>
    <w:lvl w:ilvl="0">
      <w:lvlJc w:val="left"/>
      <w:lvlText w:val="%1"/>
      <w:numFmt w:val="decimal"/>
      <w:start w:val="30"/>
    </w:lvl>
  </w:abstractNum>
  <w:abstractNum w:abstractNumId="6">
    <w:nsid w:val="23F9C13C"/>
    <w:multiLevelType w:val="hybridMultilevel"/>
    <w:lvl w:ilvl="0">
      <w:lvlJc w:val="left"/>
      <w:lvlText w:val="%1:"/>
      <w:numFmt w:val="decimal"/>
      <w:start w:val="2"/>
    </w:lvl>
  </w:abstractNum>
  <w:abstractNum w:abstractNumId="7">
    <w:nsid w:val="649BB77C"/>
    <w:multiLevelType w:val="hybridMultilevel"/>
    <w:lvl w:ilvl="0">
      <w:lvlJc w:val="left"/>
      <w:lvlText w:val="%1:"/>
      <w:numFmt w:val="decimal"/>
      <w:start w:val="3"/>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1:"/>
      <w:numFmt w:val="upperLetter"/>
      <w:start w:val="1"/>
    </w:lvl>
  </w:abstractNum>
  <w:abstractNum w:abstractNumId="13">
    <w:nsid w:val="47398C89"/>
    <w:multiLevelType w:val="hybridMultilevel"/>
    <w:lvl w:ilvl="0">
      <w:lvlJc w:val="left"/>
      <w:lvlText w:val="%1:"/>
      <w:numFmt w:val="upperLetter"/>
      <w:start w:val="1"/>
    </w:lvl>
    <w:lvl w:ilvl="1">
      <w:lvlJc w:val="left"/>
      <w:lvlText w:val="%2."/>
      <w:numFmt w:val="decimal"/>
      <w:start w:val="1"/>
    </w:lvl>
  </w:abstractNum>
  <w:abstractNum w:abstractNumId="14">
    <w:nsid w:val="354FE9F9"/>
    <w:multiLevelType w:val="hybridMultilevel"/>
    <w:lvl w:ilvl="0">
      <w:lvlJc w:val="left"/>
      <w:lvlText w:val="%1:"/>
      <w:numFmt w:val="upperLetter"/>
      <w:start w:val="17"/>
    </w:lvl>
  </w:abstractNum>
  <w:abstractNum w:abstractNumId="15">
    <w:nsid w:val="15B5AF5C"/>
    <w:multiLevelType w:val="hybridMultilevel"/>
    <w:lvl w:ilvl="0">
      <w:lvlJc w:val="left"/>
      <w:lvlText w:val="%1."/>
      <w:numFmt w:val="upperLetter"/>
      <w:start w:val="1"/>
    </w:lvl>
  </w:abstractNum>
  <w:abstractNum w:abstractNumId="16">
    <w:nsid w:val="741226BB"/>
    <w:multiLevelType w:val="hybridMultilevel"/>
    <w:lvl w:ilvl="0">
      <w:lvlJc w:val="left"/>
      <w:lvlText w:val="%1:"/>
      <w:numFmt w:val="upperLetter"/>
      <w:start w:val="1"/>
    </w:lvl>
  </w:abstractNum>
  <w:abstractNum w:abstractNumId="17">
    <w:nsid w:val="D34B6A8"/>
    <w:multiLevelType w:val="hybridMultilevel"/>
    <w:lvl w:ilvl="0">
      <w:lvlJc w:val="left"/>
      <w:lvlText w:val="%1."/>
      <w:numFmt w:val="upperLetter"/>
      <w:start w:val="1"/>
    </w:lvl>
  </w:abstractNum>
  <w:abstractNum w:abstractNumId="18">
    <w:nsid w:val="10233C99"/>
    <w:multiLevelType w:val="hybridMultilevel"/>
    <w:lvl w:ilvl="0">
      <w:lvlJc w:val="left"/>
      <w:lvlText w:val="%1."/>
      <w:numFmt w:val="upperLetter"/>
      <w:start w:val="1"/>
    </w:lvl>
  </w:abstractNum>
  <w:abstractNum w:abstractNumId="19">
    <w:nsid w:val="3F6AB60F"/>
    <w:multiLevelType w:val="hybridMultilevel"/>
    <w:lvl w:ilvl="0">
      <w:lvlJc w:val="left"/>
      <w:lvlText w:val="%1:"/>
      <w:numFmt w:val="upperLetter"/>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1:"/>
      <w:numFmt w:val="upperLetter"/>
      <w:start w:val="1"/>
    </w:lvl>
  </w:abstractNum>
  <w:abstractNum w:abstractNumId="22">
    <w:nsid w:val="77AE35EB"/>
    <w:multiLevelType w:val="hybridMultilevel"/>
    <w:lvl w:ilvl="0">
      <w:lvlJc w:val="left"/>
      <w:lvlText w:val="%1:"/>
      <w:numFmt w:val="upperLetter"/>
      <w:start w:val="17"/>
    </w:lvl>
  </w:abstractNum>
  <w:abstractNum w:abstractNumId="23">
    <w:nsid w:val="579BE4F1"/>
    <w:multiLevelType w:val="hybridMultilevel"/>
    <w:lvl w:ilvl="0">
      <w:lvlJc w:val="left"/>
      <w:lvlText w:val="%1:"/>
      <w:numFmt w:val="upperLetter"/>
      <w:start w:val="1"/>
    </w:lvl>
  </w:abstractNum>
  <w:abstractNum w:abstractNumId="24">
    <w:nsid w:val="310C50B3"/>
    <w:multiLevelType w:val="hybridMultilevel"/>
    <w:lvl w:ilvl="0">
      <w:lvlJc w:val="left"/>
      <w:lvlText w:val="%1:"/>
      <w:numFmt w:val="upperLetter"/>
      <w:start w:val="1"/>
    </w:lvl>
  </w:abstractNum>
  <w:abstractNum w:abstractNumId="25">
    <w:nsid w:val="5FF87E05"/>
    <w:multiLevelType w:val="hybridMultilevel"/>
    <w:lvl w:ilvl="0">
      <w:lvlJc w:val="left"/>
      <w:lvlText w:val="%1:"/>
      <w:numFmt w:val="upperLetter"/>
      <w:start w:val="1"/>
    </w:lvl>
  </w:abstractNum>
  <w:abstractNum w:abstractNumId="26">
    <w:nsid w:val="2F305DEF"/>
    <w:multiLevelType w:val="hybridMultilevel"/>
    <w:lvl w:ilvl="0">
      <w:lvlJc w:val="left"/>
      <w:lvlText w:val="%1:"/>
      <w:numFmt w:val="upperLetter"/>
      <w:start w:val="17"/>
    </w:lvl>
  </w:abstractNum>
  <w:abstractNum w:abstractNumId="27">
    <w:nsid w:val="25A70BF7"/>
    <w:multiLevelType w:val="hybridMultilevel"/>
    <w:lvl w:ilvl="0">
      <w:lvlJc w:val="left"/>
      <w:lvlText w:val="%1."/>
      <w:numFmt w:val="upperLetter"/>
      <w:start w:val="1"/>
    </w:lvl>
  </w:abstractNum>
  <w:abstractNum w:abstractNumId="28">
    <w:nsid w:val="1DBABF00"/>
    <w:multiLevelType w:val="hybridMultilevel"/>
    <w:lvl w:ilvl="0">
      <w:lvlJc w:val="left"/>
      <w:lvlText w:val="%1:"/>
      <w:numFmt w:val="upperLetter"/>
      <w:start w:val="17"/>
    </w:lvl>
  </w:abstractNum>
  <w:abstractNum w:abstractNumId="29">
    <w:nsid w:val="4AD084E9"/>
    <w:multiLevelType w:val="hybridMultilevel"/>
    <w:lvl w:ilvl="0">
      <w:lvlJc w:val="left"/>
      <w:lvlText w:val="%1."/>
      <w:numFmt w:val="upperLetter"/>
      <w:start w:val="1"/>
    </w:lvl>
  </w:abstractNum>
  <w:abstractNum w:abstractNumId="30">
    <w:nsid w:val="1F48EAA1"/>
    <w:multiLevelType w:val="hybridMultilevel"/>
    <w:lvl w:ilvl="0">
      <w:lvlJc w:val="left"/>
      <w:lvlText w:val="%1:"/>
      <w:numFmt w:val="upperLetter"/>
      <w:start w:val="17"/>
    </w:lvl>
  </w:abstractNum>
  <w:abstractNum w:abstractNumId="31">
    <w:nsid w:val="1381823A"/>
    <w:multiLevelType w:val="hybridMultilevel"/>
    <w:lvl w:ilvl="0">
      <w:lvlJc w:val="left"/>
      <w:lvlText w:val="%1."/>
      <w:numFmt w:val="upperLetter"/>
      <w:start w:val="1"/>
    </w:lvl>
  </w:abstractNum>
  <w:abstractNum w:abstractNumId="32">
    <w:nsid w:val="5DB70AE5"/>
    <w:multiLevelType w:val="hybridMultilevel"/>
    <w:lvl w:ilvl="0">
      <w:lvlJc w:val="left"/>
      <w:lvlText w:val="%1:"/>
      <w:numFmt w:val="upperLetter"/>
      <w:start w:val="17"/>
    </w:lvl>
  </w:abstractNum>
  <w:abstractNum w:abstractNumId="33">
    <w:nsid w:val="100F8FCA"/>
    <w:multiLevelType w:val="hybridMultilevel"/>
    <w:lvl w:ilvl="0">
      <w:lvlJc w:val="left"/>
      <w:lvlText w:val="%1:"/>
      <w:numFmt w:val="upperLetter"/>
      <w:start w:val="1"/>
    </w:lvl>
  </w:abstractNum>
  <w:abstractNum w:abstractNumId="34">
    <w:nsid w:val="6590700B"/>
    <w:multiLevelType w:val="hybridMultilevel"/>
    <w:lvl w:ilvl="0">
      <w:lvlJc w:val="left"/>
      <w:lvlText w:val="%1:"/>
      <w:numFmt w:val="upperLetter"/>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decimal"/>
      <w:start w:val="1"/>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decimal"/>
      <w:start w:val="4"/>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decimal"/>
      <w:start w:val="1"/>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1"/>
    </w:lvl>
  </w:abstractNum>
  <w:abstractNum w:abstractNumId="84">
    <w:nsid w:val="60EF0119"/>
    <w:multiLevelType w:val="hybridMultilevel"/>
    <w:lvl w:ilvl="0">
      <w:lvlJc w:val="left"/>
      <w:lvlText w:val="(%1)"/>
      <w:numFmt w:val="upperLetter"/>
      <w:start w:val="9"/>
    </w:lvl>
  </w:abstractNum>
  <w:abstractNum w:abstractNumId="85">
    <w:nsid w:val="26F324BA"/>
    <w:multiLevelType w:val="hybridMultilevel"/>
    <w:lvl w:ilvl="0">
      <w:lvlJc w:val="left"/>
      <w:lvlText w:val="(%1)"/>
      <w:numFmt w:val="upperLetter"/>
      <w:start w:val="35"/>
    </w:lvl>
  </w:abstractNum>
  <w:abstractNum w:abstractNumId="86">
    <w:nsid w:val="7F01579B"/>
    <w:multiLevelType w:val="hybridMultilevel"/>
    <w:lvl w:ilvl="0">
      <w:lvlJc w:val="left"/>
      <w:lvlText w:val="(%1)"/>
      <w:numFmt w:val="decimal"/>
      <w:start w:val="6"/>
    </w:lvl>
    <w:lvl w:ilvl="1">
      <w:lvlJc w:val="left"/>
      <w:lvlText w:val="(%2)"/>
      <w:numFmt w:val="upperLetter"/>
      <w:start w:val="9"/>
    </w:lvl>
  </w:abstractNum>
  <w:abstractNum w:abstractNumId="87">
    <w:nsid w:val="49DA307D"/>
    <w:multiLevelType w:val="hybridMultilevel"/>
    <w:lvl w:ilvl="0">
      <w:lvlJc w:val="left"/>
      <w:lvlText w:val="%1"/>
      <w:numFmt w:val="decimal"/>
      <w:start w:val="1"/>
    </w:lvl>
    <w:lvl w:ilvl="1">
      <w:lvlJc w:val="left"/>
      <w:lvlText w:val="(%2)"/>
      <w:numFmt w:val="upperLetter"/>
      <w:start w:val="35"/>
    </w:lvl>
  </w:abstractNum>
  <w:abstractNum w:abstractNumId="88">
    <w:nsid w:val="7055A5F5"/>
    <w:multiLevelType w:val="hybridMultilevel"/>
    <w:lvl w:ilvl="0">
      <w:lvlJc w:val="left"/>
      <w:lvlText w:val="(%1)"/>
      <w:numFmt w:val="decimal"/>
      <w:start w:val="7"/>
    </w:lvl>
    <w:lvl w:ilvl="1">
      <w:lvlJc w:val="left"/>
      <w:lvlText w:val="(%2)"/>
      <w:numFmt w:val="upperLetter"/>
      <w:start w:val="9"/>
    </w:lvl>
  </w:abstractNum>
  <w:abstractNum w:abstractNumId="89">
    <w:nsid w:val="5FB8370B"/>
    <w:multiLevelType w:val="hybridMultilevel"/>
    <w:lvl w:ilvl="0">
      <w:lvlJc w:val="left"/>
      <w:lvlText w:val="%1"/>
      <w:numFmt w:val="decimal"/>
      <w:start w:val="1"/>
    </w:lvl>
    <w:lvl w:ilvl="1">
      <w:lvlJc w:val="left"/>
      <w:lvlText w:val="(%2)"/>
      <w:numFmt w:val="upperLetter"/>
      <w:start w:val="35"/>
    </w:lvl>
  </w:abstractNum>
  <w:abstractNum w:abstractNumId="90">
    <w:nsid w:val="50801EE1"/>
    <w:multiLevelType w:val="hybridMultilevel"/>
    <w:lvl w:ilvl="0">
      <w:lvlJc w:val="left"/>
      <w:lvlText w:val="(%1)"/>
      <w:numFmt w:val="decimal"/>
      <w:start w:val="8"/>
    </w:lvl>
    <w:lvl w:ilvl="1">
      <w:lvlJc w:val="left"/>
      <w:lvlText w:val="%2"/>
      <w:numFmt w:val="upperLetter"/>
      <w:start w:val="1"/>
    </w:lvl>
  </w:abstractNum>
  <w:abstractNum w:abstractNumId="91">
    <w:nsid w:val="488AC1A"/>
    <w:multiLevelType w:val="hybridMultilevel"/>
    <w:lvl w:ilvl="0">
      <w:lvlJc w:val="left"/>
      <w:lvlText w:val="(%1)"/>
      <w:numFmt w:val="decimal"/>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
      <w:numFmt w:val="bullet"/>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decimal"/>
      <w:start w:val="4"/>
    </w:lvl>
  </w:abstractNum>
  <w:abstractNum w:abstractNumId="102">
    <w:nsid w:val="3FA62AC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2020-01-23T08:23:28Z</dcterms:created>
  <dcterms:modified xsi:type="dcterms:W3CDTF">2020-01-23T08:23:28Z</dcterms:modified>
</cp:coreProperties>
</file>