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12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jc w:val="center"/>
        <w:ind w:right="-110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ind w:left="12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rFonts w:ascii="Arial" w:cs="Arial" w:eastAsia="Arial" w:hAnsi="Arial"/>
          <w:sz w:val="17"/>
          <w:szCs w:val="17"/>
          <w:color w:val="auto"/>
        </w:rPr>
        <w:t xml:space="preserve">            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ind w:left="120"/>
        <w:spacing w:after="0"/>
        <w:rPr>
          <w:sz w:val="20"/>
          <w:szCs w:val="20"/>
          <w:color w:val="auto"/>
        </w:rPr>
      </w:pPr>
      <w:r>
        <w:rPr>
          <w:rFonts w:ascii="Arial" w:cs="Arial" w:eastAsia="Arial" w:hAnsi="Arial"/>
          <w:sz w:val="17"/>
          <w:szCs w:val="17"/>
          <w:color w:val="auto"/>
        </w:rPr>
        <w:t>Check the appropriate box:</w:t>
      </w:r>
    </w:p>
    <w:p>
      <w:pPr>
        <w:spacing w:after="0" w:line="142"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36"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0" w:lineRule="exact"/>
        <w:rPr>
          <w:rFonts w:ascii="MS PGothic" w:cs="MS PGothic" w:eastAsia="MS PGothic" w:hAnsi="MS PGothic"/>
          <w:sz w:val="17"/>
          <w:szCs w:val="17"/>
          <w:color w:val="auto"/>
        </w:rPr>
      </w:pPr>
    </w:p>
    <w:p>
      <w:pPr>
        <w:ind w:left="12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20" w:lineRule="exact"/>
        <w:rPr>
          <w:rFonts w:ascii="MS PGothic" w:cs="MS PGothic" w:eastAsia="MS PGothic" w:hAnsi="MS PGothic"/>
          <w:sz w:val="17"/>
          <w:szCs w:val="17"/>
          <w:color w:val="auto"/>
        </w:rPr>
      </w:pPr>
    </w:p>
    <w:p>
      <w:pPr>
        <w:ind w:left="560" w:hanging="444"/>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 240.14a-12</w:t>
      </w:r>
    </w:p>
    <w:p>
      <w:pPr>
        <w:spacing w:after="0" w:line="64"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ROPER TECHNOLOGIES, INC.</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(Formerly Roper Industries, Inc.)</w:t>
      </w: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3"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7"/>
          <w:szCs w:val="17"/>
          <w:color w:val="auto"/>
        </w:rPr>
        <w:t>Payment of Filing Fee (Check all boxes that apply):</w:t>
      </w:r>
    </w:p>
    <w:p>
      <w:pPr>
        <w:spacing w:after="0" w:line="115" w:lineRule="exact"/>
        <w:rPr>
          <w:sz w:val="24"/>
          <w:szCs w:val="24"/>
          <w:color w:val="auto"/>
        </w:rPr>
      </w:pPr>
    </w:p>
    <w:p>
      <w:pPr>
        <w:ind w:left="420" w:hanging="304"/>
        <w:spacing w:after="0"/>
        <w:tabs>
          <w:tab w:leader="none" w:pos="4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142" w:lineRule="exact"/>
        <w:rPr>
          <w:sz w:val="24"/>
          <w:szCs w:val="24"/>
          <w:color w:val="auto"/>
        </w:rPr>
      </w:pPr>
    </w:p>
    <w:p>
      <w:pPr>
        <w:ind w:left="420" w:hanging="304"/>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42" w:lineRule="exact"/>
        <w:rPr>
          <w:rFonts w:ascii="MS PGothic" w:cs="MS PGothic" w:eastAsia="MS PGothic" w:hAnsi="MS PGothic"/>
          <w:sz w:val="17"/>
          <w:szCs w:val="17"/>
          <w:color w:val="auto"/>
        </w:rPr>
      </w:pPr>
    </w:p>
    <w:p>
      <w:pPr>
        <w:ind w:left="420" w:hanging="304"/>
        <w:spacing w:after="0"/>
        <w:tabs>
          <w:tab w:leader="none" w:pos="4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181610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42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501"/>
        </w:trPr>
        <w:tc>
          <w:tcPr>
            <w:tcW w:w="5600" w:type="dxa"/>
            <w:vAlign w:val="bottom"/>
            <w:gridSpan w:val="2"/>
          </w:tcPr>
          <w:p>
            <w:pPr>
              <w:ind w:left="120"/>
              <w:spacing w:after="0"/>
              <w:rPr>
                <w:sz w:val="20"/>
                <w:szCs w:val="20"/>
                <w:color w:val="auto"/>
              </w:rPr>
            </w:pPr>
            <w:r>
              <w:rPr>
                <w:rFonts w:ascii="Arial" w:cs="Arial" w:eastAsia="Arial" w:hAnsi="Arial"/>
                <w:sz w:val="18"/>
                <w:szCs w:val="18"/>
                <w:b w:val="1"/>
                <w:bCs w:val="1"/>
                <w:color w:val="auto"/>
              </w:rPr>
              <w:t>6496 University Parkway</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Telephone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556-2601</w:t>
            </w:r>
          </w:p>
        </w:tc>
      </w:tr>
      <w:tr>
        <w:trPr>
          <w:trHeight w:val="247"/>
        </w:trPr>
        <w:tc>
          <w:tcPr>
            <w:tcW w:w="5600" w:type="dxa"/>
            <w:vAlign w:val="bottom"/>
            <w:gridSpan w:val="2"/>
          </w:tcPr>
          <w:p>
            <w:pPr>
              <w:ind w:left="120"/>
              <w:spacing w:after="0"/>
              <w:rPr>
                <w:sz w:val="20"/>
                <w:szCs w:val="20"/>
                <w:color w:val="auto"/>
              </w:rPr>
            </w:pPr>
            <w:r>
              <w:rPr>
                <w:rFonts w:ascii="Arial" w:cs="Arial" w:eastAsia="Arial" w:hAnsi="Arial"/>
                <w:sz w:val="18"/>
                <w:szCs w:val="18"/>
                <w:b w:val="1"/>
                <w:bCs w:val="1"/>
                <w:color w:val="auto"/>
              </w:rPr>
              <w:t>Sarasota, Florida 34240</w:t>
            </w:r>
          </w:p>
        </w:tc>
        <w:tc>
          <w:tcPr>
            <w:tcW w:w="4740" w:type="dxa"/>
            <w:vAlign w:val="bottom"/>
          </w:tcPr>
          <w:p>
            <w:pPr>
              <w:jc w:val="right"/>
              <w:spacing w:after="0"/>
              <w:rPr>
                <w:sz w:val="20"/>
                <w:szCs w:val="20"/>
                <w:color w:val="auto"/>
              </w:rPr>
            </w:pPr>
            <w:r>
              <w:rPr>
                <w:rFonts w:ascii="Arial" w:cs="Arial" w:eastAsia="Arial" w:hAnsi="Arial"/>
                <w:sz w:val="18"/>
                <w:szCs w:val="18"/>
                <w:b w:val="1"/>
                <w:bCs w:val="1"/>
                <w:color w:val="auto"/>
              </w:rPr>
              <w:t>Fax (941)</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556-2670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-273050</wp:posOffset>
            </wp:positionV>
            <wp:extent cx="101981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30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Roper Technologies, Inc.</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2024</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Dear Fellow Shareholders:</w:t>
      </w:r>
    </w:p>
    <w:p>
      <w:pPr>
        <w:spacing w:after="0" w:line="102"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color w:val="auto"/>
        </w:rPr>
        <w:t>As your Board of Directors, we oversee Roper’s efforts to continually create sustainable long-term value for you. Together with our management team, we continuously enhance and efficiently execute our strategy through prudent risk management, disciplined capital deployment, sound strategic thinking, disciplined operational rigor, performance-driven compensation programs, effective talent and succession planning, adherence to the highest ethical standards and levels of integrity, and ongoing review and refinement of the Board’s governance practices.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 for Long-Term and Elite Value Creation for Shareholders</w:t>
      </w:r>
    </w:p>
    <w:p>
      <w:pPr>
        <w:spacing w:after="0" w:line="100"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Over the past fifteen years, our shareholders earned a compound annual return of 19.1% and a total shareholder return of 1273.7%, over two times the total return of the S&amp;P 500 of 610.8%. In 2023, Roper delivered a 26.9% annual return to our shareholders, slightly ahead of that of the S&amp;P 500.</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long history of superior shareholder returns is the result of Roper’s simple, yet powerful strategy:</w:t>
      </w:r>
    </w:p>
    <w:p>
      <w:pPr>
        <w:spacing w:after="0" w:line="115" w:lineRule="exact"/>
        <w:rPr>
          <w:sz w:val="20"/>
          <w:szCs w:val="20"/>
          <w:color w:val="auto"/>
        </w:rPr>
      </w:pPr>
    </w:p>
    <w:p>
      <w:pPr>
        <w:ind w:left="340" w:right="80" w:hanging="224"/>
        <w:spacing w:after="0" w:line="24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Cash Generation Through Operating Excellence: </w:t>
      </w:r>
      <w:r>
        <w:rPr>
          <w:rFonts w:ascii="Arial" w:cs="Arial" w:eastAsia="Arial" w:hAnsi="Arial"/>
          <w:sz w:val="17"/>
          <w:szCs w:val="17"/>
          <w:color w:val="auto"/>
        </w:rPr>
        <w:t>Our enterprise consists of niche, asset-light businesses with leading software solutions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technologies that generate significant free cash flow, enabling future investments for sustainable long-term growth. Operating excellence, underpinned by our strategic focus on intellectual capital, product development, go-to-market strategies, and a high degree of customer intimacy drives cash generation which, in 2023, resulted in another strong year of performance with adjusted operating cash flow and adjusted free cash flow of $2.07 billion and $1.96 billion, respectively.</w:t>
      </w:r>
    </w:p>
    <w:p>
      <w:pPr>
        <w:spacing w:after="0" w:line="85" w:lineRule="exact"/>
        <w:rPr>
          <w:rFonts w:ascii="Arial" w:cs="Arial" w:eastAsia="Arial" w:hAnsi="Arial"/>
          <w:sz w:val="17"/>
          <w:szCs w:val="17"/>
          <w:color w:val="auto"/>
        </w:rPr>
      </w:pPr>
    </w:p>
    <w:p>
      <w:pPr>
        <w:ind w:left="340" w:right="80" w:hanging="224"/>
        <w:spacing w:after="0" w:line="23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Disciplined Capital Deployment: </w:t>
      </w:r>
      <w:r>
        <w:rPr>
          <w:rFonts w:ascii="Arial" w:cs="Arial" w:eastAsia="Arial" w:hAnsi="Arial"/>
          <w:sz w:val="17"/>
          <w:szCs w:val="17"/>
          <w:color w:val="auto"/>
        </w:rPr>
        <w:t>We have a unique and disciplined capital deployment model that has guided the successful investment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billions of dollars into additional businesses becoming part of the Roper portfolio. Unlike many companies that use cash to pay large dividends and routinely implement share buyback plans, Roper deploys the vast majority of its available cash to acquire new businesses to fuel compounding cash flow growth and value creation for shareholders. After the successful completion of our divestiture strategy to reduce the cyclicality and asset intensity within our enterprise in 2022, this past year we allocated $2.1 billion of capital toward vertical software acquisitions, highlighted by Syntellis Performance Solutions, which was successfully combined with our Strata Decision Technology business during the year. We entered 2024 poised to deploy substantial capital towards our acquisition strategy, and in February completed the acquisition of Procare Solutions, a provider of niche, mission critical software for early childhood education centers, for $1.75 billion (net of future tax benefits).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Board’s Role in Roper’s Success</w:t>
      </w:r>
    </w:p>
    <w:p>
      <w:pPr>
        <w:spacing w:after="0" w:line="100"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The Board contributes significantly to Roper’s strong performance. As directors, each of us commits to the extensive time obligation and rigorous workload required to serve on Roper’s Board, including participation in at least 15 days of Board meetings each year. We continually monitor the existing portfolio of Roper businesses, review capital deployment opportunities, and carefully examine the ways Roper can create additional value for shareholders. Between Board meetings, we continue our discussions with management and each other, enabling the Company to draw from our broad experiences and expertise.</w:t>
      </w:r>
    </w:p>
    <w:p>
      <w:pPr>
        <w:spacing w:after="0" w:line="180"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color w:val="auto"/>
        </w:rPr>
        <w:t>Our direct involvement in and deep understanding of the Company allows us to address a multitude of issues, including acquisition selection, capital deployment, and succession planning, while sustaining Roper’s successful culture and business model.</w:t>
      </w:r>
    </w:p>
    <w:p>
      <w:pPr>
        <w:sectPr>
          <w:pgSz w:w="11900" w:h="16838" w:orient="portrait"/>
          <w:cols w:equalWidth="0" w:num="1">
            <w:col w:w="11140"/>
          </w:cols>
          <w:pgMar w:left="320" w:top="473"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Governance and Other Best Practices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 remains committed to strong corporate governance as demonstrated by the following practices:</w:t>
      </w:r>
    </w:p>
    <w:p>
      <w:pPr>
        <w:spacing w:after="0" w:line="115" w:lineRule="exact"/>
        <w:rPr>
          <w:sz w:val="20"/>
          <w:szCs w:val="20"/>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Declassified Board. </w:t>
      </w:r>
      <w:r>
        <w:rPr>
          <w:rFonts w:ascii="Arial" w:cs="Arial" w:eastAsia="Arial" w:hAnsi="Arial"/>
          <w:sz w:val="17"/>
          <w:szCs w:val="17"/>
          <w:color w:val="auto"/>
        </w:rPr>
        <w:t>Our directors are elected annually.</w:t>
      </w:r>
    </w:p>
    <w:p>
      <w:pPr>
        <w:spacing w:after="0" w:line="115" w:lineRule="exact"/>
        <w:rPr>
          <w:rFonts w:ascii="Arial" w:cs="Arial" w:eastAsia="Arial" w:hAnsi="Arial"/>
          <w:sz w:val="17"/>
          <w:szCs w:val="17"/>
          <w:color w:val="auto"/>
        </w:rPr>
      </w:pPr>
    </w:p>
    <w:p>
      <w:pPr>
        <w:ind w:left="340" w:right="68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Majority Voting for Directors. </w:t>
      </w:r>
      <w:r>
        <w:rPr>
          <w:rFonts w:ascii="Arial" w:cs="Arial" w:eastAsia="Arial" w:hAnsi="Arial"/>
          <w:sz w:val="17"/>
          <w:szCs w:val="17"/>
          <w:color w:val="auto"/>
        </w:rPr>
        <w:t>Our By-laws require the resignation of incumbent directors who fail to obtain a majority of votes cast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w:t>
      </w:r>
    </w:p>
    <w:p>
      <w:pPr>
        <w:spacing w:after="0" w:line="64" w:lineRule="exact"/>
        <w:rPr>
          <w:rFonts w:ascii="Arial" w:cs="Arial" w:eastAsia="Arial" w:hAnsi="Arial"/>
          <w:sz w:val="17"/>
          <w:szCs w:val="17"/>
          <w:color w:val="auto"/>
        </w:rPr>
      </w:pPr>
    </w:p>
    <w:p>
      <w:pPr>
        <w:ind w:left="34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Our By-laws permit a shareholder, or a group of up to 20 shareholders, that has owned at least 3% of our outstanding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continuously for at least three years to nominate and include in our proxy materials up to the greater of two directors or 20% of the number of our directors then in office.</w:t>
      </w:r>
    </w:p>
    <w:p>
      <w:pPr>
        <w:spacing w:after="0" w:line="80"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Amy Woods Brinkley became our current Independent Chair of the Board on June 1, 2021.</w:t>
      </w:r>
    </w:p>
    <w:p>
      <w:pPr>
        <w:spacing w:after="0" w:line="115" w:lineRule="exact"/>
        <w:rPr>
          <w:rFonts w:ascii="Arial" w:cs="Arial" w:eastAsia="Arial" w:hAnsi="Arial"/>
          <w:sz w:val="17"/>
          <w:szCs w:val="17"/>
          <w:color w:val="auto"/>
        </w:rPr>
      </w:pPr>
    </w:p>
    <w:p>
      <w:pPr>
        <w:ind w:left="340" w:right="220" w:hanging="224"/>
        <w:spacing w:after="0" w:line="24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Executive Compensation Alignment with Shareholders. </w:t>
      </w:r>
      <w:r>
        <w:rPr>
          <w:rFonts w:ascii="Arial" w:cs="Arial" w:eastAsia="Arial" w:hAnsi="Arial"/>
          <w:sz w:val="17"/>
          <w:szCs w:val="17"/>
          <w:color w:val="auto"/>
        </w:rPr>
        <w:t>Because our shareholder value creation is derived from the Roper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team’s capital deployment strategy and ability to operate a broad portfolio of businesses, our executives must possess a unique set of skills. We continue to refine our executive compensation practices to maintain close alignment with shareholder interests.</w:t>
      </w:r>
    </w:p>
    <w:p>
      <w:pPr>
        <w:spacing w:after="0" w:line="80" w:lineRule="exact"/>
        <w:rPr>
          <w:rFonts w:ascii="Arial" w:cs="Arial" w:eastAsia="Arial" w:hAnsi="Arial"/>
          <w:sz w:val="17"/>
          <w:szCs w:val="17"/>
          <w:color w:val="auto"/>
        </w:rPr>
      </w:pPr>
    </w:p>
    <w:p>
      <w:pPr>
        <w:ind w:left="340" w:right="90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Similar to prior years, in 2023, total direct compensation at target that was at risk and tied to stock price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objectives was 95% for the CEO, and 89% on average for our other named executive officers.</w:t>
      </w:r>
    </w:p>
    <w:p>
      <w:pPr>
        <w:spacing w:after="0" w:line="64" w:lineRule="exact"/>
        <w:rPr>
          <w:rFonts w:ascii="Arial" w:cs="Arial" w:eastAsia="Arial" w:hAnsi="Arial"/>
          <w:sz w:val="17"/>
          <w:szCs w:val="17"/>
          <w:color w:val="auto"/>
        </w:rPr>
      </w:pPr>
    </w:p>
    <w:p>
      <w:pPr>
        <w:ind w:left="340" w:right="16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Diverse Board Membership. </w:t>
      </w:r>
      <w:r>
        <w:rPr>
          <w:rFonts w:ascii="Arial" w:cs="Arial" w:eastAsia="Arial" w:hAnsi="Arial"/>
          <w:sz w:val="17"/>
          <w:szCs w:val="17"/>
          <w:color w:val="auto"/>
        </w:rPr>
        <w:t>40% of directors nominated for election are women and 20% are racially/ethnically diverse. In addition, 75% of</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chairs are women, as is our Independent Chair of the Board, and one director identifies as LGBTQ+.</w:t>
      </w:r>
    </w:p>
    <w:p>
      <w:pPr>
        <w:spacing w:after="0" w:line="64" w:lineRule="exact"/>
        <w:rPr>
          <w:rFonts w:ascii="Arial" w:cs="Arial" w:eastAsia="Arial" w:hAnsi="Arial"/>
          <w:sz w:val="17"/>
          <w:szCs w:val="17"/>
          <w:color w:val="auto"/>
        </w:rPr>
      </w:pPr>
    </w:p>
    <w:p>
      <w:pPr>
        <w:ind w:left="340" w:right="380" w:hanging="224"/>
        <w:spacing w:after="0" w:line="267"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Clear Oversight of ESG and Human Capital Management. </w:t>
      </w:r>
      <w:r>
        <w:rPr>
          <w:rFonts w:ascii="Arial" w:cs="Arial" w:eastAsia="Arial" w:hAnsi="Arial"/>
          <w:sz w:val="17"/>
          <w:szCs w:val="17"/>
          <w:color w:val="auto"/>
        </w:rPr>
        <w:t>The Nominating and Governance Committee has oversight responsibility for</w:t>
      </w:r>
      <w:r>
        <w:rPr>
          <w:rFonts w:ascii="Arial" w:cs="Arial" w:eastAsia="Arial" w:hAnsi="Arial"/>
          <w:sz w:val="17"/>
          <w:szCs w:val="17"/>
          <w:b w:val="1"/>
          <w:bCs w:val="1"/>
          <w:color w:val="auto"/>
        </w:rPr>
        <w:t xml:space="preserve"> </w:t>
      </w:r>
      <w:r>
        <w:rPr>
          <w:rFonts w:ascii="Arial" w:cs="Arial" w:eastAsia="Arial" w:hAnsi="Arial"/>
          <w:sz w:val="17"/>
          <w:szCs w:val="17"/>
          <w:color w:val="auto"/>
        </w:rPr>
        <w:t>matters related to Environmental, Social, and Governance (ESG) and Human Capital Management.</w:t>
      </w:r>
    </w:p>
    <w:p>
      <w:pPr>
        <w:spacing w:after="0" w:line="64" w:lineRule="exact"/>
        <w:rPr>
          <w:rFonts w:ascii="Arial" w:cs="Arial" w:eastAsia="Arial" w:hAnsi="Arial"/>
          <w:sz w:val="17"/>
          <w:szCs w:val="17"/>
          <w:color w:val="auto"/>
        </w:rPr>
      </w:pPr>
    </w:p>
    <w:p>
      <w:pPr>
        <w:ind w:left="340" w:hanging="224"/>
        <w:spacing w:after="0"/>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Shareholder Outreach Program. </w:t>
      </w:r>
      <w:r>
        <w:rPr>
          <w:rFonts w:ascii="Arial" w:cs="Arial" w:eastAsia="Arial" w:hAnsi="Arial"/>
          <w:sz w:val="17"/>
          <w:szCs w:val="17"/>
          <w:color w:val="auto"/>
        </w:rPr>
        <w:t>Roper’s senior management team regularly engages shareholders for feedback.</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ESG</w:t>
      </w:r>
    </w:p>
    <w:p>
      <w:pPr>
        <w:spacing w:after="0" w:line="100" w:lineRule="exact"/>
        <w:rPr>
          <w:sz w:val="20"/>
          <w:szCs w:val="20"/>
          <w:color w:val="auto"/>
        </w:rPr>
      </w:pPr>
    </w:p>
    <w:p>
      <w:pPr>
        <w:ind w:left="120" w:right="360"/>
        <w:spacing w:after="0" w:line="249" w:lineRule="auto"/>
        <w:rPr>
          <w:sz w:val="20"/>
          <w:szCs w:val="20"/>
          <w:color w:val="auto"/>
        </w:rPr>
      </w:pPr>
      <w:r>
        <w:rPr>
          <w:rFonts w:ascii="Arial" w:cs="Arial" w:eastAsia="Arial" w:hAnsi="Arial"/>
          <w:sz w:val="17"/>
          <w:szCs w:val="17"/>
          <w:color w:val="auto"/>
        </w:rPr>
        <w:t>While we are only in the third year of our ESG journey, we are confident in our ability to continue to drive improvements and meet the ESG expectations of our stakeholders. For example, in 2023 we expanded our data collection efforts to include Scope 3 emissions and in 2024 we made a commitment to the Science Based Target initiative (SBTi) to set a near-term science-based emission reduction target.</w:t>
      </w:r>
    </w:p>
    <w:p>
      <w:pPr>
        <w:sectPr>
          <w:pgSz w:w="11900" w:h="16838" w:orient="portrait"/>
          <w:cols w:equalWidth="0" w:num="1">
            <w:col w:w="11120"/>
          </w:cols>
          <w:pgMar w:left="320" w:top="482"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Open Communications With Our Shareholders</w:t>
      </w:r>
    </w:p>
    <w:p>
      <w:pPr>
        <w:spacing w:after="0" w:line="10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value your continued support and input and ask that you continue to share your comments with us. Communications may be addressed to the directors in care of the Corporate Secretary, Roper Technologies, Inc., 6496 University Parkway, Sarasota, Florida, 34240.</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Sincerely,</w:t>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300355</wp:posOffset>
            </wp:positionV>
            <wp:extent cx="522033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203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800"/>
        <w:spacing w:after="0"/>
        <w:tabs>
          <w:tab w:leader="none" w:pos="5060" w:val="left"/>
          <w:tab w:leader="none" w:pos="8100" w:val="left"/>
        </w:tabs>
        <w:rPr>
          <w:sz w:val="20"/>
          <w:szCs w:val="20"/>
          <w:color w:val="auto"/>
        </w:rPr>
      </w:pPr>
      <w:r>
        <w:rPr>
          <w:rFonts w:ascii="Arial" w:cs="Arial" w:eastAsia="Arial" w:hAnsi="Arial"/>
          <w:sz w:val="18"/>
          <w:szCs w:val="18"/>
          <w:b w:val="1"/>
          <w:bCs w:val="1"/>
          <w:color w:val="auto"/>
        </w:rPr>
        <w:t>Shellye L. Archambeau</w:t>
      </w:r>
      <w:r>
        <w:rPr>
          <w:sz w:val="20"/>
          <w:szCs w:val="20"/>
          <w:color w:val="auto"/>
        </w:rPr>
        <w:tab/>
      </w:r>
      <w:r>
        <w:rPr>
          <w:rFonts w:ascii="Arial" w:cs="Arial" w:eastAsia="Arial" w:hAnsi="Arial"/>
          <w:sz w:val="18"/>
          <w:szCs w:val="18"/>
          <w:b w:val="1"/>
          <w:bCs w:val="1"/>
          <w:color w:val="auto"/>
        </w:rPr>
        <w:t>Amy Woods Brinkley</w:t>
      </w:r>
      <w:r>
        <w:rPr>
          <w:sz w:val="20"/>
          <w:szCs w:val="20"/>
          <w:color w:val="auto"/>
        </w:rPr>
        <w:tab/>
      </w:r>
      <w:r>
        <w:rPr>
          <w:rFonts w:ascii="Arial" w:cs="Arial" w:eastAsia="Arial" w:hAnsi="Arial"/>
          <w:sz w:val="18"/>
          <w:szCs w:val="18"/>
          <w:b w:val="1"/>
          <w:bCs w:val="1"/>
          <w:color w:val="auto"/>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488950</wp:posOffset>
            </wp:positionV>
            <wp:extent cx="1165860"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65860" cy="72898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686435</wp:posOffset>
            </wp:positionV>
            <wp:extent cx="91694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6940" cy="3257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686435</wp:posOffset>
            </wp:positionV>
            <wp:extent cx="115697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569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60"/>
        <w:spacing w:after="0"/>
        <w:tabs>
          <w:tab w:leader="none" w:pos="5160" w:val="left"/>
          <w:tab w:leader="none" w:pos="7940" w:val="left"/>
        </w:tabs>
        <w:rPr>
          <w:sz w:val="20"/>
          <w:szCs w:val="20"/>
          <w:color w:val="auto"/>
        </w:rPr>
      </w:pPr>
      <w:r>
        <w:rPr>
          <w:rFonts w:ascii="Arial" w:cs="Arial" w:eastAsia="Arial" w:hAnsi="Arial"/>
          <w:sz w:val="18"/>
          <w:szCs w:val="18"/>
          <w:b w:val="1"/>
          <w:bCs w:val="1"/>
          <w:color w:val="auto"/>
        </w:rPr>
        <w:t>L. Neil Hunn</w:t>
      </w:r>
      <w:r>
        <w:rPr>
          <w:sz w:val="20"/>
          <w:szCs w:val="20"/>
          <w:color w:val="auto"/>
        </w:rPr>
        <w:tab/>
      </w:r>
      <w:r>
        <w:rPr>
          <w:rFonts w:ascii="Arial" w:cs="Arial" w:eastAsia="Arial" w:hAnsi="Arial"/>
          <w:sz w:val="18"/>
          <w:szCs w:val="18"/>
          <w:b w:val="1"/>
          <w:bCs w:val="1"/>
          <w:color w:val="auto"/>
        </w:rPr>
        <w:t>Robert D. Johnson</w:t>
      </w:r>
      <w:r>
        <w:rPr>
          <w:sz w:val="20"/>
          <w:szCs w:val="20"/>
          <w:color w:val="auto"/>
        </w:rPr>
        <w:tab/>
      </w:r>
      <w:r>
        <w:rPr>
          <w:rFonts w:ascii="Arial" w:cs="Arial" w:eastAsia="Arial" w:hAnsi="Arial"/>
          <w:sz w:val="17"/>
          <w:szCs w:val="17"/>
          <w:b w:val="1"/>
          <w:bCs w:val="1"/>
          <w:color w:val="auto"/>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437515</wp:posOffset>
            </wp:positionV>
            <wp:extent cx="5443220" cy="41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4322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120"/>
        <w:spacing w:after="0"/>
        <w:tabs>
          <w:tab w:leader="none" w:pos="5180" w:val="left"/>
          <w:tab w:leader="none" w:pos="7980" w:val="left"/>
        </w:tabs>
        <w:rPr>
          <w:sz w:val="20"/>
          <w:szCs w:val="20"/>
          <w:color w:val="auto"/>
        </w:rPr>
      </w:pPr>
      <w:r>
        <w:rPr>
          <w:rFonts w:ascii="Arial" w:cs="Arial" w:eastAsia="Arial" w:hAnsi="Arial"/>
          <w:sz w:val="18"/>
          <w:szCs w:val="18"/>
          <w:b w:val="1"/>
          <w:bCs w:val="1"/>
          <w:color w:val="auto"/>
        </w:rPr>
        <w:t>John F. Murphy</w:t>
      </w:r>
      <w:r>
        <w:rPr>
          <w:sz w:val="20"/>
          <w:szCs w:val="20"/>
          <w:color w:val="auto"/>
        </w:rPr>
        <w:tab/>
      </w:r>
      <w:r>
        <w:rPr>
          <w:rFonts w:ascii="Arial" w:cs="Arial" w:eastAsia="Arial" w:hAnsi="Arial"/>
          <w:sz w:val="18"/>
          <w:szCs w:val="18"/>
          <w:b w:val="1"/>
          <w:bCs w:val="1"/>
          <w:color w:val="auto"/>
        </w:rPr>
        <w:t>Laura G. Thatcher</w:t>
      </w:r>
      <w:r>
        <w:rPr>
          <w:sz w:val="20"/>
          <w:szCs w:val="20"/>
          <w:color w:val="auto"/>
        </w:rPr>
        <w:tab/>
      </w:r>
      <w:r>
        <w:rPr>
          <w:rFonts w:ascii="Arial" w:cs="Arial" w:eastAsia="Arial" w:hAnsi="Arial"/>
          <w:sz w:val="17"/>
          <w:szCs w:val="17"/>
          <w:b w:val="1"/>
          <w:bCs w:val="1"/>
          <w:color w:val="auto"/>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446405</wp:posOffset>
            </wp:positionV>
            <wp:extent cx="86550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550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Christopher Wright</w:t>
      </w:r>
    </w:p>
    <w:p>
      <w:pPr>
        <w:sectPr>
          <w:pgSz w:w="11900" w:h="16838" w:orient="portrait"/>
          <w:cols w:equalWidth="0" w:num="1">
            <w:col w:w="11120"/>
          </w:cols>
          <w:pgMar w:left="320" w:top="48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208280</wp:posOffset>
            </wp:positionV>
            <wp:extent cx="101981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1981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32"/>
          <w:szCs w:val="32"/>
          <w:b w:val="1"/>
          <w:bCs w:val="1"/>
          <w:color w:val="005CB9"/>
        </w:rPr>
        <w:t>NOTICE OF THE 2024 ANNUAL MEETING OF SHAREHOLDERS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2024 ANNUAL MEETING INFORMATION</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additional information about our Annual Meeting, see Annual Meeting and Voting Information on page 60.</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47"/>
        </w:trPr>
        <w:tc>
          <w:tcPr>
            <w:tcW w:w="19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Meeting Date:   </w:t>
            </w:r>
          </w:p>
        </w:tc>
        <w:tc>
          <w:tcPr>
            <w:tcW w:w="20" w:type="dxa"/>
            <w:vAlign w:val="bottom"/>
          </w:tcPr>
          <w:p>
            <w:pPr>
              <w:spacing w:after="0"/>
              <w:rPr>
                <w:sz w:val="4"/>
                <w:szCs w:val="4"/>
                <w:color w:val="auto"/>
              </w:rPr>
            </w:pPr>
          </w:p>
        </w:tc>
        <w:tc>
          <w:tcPr>
            <w:tcW w:w="300" w:type="dxa"/>
            <w:vAlign w:val="bottom"/>
            <w:vMerge w:val="restart"/>
          </w:tcPr>
          <w:p>
            <w:pPr>
              <w:ind w:left="140"/>
              <w:spacing w:after="0"/>
              <w:rPr>
                <w:sz w:val="20"/>
                <w:szCs w:val="20"/>
                <w:color w:val="auto"/>
              </w:rPr>
            </w:pPr>
            <w:r>
              <w:rPr>
                <w:rFonts w:ascii="Arial" w:cs="Arial" w:eastAsia="Arial" w:hAnsi="Arial"/>
                <w:sz w:val="17"/>
                <w:szCs w:val="17"/>
                <w:color w:val="auto"/>
              </w:rPr>
              <w:t xml:space="preserve">   </w:t>
            </w:r>
          </w:p>
        </w:tc>
        <w:tc>
          <w:tcPr>
            <w:tcW w:w="1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Meeting Place:</w:t>
            </w:r>
          </w:p>
        </w:tc>
        <w:tc>
          <w:tcPr>
            <w:tcW w:w="1740" w:type="dxa"/>
            <w:vAlign w:val="bottom"/>
            <w:vMerge w:val="restart"/>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auto"/>
              </w:rPr>
              <w:t xml:space="preserve">    </w:t>
            </w:r>
          </w:p>
        </w:tc>
        <w:tc>
          <w:tcPr>
            <w:tcW w:w="23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Meeting Time:</w:t>
            </w:r>
          </w:p>
        </w:tc>
        <w:tc>
          <w:tcPr>
            <w:tcW w:w="20" w:type="dxa"/>
            <w:vAlign w:val="bottom"/>
          </w:tcPr>
          <w:p>
            <w:pPr>
              <w:spacing w:after="0"/>
              <w:rPr>
                <w:sz w:val="4"/>
                <w:szCs w:val="4"/>
                <w:color w:val="auto"/>
              </w:rPr>
            </w:pPr>
          </w:p>
        </w:tc>
        <w:tc>
          <w:tcPr>
            <w:tcW w:w="2620" w:type="dxa"/>
            <w:vAlign w:val="bottom"/>
            <w:vMerge w:val="restart"/>
          </w:tcPr>
          <w:p>
            <w:pPr>
              <w:ind w:left="160"/>
              <w:spacing w:after="0"/>
              <w:rPr>
                <w:sz w:val="20"/>
                <w:szCs w:val="20"/>
                <w:color w:val="auto"/>
              </w:rPr>
            </w:pPr>
            <w:r>
              <w:rPr>
                <w:rFonts w:ascii="Arial" w:cs="Arial" w:eastAsia="Arial" w:hAnsi="Arial"/>
                <w:sz w:val="17"/>
                <w:szCs w:val="17"/>
                <w:color w:val="auto"/>
              </w:rPr>
              <w:t xml:space="preserve">   </w:t>
            </w:r>
          </w:p>
        </w:tc>
        <w:tc>
          <w:tcPr>
            <w:tcW w:w="0" w:type="dxa"/>
            <w:vAlign w:val="bottom"/>
          </w:tcPr>
          <w:p>
            <w:pPr>
              <w:spacing w:after="0"/>
              <w:rPr>
                <w:sz w:val="1"/>
                <w:szCs w:val="1"/>
                <w:color w:val="auto"/>
              </w:rPr>
            </w:pPr>
          </w:p>
        </w:tc>
      </w:tr>
      <w:tr>
        <w:trPr>
          <w:trHeight w:val="148"/>
        </w:trPr>
        <w:tc>
          <w:tcPr>
            <w:tcW w:w="196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30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300" w:type="dxa"/>
            <w:vAlign w:val="bottom"/>
            <w:vMerge w:val="continue"/>
          </w:tcPr>
          <w:p>
            <w:pPr>
              <w:spacing w:after="0"/>
              <w:rPr>
                <w:sz w:val="12"/>
                <w:szCs w:val="12"/>
                <w:color w:val="auto"/>
              </w:rPr>
            </w:pPr>
          </w:p>
        </w:tc>
        <w:tc>
          <w:tcPr>
            <w:tcW w:w="2380" w:type="dxa"/>
            <w:vAlign w:val="bottom"/>
            <w:vMerge w:val="continue"/>
          </w:tcPr>
          <w:p>
            <w:pPr>
              <w:spacing w:after="0"/>
              <w:rPr>
                <w:sz w:val="12"/>
                <w:szCs w:val="12"/>
                <w:color w:val="auto"/>
              </w:rPr>
            </w:pPr>
          </w:p>
        </w:tc>
        <w:tc>
          <w:tcPr>
            <w:tcW w:w="20" w:type="dxa"/>
            <w:vAlign w:val="bottom"/>
            <w:shd w:val="clear" w:color="auto" w:fill="BFBFBF"/>
          </w:tcPr>
          <w:p>
            <w:pPr>
              <w:spacing w:after="0"/>
              <w:rPr>
                <w:sz w:val="12"/>
                <w:szCs w:val="12"/>
                <w:color w:val="auto"/>
              </w:rPr>
            </w:pPr>
          </w:p>
        </w:tc>
        <w:tc>
          <w:tcPr>
            <w:tcW w:w="2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
        </w:trPr>
        <w:tc>
          <w:tcPr>
            <w:tcW w:w="1960" w:type="dxa"/>
            <w:vAlign w:val="bottom"/>
            <w:vMerge w:val="continue"/>
          </w:tcPr>
          <w:p>
            <w:pPr>
              <w:spacing w:after="0"/>
              <w:rPr>
                <w:sz w:val="3"/>
                <w:szCs w:val="3"/>
                <w:color w:val="auto"/>
              </w:rPr>
            </w:pPr>
          </w:p>
        </w:tc>
        <w:tc>
          <w:tcPr>
            <w:tcW w:w="20" w:type="dxa"/>
            <w:vAlign w:val="bottom"/>
            <w:shd w:val="clear" w:color="auto" w:fill="BFBFBF"/>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1740" w:type="dxa"/>
            <w:vAlign w:val="bottom"/>
          </w:tcPr>
          <w:p>
            <w:pPr>
              <w:spacing w:after="0"/>
              <w:rPr>
                <w:sz w:val="3"/>
                <w:szCs w:val="3"/>
                <w:color w:val="auto"/>
              </w:rPr>
            </w:pPr>
          </w:p>
        </w:tc>
        <w:tc>
          <w:tcPr>
            <w:tcW w:w="20" w:type="dxa"/>
            <w:vAlign w:val="bottom"/>
            <w:shd w:val="clear" w:color="auto" w:fill="BFBFBF"/>
          </w:tcPr>
          <w:p>
            <w:pPr>
              <w:spacing w:after="0"/>
              <w:rPr>
                <w:sz w:val="3"/>
                <w:szCs w:val="3"/>
                <w:color w:val="auto"/>
              </w:rPr>
            </w:pPr>
          </w:p>
        </w:tc>
        <w:tc>
          <w:tcPr>
            <w:tcW w:w="300" w:type="dxa"/>
            <w:vAlign w:val="bottom"/>
          </w:tcPr>
          <w:p>
            <w:pPr>
              <w:spacing w:after="0"/>
              <w:rPr>
                <w:sz w:val="3"/>
                <w:szCs w:val="3"/>
                <w:color w:val="auto"/>
              </w:rPr>
            </w:pPr>
          </w:p>
        </w:tc>
        <w:tc>
          <w:tcPr>
            <w:tcW w:w="2380" w:type="dxa"/>
            <w:vAlign w:val="bottom"/>
            <w:vMerge w:val="continue"/>
          </w:tcPr>
          <w:p>
            <w:pPr>
              <w:spacing w:after="0"/>
              <w:rPr>
                <w:sz w:val="3"/>
                <w:szCs w:val="3"/>
                <w:color w:val="auto"/>
              </w:rPr>
            </w:pPr>
          </w:p>
        </w:tc>
        <w:tc>
          <w:tcPr>
            <w:tcW w:w="20" w:type="dxa"/>
            <w:vAlign w:val="bottom"/>
            <w:shd w:val="clear" w:color="auto" w:fill="BFBFBF"/>
          </w:tcPr>
          <w:p>
            <w:pPr>
              <w:spacing w:after="0"/>
              <w:rPr>
                <w:sz w:val="3"/>
                <w:szCs w:val="3"/>
                <w:color w:val="auto"/>
              </w:rPr>
            </w:pPr>
          </w:p>
        </w:tc>
        <w:tc>
          <w:tcPr>
            <w:tcW w:w="2620" w:type="dxa"/>
            <w:vAlign w:val="bottom"/>
          </w:tcPr>
          <w:p>
            <w:pPr>
              <w:ind w:left="240"/>
              <w:spacing w:after="0" w:line="45" w:lineRule="exact"/>
              <w:rPr>
                <w:sz w:val="20"/>
                <w:szCs w:val="20"/>
                <w:color w:val="auto"/>
              </w:rPr>
            </w:pPr>
            <w:r>
              <w:rPr>
                <w:rFonts w:ascii="Arial" w:cs="Arial" w:eastAsia="Arial" w:hAnsi="Arial"/>
                <w:sz w:val="4"/>
                <w:szCs w:val="4"/>
                <w:b w:val="1"/>
                <w:bCs w:val="1"/>
                <w:color w:val="auto"/>
              </w:rPr>
              <w:t>Record Date:</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20"/>
                <w:szCs w:val="20"/>
                <w:color w:val="auto"/>
              </w:rPr>
            </w:pPr>
            <w:r>
              <w:rPr>
                <w:rFonts w:ascii="Arial" w:cs="Arial" w:eastAsia="Arial" w:hAnsi="Arial"/>
                <w:sz w:val="14"/>
                <w:szCs w:val="14"/>
                <w:color w:val="auto"/>
              </w:rPr>
              <w:t>June 12, 2024    </w:t>
            </w: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The Westin Sarasota</w:t>
            </w:r>
          </w:p>
        </w:tc>
        <w:tc>
          <w:tcPr>
            <w:tcW w:w="17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color w:val="auto"/>
              </w:rPr>
              <w:t xml:space="preserve">10:00 a.m. (Eastern)   </w:t>
            </w:r>
          </w:p>
        </w:tc>
        <w:tc>
          <w:tcPr>
            <w:tcW w:w="20" w:type="dxa"/>
            <w:vAlign w:val="bottom"/>
            <w:shd w:val="clear" w:color="auto" w:fill="BFBFBF"/>
          </w:tcPr>
          <w:p>
            <w:pPr>
              <w:spacing w:after="0"/>
              <w:rPr>
                <w:sz w:val="14"/>
                <w:szCs w:val="14"/>
                <w:color w:val="auto"/>
              </w:rPr>
            </w:pPr>
          </w:p>
        </w:tc>
        <w:tc>
          <w:tcPr>
            <w:tcW w:w="2620" w:type="dxa"/>
            <w:vAlign w:val="bottom"/>
          </w:tcPr>
          <w:p>
            <w:pPr>
              <w:ind w:left="240"/>
              <w:spacing w:after="0"/>
              <w:rPr>
                <w:sz w:val="20"/>
                <w:szCs w:val="20"/>
                <w:color w:val="auto"/>
              </w:rPr>
            </w:pPr>
            <w:r>
              <w:rPr>
                <w:rFonts w:ascii="Arial" w:cs="Arial" w:eastAsia="Arial" w:hAnsi="Arial"/>
                <w:sz w:val="14"/>
                <w:szCs w:val="14"/>
                <w:color w:val="auto"/>
              </w:rPr>
              <w:t xml:space="preserve">April 18, 2024    </w:t>
            </w: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rPr>
              <w:t>100 Marina View Drive</w:t>
            </w:r>
          </w:p>
        </w:tc>
        <w:tc>
          <w:tcPr>
            <w:tcW w:w="174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 w:type="dxa"/>
            <w:vAlign w:val="bottom"/>
            <w:shd w:val="clear" w:color="auto" w:fill="BFBFBF"/>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960" w:type="dxa"/>
            <w:vAlign w:val="bottom"/>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tcPr>
          <w:p>
            <w:pPr>
              <w:ind w:left="40"/>
              <w:spacing w:after="0"/>
              <w:rPr>
                <w:sz w:val="20"/>
                <w:szCs w:val="20"/>
                <w:color w:val="auto"/>
              </w:rPr>
            </w:pPr>
            <w:r>
              <w:rPr>
                <w:rFonts w:ascii="Arial" w:cs="Arial" w:eastAsia="Arial" w:hAnsi="Arial"/>
                <w:sz w:val="14"/>
                <w:szCs w:val="14"/>
                <w:color w:val="auto"/>
                <w:w w:val="97"/>
              </w:rPr>
              <w:t>Sarasota, Florida 34236 </w:t>
            </w:r>
          </w:p>
        </w:tc>
        <w:tc>
          <w:tcPr>
            <w:tcW w:w="1740" w:type="dxa"/>
            <w:vAlign w:val="bottom"/>
          </w:tcPr>
          <w:p>
            <w:pPr>
              <w:ind w:left="60"/>
              <w:spacing w:after="0"/>
              <w:rPr>
                <w:sz w:val="20"/>
                <w:szCs w:val="20"/>
                <w:color w:val="auto"/>
              </w:rPr>
            </w:pPr>
            <w:r>
              <w:rPr>
                <w:rFonts w:ascii="Arial" w:cs="Arial" w:eastAsia="Arial" w:hAnsi="Arial"/>
                <w:sz w:val="14"/>
                <w:szCs w:val="14"/>
                <w:color w:val="auto"/>
              </w:rPr>
              <w:t> </w:t>
            </w:r>
          </w:p>
        </w:tc>
        <w:tc>
          <w:tcPr>
            <w:tcW w:w="20" w:type="dxa"/>
            <w:vAlign w:val="bottom"/>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 w:type="dxa"/>
            <w:vAlign w:val="bottom"/>
            <w:shd w:val="clear" w:color="auto" w:fill="BFBFBF"/>
          </w:tcPr>
          <w:p>
            <w:pPr>
              <w:spacing w:after="0"/>
              <w:rPr>
                <w:sz w:val="16"/>
                <w:szCs w:val="16"/>
                <w:color w:val="auto"/>
              </w:rPr>
            </w:pPr>
          </w:p>
        </w:tc>
        <w:tc>
          <w:tcPr>
            <w:tcW w:w="2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196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1660" w:type="dxa"/>
            <w:vAlign w:val="bottom"/>
            <w:tcBorders>
              <w:bottom w:val="single" w:sz="8" w:color="BFBFBF"/>
            </w:tcBorders>
          </w:tcPr>
          <w:p>
            <w:pPr>
              <w:spacing w:after="0"/>
              <w:rPr>
                <w:sz w:val="11"/>
                <w:szCs w:val="11"/>
                <w:color w:val="auto"/>
              </w:rPr>
            </w:pPr>
          </w:p>
        </w:tc>
        <w:tc>
          <w:tcPr>
            <w:tcW w:w="174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300" w:type="dxa"/>
            <w:vAlign w:val="bottom"/>
            <w:tcBorders>
              <w:bottom w:val="single" w:sz="8" w:color="BFBFBF"/>
            </w:tcBorders>
          </w:tcPr>
          <w:p>
            <w:pPr>
              <w:spacing w:after="0"/>
              <w:rPr>
                <w:sz w:val="11"/>
                <w:szCs w:val="11"/>
                <w:color w:val="auto"/>
              </w:rPr>
            </w:pPr>
          </w:p>
        </w:tc>
        <w:tc>
          <w:tcPr>
            <w:tcW w:w="2380" w:type="dxa"/>
            <w:vAlign w:val="bottom"/>
            <w:tcBorders>
              <w:bottom w:val="single" w:sz="8" w:color="BFBFBF"/>
            </w:tcBorders>
          </w:tcPr>
          <w:p>
            <w:pPr>
              <w:spacing w:after="0"/>
              <w:rPr>
                <w:sz w:val="11"/>
                <w:szCs w:val="11"/>
                <w:color w:val="auto"/>
              </w:rPr>
            </w:pPr>
          </w:p>
        </w:tc>
        <w:tc>
          <w:tcPr>
            <w:tcW w:w="20" w:type="dxa"/>
            <w:vAlign w:val="bottom"/>
            <w:tcBorders>
              <w:bottom w:val="single" w:sz="8" w:color="BFBFBF"/>
            </w:tcBorders>
          </w:tcPr>
          <w:p>
            <w:pPr>
              <w:spacing w:after="0"/>
              <w:rPr>
                <w:sz w:val="11"/>
                <w:szCs w:val="11"/>
                <w:color w:val="auto"/>
              </w:rPr>
            </w:pPr>
          </w:p>
        </w:tc>
        <w:tc>
          <w:tcPr>
            <w:tcW w:w="2620" w:type="dxa"/>
            <w:vAlign w:val="bottom"/>
            <w:tcBorders>
              <w:bottom w:val="single" w:sz="8" w:color="BFBFBF"/>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MEETING BUSINESS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Roper’s annual meeting of shareholders will be held June 12, 2024 to:</w:t>
      </w:r>
    </w:p>
    <w:p>
      <w:pPr>
        <w:spacing w:after="0" w:line="123"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elect as directors the ten nominees named in the accompanying proxy statement;</w:t>
      </w:r>
    </w:p>
    <w:p>
      <w:pPr>
        <w:spacing w:after="0" w:line="12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approve, on an advisory basis, the compensation of our named executive officers;</w:t>
      </w:r>
    </w:p>
    <w:p>
      <w:pPr>
        <w:spacing w:after="0" w:line="12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ratify the appointment of PricewaterhouseCoopers LLP as the company’s independent registered public accounting firm for 2024;</w:t>
      </w:r>
    </w:p>
    <w:p>
      <w:pPr>
        <w:spacing w:after="0" w:line="12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vote on a shareholder proposal if properly presented at the meeting; and</w:t>
      </w:r>
    </w:p>
    <w:p>
      <w:pPr>
        <w:spacing w:after="0" w:line="12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6"/>
        </w:numPr>
        <w:rPr>
          <w:rFonts w:ascii="Times New Roman" w:cs="Times New Roman" w:eastAsia="Times New Roman" w:hAnsi="Times New Roman"/>
          <w:sz w:val="14"/>
          <w:szCs w:val="14"/>
          <w:color w:val="auto"/>
        </w:rPr>
      </w:pPr>
      <w:r>
        <w:rPr>
          <w:rFonts w:ascii="Arial" w:cs="Arial" w:eastAsia="Arial" w:hAnsi="Arial"/>
          <w:sz w:val="14"/>
          <w:szCs w:val="14"/>
          <w:color w:val="auto"/>
        </w:rPr>
        <w:t>transact any other business that may be properly brought before the annual meeting.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MATERIALS</w:t>
      </w:r>
    </w:p>
    <w:p>
      <w:pPr>
        <w:spacing w:after="0" w:line="113" w:lineRule="exact"/>
        <w:rPr>
          <w:sz w:val="20"/>
          <w:szCs w:val="20"/>
          <w:color w:val="auto"/>
        </w:rPr>
      </w:pPr>
    </w:p>
    <w:p>
      <w:pPr>
        <w:ind w:left="120" w:right="180"/>
        <w:spacing w:after="0" w:line="263" w:lineRule="auto"/>
        <w:rPr>
          <w:sz w:val="20"/>
          <w:szCs w:val="20"/>
          <w:color w:val="auto"/>
        </w:rPr>
      </w:pPr>
      <w:r>
        <w:rPr>
          <w:rFonts w:ascii="Arial" w:cs="Arial" w:eastAsia="Arial" w:hAnsi="Arial"/>
          <w:sz w:val="14"/>
          <w:szCs w:val="14"/>
          <w:color w:val="auto"/>
        </w:rPr>
        <w:t>On or about April 26, 2024, we began distributing to each shareholder entitled to vote at the annual meeting either: (i) a Meeting Notice; or (ii) this proxy statement, a proxy card and our 2023 Annual Report to Shareholders and Form 10-K. The Meeting Notice contains instructions to electronically access our proxy statement and our 2023 Annual Report to Shareholders and Form 10-K, how to vote via the internet or by mail and how to receive a paper copy of our proxy materials by mail, if desired.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VOTING AT THE ANNUAL MEETING</w:t>
      </w:r>
    </w:p>
    <w:p>
      <w:pPr>
        <w:spacing w:after="0" w:line="86" w:lineRule="exact"/>
        <w:rPr>
          <w:sz w:val="20"/>
          <w:szCs w:val="20"/>
          <w:color w:val="auto"/>
        </w:rPr>
      </w:pPr>
    </w:p>
    <w:p>
      <w:pPr>
        <w:ind w:left="120" w:right="280"/>
        <w:spacing w:after="0" w:line="263" w:lineRule="auto"/>
        <w:rPr>
          <w:sz w:val="20"/>
          <w:szCs w:val="20"/>
          <w:color w:val="auto"/>
        </w:rPr>
      </w:pPr>
      <w:r>
        <w:rPr>
          <w:rFonts w:ascii="Arial" w:cs="Arial" w:eastAsia="Arial" w:hAnsi="Arial"/>
          <w:sz w:val="14"/>
          <w:szCs w:val="14"/>
          <w:b w:val="1"/>
          <w:bCs w:val="1"/>
          <w:color w:val="auto"/>
        </w:rPr>
        <w:t xml:space="preserve">Your vote is important. </w:t>
      </w:r>
      <w:r>
        <w:rPr>
          <w:rFonts w:ascii="Arial" w:cs="Arial" w:eastAsia="Arial" w:hAnsi="Arial"/>
          <w:sz w:val="14"/>
          <w:szCs w:val="14"/>
          <w:color w:val="auto"/>
        </w:rPr>
        <w:t>Shareholders who are owners of record of Roper common shares at the close of business on April 18, 2024, the record date, or their legal proxy</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are entitled to vote at the annual meeting. Whether or not you expect to attend the annual meeting, we urge you to vote as soon as possible by one of these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252730</wp:posOffset>
            </wp:positionV>
            <wp:extent cx="33401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010" cy="3511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235585</wp:posOffset>
            </wp:positionV>
            <wp:extent cx="196850" cy="368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6850" cy="36830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209550</wp:posOffset>
            </wp:positionV>
            <wp:extent cx="514350" cy="394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2720" w:type="dxa"/>
            <w:vAlign w:val="bottom"/>
            <w:tcBorders>
              <w:right w:val="single" w:sz="8" w:color="BFBFBF"/>
            </w:tcBorders>
          </w:tcPr>
          <w:p>
            <w:pPr>
              <w:jc w:val="center"/>
              <w:ind w:right="968"/>
              <w:spacing w:after="0"/>
              <w:rPr>
                <w:sz w:val="20"/>
                <w:szCs w:val="20"/>
                <w:color w:val="auto"/>
              </w:rPr>
            </w:pPr>
            <w:r>
              <w:rPr>
                <w:rFonts w:ascii="Arial" w:cs="Arial" w:eastAsia="Arial" w:hAnsi="Arial"/>
                <w:sz w:val="14"/>
                <w:szCs w:val="14"/>
                <w:b w:val="1"/>
                <w:bCs w:val="1"/>
                <w:color w:val="auto"/>
              </w:rPr>
              <w:t>Via the Internet:</w:t>
            </w:r>
          </w:p>
        </w:tc>
        <w:tc>
          <w:tcPr>
            <w:tcW w:w="3640" w:type="dxa"/>
            <w:vAlign w:val="bottom"/>
            <w:tcBorders>
              <w:right w:val="single" w:sz="8" w:color="BFBFBF"/>
            </w:tcBorders>
          </w:tcPr>
          <w:p>
            <w:pPr>
              <w:jc w:val="center"/>
              <w:ind w:left="8"/>
              <w:spacing w:after="0"/>
              <w:rPr>
                <w:sz w:val="20"/>
                <w:szCs w:val="20"/>
                <w:color w:val="auto"/>
              </w:rPr>
            </w:pPr>
            <w:r>
              <w:rPr>
                <w:rFonts w:ascii="Arial" w:cs="Arial" w:eastAsia="Arial" w:hAnsi="Arial"/>
                <w:sz w:val="14"/>
                <w:szCs w:val="14"/>
                <w:b w:val="1"/>
                <w:bCs w:val="1"/>
                <w:color w:val="auto"/>
              </w:rPr>
              <w:t>Call Toll-Free:</w:t>
            </w:r>
          </w:p>
        </w:tc>
        <w:tc>
          <w:tcPr>
            <w:tcW w:w="2960" w:type="dxa"/>
            <w:vAlign w:val="bottom"/>
          </w:tcPr>
          <w:p>
            <w:pPr>
              <w:jc w:val="center"/>
              <w:ind w:left="548"/>
              <w:spacing w:after="0"/>
              <w:rPr>
                <w:sz w:val="20"/>
                <w:szCs w:val="20"/>
                <w:color w:val="auto"/>
              </w:rPr>
            </w:pPr>
            <w:r>
              <w:rPr>
                <w:rFonts w:ascii="Arial" w:cs="Arial" w:eastAsia="Arial" w:hAnsi="Arial"/>
                <w:sz w:val="14"/>
                <w:szCs w:val="14"/>
                <w:b w:val="1"/>
                <w:bCs w:val="1"/>
                <w:color w:val="auto"/>
              </w:rPr>
              <w:t>Mail Signed Proxy Card:</w:t>
            </w:r>
          </w:p>
        </w:tc>
      </w:tr>
      <w:tr>
        <w:trPr>
          <w:trHeight w:val="162"/>
        </w:trPr>
        <w:tc>
          <w:tcPr>
            <w:tcW w:w="2720" w:type="dxa"/>
            <w:vAlign w:val="bottom"/>
            <w:tcBorders>
              <w:right w:val="single" w:sz="8" w:color="BFBFBF"/>
            </w:tcBorders>
          </w:tcPr>
          <w:p>
            <w:pPr>
              <w:jc w:val="center"/>
              <w:ind w:right="968"/>
              <w:spacing w:after="0"/>
              <w:rPr>
                <w:sz w:val="20"/>
                <w:szCs w:val="20"/>
                <w:color w:val="auto"/>
              </w:rPr>
            </w:pPr>
            <w:r>
              <w:rPr>
                <w:rFonts w:ascii="Arial" w:cs="Arial" w:eastAsia="Arial" w:hAnsi="Arial"/>
                <w:sz w:val="14"/>
                <w:szCs w:val="14"/>
                <w:color w:val="auto"/>
              </w:rPr>
              <w:t>www.proxypush.com/ROP</w:t>
            </w:r>
          </w:p>
        </w:tc>
        <w:tc>
          <w:tcPr>
            <w:tcW w:w="3640" w:type="dxa"/>
            <w:vAlign w:val="bottom"/>
            <w:tcBorders>
              <w:right w:val="single" w:sz="8" w:color="BFBFBF"/>
            </w:tcBorders>
          </w:tcPr>
          <w:p>
            <w:pPr>
              <w:jc w:val="right"/>
              <w:ind w:right="1188"/>
              <w:spacing w:after="0"/>
              <w:rPr>
                <w:sz w:val="20"/>
                <w:szCs w:val="20"/>
                <w:color w:val="auto"/>
              </w:rPr>
            </w:pPr>
            <w:r>
              <w:rPr>
                <w:rFonts w:ascii="Arial" w:cs="Arial" w:eastAsia="Arial" w:hAnsi="Arial"/>
                <w:sz w:val="14"/>
                <w:szCs w:val="14"/>
                <w:color w:val="auto"/>
              </w:rPr>
              <w:t>1-866-829-5176</w:t>
            </w: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Follow the instructions on your proxy</w:t>
            </w:r>
          </w:p>
        </w:tc>
      </w:tr>
      <w:tr>
        <w:trPr>
          <w:trHeight w:val="185"/>
        </w:trPr>
        <w:tc>
          <w:tcPr>
            <w:tcW w:w="2720" w:type="dxa"/>
            <w:vAlign w:val="bottom"/>
            <w:tcBorders>
              <w:right w:val="single" w:sz="8" w:color="BFBFBF"/>
            </w:tcBorders>
          </w:tcPr>
          <w:p>
            <w:pPr>
              <w:spacing w:after="0"/>
              <w:rPr>
                <w:sz w:val="16"/>
                <w:szCs w:val="16"/>
                <w:color w:val="auto"/>
              </w:rPr>
            </w:pPr>
          </w:p>
        </w:tc>
        <w:tc>
          <w:tcPr>
            <w:tcW w:w="3640" w:type="dxa"/>
            <w:vAlign w:val="bottom"/>
            <w:tcBorders>
              <w:right w:val="single" w:sz="8" w:color="BFBFBF"/>
            </w:tcBorders>
          </w:tcPr>
          <w:p>
            <w:pPr>
              <w:spacing w:after="0"/>
              <w:rPr>
                <w:sz w:val="16"/>
                <w:szCs w:val="16"/>
                <w:color w:val="auto"/>
              </w:rPr>
            </w:pPr>
          </w:p>
        </w:tc>
        <w:tc>
          <w:tcPr>
            <w:tcW w:w="2960" w:type="dxa"/>
            <w:vAlign w:val="bottom"/>
          </w:tcPr>
          <w:p>
            <w:pPr>
              <w:jc w:val="center"/>
              <w:ind w:left="548"/>
              <w:spacing w:after="0"/>
              <w:rPr>
                <w:sz w:val="20"/>
                <w:szCs w:val="20"/>
                <w:color w:val="auto"/>
              </w:rPr>
            </w:pPr>
            <w:r>
              <w:rPr>
                <w:rFonts w:ascii="Arial" w:cs="Arial" w:eastAsia="Arial" w:hAnsi="Arial"/>
                <w:sz w:val="14"/>
                <w:szCs w:val="14"/>
                <w:color w:val="auto"/>
              </w:rPr>
              <w:t>card or voting instruction form</w:t>
            </w:r>
          </w:p>
        </w:tc>
      </w:tr>
    </w:tbl>
    <w:p>
      <w:pPr>
        <w:spacing w:after="0" w:line="153" w:lineRule="exact"/>
        <w:rPr>
          <w:sz w:val="20"/>
          <w:szCs w:val="20"/>
          <w:color w:val="auto"/>
        </w:rPr>
      </w:pPr>
    </w:p>
    <w:p>
      <w:pPr>
        <w:ind w:left="120" w:right="160"/>
        <w:spacing w:after="0" w:line="263" w:lineRule="auto"/>
        <w:rPr>
          <w:sz w:val="20"/>
          <w:szCs w:val="20"/>
          <w:color w:val="auto"/>
        </w:rPr>
      </w:pPr>
      <w:r>
        <w:rPr>
          <w:rFonts w:ascii="Arial" w:cs="Arial" w:eastAsia="Arial" w:hAnsi="Arial"/>
          <w:sz w:val="14"/>
          <w:szCs w:val="14"/>
          <w:color w:val="auto"/>
        </w:rPr>
        <w:t xml:space="preserve">If you are a beneficial owner of shares held through a broker, bank or other holder of record, you must follow the voting instructions you receive from the holder of record to vote your shares. Shareholders may also vote at the annual meeting. For more information on how to vote your shares, please refer to </w:t>
      </w:r>
      <w:r>
        <w:rPr>
          <w:rFonts w:ascii="Arial" w:cs="Arial" w:eastAsia="Arial" w:hAnsi="Arial"/>
          <w:sz w:val="14"/>
          <w:szCs w:val="14"/>
          <w:i w:val="1"/>
          <w:iCs w:val="1"/>
          <w:color w:val="auto"/>
        </w:rPr>
        <w:t>Annual Meeting and Voting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Information </w:t>
      </w:r>
      <w:r>
        <w:rPr>
          <w:rFonts w:ascii="Arial" w:cs="Arial" w:eastAsia="Arial" w:hAnsi="Arial"/>
          <w:sz w:val="14"/>
          <w:szCs w:val="14"/>
          <w:color w:val="auto"/>
        </w:rPr>
        <w:t>on page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John K. Stipancich</w:t>
      </w:r>
    </w:p>
    <w:p>
      <w:pPr>
        <w:spacing w:after="0" w:line="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Executive Vice President,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38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3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Important Notice Regarding the Availability of Proxy Materials for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FFFF"/>
        </w:rPr>
        <w:t>Annual Meeting of Shareholders to be Held on June 12, 2024</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This Notice of the Annual Meeting of Shareholders, our Proxy Statement and our Annual Report to</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Shareholders and Form 10-K are available free of charge at </w:t>
      </w:r>
      <w:r>
        <w:rPr>
          <w:rFonts w:ascii="Arial" w:cs="Arial" w:eastAsia="Arial" w:hAnsi="Arial"/>
          <w:sz w:val="18"/>
          <w:szCs w:val="18"/>
          <w:b w:val="1"/>
          <w:bCs w:val="1"/>
          <w:color w:val="005CB9"/>
        </w:rPr>
        <w:t>www.proxydocs.com/ROP</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TABLE OF CONTENTS</w:t>
      </w:r>
    </w:p>
    <w:p>
      <w:pPr>
        <w:spacing w:after="0" w:line="200" w:lineRule="exact"/>
        <w:rPr>
          <w:sz w:val="20"/>
          <w:szCs w:val="20"/>
          <w:color w:val="auto"/>
        </w:rPr>
      </w:pPr>
    </w:p>
    <w:p>
      <w:pPr>
        <w:spacing w:after="0" w:line="259" w:lineRule="exact"/>
        <w:rPr>
          <w:sz w:val="20"/>
          <w:szCs w:val="20"/>
          <w:color w:val="auto"/>
        </w:rPr>
      </w:pPr>
    </w:p>
    <w:p>
      <w:pPr>
        <w:ind w:left="120" w:right="915"/>
        <w:spacing w:after="0" w:line="397" w:lineRule="auto"/>
        <w:rPr>
          <w:sz w:val="20"/>
          <w:szCs w:val="20"/>
          <w:color w:val="auto"/>
        </w:rPr>
      </w:pPr>
      <w:r>
        <w:rPr>
          <w:rFonts w:ascii="Arial" w:cs="Arial" w:eastAsia="Arial" w:hAnsi="Arial"/>
          <w:sz w:val="17"/>
          <w:szCs w:val="17"/>
          <w:b w:val="1"/>
          <w:bCs w:val="1"/>
          <w:u w:val="single" w:color="auto"/>
          <w:color w:val="0000EE"/>
        </w:rPr>
        <w:t xml:space="preserve">PROXY STATEMENT SUMMARY PROPOSAL 1: </w:t>
      </w:r>
      <w:r>
        <w:rPr>
          <w:rFonts w:ascii="Arial" w:cs="Arial" w:eastAsia="Arial" w:hAnsi="Arial"/>
          <w:sz w:val="17"/>
          <w:szCs w:val="17"/>
          <w:u w:val="single" w:color="auto"/>
          <w:color w:val="0000EE"/>
        </w:rPr>
        <w:t>ELECTION OF DIRECTORS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BOARD OF DIRECTORS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CORPORATE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ENVIRONMENTAL, SOCIAL, AND GOVERNANCE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BOARD COMMITTEES AND MEETINGS</w:t>
      </w:r>
    </w:p>
    <w:p>
      <w:pPr>
        <w:spacing w:after="0" w:line="129" w:lineRule="exact"/>
        <w:rPr>
          <w:sz w:val="20"/>
          <w:szCs w:val="20"/>
          <w:color w:val="auto"/>
        </w:rPr>
      </w:pPr>
    </w:p>
    <w:p>
      <w:pPr>
        <w:ind w:left="120" w:right="515"/>
        <w:spacing w:after="0" w:line="397" w:lineRule="auto"/>
        <w:rPr>
          <w:sz w:val="20"/>
          <w:szCs w:val="20"/>
          <w:color w:val="auto"/>
        </w:rPr>
      </w:pPr>
      <w:r>
        <w:rPr>
          <w:rFonts w:ascii="Arial" w:cs="Arial" w:eastAsia="Arial" w:hAnsi="Arial"/>
          <w:sz w:val="17"/>
          <w:szCs w:val="17"/>
          <w:b w:val="1"/>
          <w:bCs w:val="1"/>
          <w:u w:val="single" w:color="auto"/>
          <w:color w:val="0000EE"/>
        </w:rPr>
        <w:t>DIRECTOR COMPENSATION BENEFICIAL OWNERSHIP DELINQUENT SECTION 16(a) REPORTS COMPENSATION DISCUSSION AND ANALYSIS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Overview</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Creating Shareholder Value</w:t>
      </w:r>
    </w:p>
    <w:p>
      <w:pPr>
        <w:spacing w:after="0" w:line="129" w:lineRule="exact"/>
        <w:rPr>
          <w:sz w:val="20"/>
          <w:szCs w:val="20"/>
          <w:color w:val="auto"/>
        </w:rPr>
      </w:pPr>
    </w:p>
    <w:p>
      <w:pPr>
        <w:ind w:left="460" w:right="95"/>
        <w:spacing w:after="0" w:line="397" w:lineRule="auto"/>
        <w:rPr>
          <w:sz w:val="20"/>
          <w:szCs w:val="20"/>
          <w:color w:val="auto"/>
        </w:rPr>
      </w:pPr>
      <w:r>
        <w:rPr>
          <w:rFonts w:ascii="Arial" w:cs="Arial" w:eastAsia="Arial" w:hAnsi="Arial"/>
          <w:sz w:val="17"/>
          <w:szCs w:val="17"/>
          <w:u w:val="single" w:color="auto"/>
          <w:color w:val="0000EE"/>
        </w:rPr>
        <w:t>Overview of Our Executive Compensation Program Elements of Compensation</w:t>
      </w:r>
    </w:p>
    <w:p>
      <w:pPr>
        <w:spacing w:after="0" w:line="1" w:lineRule="exact"/>
        <w:rPr>
          <w:sz w:val="20"/>
          <w:szCs w:val="20"/>
          <w:color w:val="auto"/>
        </w:rPr>
      </w:pPr>
    </w:p>
    <w:p>
      <w:pPr>
        <w:ind w:left="460" w:right="795"/>
        <w:spacing w:after="0" w:line="397" w:lineRule="auto"/>
        <w:rPr>
          <w:sz w:val="20"/>
          <w:szCs w:val="20"/>
          <w:color w:val="auto"/>
        </w:rPr>
      </w:pPr>
      <w:r>
        <w:rPr>
          <w:rFonts w:ascii="Arial" w:cs="Arial" w:eastAsia="Arial" w:hAnsi="Arial"/>
          <w:sz w:val="17"/>
          <w:szCs w:val="17"/>
          <w:u w:val="single" w:color="auto"/>
          <w:color w:val="0000EE"/>
        </w:rPr>
        <w:t>Compensation Process Analysis of 2023 Compensation Additional Information About Our Program</w:t>
      </w:r>
    </w:p>
    <w:p>
      <w:pPr>
        <w:spacing w:after="0" w:line="2" w:lineRule="exact"/>
        <w:rPr>
          <w:sz w:val="20"/>
          <w:szCs w:val="20"/>
          <w:color w:val="auto"/>
        </w:rPr>
      </w:pPr>
    </w:p>
    <w:p>
      <w:pPr>
        <w:ind w:left="300" w:right="275" w:hanging="170"/>
        <w:spacing w:after="0" w:line="280" w:lineRule="auto"/>
        <w:rPr>
          <w:sz w:val="20"/>
          <w:szCs w:val="20"/>
          <w:color w:val="auto"/>
        </w:rPr>
      </w:pPr>
      <w:r>
        <w:rPr>
          <w:rFonts w:ascii="Arial" w:cs="Arial" w:eastAsia="Arial" w:hAnsi="Arial"/>
          <w:sz w:val="17"/>
          <w:szCs w:val="17"/>
          <w:b w:val="1"/>
          <w:bCs w:val="1"/>
          <w:u w:val="single" w:color="auto"/>
          <w:color w:val="0000EE"/>
        </w:rPr>
        <w:t>COMPENSATION COMMITTEE INTERLOCKS AND INSIDER PARTICIPATION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COMPENSATION COMMITTEE REPORT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u w:val="single" w:color="auto"/>
          <w:color w:val="0000EE"/>
        </w:rPr>
        <w:t>EXECUTIVE COMPENSATION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2023 Summary Compensation Table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u w:val="single" w:color="auto"/>
          <w:color w:val="0000EE"/>
        </w:rPr>
        <w:t>2023 Grants of Plan-Based Awards</w:t>
      </w:r>
    </w:p>
    <w:p>
      <w:pPr>
        <w:spacing w:after="0" w:line="129" w:lineRule="exact"/>
        <w:rPr>
          <w:sz w:val="20"/>
          <w:szCs w:val="20"/>
          <w:color w:val="auto"/>
        </w:rPr>
      </w:pPr>
    </w:p>
    <w:p>
      <w:pPr>
        <w:jc w:val="right"/>
        <w:ind w:right="55"/>
        <w:spacing w:after="0"/>
        <w:rPr>
          <w:sz w:val="20"/>
          <w:szCs w:val="20"/>
          <w:color w:val="auto"/>
        </w:rPr>
      </w:pPr>
      <w:r>
        <w:rPr>
          <w:rFonts w:ascii="Arial" w:cs="Arial" w:eastAsia="Arial" w:hAnsi="Arial"/>
          <w:sz w:val="17"/>
          <w:szCs w:val="17"/>
          <w:u w:val="single" w:color="auto"/>
          <w:color w:val="0000EE"/>
        </w:rPr>
        <w:t>2023 Outstanding Equity Awards at Fiscal Year 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105" w:type="dxa"/>
        <w:tblCellMar>
          <w:top w:w="0" w:type="dxa"/>
          <w:left w:w="0" w:type="dxa"/>
          <w:bottom w:w="0" w:type="dxa"/>
          <w:right w:w="0" w:type="dxa"/>
        </w:tblCellMar>
      </w:tblPr>
      <w:tr>
        <w:trPr>
          <w:trHeight w:val="195"/>
        </w:trPr>
        <w:tc>
          <w:tcPr>
            <w:tcW w:w="820" w:type="dxa"/>
            <w:vAlign w:val="bottom"/>
          </w:tcPr>
          <w:p>
            <w:pPr>
              <w:jc w:val="right"/>
              <w:ind w:right="660"/>
              <w:spacing w:after="0"/>
              <w:rPr>
                <w:sz w:val="20"/>
                <w:szCs w:val="20"/>
                <w:color w:val="auto"/>
              </w:rPr>
            </w:pPr>
            <w:r>
              <w:rPr>
                <w:rFonts w:ascii="Arial" w:cs="Arial" w:eastAsia="Arial" w:hAnsi="Arial"/>
                <w:sz w:val="17"/>
                <w:szCs w:val="17"/>
                <w:color w:val="auto"/>
              </w:rPr>
              <w:t>i</w:t>
            </w:r>
          </w:p>
        </w:tc>
        <w:tc>
          <w:tcPr>
            <w:tcW w:w="4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5"/>
              </w:rPr>
              <w:t>2023</w:t>
            </w:r>
          </w:p>
        </w:tc>
        <w:tc>
          <w:tcPr>
            <w:tcW w:w="2700" w:type="dxa"/>
            <w:vAlign w:val="bottom"/>
            <w:tcBorders>
              <w:bottom w:val="single" w:sz="8" w:color="0000EE"/>
            </w:tcBorders>
          </w:tcPr>
          <w:p>
            <w:pPr>
              <w:ind w:left="20"/>
              <w:spacing w:after="0"/>
              <w:rPr>
                <w:sz w:val="20"/>
                <w:szCs w:val="20"/>
                <w:color w:val="auto"/>
              </w:rPr>
            </w:pPr>
            <w:r>
              <w:rPr>
                <w:rFonts w:ascii="Arial" w:cs="Arial" w:eastAsia="Arial" w:hAnsi="Arial"/>
                <w:sz w:val="17"/>
                <w:szCs w:val="17"/>
                <w:color w:val="0000EE"/>
                <w:w w:val="99"/>
              </w:rPr>
              <w:t>Option Exercises and Stock Vested</w:t>
            </w:r>
          </w:p>
        </w:tc>
        <w:tc>
          <w:tcPr>
            <w:tcW w:w="24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304"/>
        </w:trPr>
        <w:tc>
          <w:tcPr>
            <w:tcW w:w="820" w:type="dxa"/>
            <w:vAlign w:val="bottom"/>
          </w:tcPr>
          <w:p>
            <w:pPr>
              <w:jc w:val="right"/>
              <w:ind w:right="660"/>
              <w:spacing w:after="0"/>
              <w:rPr>
                <w:sz w:val="20"/>
                <w:szCs w:val="20"/>
                <w:color w:val="auto"/>
              </w:rPr>
            </w:pPr>
            <w:r>
              <w:rPr>
                <w:rFonts w:ascii="Arial" w:cs="Arial" w:eastAsia="Arial" w:hAnsi="Arial"/>
                <w:sz w:val="15"/>
                <w:szCs w:val="15"/>
                <w:color w:val="auto"/>
                <w:w w:val="71"/>
              </w:rPr>
              <w:t>1</w:t>
            </w:r>
          </w:p>
        </w:tc>
        <w:tc>
          <w:tcPr>
            <w:tcW w:w="400" w:type="dxa"/>
            <w:vAlign w:val="bottom"/>
            <w:tcBorders>
              <w:bottom w:val="single" w:sz="8" w:color="0000EE"/>
            </w:tcBorders>
          </w:tcPr>
          <w:p>
            <w:pPr>
              <w:jc w:val="right"/>
              <w:spacing w:after="0"/>
              <w:rPr>
                <w:sz w:val="20"/>
                <w:szCs w:val="20"/>
                <w:color w:val="auto"/>
              </w:rPr>
            </w:pPr>
            <w:r>
              <w:rPr>
                <w:rFonts w:ascii="Arial" w:cs="Arial" w:eastAsia="Arial" w:hAnsi="Arial"/>
                <w:sz w:val="17"/>
                <w:szCs w:val="17"/>
                <w:color w:val="0000EE"/>
                <w:w w:val="95"/>
              </w:rPr>
              <w:t>2023</w:t>
            </w:r>
          </w:p>
        </w:tc>
        <w:tc>
          <w:tcPr>
            <w:tcW w:w="2940" w:type="dxa"/>
            <w:vAlign w:val="bottom"/>
            <w:tcBorders>
              <w:bottom w:val="single" w:sz="8" w:color="0000EE"/>
            </w:tcBorders>
            <w:gridSpan w:val="2"/>
          </w:tcPr>
          <w:p>
            <w:pPr>
              <w:ind w:left="20"/>
              <w:spacing w:after="0"/>
              <w:rPr>
                <w:sz w:val="20"/>
                <w:szCs w:val="20"/>
                <w:color w:val="auto"/>
              </w:rPr>
            </w:pPr>
            <w:r>
              <w:rPr>
                <w:rFonts w:ascii="Arial" w:cs="Arial" w:eastAsia="Arial" w:hAnsi="Arial"/>
                <w:sz w:val="17"/>
                <w:szCs w:val="17"/>
                <w:color w:val="0000EE"/>
              </w:rPr>
              <w:t>Non-Qualified Deferred Compensation</w:t>
            </w:r>
          </w:p>
        </w:tc>
        <w:tc>
          <w:tcPr>
            <w:tcW w:w="1660" w:type="dxa"/>
            <w:vAlign w:val="bottom"/>
          </w:tcPr>
          <w:p>
            <w:pPr>
              <w:jc w:val="right"/>
              <w:spacing w:after="0"/>
              <w:rPr>
                <w:sz w:val="20"/>
                <w:szCs w:val="20"/>
                <w:color w:val="auto"/>
              </w:rPr>
            </w:pPr>
            <w:r>
              <w:rPr>
                <w:rFonts w:ascii="Arial" w:cs="Arial" w:eastAsia="Arial" w:hAnsi="Arial"/>
                <w:sz w:val="17"/>
                <w:szCs w:val="17"/>
                <w:color w:val="auto"/>
              </w:rPr>
              <w:t>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-3280410</wp:posOffset>
            </wp:positionH>
            <wp:positionV relativeFrom="paragraph">
              <wp:posOffset>-1370965</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95" w:lineRule="exact"/>
        <w:rPr>
          <w:sz w:val="20"/>
          <w:szCs w:val="20"/>
          <w:color w:val="auto"/>
        </w:rPr>
      </w:pPr>
    </w:p>
    <w:p>
      <w:pPr>
        <w:ind w:left="925" w:hanging="830"/>
        <w:spacing w:after="0"/>
        <w:tabs>
          <w:tab w:leader="none" w:pos="925" w:val="left"/>
        </w:tabs>
        <w:numPr>
          <w:ilvl w:val="0"/>
          <w:numId w:val="7"/>
        </w:numPr>
        <w:rPr>
          <w:rFonts w:ascii="Arial" w:cs="Arial" w:eastAsia="Arial" w:hAnsi="Arial"/>
          <w:sz w:val="17"/>
          <w:szCs w:val="17"/>
          <w:color w:val="auto"/>
        </w:rPr>
      </w:pPr>
      <w:r>
        <w:rPr>
          <w:rFonts w:ascii="Arial" w:cs="Arial" w:eastAsia="Arial" w:hAnsi="Arial"/>
          <w:sz w:val="17"/>
          <w:szCs w:val="17"/>
          <w:color w:val="0000EE"/>
        </w:rPr>
        <w:t>Potential Payments upon Termination or Change in</w:t>
      </w:r>
    </w:p>
    <w:tbl>
      <w:tblPr>
        <w:tblLayout w:type="fixed"/>
        <w:tblInd w:w="5" w:type="dxa"/>
        <w:tblCellMar>
          <w:top w:w="0" w:type="dxa"/>
          <w:left w:w="0" w:type="dxa"/>
          <w:bottom w:w="0" w:type="dxa"/>
          <w:right w:w="0" w:type="dxa"/>
        </w:tblCellMar>
      </w:tblP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368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7"/>
                <w:szCs w:val="17"/>
                <w:color w:val="0000EE"/>
              </w:rPr>
              <w:t>Control</w:t>
            </w:r>
          </w:p>
        </w:tc>
        <w:tc>
          <w:tcPr>
            <w:tcW w:w="1140" w:type="dxa"/>
            <w:vAlign w:val="bottom"/>
          </w:tcPr>
          <w:p>
            <w:pPr>
              <w:jc w:val="right"/>
              <w:spacing w:after="0" w:line="169" w:lineRule="exact"/>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60" w:type="dxa"/>
            <w:vAlign w:val="bottom"/>
            <w:gridSpan w:val="11"/>
            <w:vMerge w:val="restart"/>
          </w:tcPr>
          <w:p>
            <w:pPr>
              <w:spacing w:after="0"/>
              <w:rPr>
                <w:sz w:val="20"/>
                <w:szCs w:val="20"/>
                <w:color w:val="auto"/>
              </w:rPr>
            </w:pPr>
            <w:r>
              <w:rPr>
                <w:rFonts w:ascii="Arial" w:cs="Arial" w:eastAsia="Arial" w:hAnsi="Arial"/>
                <w:sz w:val="17"/>
                <w:szCs w:val="17"/>
                <w:color w:val="0000EE"/>
              </w:rPr>
              <w:t>Summary of Termination Payments and</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11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60" w:type="dxa"/>
            <w:vAlign w:val="bottom"/>
            <w:gridSpan w:val="11"/>
            <w:vMerge w:val="continue"/>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2860" w:type="dxa"/>
            <w:vAlign w:val="bottom"/>
            <w:tcBorders>
              <w:top w:val="single" w:sz="8" w:color="0000EE"/>
            </w:tcBorders>
            <w:gridSpan w:val="7"/>
          </w:tcPr>
          <w:p>
            <w:pPr>
              <w:spacing w:after="0" w:line="169" w:lineRule="exact"/>
              <w:rPr>
                <w:sz w:val="20"/>
                <w:szCs w:val="20"/>
                <w:color w:val="auto"/>
              </w:rPr>
            </w:pPr>
            <w:r>
              <w:rPr>
                <w:rFonts w:ascii="Arial" w:cs="Arial" w:eastAsia="Arial" w:hAnsi="Arial"/>
                <w:sz w:val="17"/>
                <w:szCs w:val="17"/>
                <w:color w:val="0000EE"/>
              </w:rPr>
              <w:t>Benefits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13</w:t>
            </w: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color w:val="0000EE"/>
                <w:w w:val="98"/>
              </w:rPr>
              <w:t>CEO Pay Ratio</w:t>
            </w:r>
          </w:p>
        </w:tc>
        <w:tc>
          <w:tcPr>
            <w:tcW w:w="2700" w:type="dxa"/>
            <w:vAlign w:val="bottom"/>
            <w:gridSpan w:val="7"/>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17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sz w:val="20"/>
                <w:szCs w:val="20"/>
                <w:color w:val="auto"/>
              </w:rPr>
            </w:pPr>
            <w:r>
              <w:rPr>
                <w:rFonts w:ascii="Arial" w:cs="Arial" w:eastAsia="Arial" w:hAnsi="Arial"/>
                <w:sz w:val="17"/>
                <w:szCs w:val="17"/>
                <w:color w:val="0000EE"/>
                <w:w w:val="99"/>
              </w:rPr>
              <w:t>Pay Versus Performance</w:t>
            </w:r>
          </w:p>
        </w:tc>
        <w:tc>
          <w:tcPr>
            <w:tcW w:w="1960" w:type="dxa"/>
            <w:vAlign w:val="bottom"/>
            <w:gridSpan w:val="5"/>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19</w:t>
            </w:r>
          </w:p>
        </w:tc>
        <w:tc>
          <w:tcPr>
            <w:tcW w:w="3800" w:type="dxa"/>
            <w:vAlign w:val="bottom"/>
            <w:tcBorders>
              <w:bottom w:val="single" w:sz="8" w:color="0000EE"/>
            </w:tcBorders>
            <w:gridSpan w:val="11"/>
          </w:tcPr>
          <w:p>
            <w:pPr>
              <w:spacing w:after="0"/>
              <w:rPr>
                <w:sz w:val="20"/>
                <w:szCs w:val="20"/>
                <w:color w:val="auto"/>
              </w:rPr>
            </w:pPr>
            <w:r>
              <w:rPr>
                <w:rFonts w:ascii="Arial" w:cs="Arial" w:eastAsia="Arial" w:hAnsi="Arial"/>
                <w:sz w:val="17"/>
                <w:szCs w:val="17"/>
                <w:b w:val="1"/>
                <w:bCs w:val="1"/>
                <w:color w:val="0000EE"/>
              </w:rPr>
              <w:t xml:space="preserve">PROPOSAL 2: </w:t>
            </w:r>
            <w:r>
              <w:rPr>
                <w:rFonts w:ascii="Arial" w:cs="Arial" w:eastAsia="Arial" w:hAnsi="Arial"/>
                <w:sz w:val="17"/>
                <w:szCs w:val="17"/>
                <w:color w:val="0000EE"/>
              </w:rPr>
              <w:t>ADVISORY VOTE TO APPROVE</w:t>
            </w:r>
          </w:p>
        </w:tc>
        <w:tc>
          <w:tcPr>
            <w:tcW w:w="40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20</w:t>
            </w:r>
          </w:p>
        </w:tc>
        <w:tc>
          <w:tcPr>
            <w:tcW w:w="4200" w:type="dxa"/>
            <w:vAlign w:val="bottom"/>
            <w:gridSpan w:val="13"/>
          </w:tcPr>
          <w:p>
            <w:pPr>
              <w:ind w:left="180"/>
              <w:spacing w:after="0" w:line="169" w:lineRule="exact"/>
              <w:rPr>
                <w:sz w:val="20"/>
                <w:szCs w:val="20"/>
                <w:color w:val="auto"/>
              </w:rPr>
            </w:pPr>
            <w:r>
              <w:rPr>
                <w:rFonts w:ascii="Arial" w:cs="Arial" w:eastAsia="Arial" w:hAnsi="Arial"/>
                <w:sz w:val="17"/>
                <w:szCs w:val="17"/>
                <w:color w:val="0000EE"/>
              </w:rPr>
              <w:t>COMPENSATION OF THE COMPANY’S NAMED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80" w:type="dxa"/>
            <w:vAlign w:val="bottom"/>
            <w:vMerge w:val="continue"/>
          </w:tcPr>
          <w:p>
            <w:pPr>
              <w:spacing w:after="0"/>
              <w:rPr>
                <w:sz w:val="8"/>
                <w:szCs w:val="8"/>
                <w:color w:val="auto"/>
              </w:rPr>
            </w:pPr>
          </w:p>
        </w:tc>
        <w:tc>
          <w:tcPr>
            <w:tcW w:w="4200" w:type="dxa"/>
            <w:vAlign w:val="bottom"/>
            <w:gridSpan w:val="13"/>
            <w:vMerge w:val="restart"/>
          </w:tcPr>
          <w:p>
            <w:pPr>
              <w:ind w:left="180"/>
              <w:spacing w:after="0" w:line="169" w:lineRule="exact"/>
              <w:rPr>
                <w:sz w:val="20"/>
                <w:szCs w:val="20"/>
                <w:color w:val="auto"/>
              </w:rPr>
            </w:pPr>
            <w:r>
              <w:rPr>
                <w:rFonts w:ascii="Arial" w:cs="Arial" w:eastAsia="Arial" w:hAnsi="Arial"/>
                <w:sz w:val="17"/>
                <w:szCs w:val="17"/>
                <w:color w:val="0000EE"/>
              </w:rPr>
              <w:t>EXECUTIVE OFFICERS</w:t>
            </w:r>
          </w:p>
        </w:tc>
        <w:tc>
          <w:tcPr>
            <w:tcW w:w="1140" w:type="dxa"/>
            <w:vAlign w:val="bottom"/>
            <w:vMerge w:val="restart"/>
          </w:tcPr>
          <w:p>
            <w:pPr>
              <w:jc w:val="right"/>
              <w:spacing w:after="0" w:line="169"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68"/>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21</w:t>
            </w:r>
          </w:p>
        </w:tc>
        <w:tc>
          <w:tcPr>
            <w:tcW w:w="4200" w:type="dxa"/>
            <w:vAlign w:val="bottom"/>
            <w:gridSpan w:val="1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vMerge w:val="continue"/>
          </w:tcPr>
          <w:p>
            <w:pPr>
              <w:spacing w:after="0"/>
              <w:rPr>
                <w:sz w:val="20"/>
                <w:szCs w:val="20"/>
                <w:color w:val="auto"/>
              </w:rPr>
            </w:pPr>
          </w:p>
        </w:tc>
        <w:tc>
          <w:tcPr>
            <w:tcW w:w="2360" w:type="dxa"/>
            <w:vAlign w:val="bottom"/>
            <w:gridSpan w:val="9"/>
            <w:vMerge w:val="restart"/>
          </w:tcPr>
          <w:p>
            <w:pPr>
              <w:spacing w:after="0"/>
              <w:rPr>
                <w:sz w:val="20"/>
                <w:szCs w:val="20"/>
                <w:color w:val="auto"/>
              </w:rPr>
            </w:pPr>
            <w:r>
              <w:rPr>
                <w:rFonts w:ascii="Arial" w:cs="Arial" w:eastAsia="Arial" w:hAnsi="Arial"/>
                <w:sz w:val="17"/>
                <w:szCs w:val="17"/>
                <w:b w:val="1"/>
                <w:bCs w:val="1"/>
                <w:color w:val="0000EE"/>
                <w:w w:val="99"/>
              </w:rPr>
              <w:t>AUDIT COMMITTEE REPORT</w:t>
            </w:r>
          </w:p>
        </w:tc>
        <w:tc>
          <w:tcPr>
            <w:tcW w:w="1840" w:type="dxa"/>
            <w:vAlign w:val="bottom"/>
            <w:gridSpan w:val="4"/>
            <w:vMerge w:val="restart"/>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73"/>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21</w:t>
            </w:r>
          </w:p>
        </w:tc>
        <w:tc>
          <w:tcPr>
            <w:tcW w:w="2360" w:type="dxa"/>
            <w:vAlign w:val="bottom"/>
            <w:tcBorders>
              <w:bottom w:val="single" w:sz="8" w:color="0000EE"/>
            </w:tcBorders>
            <w:gridSpan w:val="9"/>
            <w:vMerge w:val="continue"/>
          </w:tcPr>
          <w:p>
            <w:pPr>
              <w:spacing w:after="0"/>
              <w:rPr>
                <w:sz w:val="5"/>
                <w:szCs w:val="5"/>
                <w:color w:val="auto"/>
              </w:rPr>
            </w:pPr>
          </w:p>
        </w:tc>
        <w:tc>
          <w:tcPr>
            <w:tcW w:w="1840" w:type="dxa"/>
            <w:vAlign w:val="bottom"/>
            <w:gridSpan w:val="4"/>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580" w:type="dxa"/>
            <w:vAlign w:val="bottom"/>
            <w:vMerge w:val="continue"/>
          </w:tcPr>
          <w:p>
            <w:pPr>
              <w:spacing w:after="0"/>
              <w:rPr>
                <w:sz w:val="20"/>
                <w:szCs w:val="20"/>
                <w:color w:val="auto"/>
              </w:rPr>
            </w:pPr>
          </w:p>
        </w:tc>
        <w:tc>
          <w:tcPr>
            <w:tcW w:w="4200" w:type="dxa"/>
            <w:vAlign w:val="bottom"/>
            <w:gridSpan w:val="13"/>
            <w:vMerge w:val="restart"/>
          </w:tcPr>
          <w:p>
            <w:pPr>
              <w:spacing w:after="0"/>
              <w:rPr>
                <w:sz w:val="20"/>
                <w:szCs w:val="20"/>
                <w:color w:val="auto"/>
              </w:rPr>
            </w:pPr>
            <w:r>
              <w:rPr>
                <w:rFonts w:ascii="Arial" w:cs="Arial" w:eastAsia="Arial" w:hAnsi="Arial"/>
                <w:sz w:val="17"/>
                <w:szCs w:val="17"/>
                <w:b w:val="1"/>
                <w:bCs w:val="1"/>
                <w:color w:val="0000EE"/>
              </w:rPr>
              <w:t>INDEPENDENT PUBLIC ACCOUNTANT’S FEES</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68"/>
        </w:trPr>
        <w:tc>
          <w:tcPr>
            <w:tcW w:w="580" w:type="dxa"/>
            <w:vAlign w:val="bottom"/>
          </w:tcPr>
          <w:p>
            <w:pPr>
              <w:spacing w:after="0"/>
              <w:rPr>
                <w:sz w:val="5"/>
                <w:szCs w:val="5"/>
                <w:color w:val="auto"/>
              </w:rPr>
            </w:pPr>
          </w:p>
        </w:tc>
        <w:tc>
          <w:tcPr>
            <w:tcW w:w="4200" w:type="dxa"/>
            <w:vAlign w:val="bottom"/>
            <w:gridSpan w:val="13"/>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5" w:hanging="585"/>
        <w:spacing w:after="0" w:line="203" w:lineRule="auto"/>
        <w:tabs>
          <w:tab w:leader="none" w:pos="585" w:val="left"/>
        </w:tabs>
        <w:numPr>
          <w:ilvl w:val="0"/>
          <w:numId w:val="8"/>
        </w:numPr>
        <w:rPr>
          <w:rFonts w:ascii="Arial" w:cs="Arial" w:eastAsia="Arial" w:hAnsi="Arial"/>
          <w:sz w:val="34"/>
          <w:szCs w:val="34"/>
          <w:color w:val="auto"/>
          <w:vertAlign w:val="superscript"/>
        </w:rPr>
      </w:pPr>
      <w:r>
        <w:rPr>
          <w:rFonts w:ascii="Arial" w:cs="Arial" w:eastAsia="Arial" w:hAnsi="Arial"/>
          <w:sz w:val="17"/>
          <w:szCs w:val="17"/>
          <w:b w:val="1"/>
          <w:bCs w:val="1"/>
          <w:u w:val="single" w:color="auto"/>
          <w:color w:val="0000EE"/>
        </w:rPr>
        <w:t xml:space="preserve">PROPOSAL 3: </w:t>
      </w:r>
      <w:r>
        <w:rPr>
          <w:rFonts w:ascii="Arial" w:cs="Arial" w:eastAsia="Arial" w:hAnsi="Arial"/>
          <w:sz w:val="17"/>
          <w:szCs w:val="17"/>
          <w:u w:val="single" w:color="auto"/>
          <w:color w:val="0000EE"/>
        </w:rPr>
        <w:t>RATIFICATION OF THE APPOINTMENT OF</w:t>
      </w:r>
    </w:p>
    <w:p>
      <w:pPr>
        <w:ind w:left="765" w:hanging="765"/>
        <w:spacing w:after="0" w:line="232" w:lineRule="auto"/>
        <w:tabs>
          <w:tab w:leader="none" w:pos="765"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0000EE"/>
        </w:rPr>
        <w:t>PRICEWATERHOUSECOOPERS LLP AS OUR</w:t>
      </w:r>
    </w:p>
    <w:tbl>
      <w:tblPr>
        <w:tblLayout w:type="fixed"/>
        <w:tblInd w:w="5" w:type="dxa"/>
        <w:tblCellMar>
          <w:top w:w="0" w:type="dxa"/>
          <w:left w:w="0" w:type="dxa"/>
          <w:bottom w:w="0" w:type="dxa"/>
          <w:right w:w="0" w:type="dxa"/>
        </w:tblCellMar>
      </w:tblPr>
      <w:tr>
        <w:trPr>
          <w:trHeight w:val="169"/>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28</w:t>
            </w:r>
          </w:p>
        </w:tc>
        <w:tc>
          <w:tcPr>
            <w:tcW w:w="180" w:type="dxa"/>
            <w:vAlign w:val="bottom"/>
          </w:tcPr>
          <w:p>
            <w:pPr>
              <w:spacing w:after="0"/>
              <w:rPr>
                <w:sz w:val="14"/>
                <w:szCs w:val="14"/>
                <w:color w:val="auto"/>
              </w:rPr>
            </w:pPr>
          </w:p>
        </w:tc>
        <w:tc>
          <w:tcPr>
            <w:tcW w:w="4600" w:type="dxa"/>
            <w:vAlign w:val="bottom"/>
            <w:gridSpan w:val="5"/>
          </w:tcPr>
          <w:p>
            <w:pPr>
              <w:spacing w:after="0" w:line="169" w:lineRule="exact"/>
              <w:rPr>
                <w:sz w:val="20"/>
                <w:szCs w:val="20"/>
                <w:color w:val="auto"/>
              </w:rPr>
            </w:pPr>
            <w:r>
              <w:rPr>
                <w:rFonts w:ascii="Arial" w:cs="Arial" w:eastAsia="Arial" w:hAnsi="Arial"/>
                <w:sz w:val="17"/>
                <w:szCs w:val="17"/>
                <w:color w:val="0000EE"/>
              </w:rPr>
              <w:t>INDEPENDENT REGISTERED PUBLIC ACCOUNTING</w:t>
            </w:r>
          </w:p>
        </w:tc>
        <w:tc>
          <w:tcPr>
            <w:tcW w:w="560" w:type="dxa"/>
            <w:vAlign w:val="bottom"/>
            <w:vMerge w:val="restart"/>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69"/>
        </w:trPr>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tcBorders>
              <w:top w:val="single" w:sz="8" w:color="0000EE"/>
              <w:bottom w:val="single" w:sz="8" w:color="0000EE"/>
            </w:tcBorders>
            <w:gridSpan w:val="3"/>
          </w:tcPr>
          <w:p>
            <w:pPr>
              <w:spacing w:after="0" w:line="169" w:lineRule="exact"/>
              <w:rPr>
                <w:sz w:val="20"/>
                <w:szCs w:val="20"/>
                <w:color w:val="auto"/>
              </w:rPr>
            </w:pPr>
            <w:r>
              <w:rPr>
                <w:rFonts w:ascii="Arial" w:cs="Arial" w:eastAsia="Arial" w:hAnsi="Arial"/>
                <w:sz w:val="17"/>
                <w:szCs w:val="17"/>
                <w:color w:val="0000EE"/>
                <w:w w:val="99"/>
              </w:rPr>
              <w:t>FIRM FOR THE YEAR ENDING DECEMBER 31, 2024</w:t>
            </w:r>
          </w:p>
        </w:tc>
        <w:tc>
          <w:tcPr>
            <w:tcW w:w="80" w:type="dxa"/>
            <w:vAlign w:val="bottom"/>
            <w:tcBorders>
              <w:top w:val="single" w:sz="8" w:color="0000EE"/>
            </w:tcBorders>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30</w:t>
            </w:r>
          </w:p>
        </w:tc>
        <w:tc>
          <w:tcPr>
            <w:tcW w:w="350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rPr>
              <w:t xml:space="preserve">PROPOSAL 4: </w:t>
            </w:r>
            <w:r>
              <w:rPr>
                <w:rFonts w:ascii="Arial" w:cs="Arial" w:eastAsia="Arial" w:hAnsi="Arial"/>
                <w:sz w:val="17"/>
                <w:szCs w:val="17"/>
                <w:color w:val="0000EE"/>
              </w:rPr>
              <w:t>SHAREHOLDER PROPOSAL</w:t>
            </w:r>
          </w:p>
        </w:tc>
        <w:tc>
          <w:tcPr>
            <w:tcW w:w="128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35</w:t>
            </w:r>
          </w:p>
        </w:tc>
        <w:tc>
          <w:tcPr>
            <w:tcW w:w="4780" w:type="dxa"/>
            <w:vAlign w:val="bottom"/>
            <w:gridSpan w:val="6"/>
          </w:tcPr>
          <w:p>
            <w:pPr>
              <w:spacing w:after="0"/>
              <w:rPr>
                <w:sz w:val="20"/>
                <w:szCs w:val="20"/>
                <w:color w:val="auto"/>
              </w:rPr>
            </w:pPr>
            <w:r>
              <w:rPr>
                <w:rFonts w:ascii="Arial" w:cs="Arial" w:eastAsia="Arial" w:hAnsi="Arial"/>
                <w:sz w:val="17"/>
                <w:szCs w:val="17"/>
                <w:b w:val="1"/>
                <w:bCs w:val="1"/>
                <w:color w:val="0000EE"/>
              </w:rPr>
              <w:t>ANNUAL MEETING AND VOTING INFORMATION</w:t>
            </w:r>
          </w:p>
        </w:tc>
        <w:tc>
          <w:tcPr>
            <w:tcW w:w="560" w:type="dxa"/>
            <w:vAlign w:val="bottom"/>
          </w:tcPr>
          <w:p>
            <w:pPr>
              <w:jc w:val="right"/>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585" w:hanging="585"/>
        <w:spacing w:after="0"/>
        <w:tabs>
          <w:tab w:leader="none" w:pos="585"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0000EE"/>
        </w:rPr>
        <w:t>INFORMATION REGARDING THE 2025 ANNUAL MEETING</w:t>
      </w:r>
    </w:p>
    <w:tbl>
      <w:tblPr>
        <w:tblLayout w:type="fixed"/>
        <w:tblInd w:w="5"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4520" w:type="dxa"/>
            <w:vAlign w:val="bottom"/>
            <w:tcBorders>
              <w:top w:val="single" w:sz="8" w:color="0000EE"/>
            </w:tcBorders>
            <w:gridSpan w:val="4"/>
          </w:tcPr>
          <w:p>
            <w:pPr>
              <w:spacing w:after="0" w:line="169" w:lineRule="exact"/>
              <w:rPr>
                <w:sz w:val="20"/>
                <w:szCs w:val="20"/>
                <w:color w:val="auto"/>
              </w:rPr>
            </w:pPr>
            <w:r>
              <w:rPr>
                <w:rFonts w:ascii="Arial" w:cs="Arial" w:eastAsia="Arial" w:hAnsi="Arial"/>
                <w:sz w:val="17"/>
                <w:szCs w:val="17"/>
                <w:b w:val="1"/>
                <w:bCs w:val="1"/>
                <w:color w:val="0000EE"/>
              </w:rPr>
              <w:t>OF SHAREHOLDERS</w:t>
            </w:r>
          </w:p>
        </w:tc>
        <w:tc>
          <w:tcPr>
            <w:tcW w:w="640" w:type="dxa"/>
            <w:vAlign w:val="bottom"/>
          </w:tcPr>
          <w:p>
            <w:pPr>
              <w:jc w:val="right"/>
              <w:spacing w:after="0" w:line="16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0"/>
        </w:trPr>
        <w:tc>
          <w:tcPr>
            <w:tcW w:w="580" w:type="dxa"/>
            <w:vAlign w:val="bottom"/>
            <w:vMerge w:val="restart"/>
          </w:tcPr>
          <w:p>
            <w:pPr>
              <w:jc w:val="right"/>
              <w:ind w:right="315"/>
              <w:spacing w:after="0"/>
              <w:rPr>
                <w:sz w:val="20"/>
                <w:szCs w:val="20"/>
                <w:color w:val="auto"/>
              </w:rPr>
            </w:pPr>
            <w:r>
              <w:rPr>
                <w:rFonts w:ascii="Arial" w:cs="Arial" w:eastAsia="Arial" w:hAnsi="Arial"/>
                <w:sz w:val="17"/>
                <w:szCs w:val="17"/>
                <w:color w:val="auto"/>
                <w:w w:val="84"/>
              </w:rPr>
              <w:t>43</w:t>
            </w: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vMerge w:val="continue"/>
          </w:tcPr>
          <w:p>
            <w:pPr>
              <w:spacing w:after="0"/>
              <w:rPr>
                <w:sz w:val="24"/>
                <w:szCs w:val="24"/>
                <w:color w:val="auto"/>
              </w:rPr>
            </w:pPr>
          </w:p>
        </w:tc>
        <w:tc>
          <w:tcPr>
            <w:tcW w:w="146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8"/>
              </w:rPr>
              <w:t>OTHER MATTERS</w:t>
            </w:r>
          </w:p>
        </w:tc>
        <w:tc>
          <w:tcPr>
            <w:tcW w:w="324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304"/>
        </w:trPr>
        <w:tc>
          <w:tcPr>
            <w:tcW w:w="580" w:type="dxa"/>
            <w:vAlign w:val="bottom"/>
          </w:tcPr>
          <w:p>
            <w:pPr>
              <w:jc w:val="right"/>
              <w:ind w:right="315"/>
              <w:spacing w:after="0"/>
              <w:rPr>
                <w:sz w:val="20"/>
                <w:szCs w:val="20"/>
                <w:color w:val="auto"/>
              </w:rPr>
            </w:pPr>
            <w:r>
              <w:rPr>
                <w:rFonts w:ascii="Arial" w:cs="Arial" w:eastAsia="Arial" w:hAnsi="Arial"/>
                <w:sz w:val="17"/>
                <w:szCs w:val="17"/>
                <w:color w:val="auto"/>
                <w:w w:val="84"/>
              </w:rPr>
              <w:t>43</w:t>
            </w:r>
          </w:p>
        </w:tc>
        <w:tc>
          <w:tcPr>
            <w:tcW w:w="4700" w:type="dxa"/>
            <w:vAlign w:val="bottom"/>
            <w:gridSpan w:val="5"/>
          </w:tcPr>
          <w:p>
            <w:pPr>
              <w:spacing w:after="0"/>
              <w:rPr>
                <w:sz w:val="20"/>
                <w:szCs w:val="20"/>
                <w:color w:val="auto"/>
              </w:rPr>
            </w:pPr>
            <w:r>
              <w:rPr>
                <w:rFonts w:ascii="Arial" w:cs="Arial" w:eastAsia="Arial" w:hAnsi="Arial"/>
                <w:sz w:val="17"/>
                <w:szCs w:val="17"/>
                <w:b w:val="1"/>
                <w:bCs w:val="1"/>
                <w:color w:val="0000EE"/>
              </w:rPr>
              <w:t>APPENDIX A—RECONCILIATIONS</w:t>
            </w:r>
          </w:p>
        </w:tc>
        <w:tc>
          <w:tcPr>
            <w:tcW w:w="640" w:type="dxa"/>
            <w:vAlign w:val="bottom"/>
          </w:tcPr>
          <w:p>
            <w:pPr>
              <w:jc w:val="right"/>
              <w:spacing w:after="0"/>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5"/>
        <w:spacing w:after="0"/>
        <w:rPr>
          <w:sz w:val="20"/>
          <w:szCs w:val="20"/>
          <w:color w:val="auto"/>
        </w:rPr>
      </w:pPr>
      <w:r>
        <w:rPr>
          <w:rFonts w:ascii="Arial" w:cs="Arial" w:eastAsia="Arial" w:hAnsi="Arial"/>
          <w:sz w:val="17"/>
          <w:szCs w:val="17"/>
          <w:color w:val="auto"/>
        </w:rPr>
        <w:t>44</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7"/>
          <w:szCs w:val="17"/>
          <w:color w:val="auto"/>
        </w:rPr>
        <w:t>44</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7"/>
          <w:szCs w:val="17"/>
          <w:color w:val="auto"/>
        </w:rPr>
        <w:t>45</w:t>
      </w:r>
    </w:p>
    <w:p>
      <w:pPr>
        <w:spacing w:after="0" w:line="129" w:lineRule="exact"/>
        <w:rPr>
          <w:sz w:val="20"/>
          <w:szCs w:val="20"/>
          <w:color w:val="auto"/>
        </w:rPr>
      </w:pPr>
    </w:p>
    <w:p>
      <w:pPr>
        <w:ind w:left="5"/>
        <w:spacing w:after="0"/>
        <w:rPr>
          <w:sz w:val="20"/>
          <w:szCs w:val="20"/>
          <w:color w:val="auto"/>
        </w:rPr>
      </w:pPr>
      <w:r>
        <w:rPr>
          <w:rFonts w:ascii="Arial" w:cs="Arial" w:eastAsia="Arial" w:hAnsi="Arial"/>
          <w:sz w:val="17"/>
          <w:szCs w:val="17"/>
          <w:color w:val="auto"/>
        </w:rPr>
        <w:t>46</w:t>
      </w:r>
    </w:p>
    <w:p>
      <w:pPr>
        <w:sectPr>
          <w:pgSz w:w="11900" w:h="16838" w:orient="portrait"/>
          <w:cols w:equalWidth="0" w:num="2">
            <w:col w:w="4435" w:space="720"/>
            <w:col w:w="5925"/>
          </w:cols>
          <w:pgMar w:left="320" w:top="482"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108585</wp:posOffset>
            </wp:positionV>
            <wp:extent cx="7011670" cy="38830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11670" cy="3883025"/>
                    </a:xfrm>
                    <a:prstGeom prst="rect">
                      <a:avLst/>
                    </a:prstGeom>
                    <a:noFill/>
                  </pic:spPr>
                </pic:pic>
              </a:graphicData>
            </a:graphic>
          </wp:anchor>
        </w:drawing>
      </w:r>
    </w:p>
    <w:p>
      <w:pPr>
        <w:spacing w:after="0" w:line="331" w:lineRule="exact"/>
        <w:rPr>
          <w:sz w:val="20"/>
          <w:szCs w:val="20"/>
          <w:color w:val="auto"/>
        </w:rPr>
      </w:pPr>
    </w:p>
    <w:p>
      <w:pPr>
        <w:ind w:left="300" w:right="300"/>
        <w:spacing w:after="0" w:line="241" w:lineRule="auto"/>
        <w:rPr>
          <w:sz w:val="20"/>
          <w:szCs w:val="20"/>
          <w:color w:val="auto"/>
        </w:rPr>
      </w:pPr>
      <w:r>
        <w:rPr>
          <w:rFonts w:ascii="Arial" w:cs="Arial" w:eastAsia="Arial" w:hAnsi="Arial"/>
          <w:sz w:val="17"/>
          <w:szCs w:val="17"/>
          <w:color w:val="auto"/>
        </w:rPr>
        <w:t>This summary highlights information about Roper Technologies, Inc. (the “Company”, “Roper”, “we”, “us” or “our”) and the upcoming 2024 Annual Meeting of Shareholders (the “2024 Annual Meeting”). It does not contain all of the information you should consider. We recommend reading the complete proxy statement (the “Proxy Statement”) and our 2023 Annual Report to Shareholders (the “2023 Annual Report”), which includes our Annual Report on Form 10-K, before voting. The Proxy Statement and the enclosed proxy card are being mailed or otherwise made available to shareholders on or about April 26, 2024.</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2024 ANNUAL MEETING OF SHAREHOLDERS</w:t>
      </w:r>
    </w:p>
    <w:p>
      <w:pPr>
        <w:spacing w:after="0" w:line="229"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3120" w:type="dxa"/>
            <w:vAlign w:val="bottom"/>
          </w:tcPr>
          <w:p>
            <w:pPr>
              <w:spacing w:after="0"/>
              <w:rPr>
                <w:sz w:val="20"/>
                <w:szCs w:val="20"/>
                <w:color w:val="auto"/>
              </w:rPr>
            </w:pPr>
            <w:r>
              <w:rPr>
                <w:rFonts w:ascii="Arial" w:cs="Arial" w:eastAsia="Arial" w:hAnsi="Arial"/>
                <w:sz w:val="17"/>
                <w:szCs w:val="17"/>
                <w:b w:val="1"/>
                <w:bCs w:val="1"/>
                <w:color w:val="auto"/>
              </w:rPr>
              <w:t xml:space="preserve">Date and Time:          </w:t>
            </w:r>
          </w:p>
        </w:tc>
        <w:tc>
          <w:tcPr>
            <w:tcW w:w="2860" w:type="dxa"/>
            <w:vAlign w:val="bottom"/>
          </w:tcPr>
          <w:p>
            <w:pPr>
              <w:ind w:left="1040"/>
              <w:spacing w:after="0"/>
              <w:rPr>
                <w:sz w:val="20"/>
                <w:szCs w:val="20"/>
                <w:color w:val="auto"/>
              </w:rPr>
            </w:pPr>
            <w:r>
              <w:rPr>
                <w:rFonts w:ascii="Arial" w:cs="Arial" w:eastAsia="Arial" w:hAnsi="Arial"/>
                <w:sz w:val="17"/>
                <w:szCs w:val="17"/>
                <w:b w:val="1"/>
                <w:bCs w:val="1"/>
                <w:color w:val="auto"/>
              </w:rPr>
              <w:t>Record Date:</w:t>
            </w:r>
          </w:p>
        </w:tc>
        <w:tc>
          <w:tcPr>
            <w:tcW w:w="2560" w:type="dxa"/>
            <w:vAlign w:val="bottom"/>
          </w:tcPr>
          <w:p>
            <w:pPr>
              <w:ind w:left="740"/>
              <w:spacing w:after="0"/>
              <w:rPr>
                <w:sz w:val="20"/>
                <w:szCs w:val="20"/>
                <w:color w:val="auto"/>
              </w:rPr>
            </w:pPr>
            <w:r>
              <w:rPr>
                <w:rFonts w:ascii="Arial" w:cs="Arial" w:eastAsia="Arial" w:hAnsi="Arial"/>
                <w:sz w:val="17"/>
                <w:szCs w:val="17"/>
                <w:b w:val="1"/>
                <w:bCs w:val="1"/>
                <w:color w:val="auto"/>
              </w:rPr>
              <w:t>Place:</w:t>
            </w: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Wednesday, June 12, 2024</w:t>
            </w:r>
          </w:p>
        </w:tc>
        <w:tc>
          <w:tcPr>
            <w:tcW w:w="2860" w:type="dxa"/>
            <w:vAlign w:val="bottom"/>
          </w:tcPr>
          <w:p>
            <w:pPr>
              <w:ind w:left="1040"/>
              <w:spacing w:after="0" w:line="189" w:lineRule="exact"/>
              <w:rPr>
                <w:sz w:val="20"/>
                <w:szCs w:val="20"/>
                <w:color w:val="auto"/>
              </w:rPr>
            </w:pPr>
            <w:r>
              <w:rPr>
                <w:rFonts w:ascii="Arial" w:cs="Arial" w:eastAsia="Arial" w:hAnsi="Arial"/>
                <w:sz w:val="17"/>
                <w:szCs w:val="17"/>
                <w:color w:val="auto"/>
              </w:rPr>
              <w:t>April 18, 2024</w:t>
            </w:r>
          </w:p>
        </w:tc>
        <w:tc>
          <w:tcPr>
            <w:tcW w:w="2560" w:type="dxa"/>
            <w:vAlign w:val="bottom"/>
          </w:tcPr>
          <w:p>
            <w:pPr>
              <w:ind w:left="740"/>
              <w:spacing w:after="0" w:line="189" w:lineRule="exact"/>
              <w:rPr>
                <w:sz w:val="20"/>
                <w:szCs w:val="20"/>
                <w:color w:val="auto"/>
              </w:rPr>
            </w:pPr>
            <w:r>
              <w:rPr>
                <w:rFonts w:ascii="Arial" w:cs="Arial" w:eastAsia="Arial" w:hAnsi="Arial"/>
                <w:sz w:val="17"/>
                <w:szCs w:val="17"/>
                <w:color w:val="auto"/>
              </w:rPr>
              <w:t>The Westin Sarasota</w:t>
            </w: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10:00 a.m. (Eastern)</w:t>
            </w:r>
          </w:p>
        </w:tc>
        <w:tc>
          <w:tcPr>
            <w:tcW w:w="2860" w:type="dxa"/>
            <w:vAlign w:val="bottom"/>
          </w:tcPr>
          <w:p>
            <w:pPr>
              <w:spacing w:after="0"/>
              <w:rPr>
                <w:sz w:val="16"/>
                <w:szCs w:val="16"/>
                <w:color w:val="auto"/>
              </w:rPr>
            </w:pPr>
          </w:p>
        </w:tc>
        <w:tc>
          <w:tcPr>
            <w:tcW w:w="2560" w:type="dxa"/>
            <w:vAlign w:val="bottom"/>
          </w:tcPr>
          <w:p>
            <w:pPr>
              <w:ind w:left="740"/>
              <w:spacing w:after="0" w:line="189" w:lineRule="exact"/>
              <w:rPr>
                <w:sz w:val="20"/>
                <w:szCs w:val="20"/>
                <w:color w:val="auto"/>
              </w:rPr>
            </w:pPr>
            <w:r>
              <w:rPr>
                <w:rFonts w:ascii="Arial" w:cs="Arial" w:eastAsia="Arial" w:hAnsi="Arial"/>
                <w:sz w:val="17"/>
                <w:szCs w:val="17"/>
                <w:color w:val="auto"/>
              </w:rPr>
              <w:t>100 Marina View Drive</w:t>
            </w:r>
          </w:p>
        </w:tc>
      </w:tr>
      <w:tr>
        <w:trPr>
          <w:trHeight w:val="225"/>
        </w:trPr>
        <w:tc>
          <w:tcPr>
            <w:tcW w:w="3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2560" w:type="dxa"/>
            <w:vAlign w:val="bottom"/>
          </w:tcPr>
          <w:p>
            <w:pPr>
              <w:ind w:left="740"/>
              <w:spacing w:after="0"/>
              <w:rPr>
                <w:sz w:val="20"/>
                <w:szCs w:val="20"/>
                <w:color w:val="auto"/>
              </w:rPr>
            </w:pPr>
            <w:r>
              <w:rPr>
                <w:rFonts w:ascii="Arial" w:cs="Arial" w:eastAsia="Arial" w:hAnsi="Arial"/>
                <w:sz w:val="17"/>
                <w:szCs w:val="17"/>
                <w:color w:val="auto"/>
                <w:w w:val="99"/>
              </w:rPr>
              <w:t>Sarasota, Florida 34236</w:t>
            </w:r>
          </w:p>
        </w:tc>
      </w:tr>
    </w:tbl>
    <w:p>
      <w:pPr>
        <w:spacing w:after="0" w:line="1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VOTING MATTERS AND BOARD RECOMMENDATIONS</w:t>
      </w: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6160" w:type="dxa"/>
            <w:vAlign w:val="bottom"/>
            <w:shd w:val="clear" w:color="auto" w:fill="005CB9"/>
          </w:tcPr>
          <w:p>
            <w:pPr>
              <w:spacing w:after="0"/>
              <w:rPr>
                <w:sz w:val="15"/>
                <w:szCs w:val="15"/>
                <w:color w:val="auto"/>
              </w:rPr>
            </w:pPr>
          </w:p>
        </w:tc>
        <w:tc>
          <w:tcPr>
            <w:tcW w:w="2080" w:type="dxa"/>
            <w:vAlign w:val="bottom"/>
            <w:shd w:val="clear" w:color="auto" w:fill="005CB9"/>
          </w:tcPr>
          <w:p>
            <w:pPr>
              <w:jc w:val="center"/>
              <w:ind w:left="181"/>
              <w:spacing w:after="0"/>
              <w:rPr>
                <w:sz w:val="20"/>
                <w:szCs w:val="20"/>
                <w:color w:val="auto"/>
              </w:rPr>
            </w:pPr>
            <w:r>
              <w:rPr>
                <w:rFonts w:ascii="Arial" w:cs="Arial" w:eastAsia="Arial" w:hAnsi="Arial"/>
                <w:sz w:val="14"/>
                <w:szCs w:val="14"/>
                <w:color w:val="FFFFFF"/>
              </w:rPr>
              <w:t>Board</w:t>
            </w:r>
          </w:p>
        </w:tc>
        <w:tc>
          <w:tcPr>
            <w:tcW w:w="280" w:type="dxa"/>
            <w:vAlign w:val="bottom"/>
            <w:shd w:val="clear" w:color="auto" w:fill="005CB9"/>
          </w:tcPr>
          <w:p>
            <w:pPr>
              <w:spacing w:after="0"/>
              <w:rPr>
                <w:sz w:val="15"/>
                <w:szCs w:val="15"/>
                <w:color w:val="auto"/>
              </w:rPr>
            </w:pPr>
          </w:p>
        </w:tc>
        <w:tc>
          <w:tcPr>
            <w:tcW w:w="2120" w:type="dxa"/>
            <w:vAlign w:val="bottom"/>
            <w:shd w:val="clear" w:color="auto" w:fill="005CB9"/>
          </w:tcPr>
          <w:p>
            <w:pPr>
              <w:jc w:val="center"/>
              <w:spacing w:after="0"/>
              <w:rPr>
                <w:sz w:val="20"/>
                <w:szCs w:val="20"/>
                <w:color w:val="auto"/>
              </w:rPr>
            </w:pPr>
            <w:r>
              <w:rPr>
                <w:rFonts w:ascii="Arial" w:cs="Arial" w:eastAsia="Arial" w:hAnsi="Arial"/>
                <w:sz w:val="14"/>
                <w:szCs w:val="14"/>
                <w:color w:val="FFFFFF"/>
                <w:w w:val="97"/>
              </w:rPr>
              <w:t>Vote</w:t>
            </w:r>
          </w:p>
        </w:tc>
      </w:tr>
      <w:tr>
        <w:trPr>
          <w:trHeight w:val="239"/>
        </w:trPr>
        <w:tc>
          <w:tcPr>
            <w:tcW w:w="6160" w:type="dxa"/>
            <w:vAlign w:val="bottom"/>
            <w:tcBorders>
              <w:bottom w:val="single" w:sz="8" w:color="005CB9"/>
            </w:tcBorders>
            <w:shd w:val="clear" w:color="auto" w:fill="005CB9"/>
          </w:tcPr>
          <w:p>
            <w:pPr>
              <w:spacing w:after="0"/>
              <w:rPr>
                <w:sz w:val="20"/>
                <w:szCs w:val="20"/>
                <w:color w:val="auto"/>
              </w:rPr>
            </w:pPr>
            <w:r>
              <w:rPr>
                <w:rFonts w:ascii="Arial" w:cs="Arial" w:eastAsia="Arial" w:hAnsi="Arial"/>
                <w:sz w:val="14"/>
                <w:szCs w:val="14"/>
                <w:color w:val="FFFFFF"/>
              </w:rPr>
              <w:t>  Proposals</w:t>
            </w:r>
          </w:p>
        </w:tc>
        <w:tc>
          <w:tcPr>
            <w:tcW w:w="2080" w:type="dxa"/>
            <w:vAlign w:val="bottom"/>
            <w:tcBorders>
              <w:bottom w:val="single" w:sz="8" w:color="005CB9"/>
            </w:tcBorders>
            <w:shd w:val="clear" w:color="auto" w:fill="005CB9"/>
          </w:tcPr>
          <w:p>
            <w:pPr>
              <w:jc w:val="center"/>
              <w:ind w:left="201"/>
              <w:spacing w:after="0"/>
              <w:rPr>
                <w:sz w:val="20"/>
                <w:szCs w:val="20"/>
                <w:color w:val="auto"/>
              </w:rPr>
            </w:pPr>
            <w:r>
              <w:rPr>
                <w:rFonts w:ascii="Arial" w:cs="Arial" w:eastAsia="Arial" w:hAnsi="Arial"/>
                <w:sz w:val="14"/>
                <w:szCs w:val="14"/>
                <w:color w:val="FFFFFF"/>
              </w:rPr>
              <w:t>Recommendation</w:t>
            </w:r>
          </w:p>
        </w:tc>
        <w:tc>
          <w:tcPr>
            <w:tcW w:w="280" w:type="dxa"/>
            <w:vAlign w:val="bottom"/>
            <w:tcBorders>
              <w:bottom w:val="single" w:sz="8" w:color="005CB9"/>
            </w:tcBorders>
            <w:shd w:val="clear" w:color="auto" w:fill="005CB9"/>
          </w:tcPr>
          <w:p>
            <w:pPr>
              <w:spacing w:after="0"/>
              <w:rPr>
                <w:sz w:val="20"/>
                <w:szCs w:val="20"/>
                <w:color w:val="auto"/>
              </w:rPr>
            </w:pPr>
          </w:p>
        </w:tc>
        <w:tc>
          <w:tcPr>
            <w:tcW w:w="212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Required</w:t>
            </w:r>
          </w:p>
        </w:tc>
      </w:tr>
      <w:tr>
        <w:trPr>
          <w:trHeight w:val="220"/>
        </w:trPr>
        <w:tc>
          <w:tcPr>
            <w:tcW w:w="6160" w:type="dxa"/>
            <w:vAlign w:val="bottom"/>
          </w:tcPr>
          <w:p>
            <w:pPr>
              <w:ind w:left="80"/>
              <w:spacing w:after="0"/>
              <w:rPr>
                <w:sz w:val="20"/>
                <w:szCs w:val="20"/>
                <w:color w:val="auto"/>
              </w:rPr>
            </w:pPr>
            <w:r>
              <w:rPr>
                <w:rFonts w:ascii="Arial" w:cs="Arial" w:eastAsia="Arial" w:hAnsi="Arial"/>
                <w:sz w:val="17"/>
                <w:szCs w:val="17"/>
                <w:b w:val="1"/>
                <w:bCs w:val="1"/>
                <w:color w:val="auto"/>
              </w:rPr>
              <w:t xml:space="preserve">  1: </w:t>
            </w:r>
            <w:r>
              <w:rPr>
                <w:rFonts w:ascii="Arial" w:cs="Arial" w:eastAsia="Arial" w:hAnsi="Arial"/>
                <w:sz w:val="17"/>
                <w:szCs w:val="17"/>
                <w:color w:val="auto"/>
              </w:rPr>
              <w:t>Election of ten directors for a one-year term</w:t>
            </w:r>
          </w:p>
        </w:tc>
        <w:tc>
          <w:tcPr>
            <w:tcW w:w="2080" w:type="dxa"/>
            <w:vAlign w:val="bottom"/>
          </w:tcPr>
          <w:p>
            <w:pPr>
              <w:ind w:left="60"/>
              <w:spacing w:after="0"/>
              <w:rPr>
                <w:sz w:val="20"/>
                <w:szCs w:val="20"/>
                <w:color w:val="auto"/>
              </w:rPr>
            </w:pPr>
            <w:r>
              <w:rPr>
                <w:rFonts w:ascii="Arial" w:cs="Arial" w:eastAsia="Arial" w:hAnsi="Arial"/>
                <w:sz w:val="17"/>
                <w:szCs w:val="17"/>
                <w:b w:val="1"/>
                <w:bCs w:val="1"/>
                <w:color w:val="auto"/>
              </w:rPr>
              <w:t>FOR EACH NOMINEE</w:t>
            </w:r>
          </w:p>
        </w:tc>
        <w:tc>
          <w:tcPr>
            <w:tcW w:w="2400" w:type="dxa"/>
            <w:vAlign w:val="bottom"/>
            <w:gridSpan w:val="2"/>
          </w:tcPr>
          <w:p>
            <w:pPr>
              <w:ind w:left="280"/>
              <w:spacing w:after="0"/>
              <w:rPr>
                <w:sz w:val="20"/>
                <w:szCs w:val="20"/>
                <w:color w:val="auto"/>
              </w:rPr>
            </w:pPr>
            <w:r>
              <w:rPr>
                <w:rFonts w:ascii="Arial" w:cs="Arial" w:eastAsia="Arial" w:hAnsi="Arial"/>
                <w:sz w:val="17"/>
                <w:szCs w:val="17"/>
                <w:color w:val="auto"/>
              </w:rPr>
              <w:t>Majority of votes cast</w:t>
            </w:r>
          </w:p>
        </w:tc>
      </w:tr>
      <w:tr>
        <w:trPr>
          <w:trHeight w:val="30"/>
        </w:trPr>
        <w:tc>
          <w:tcPr>
            <w:tcW w:w="6160" w:type="dxa"/>
            <w:vAlign w:val="bottom"/>
            <w:tcBorders>
              <w:bottom w:val="single" w:sz="8" w:color="005CB9"/>
            </w:tcBorders>
          </w:tcPr>
          <w:p>
            <w:pPr>
              <w:spacing w:after="0"/>
              <w:rPr>
                <w:sz w:val="2"/>
                <w:szCs w:val="2"/>
                <w:color w:val="auto"/>
              </w:rPr>
            </w:pPr>
          </w:p>
        </w:tc>
        <w:tc>
          <w:tcPr>
            <w:tcW w:w="2080" w:type="dxa"/>
            <w:vAlign w:val="bottom"/>
            <w:tcBorders>
              <w:bottom w:val="single" w:sz="8" w:color="005CB9"/>
            </w:tcBorders>
          </w:tcPr>
          <w:p>
            <w:pPr>
              <w:spacing w:after="0"/>
              <w:rPr>
                <w:sz w:val="2"/>
                <w:szCs w:val="2"/>
                <w:color w:val="auto"/>
              </w:rPr>
            </w:pPr>
          </w:p>
        </w:tc>
        <w:tc>
          <w:tcPr>
            <w:tcW w:w="2400" w:type="dxa"/>
            <w:vAlign w:val="bottom"/>
            <w:tcBorders>
              <w:bottom w:val="single" w:sz="8" w:color="005CB9"/>
            </w:tcBorders>
            <w:gridSpan w:val="2"/>
          </w:tcPr>
          <w:p>
            <w:pPr>
              <w:spacing w:after="0"/>
              <w:rPr>
                <w:sz w:val="2"/>
                <w:szCs w:val="2"/>
                <w:color w:val="auto"/>
              </w:rPr>
            </w:pPr>
          </w:p>
        </w:tc>
      </w:tr>
      <w:tr>
        <w:trPr>
          <w:trHeight w:val="187"/>
        </w:trPr>
        <w:tc>
          <w:tcPr>
            <w:tcW w:w="6160" w:type="dxa"/>
            <w:vAlign w:val="bottom"/>
          </w:tcPr>
          <w:p>
            <w:pPr>
              <w:ind w:left="80"/>
              <w:spacing w:after="0" w:line="187" w:lineRule="exact"/>
              <w:rPr>
                <w:sz w:val="20"/>
                <w:szCs w:val="20"/>
                <w:color w:val="auto"/>
              </w:rPr>
            </w:pPr>
            <w:r>
              <w:rPr>
                <w:rFonts w:ascii="Arial" w:cs="Arial" w:eastAsia="Arial" w:hAnsi="Arial"/>
                <w:sz w:val="17"/>
                <w:szCs w:val="17"/>
                <w:b w:val="1"/>
                <w:bCs w:val="1"/>
                <w:color w:val="auto"/>
              </w:rPr>
              <w:t xml:space="preserve">  2: </w:t>
            </w:r>
            <w:r>
              <w:rPr>
                <w:rFonts w:ascii="Arial" w:cs="Arial" w:eastAsia="Arial" w:hAnsi="Arial"/>
                <w:sz w:val="17"/>
                <w:szCs w:val="17"/>
                <w:color w:val="auto"/>
              </w:rPr>
              <w:t>Advisory vote to approve the compensation of our named executive officers</w:t>
            </w:r>
          </w:p>
        </w:tc>
        <w:tc>
          <w:tcPr>
            <w:tcW w:w="2080" w:type="dxa"/>
            <w:vAlign w:val="bottom"/>
          </w:tcPr>
          <w:p>
            <w:pPr>
              <w:ind w:left="60"/>
              <w:spacing w:after="0" w:line="187" w:lineRule="exact"/>
              <w:rPr>
                <w:sz w:val="20"/>
                <w:szCs w:val="20"/>
                <w:color w:val="auto"/>
              </w:rPr>
            </w:pPr>
            <w:r>
              <w:rPr>
                <w:rFonts w:ascii="Arial" w:cs="Arial" w:eastAsia="Arial" w:hAnsi="Arial"/>
                <w:sz w:val="17"/>
                <w:szCs w:val="17"/>
                <w:b w:val="1"/>
                <w:bCs w:val="1"/>
                <w:color w:val="auto"/>
              </w:rPr>
              <w:t>FOR</w:t>
            </w:r>
          </w:p>
        </w:tc>
        <w:tc>
          <w:tcPr>
            <w:tcW w:w="2400" w:type="dxa"/>
            <w:vAlign w:val="bottom"/>
            <w:gridSpan w:val="2"/>
          </w:tcPr>
          <w:p>
            <w:pPr>
              <w:ind w:left="280"/>
              <w:spacing w:after="0" w:line="187" w:lineRule="exact"/>
              <w:rPr>
                <w:sz w:val="20"/>
                <w:szCs w:val="20"/>
                <w:color w:val="auto"/>
              </w:rPr>
            </w:pPr>
            <w:r>
              <w:rPr>
                <w:rFonts w:ascii="Arial" w:cs="Arial" w:eastAsia="Arial" w:hAnsi="Arial"/>
                <w:sz w:val="17"/>
                <w:szCs w:val="17"/>
                <w:color w:val="auto"/>
              </w:rPr>
              <w:t>Majority of shares present</w:t>
            </w:r>
          </w:p>
        </w:tc>
      </w:tr>
      <w:tr>
        <w:trPr>
          <w:trHeight w:val="189"/>
        </w:trPr>
        <w:tc>
          <w:tcPr>
            <w:tcW w:w="61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40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in person or represented by</w:t>
            </w:r>
          </w:p>
        </w:tc>
      </w:tr>
      <w:tr>
        <w:trPr>
          <w:trHeight w:val="225"/>
        </w:trPr>
        <w:tc>
          <w:tcPr>
            <w:tcW w:w="61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400" w:type="dxa"/>
            <w:vAlign w:val="bottom"/>
            <w:gridSpan w:val="2"/>
          </w:tcPr>
          <w:p>
            <w:pPr>
              <w:ind w:left="280"/>
              <w:spacing w:after="0"/>
              <w:rPr>
                <w:sz w:val="20"/>
                <w:szCs w:val="20"/>
                <w:color w:val="auto"/>
              </w:rPr>
            </w:pPr>
            <w:r>
              <w:rPr>
                <w:rFonts w:ascii="Arial" w:cs="Arial" w:eastAsia="Arial" w:hAnsi="Arial"/>
                <w:sz w:val="17"/>
                <w:szCs w:val="17"/>
                <w:color w:val="auto"/>
              </w:rPr>
              <w:t>proxy</w:t>
            </w:r>
          </w:p>
        </w:tc>
      </w:tr>
    </w:tbl>
    <w:p>
      <w:pPr>
        <w:spacing w:after="0" w:line="59" w:lineRule="exact"/>
        <w:rPr>
          <w:sz w:val="20"/>
          <w:szCs w:val="20"/>
          <w:color w:val="auto"/>
        </w:rPr>
      </w:pPr>
    </w:p>
    <w:p>
      <w:pPr>
        <w:sectPr>
          <w:pgSz w:w="11900" w:h="16838" w:orient="portrait"/>
          <w:cols w:equalWidth="0" w:num="1">
            <w:col w:w="11140"/>
          </w:cols>
          <w:pgMar w:left="320" w:top="482" w:right="439" w:bottom="1440" w:gutter="0" w:footer="0" w:header="0"/>
        </w:sectPr>
      </w:pPr>
    </w:p>
    <w:p>
      <w:pPr>
        <w:ind w:left="380"/>
        <w:spacing w:after="0"/>
        <w:tabs>
          <w:tab w:leader="none" w:pos="6500" w:val="left"/>
        </w:tabs>
        <w:rPr>
          <w:sz w:val="20"/>
          <w:szCs w:val="20"/>
          <w:color w:val="auto"/>
        </w:rPr>
      </w:pPr>
      <w:r>
        <w:rPr>
          <w:rFonts w:ascii="Arial" w:cs="Arial" w:eastAsia="Arial" w:hAnsi="Arial"/>
          <w:sz w:val="17"/>
          <w:szCs w:val="17"/>
          <w:b w:val="1"/>
          <w:bCs w:val="1"/>
          <w:color w:val="auto"/>
        </w:rPr>
        <w:t xml:space="preserve">  3: </w:t>
      </w:r>
      <w:r>
        <w:rPr>
          <w:rFonts w:ascii="Arial" w:cs="Arial" w:eastAsia="Arial" w:hAnsi="Arial"/>
          <w:sz w:val="17"/>
          <w:szCs w:val="17"/>
          <w:color w:val="auto"/>
        </w:rPr>
        <w:t>Ratification of the appointment of PricewaterhouseCoopers LLP as our</w:t>
      </w:r>
      <w:r>
        <w:rPr>
          <w:sz w:val="20"/>
          <w:szCs w:val="20"/>
          <w:color w:val="auto"/>
        </w:rPr>
        <w:tab/>
      </w:r>
      <w:r>
        <w:rPr>
          <w:rFonts w:ascii="Arial" w:cs="Arial" w:eastAsia="Arial" w:hAnsi="Arial"/>
          <w:sz w:val="17"/>
          <w:szCs w:val="17"/>
          <w:b w:val="1"/>
          <w:bCs w:val="1"/>
          <w:color w:val="auto"/>
        </w:rPr>
        <w:t>FOR</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independent registered public accounting firm for 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Majority of shares present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in person or represented by</w:t>
      </w:r>
    </w:p>
    <w:p>
      <w:pPr>
        <w:spacing w:after="0"/>
        <w:rPr>
          <w:sz w:val="20"/>
          <w:szCs w:val="20"/>
          <w:color w:val="auto"/>
        </w:rPr>
      </w:pPr>
      <w:r>
        <w:rPr>
          <w:rFonts w:ascii="Arial" w:cs="Arial" w:eastAsia="Arial" w:hAnsi="Arial"/>
          <w:sz w:val="17"/>
          <w:szCs w:val="17"/>
          <w:color w:val="auto"/>
        </w:rPr>
        <w:t>proxy</w:t>
      </w:r>
    </w:p>
    <w:p>
      <w:pPr>
        <w:spacing w:after="0" w:line="66" w:lineRule="exact"/>
        <w:rPr>
          <w:sz w:val="20"/>
          <w:szCs w:val="20"/>
          <w:color w:val="auto"/>
        </w:rPr>
      </w:pPr>
    </w:p>
    <w:p>
      <w:pPr>
        <w:sectPr>
          <w:pgSz w:w="11900" w:h="16838" w:orient="portrait"/>
          <w:cols w:equalWidth="0" w:num="2">
            <w:col w:w="8100" w:space="720"/>
            <w:col w:w="2320"/>
          </w:cols>
          <w:pgMar w:left="320" w:top="482" w:right="439" w:bottom="1440" w:gutter="0" w:footer="0" w:header="0"/>
          <w:type w:val="continuous"/>
        </w:sectPr>
      </w:pPr>
    </w:p>
    <w:tbl>
      <w:tblPr>
        <w:tblLayout w:type="fixed"/>
        <w:tblInd w:w="400" w:type="dxa"/>
        <w:tblCellMar>
          <w:top w:w="0" w:type="dxa"/>
          <w:left w:w="0" w:type="dxa"/>
          <w:bottom w:w="0" w:type="dxa"/>
          <w:right w:w="0" w:type="dxa"/>
        </w:tblCellMar>
      </w:tblPr>
      <w:tr>
        <w:trPr>
          <w:trHeight w:val="195"/>
        </w:trPr>
        <w:tc>
          <w:tcPr>
            <w:tcW w:w="5320" w:type="dxa"/>
            <w:vAlign w:val="bottom"/>
          </w:tcPr>
          <w:p>
            <w:pPr>
              <w:spacing w:after="0"/>
              <w:rPr>
                <w:sz w:val="20"/>
                <w:szCs w:val="20"/>
                <w:color w:val="auto"/>
              </w:rPr>
            </w:pPr>
            <w:r>
              <w:rPr>
                <w:rFonts w:ascii="Arial" w:cs="Arial" w:eastAsia="Arial" w:hAnsi="Arial"/>
                <w:sz w:val="17"/>
                <w:szCs w:val="17"/>
                <w:b w:val="1"/>
                <w:bCs w:val="1"/>
                <w:color w:val="auto"/>
              </w:rPr>
              <w:t xml:space="preserve">  4. </w:t>
            </w:r>
            <w:r>
              <w:rPr>
                <w:rFonts w:ascii="Arial" w:cs="Arial" w:eastAsia="Arial" w:hAnsi="Arial"/>
                <w:sz w:val="17"/>
                <w:szCs w:val="17"/>
                <w:color w:val="auto"/>
              </w:rPr>
              <w:t>Shareholder proposal regarding majority voting requirements</w:t>
            </w:r>
          </w:p>
        </w:tc>
        <w:tc>
          <w:tcPr>
            <w:tcW w:w="640" w:type="dxa"/>
            <w:vAlign w:val="bottom"/>
          </w:tcPr>
          <w:p>
            <w:pPr>
              <w:spacing w:after="0"/>
              <w:rPr>
                <w:sz w:val="16"/>
                <w:szCs w:val="16"/>
                <w:color w:val="auto"/>
              </w:rPr>
            </w:pPr>
          </w:p>
        </w:tc>
        <w:tc>
          <w:tcPr>
            <w:tcW w:w="2300" w:type="dxa"/>
            <w:vAlign w:val="bottom"/>
          </w:tcPr>
          <w:p>
            <w:pPr>
              <w:ind w:left="160"/>
              <w:spacing w:after="0"/>
              <w:rPr>
                <w:sz w:val="20"/>
                <w:szCs w:val="20"/>
                <w:color w:val="auto"/>
              </w:rPr>
            </w:pPr>
            <w:r>
              <w:rPr>
                <w:rFonts w:ascii="Arial" w:cs="Arial" w:eastAsia="Arial" w:hAnsi="Arial"/>
                <w:sz w:val="17"/>
                <w:szCs w:val="17"/>
                <w:b w:val="1"/>
                <w:bCs w:val="1"/>
                <w:color w:val="auto"/>
              </w:rPr>
              <w:t>NO RECOMMENDATION</w:t>
            </w:r>
          </w:p>
        </w:tc>
        <w:tc>
          <w:tcPr>
            <w:tcW w:w="2120" w:type="dxa"/>
            <w:vAlign w:val="bottom"/>
          </w:tcPr>
          <w:p>
            <w:pPr>
              <w:ind w:left="160"/>
              <w:spacing w:after="0"/>
              <w:rPr>
                <w:sz w:val="20"/>
                <w:szCs w:val="20"/>
                <w:color w:val="auto"/>
              </w:rPr>
            </w:pPr>
            <w:r>
              <w:rPr>
                <w:rFonts w:ascii="Arial" w:cs="Arial" w:eastAsia="Arial" w:hAnsi="Arial"/>
                <w:sz w:val="17"/>
                <w:szCs w:val="17"/>
                <w:color w:val="auto"/>
                <w:w w:val="99"/>
              </w:rPr>
              <w:t>Majority of shares present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2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in person or represented by</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20" w:type="dxa"/>
            <w:vAlign w:val="bottom"/>
          </w:tcPr>
          <w:p>
            <w:pPr>
              <w:ind w:left="160"/>
              <w:spacing w:after="0"/>
              <w:rPr>
                <w:sz w:val="20"/>
                <w:szCs w:val="20"/>
                <w:color w:val="auto"/>
              </w:rPr>
            </w:pPr>
            <w:r>
              <w:rPr>
                <w:rFonts w:ascii="Arial" w:cs="Arial" w:eastAsia="Arial" w:hAnsi="Arial"/>
                <w:sz w:val="17"/>
                <w:szCs w:val="17"/>
                <w:color w:val="auto"/>
              </w:rPr>
              <w:t>proxy</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6"/>
        </w:trPr>
        <w:tc>
          <w:tcPr>
            <w:tcW w:w="5320" w:type="dxa"/>
            <w:vAlign w:val="bottom"/>
          </w:tcPr>
          <w:p>
            <w:pPr>
              <w:spacing w:after="0"/>
              <w:rPr>
                <w:sz w:val="24"/>
                <w:szCs w:val="24"/>
                <w:color w:val="auto"/>
              </w:rPr>
            </w:pPr>
          </w:p>
        </w:tc>
        <w:tc>
          <w:tcPr>
            <w:tcW w:w="640" w:type="dxa"/>
            <w:vAlign w:val="bottom"/>
            <w:vMerge w:val="restart"/>
          </w:tcPr>
          <w:p>
            <w:pPr>
              <w:ind w:left="400"/>
              <w:spacing w:after="0"/>
              <w:rPr>
                <w:sz w:val="20"/>
                <w:szCs w:val="20"/>
                <w:color w:val="auto"/>
              </w:rPr>
            </w:pPr>
            <w:r>
              <w:rPr>
                <w:rFonts w:ascii="Arial" w:cs="Arial" w:eastAsia="Arial" w:hAnsi="Arial"/>
                <w:sz w:val="16"/>
                <w:szCs w:val="16"/>
                <w:b w:val="1"/>
                <w:bCs w:val="1"/>
                <w:color w:val="005CB9"/>
              </w:rPr>
              <w:t xml:space="preserve">  </w:t>
            </w:r>
          </w:p>
        </w:tc>
        <w:tc>
          <w:tcPr>
            <w:tcW w:w="4420" w:type="dxa"/>
            <w:vAlign w:val="bottom"/>
            <w:gridSpan w:val="2"/>
            <w:vMerge w:val="restart"/>
          </w:tcPr>
          <w:p>
            <w:pPr>
              <w:ind w:left="5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00" w:type="dxa"/>
            <w:vAlign w:val="bottom"/>
          </w:tcPr>
          <w:p>
            <w:pPr>
              <w:ind w:left="20"/>
              <w:spacing w:after="0"/>
              <w:rPr>
                <w:sz w:val="20"/>
                <w:szCs w:val="20"/>
                <w:color w:val="auto"/>
              </w:rPr>
            </w:pPr>
            <w:r>
              <w:rPr>
                <w:rFonts w:ascii="Arial" w:cs="Arial" w:eastAsia="Arial" w:hAnsi="Arial"/>
                <w:sz w:val="16"/>
                <w:szCs w:val="16"/>
                <w:b w:val="1"/>
                <w:bCs w:val="1"/>
                <w:color w:val="005CB9"/>
                <w:w w:val="99"/>
              </w:rPr>
              <w:t> </w:t>
            </w:r>
          </w:p>
        </w:tc>
        <w:tc>
          <w:tcPr>
            <w:tcW w:w="160" w:type="dxa"/>
            <w:vAlign w:val="bottom"/>
            <w:vMerge w:val="restart"/>
          </w:tcPr>
          <w:p>
            <w:pPr>
              <w:ind w:left="80"/>
              <w:spacing w:after="0"/>
              <w:rPr>
                <w:sz w:val="20"/>
                <w:szCs w:val="20"/>
                <w:color w:val="auto"/>
              </w:rPr>
            </w:pPr>
            <w:r>
              <w:rPr>
                <w:rFonts w:ascii="Arial" w:cs="Arial" w:eastAsia="Arial" w:hAnsi="Arial"/>
                <w:sz w:val="16"/>
                <w:szCs w:val="16"/>
                <w:b w:val="1"/>
                <w:bCs w:val="1"/>
                <w:color w:val="005CB9"/>
                <w:w w:val="77"/>
              </w:rPr>
              <w:t> i</w:t>
            </w: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4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53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3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-252095</wp:posOffset>
            </wp:positionV>
            <wp:extent cx="8255" cy="248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24828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-208915</wp:posOffset>
            </wp:positionV>
            <wp:extent cx="4286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95250</wp:posOffset>
            </wp:positionV>
            <wp:extent cx="7011670" cy="6660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1670" cy="6660515"/>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2024 DIRECTOR NOMINEES</w:t>
      </w:r>
    </w:p>
    <w:p>
      <w:pPr>
        <w:spacing w:after="0" w:line="208" w:lineRule="exact"/>
        <w:rPr>
          <w:sz w:val="20"/>
          <w:szCs w:val="20"/>
          <w:color w:val="auto"/>
        </w:rPr>
      </w:pPr>
    </w:p>
    <w:p>
      <w:pPr>
        <w:ind w:left="300" w:right="780"/>
        <w:spacing w:after="0" w:line="267" w:lineRule="auto"/>
        <w:rPr>
          <w:sz w:val="20"/>
          <w:szCs w:val="20"/>
          <w:color w:val="auto"/>
        </w:rPr>
      </w:pPr>
      <w:r>
        <w:rPr>
          <w:rFonts w:ascii="Arial" w:cs="Arial" w:eastAsia="Arial" w:hAnsi="Arial"/>
          <w:sz w:val="17"/>
          <w:szCs w:val="17"/>
          <w:color w:val="auto"/>
        </w:rPr>
        <w:t>Shareholders are electing all ten director nominees who each will serve for a one-year term expiring at the 2025 Annual Meeting of Shareholders (the “2025 Annual Meeting”).</w:t>
      </w: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90"/>
        </w:trPr>
        <w:tc>
          <w:tcPr>
            <w:tcW w:w="4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Borders>
              <w:bottom w:val="single" w:sz="8" w:color="005CB9"/>
            </w:tcBorders>
          </w:tcPr>
          <w:p>
            <w:pPr>
              <w:spacing w:after="0"/>
              <w:rPr>
                <w:sz w:val="7"/>
                <w:szCs w:val="7"/>
                <w:color w:val="auto"/>
              </w:rPr>
            </w:pPr>
          </w:p>
        </w:tc>
        <w:tc>
          <w:tcPr>
            <w:tcW w:w="1620" w:type="dxa"/>
            <w:vAlign w:val="bottom"/>
            <w:vMerge w:val="restart"/>
          </w:tcPr>
          <w:p>
            <w:pPr>
              <w:ind w:left="600"/>
              <w:spacing w:after="0"/>
              <w:rPr>
                <w:sz w:val="20"/>
                <w:szCs w:val="20"/>
                <w:color w:val="auto"/>
              </w:rPr>
            </w:pPr>
            <w:r>
              <w:rPr>
                <w:rFonts w:ascii="Arial" w:cs="Arial" w:eastAsia="Arial" w:hAnsi="Arial"/>
                <w:sz w:val="14"/>
                <w:szCs w:val="14"/>
                <w:color w:val="005CB9"/>
                <w:w w:val="93"/>
              </w:rPr>
              <w:t>COMMITTEES </w:t>
            </w:r>
          </w:p>
        </w:tc>
        <w:tc>
          <w:tcPr>
            <w:tcW w:w="480" w:type="dxa"/>
            <w:vAlign w:val="bottom"/>
            <w:vMerge w:val="restart"/>
          </w:tcPr>
          <w:p>
            <w:pPr>
              <w:ind w:left="80"/>
              <w:spacing w:after="0"/>
              <w:rPr>
                <w:sz w:val="20"/>
                <w:szCs w:val="20"/>
                <w:color w:val="auto"/>
              </w:rPr>
            </w:pPr>
            <w:r>
              <w:rPr>
                <w:rFonts w:ascii="Arial" w:cs="Arial" w:eastAsia="Arial" w:hAnsi="Arial"/>
                <w:sz w:val="14"/>
                <w:szCs w:val="14"/>
                <w:color w:val="005CB9"/>
              </w:rPr>
              <w:t>     </w:t>
            </w:r>
          </w:p>
        </w:tc>
        <w:tc>
          <w:tcPr>
            <w:tcW w:w="420" w:type="dxa"/>
            <w:vAlign w:val="bottom"/>
            <w:tcBorders>
              <w:bottom w:val="single" w:sz="8" w:color="005CB9"/>
            </w:tcBorders>
          </w:tcPr>
          <w:p>
            <w:pPr>
              <w:spacing w:after="0"/>
              <w:rPr>
                <w:sz w:val="7"/>
                <w:szCs w:val="7"/>
                <w:color w:val="auto"/>
              </w:rPr>
            </w:pPr>
          </w:p>
        </w:tc>
        <w:tc>
          <w:tcPr>
            <w:tcW w:w="340" w:type="dxa"/>
            <w:vAlign w:val="bottom"/>
            <w:tcBorders>
              <w:bottom w:val="single" w:sz="8" w:color="005CB9"/>
            </w:tcBorders>
          </w:tcPr>
          <w:p>
            <w:pPr>
              <w:spacing w:after="0"/>
              <w:rPr>
                <w:sz w:val="7"/>
                <w:szCs w:val="7"/>
                <w:color w:val="auto"/>
              </w:rPr>
            </w:pPr>
          </w:p>
        </w:tc>
        <w:tc>
          <w:tcPr>
            <w:tcW w:w="340" w:type="dxa"/>
            <w:vAlign w:val="bottom"/>
            <w:tcBorders>
              <w:bottom w:val="single" w:sz="8" w:color="005CB9"/>
            </w:tcBorders>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4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Borders>
              <w:right w:val="single" w:sz="8" w:color="005CB9"/>
            </w:tcBorders>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Borders>
              <w:right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4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Borders>
              <w:right w:val="single" w:sz="8" w:color="005CB9"/>
            </w:tcBorders>
          </w:tcPr>
          <w:p>
            <w:pPr>
              <w:spacing w:after="0"/>
              <w:rPr>
                <w:sz w:val="6"/>
                <w:szCs w:val="6"/>
                <w:color w:val="auto"/>
              </w:rPr>
            </w:pPr>
          </w:p>
        </w:tc>
        <w:tc>
          <w:tcPr>
            <w:tcW w:w="7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Borders>
              <w:right w:val="single" w:sz="8" w:color="005CB9"/>
            </w:tcBorders>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460" w:type="dxa"/>
            <w:vAlign w:val="bottom"/>
            <w:shd w:val="clear" w:color="auto" w:fill="005CB9"/>
          </w:tcPr>
          <w:p>
            <w:pPr>
              <w:spacing w:after="0"/>
              <w:rPr>
                <w:sz w:val="15"/>
                <w:szCs w:val="15"/>
                <w:color w:val="auto"/>
              </w:rPr>
            </w:pPr>
          </w:p>
        </w:tc>
        <w:tc>
          <w:tcPr>
            <w:tcW w:w="560" w:type="dxa"/>
            <w:vAlign w:val="bottom"/>
            <w:shd w:val="clear" w:color="auto" w:fill="005CB9"/>
          </w:tcPr>
          <w:p>
            <w:pPr>
              <w:spacing w:after="0"/>
              <w:rPr>
                <w:sz w:val="15"/>
                <w:szCs w:val="15"/>
                <w:color w:val="auto"/>
              </w:rPr>
            </w:pPr>
          </w:p>
        </w:tc>
        <w:tc>
          <w:tcPr>
            <w:tcW w:w="72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Director</w:t>
            </w:r>
          </w:p>
        </w:tc>
        <w:tc>
          <w:tcPr>
            <w:tcW w:w="920" w:type="dxa"/>
            <w:vAlign w:val="bottom"/>
            <w:tcBorders>
              <w:right w:val="single" w:sz="8" w:color="005CB9"/>
            </w:tcBorders>
            <w:shd w:val="clear" w:color="auto" w:fill="005CB9"/>
          </w:tcPr>
          <w:p>
            <w:pPr>
              <w:spacing w:after="0"/>
              <w:rPr>
                <w:sz w:val="15"/>
                <w:szCs w:val="15"/>
                <w:color w:val="auto"/>
              </w:rPr>
            </w:pPr>
          </w:p>
        </w:tc>
        <w:tc>
          <w:tcPr>
            <w:tcW w:w="780" w:type="dxa"/>
            <w:vAlign w:val="bottom"/>
            <w:shd w:val="clear" w:color="auto" w:fill="005CB9"/>
          </w:tcPr>
          <w:p>
            <w:pPr>
              <w:spacing w:after="0"/>
              <w:rPr>
                <w:sz w:val="15"/>
                <w:szCs w:val="15"/>
                <w:color w:val="auto"/>
              </w:rPr>
            </w:pPr>
          </w:p>
        </w:tc>
        <w:tc>
          <w:tcPr>
            <w:tcW w:w="1620" w:type="dxa"/>
            <w:vAlign w:val="bottom"/>
            <w:shd w:val="clear" w:color="auto" w:fill="005CB9"/>
          </w:tcPr>
          <w:p>
            <w:pPr>
              <w:spacing w:after="0"/>
              <w:rPr>
                <w:sz w:val="15"/>
                <w:szCs w:val="15"/>
                <w:color w:val="auto"/>
              </w:rPr>
            </w:pPr>
          </w:p>
        </w:tc>
        <w:tc>
          <w:tcPr>
            <w:tcW w:w="480" w:type="dxa"/>
            <w:vAlign w:val="bottom"/>
            <w:shd w:val="clear" w:color="auto" w:fill="005CB9"/>
          </w:tcPr>
          <w:p>
            <w:pPr>
              <w:spacing w:after="0"/>
              <w:rPr>
                <w:sz w:val="15"/>
                <w:szCs w:val="15"/>
                <w:color w:val="auto"/>
              </w:rPr>
            </w:pPr>
          </w:p>
        </w:tc>
        <w:tc>
          <w:tcPr>
            <w:tcW w:w="420" w:type="dxa"/>
            <w:vAlign w:val="bottom"/>
            <w:shd w:val="clear" w:color="auto" w:fill="005CB9"/>
          </w:tcPr>
          <w:p>
            <w:pPr>
              <w:spacing w:after="0"/>
              <w:rPr>
                <w:sz w:val="15"/>
                <w:szCs w:val="15"/>
                <w:color w:val="auto"/>
              </w:rPr>
            </w:pPr>
          </w:p>
        </w:tc>
        <w:tc>
          <w:tcPr>
            <w:tcW w:w="340" w:type="dxa"/>
            <w:vAlign w:val="bottom"/>
            <w:shd w:val="clear" w:color="auto" w:fill="005CB9"/>
          </w:tcPr>
          <w:p>
            <w:pPr>
              <w:jc w:val="center"/>
              <w:ind w:left="36"/>
              <w:spacing w:after="0"/>
              <w:rPr>
                <w:sz w:val="20"/>
                <w:szCs w:val="20"/>
                <w:color w:val="auto"/>
              </w:rPr>
            </w:pPr>
            <w:r>
              <w:rPr>
                <w:rFonts w:ascii="Arial" w:cs="Arial" w:eastAsia="Arial" w:hAnsi="Arial"/>
                <w:sz w:val="5"/>
                <w:szCs w:val="5"/>
                <w:color w:val="FFFFFF"/>
                <w:w w:val="79"/>
              </w:rPr>
              <w:t> </w:t>
            </w:r>
          </w:p>
        </w:tc>
        <w:tc>
          <w:tcPr>
            <w:tcW w:w="340" w:type="dxa"/>
            <w:vAlign w:val="bottom"/>
            <w:tcBorders>
              <w:right w:val="single" w:sz="8" w:color="005CB9"/>
            </w:tcBorders>
            <w:shd w:val="clear" w:color="auto" w:fill="005CB9"/>
          </w:tcPr>
          <w:p>
            <w:pPr>
              <w:jc w:val="center"/>
              <w:ind w:right="251"/>
              <w:spacing w:after="0"/>
              <w:rPr>
                <w:sz w:val="20"/>
                <w:szCs w:val="20"/>
                <w:color w:val="auto"/>
              </w:rPr>
            </w:pPr>
            <w:r>
              <w:rPr>
                <w:rFonts w:ascii="Arial" w:cs="Arial" w:eastAsia="Arial" w:hAnsi="Arial"/>
                <w:sz w:val="5"/>
                <w:szCs w:val="5"/>
                <w:color w:val="FFFFFF"/>
                <w:w w:val="79"/>
              </w:rPr>
              <w:t> </w:t>
            </w:r>
          </w:p>
        </w:tc>
        <w:tc>
          <w:tcPr>
            <w:tcW w:w="0" w:type="dxa"/>
            <w:vAlign w:val="bottom"/>
          </w:tcPr>
          <w:p>
            <w:pPr>
              <w:spacing w:after="0"/>
              <w:rPr>
                <w:sz w:val="1"/>
                <w:szCs w:val="1"/>
                <w:color w:val="auto"/>
              </w:rPr>
            </w:pPr>
          </w:p>
        </w:tc>
      </w:tr>
      <w:tr>
        <w:trPr>
          <w:trHeight w:val="239"/>
        </w:trPr>
        <w:tc>
          <w:tcPr>
            <w:tcW w:w="4460" w:type="dxa"/>
            <w:vAlign w:val="bottom"/>
            <w:tcBorders>
              <w:bottom w:val="single" w:sz="8" w:color="005CB9"/>
            </w:tcBorders>
            <w:shd w:val="clear" w:color="auto" w:fill="005CB9"/>
          </w:tcPr>
          <w:p>
            <w:pPr>
              <w:spacing w:after="0"/>
              <w:rPr>
                <w:sz w:val="20"/>
                <w:szCs w:val="20"/>
                <w:color w:val="auto"/>
              </w:rPr>
            </w:pPr>
            <w:r>
              <w:rPr>
                <w:rFonts w:ascii="Arial" w:cs="Arial" w:eastAsia="Arial" w:hAnsi="Arial"/>
                <w:sz w:val="14"/>
                <w:szCs w:val="14"/>
                <w:color w:val="FFFFFF"/>
              </w:rPr>
              <w:t> Name and Primary Occupation</w:t>
            </w:r>
          </w:p>
        </w:tc>
        <w:tc>
          <w:tcPr>
            <w:tcW w:w="560" w:type="dxa"/>
            <w:vAlign w:val="bottom"/>
            <w:tcBorders>
              <w:bottom w:val="single" w:sz="8" w:color="005CB9"/>
            </w:tcBorders>
            <w:shd w:val="clear" w:color="auto" w:fill="005CB9"/>
          </w:tcPr>
          <w:p>
            <w:pPr>
              <w:jc w:val="center"/>
              <w:ind w:left="28"/>
              <w:spacing w:after="0"/>
              <w:rPr>
                <w:sz w:val="20"/>
                <w:szCs w:val="20"/>
                <w:color w:val="auto"/>
              </w:rPr>
            </w:pPr>
            <w:r>
              <w:rPr>
                <w:rFonts w:ascii="Arial" w:cs="Arial" w:eastAsia="Arial" w:hAnsi="Arial"/>
                <w:sz w:val="14"/>
                <w:szCs w:val="14"/>
                <w:color w:val="FFFFFF"/>
              </w:rPr>
              <w:t>Age</w:t>
            </w:r>
          </w:p>
        </w:tc>
        <w:tc>
          <w:tcPr>
            <w:tcW w:w="72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Since</w:t>
            </w:r>
          </w:p>
        </w:tc>
        <w:tc>
          <w:tcPr>
            <w:tcW w:w="920" w:type="dxa"/>
            <w:vAlign w:val="bottom"/>
            <w:tcBorders>
              <w:bottom w:val="single" w:sz="8" w:color="005CB9"/>
              <w:right w:val="single" w:sz="8" w:color="005CB9"/>
            </w:tcBorders>
            <w:shd w:val="clear" w:color="auto" w:fill="005CB9"/>
          </w:tcPr>
          <w:p>
            <w:pPr>
              <w:jc w:val="center"/>
              <w:ind w:left="8"/>
              <w:spacing w:after="0"/>
              <w:rPr>
                <w:sz w:val="20"/>
                <w:szCs w:val="20"/>
                <w:color w:val="auto"/>
              </w:rPr>
            </w:pPr>
            <w:r>
              <w:rPr>
                <w:rFonts w:ascii="Arial" w:cs="Arial" w:eastAsia="Arial" w:hAnsi="Arial"/>
                <w:sz w:val="14"/>
                <w:szCs w:val="14"/>
                <w:color w:val="FFFFFF"/>
              </w:rPr>
              <w:t>Independent</w:t>
            </w:r>
          </w:p>
        </w:tc>
        <w:tc>
          <w:tcPr>
            <w:tcW w:w="780" w:type="dxa"/>
            <w:vAlign w:val="bottom"/>
            <w:tcBorders>
              <w:bottom w:val="single" w:sz="8" w:color="005CB9"/>
            </w:tcBorders>
            <w:shd w:val="clear" w:color="auto" w:fill="005CB9"/>
          </w:tcPr>
          <w:p>
            <w:pPr>
              <w:jc w:val="center"/>
              <w:ind w:left="348"/>
              <w:spacing w:after="0"/>
              <w:rPr>
                <w:sz w:val="20"/>
                <w:szCs w:val="20"/>
                <w:color w:val="auto"/>
              </w:rPr>
            </w:pPr>
            <w:r>
              <w:rPr>
                <w:rFonts w:ascii="Arial" w:cs="Arial" w:eastAsia="Arial" w:hAnsi="Arial"/>
                <w:sz w:val="14"/>
                <w:szCs w:val="14"/>
                <w:color w:val="FFFFFF"/>
              </w:rPr>
              <w:t>AC</w:t>
            </w:r>
          </w:p>
        </w:tc>
        <w:tc>
          <w:tcPr>
            <w:tcW w:w="1620" w:type="dxa"/>
            <w:vAlign w:val="bottom"/>
            <w:tcBorders>
              <w:bottom w:val="single" w:sz="8" w:color="005CB9"/>
            </w:tcBorders>
            <w:shd w:val="clear" w:color="auto" w:fill="005CB9"/>
          </w:tcPr>
          <w:p>
            <w:pPr>
              <w:jc w:val="center"/>
              <w:ind w:right="88"/>
              <w:spacing w:after="0"/>
              <w:rPr>
                <w:sz w:val="20"/>
                <w:szCs w:val="20"/>
                <w:color w:val="auto"/>
              </w:rPr>
            </w:pPr>
            <w:r>
              <w:rPr>
                <w:rFonts w:ascii="Arial" w:cs="Arial" w:eastAsia="Arial" w:hAnsi="Arial"/>
                <w:sz w:val="14"/>
                <w:szCs w:val="14"/>
                <w:color w:val="FFFFFF"/>
              </w:rPr>
              <w:t>CC</w:t>
            </w:r>
          </w:p>
        </w:tc>
        <w:tc>
          <w:tcPr>
            <w:tcW w:w="900" w:type="dxa"/>
            <w:vAlign w:val="bottom"/>
            <w:tcBorders>
              <w:bottom w:val="single" w:sz="8" w:color="005CB9"/>
            </w:tcBorders>
            <w:gridSpan w:val="2"/>
            <w:shd w:val="clear" w:color="auto" w:fill="005CB9"/>
          </w:tcPr>
          <w:p>
            <w:pPr>
              <w:jc w:val="center"/>
              <w:ind w:right="580"/>
              <w:spacing w:after="0"/>
              <w:rPr>
                <w:sz w:val="20"/>
                <w:szCs w:val="20"/>
                <w:color w:val="auto"/>
              </w:rPr>
            </w:pPr>
            <w:r>
              <w:rPr>
                <w:rFonts w:ascii="Arial" w:cs="Arial" w:eastAsia="Arial" w:hAnsi="Arial"/>
                <w:sz w:val="14"/>
                <w:szCs w:val="14"/>
                <w:color w:val="FFFFFF"/>
              </w:rPr>
              <w:t>NGC</w:t>
            </w:r>
          </w:p>
        </w:tc>
        <w:tc>
          <w:tcPr>
            <w:tcW w:w="340" w:type="dxa"/>
            <w:vAlign w:val="bottom"/>
            <w:tcBorders>
              <w:bottom w:val="single" w:sz="8" w:color="005CB9"/>
            </w:tcBorders>
            <w:shd w:val="clear" w:color="auto" w:fill="005CB9"/>
          </w:tcPr>
          <w:p>
            <w:pPr>
              <w:jc w:val="center"/>
              <w:ind w:left="36"/>
              <w:spacing w:after="0"/>
              <w:rPr>
                <w:sz w:val="20"/>
                <w:szCs w:val="20"/>
                <w:color w:val="auto"/>
              </w:rPr>
            </w:pPr>
            <w:r>
              <w:rPr>
                <w:rFonts w:ascii="Arial" w:cs="Arial" w:eastAsia="Arial" w:hAnsi="Arial"/>
                <w:sz w:val="14"/>
                <w:szCs w:val="14"/>
                <w:color w:val="FFFFFF"/>
                <w:w w:val="71"/>
              </w:rPr>
              <w:t>EC </w:t>
            </w:r>
          </w:p>
        </w:tc>
        <w:tc>
          <w:tcPr>
            <w:tcW w:w="340" w:type="dxa"/>
            <w:vAlign w:val="bottom"/>
            <w:tcBorders>
              <w:bottom w:val="single" w:sz="8" w:color="005CB9"/>
              <w:right w:val="single" w:sz="8" w:color="005CB9"/>
            </w:tcBorders>
            <w:shd w:val="clear" w:color="auto" w:fill="005CB9"/>
          </w:tcPr>
          <w:p>
            <w:pPr>
              <w:ind w:left="100"/>
              <w:spacing w:after="0"/>
              <w:rPr>
                <w:sz w:val="20"/>
                <w:szCs w:val="20"/>
                <w:color w:val="auto"/>
              </w:rPr>
            </w:pPr>
            <w:r>
              <w:rPr>
                <w:rFonts w:ascii="Arial" w:cs="Arial" w:eastAsia="Arial" w:hAnsi="Arial"/>
                <w:sz w:val="14"/>
                <w:szCs w:val="14"/>
                <w:color w:val="FFFFFF"/>
              </w:rPr>
              <w:t> </w:t>
            </w:r>
          </w:p>
        </w:tc>
        <w:tc>
          <w:tcPr>
            <w:tcW w:w="0" w:type="dxa"/>
            <w:vAlign w:val="bottom"/>
          </w:tcPr>
          <w:p>
            <w:pPr>
              <w:spacing w:after="0"/>
              <w:rPr>
                <w:sz w:val="1"/>
                <w:szCs w:val="1"/>
                <w:color w:val="auto"/>
              </w:rPr>
            </w:pPr>
          </w:p>
        </w:tc>
      </w:tr>
      <w:tr>
        <w:trPr>
          <w:trHeight w:val="160"/>
        </w:trPr>
        <w:tc>
          <w:tcPr>
            <w:tcW w:w="4460" w:type="dxa"/>
            <w:vAlign w:val="bottom"/>
          </w:tcPr>
          <w:p>
            <w:pPr>
              <w:spacing w:after="0" w:line="160" w:lineRule="exact"/>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Shellye L. Archambeau</w:t>
            </w: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 Former Chief Executive Officer,</w:t>
            </w:r>
          </w:p>
        </w:tc>
        <w:tc>
          <w:tcPr>
            <w:tcW w:w="560" w:type="dxa"/>
            <w:vAlign w:val="bottom"/>
          </w:tcPr>
          <w:p>
            <w:pPr>
              <w:jc w:val="center"/>
              <w:ind w:left="48"/>
              <w:spacing w:after="0"/>
              <w:rPr>
                <w:sz w:val="20"/>
                <w:szCs w:val="20"/>
                <w:color w:val="auto"/>
              </w:rPr>
            </w:pPr>
            <w:r>
              <w:rPr>
                <w:rFonts w:ascii="Arial" w:cs="Arial" w:eastAsia="Arial" w:hAnsi="Arial"/>
                <w:sz w:val="14"/>
                <w:szCs w:val="14"/>
                <w:color w:val="auto"/>
              </w:rPr>
              <w:t>61</w:t>
            </w:r>
          </w:p>
        </w:tc>
        <w:tc>
          <w:tcPr>
            <w:tcW w:w="720" w:type="dxa"/>
            <w:vAlign w:val="bottom"/>
          </w:tcPr>
          <w:p>
            <w:pPr>
              <w:jc w:val="center"/>
              <w:spacing w:after="0"/>
              <w:rPr>
                <w:sz w:val="20"/>
                <w:szCs w:val="20"/>
                <w:color w:val="auto"/>
              </w:rPr>
            </w:pPr>
            <w:r>
              <w:rPr>
                <w:rFonts w:ascii="Arial" w:cs="Arial" w:eastAsia="Arial" w:hAnsi="Arial"/>
                <w:sz w:val="14"/>
                <w:szCs w:val="14"/>
                <w:color w:val="auto"/>
              </w:rPr>
              <w:t>2018</w:t>
            </w:r>
          </w:p>
        </w:tc>
        <w:tc>
          <w:tcPr>
            <w:tcW w:w="920" w:type="dxa"/>
            <w:vAlign w:val="bottom"/>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tcPr>
          <w:p>
            <w:pPr>
              <w:spacing w:after="0"/>
              <w:rPr>
                <w:sz w:val="14"/>
                <w:szCs w:val="14"/>
                <w:color w:val="auto"/>
              </w:rPr>
            </w:pPr>
          </w:p>
        </w:tc>
        <w:tc>
          <w:tcPr>
            <w:tcW w:w="2520" w:type="dxa"/>
            <w:vAlign w:val="bottom"/>
            <w:gridSpan w:val="3"/>
          </w:tcPr>
          <w:p>
            <w:pPr>
              <w:jc w:val="center"/>
              <w:ind w:left="968"/>
              <w:spacing w:after="0"/>
              <w:rPr>
                <w:sz w:val="20"/>
                <w:szCs w:val="20"/>
                <w:color w:val="auto"/>
              </w:rPr>
            </w:pPr>
            <w:r>
              <w:rPr>
                <w:rFonts w:ascii="Arial" w:cs="Arial" w:eastAsia="Arial" w:hAnsi="Arial"/>
                <w:sz w:val="14"/>
                <w:szCs w:val="14"/>
                <w:b w:val="1"/>
                <w:bCs w:val="1"/>
                <w:color w:val="005CB9"/>
              </w:rPr>
              <w:t>Chair</w:t>
            </w:r>
          </w:p>
        </w:tc>
        <w:tc>
          <w:tcPr>
            <w:tcW w:w="680" w:type="dxa"/>
            <w:vAlign w:val="bottom"/>
            <w:gridSpan w:val="2"/>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 MetricStream, Inc.</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46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92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620" w:type="dxa"/>
            <w:vAlign w:val="bottom"/>
            <w:tcBorders>
              <w:bottom w:val="single" w:sz="8" w:color="005CB9"/>
            </w:tcBorders>
          </w:tcPr>
          <w:p>
            <w:pPr>
              <w:spacing w:after="0"/>
              <w:rPr>
                <w:sz w:val="4"/>
                <w:szCs w:val="4"/>
                <w:color w:val="auto"/>
              </w:rPr>
            </w:pPr>
          </w:p>
        </w:tc>
        <w:tc>
          <w:tcPr>
            <w:tcW w:w="48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Amy Woods Brinkley</w:t>
            </w:r>
          </w:p>
        </w:tc>
        <w:tc>
          <w:tcPr>
            <w:tcW w:w="560" w:type="dxa"/>
            <w:vAlign w:val="bottom"/>
            <w:shd w:val="clear" w:color="auto" w:fill="CCDEF1"/>
          </w:tcPr>
          <w:p>
            <w:pPr>
              <w:spacing w:after="0"/>
              <w:rPr>
                <w:sz w:val="15"/>
                <w:szCs w:val="15"/>
                <w:color w:val="auto"/>
              </w:rPr>
            </w:pPr>
          </w:p>
        </w:tc>
        <w:tc>
          <w:tcPr>
            <w:tcW w:w="720" w:type="dxa"/>
            <w:vAlign w:val="bottom"/>
            <w:shd w:val="clear" w:color="auto" w:fill="CCDEF1"/>
          </w:tcPr>
          <w:p>
            <w:pPr>
              <w:spacing w:after="0"/>
              <w:rPr>
                <w:sz w:val="15"/>
                <w:szCs w:val="15"/>
                <w:color w:val="auto"/>
              </w:rPr>
            </w:pPr>
          </w:p>
        </w:tc>
        <w:tc>
          <w:tcPr>
            <w:tcW w:w="920" w:type="dxa"/>
            <w:vAlign w:val="bottom"/>
            <w:tcBorders>
              <w:right w:val="single" w:sz="8" w:color="CCDEF1"/>
            </w:tcBorders>
            <w:shd w:val="clear" w:color="auto" w:fill="CCDEF1"/>
          </w:tcPr>
          <w:p>
            <w:pPr>
              <w:spacing w:after="0"/>
              <w:rPr>
                <w:sz w:val="15"/>
                <w:szCs w:val="15"/>
                <w:color w:val="auto"/>
              </w:rPr>
            </w:pPr>
          </w:p>
        </w:tc>
        <w:tc>
          <w:tcPr>
            <w:tcW w:w="780" w:type="dxa"/>
            <w:vAlign w:val="bottom"/>
            <w:shd w:val="clear" w:color="auto" w:fill="CCDEF1"/>
          </w:tcPr>
          <w:p>
            <w:pPr>
              <w:spacing w:after="0"/>
              <w:rPr>
                <w:sz w:val="15"/>
                <w:szCs w:val="15"/>
                <w:color w:val="auto"/>
              </w:rPr>
            </w:pPr>
          </w:p>
        </w:tc>
        <w:tc>
          <w:tcPr>
            <w:tcW w:w="1620" w:type="dxa"/>
            <w:vAlign w:val="bottom"/>
            <w:shd w:val="clear" w:color="auto" w:fill="CCDEF1"/>
          </w:tcPr>
          <w:p>
            <w:pPr>
              <w:spacing w:after="0"/>
              <w:rPr>
                <w:sz w:val="15"/>
                <w:szCs w:val="15"/>
                <w:color w:val="auto"/>
              </w:rPr>
            </w:pPr>
          </w:p>
        </w:tc>
        <w:tc>
          <w:tcPr>
            <w:tcW w:w="480" w:type="dxa"/>
            <w:vAlign w:val="bottom"/>
            <w:shd w:val="clear" w:color="auto" w:fill="CCDEF1"/>
          </w:tcPr>
          <w:p>
            <w:pPr>
              <w:spacing w:after="0"/>
              <w:rPr>
                <w:sz w:val="15"/>
                <w:szCs w:val="15"/>
                <w:color w:val="auto"/>
              </w:rPr>
            </w:pPr>
          </w:p>
        </w:tc>
        <w:tc>
          <w:tcPr>
            <w:tcW w:w="420" w:type="dxa"/>
            <w:vAlign w:val="bottom"/>
            <w:shd w:val="clear" w:color="auto" w:fill="CCDEF1"/>
          </w:tcPr>
          <w:p>
            <w:pPr>
              <w:spacing w:after="0"/>
              <w:rPr>
                <w:sz w:val="15"/>
                <w:szCs w:val="15"/>
                <w:color w:val="auto"/>
              </w:rPr>
            </w:pPr>
          </w:p>
        </w:tc>
        <w:tc>
          <w:tcPr>
            <w:tcW w:w="340" w:type="dxa"/>
            <w:vAlign w:val="bottom"/>
            <w:shd w:val="clear" w:color="auto" w:fill="CCDEF1"/>
          </w:tcPr>
          <w:p>
            <w:pPr>
              <w:spacing w:after="0"/>
              <w:rPr>
                <w:sz w:val="15"/>
                <w:szCs w:val="15"/>
                <w:color w:val="auto"/>
              </w:rPr>
            </w:pPr>
          </w:p>
        </w:tc>
        <w:tc>
          <w:tcPr>
            <w:tcW w:w="340" w:type="dxa"/>
            <w:vAlign w:val="bottom"/>
            <w:tcBorders>
              <w:right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 Retired Chief Risk Officer, Bank of</w:t>
            </w:r>
          </w:p>
        </w:tc>
        <w:tc>
          <w:tcPr>
            <w:tcW w:w="560" w:type="dxa"/>
            <w:vAlign w:val="bottom"/>
            <w:shd w:val="clear" w:color="auto" w:fill="CCDEF1"/>
          </w:tcPr>
          <w:p>
            <w:pPr>
              <w:jc w:val="center"/>
              <w:ind w:left="48"/>
              <w:spacing w:after="0"/>
              <w:rPr>
                <w:sz w:val="20"/>
                <w:szCs w:val="20"/>
                <w:color w:val="auto"/>
              </w:rPr>
            </w:pPr>
            <w:r>
              <w:rPr>
                <w:rFonts w:ascii="Arial" w:cs="Arial" w:eastAsia="Arial" w:hAnsi="Arial"/>
                <w:sz w:val="14"/>
                <w:szCs w:val="14"/>
                <w:color w:val="auto"/>
              </w:rPr>
              <w:t>68</w:t>
            </w:r>
          </w:p>
        </w:tc>
        <w:tc>
          <w:tcPr>
            <w:tcW w:w="720" w:type="dxa"/>
            <w:vAlign w:val="bottom"/>
            <w:shd w:val="clear" w:color="auto" w:fill="CCDEF1"/>
          </w:tcPr>
          <w:p>
            <w:pPr>
              <w:jc w:val="center"/>
              <w:spacing w:after="0"/>
              <w:rPr>
                <w:sz w:val="20"/>
                <w:szCs w:val="20"/>
                <w:color w:val="auto"/>
              </w:rPr>
            </w:pPr>
            <w:r>
              <w:rPr>
                <w:rFonts w:ascii="Arial" w:cs="Arial" w:eastAsia="Arial" w:hAnsi="Arial"/>
                <w:sz w:val="14"/>
                <w:szCs w:val="14"/>
                <w:color w:val="auto"/>
              </w:rPr>
              <w:t>2015</w:t>
            </w:r>
          </w:p>
        </w:tc>
        <w:tc>
          <w:tcPr>
            <w:tcW w:w="920" w:type="dxa"/>
            <w:vAlign w:val="bottom"/>
            <w:tcBorders>
              <w:right w:val="single" w:sz="8" w:color="CCDEF1"/>
            </w:tcBorders>
            <w:shd w:val="clear" w:color="auto" w:fill="CCDEF1"/>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shd w:val="clear" w:color="auto" w:fill="CCDEF1"/>
          </w:tcPr>
          <w:p>
            <w:pPr>
              <w:spacing w:after="0"/>
              <w:rPr>
                <w:sz w:val="14"/>
                <w:szCs w:val="14"/>
                <w:color w:val="auto"/>
              </w:rPr>
            </w:pPr>
          </w:p>
        </w:tc>
        <w:tc>
          <w:tcPr>
            <w:tcW w:w="1620" w:type="dxa"/>
            <w:vAlign w:val="bottom"/>
            <w:shd w:val="clear" w:color="auto" w:fill="CCDEF1"/>
          </w:tcPr>
          <w:p>
            <w:pPr>
              <w:jc w:val="center"/>
              <w:ind w:right="88"/>
              <w:spacing w:after="0"/>
              <w:rPr>
                <w:sz w:val="20"/>
                <w:szCs w:val="20"/>
                <w:color w:val="auto"/>
              </w:rPr>
            </w:pPr>
            <w:r>
              <w:rPr>
                <w:rFonts w:ascii="Wingdings" w:cs="Wingdings" w:eastAsia="Wingdings" w:hAnsi="Wingdings"/>
                <w:sz w:val="14"/>
                <w:szCs w:val="14"/>
                <w:b w:val="1"/>
                <w:bCs w:val="1"/>
                <w:color w:val="005CB9"/>
                <w:w w:val="95"/>
              </w:rPr>
              <w:t>l</w:t>
            </w:r>
          </w:p>
        </w:tc>
        <w:tc>
          <w:tcPr>
            <w:tcW w:w="900" w:type="dxa"/>
            <w:vAlign w:val="bottom"/>
            <w:gridSpan w:val="2"/>
            <w:shd w:val="clear" w:color="auto" w:fill="CCDEF1"/>
          </w:tcPr>
          <w:p>
            <w:pPr>
              <w:jc w:val="center"/>
              <w:ind w:right="580"/>
              <w:spacing w:after="0"/>
              <w:rPr>
                <w:sz w:val="20"/>
                <w:szCs w:val="20"/>
                <w:color w:val="auto"/>
              </w:rPr>
            </w:pPr>
            <w:r>
              <w:rPr>
                <w:rFonts w:ascii="Wingdings" w:cs="Wingdings" w:eastAsia="Wingdings" w:hAnsi="Wingdings"/>
                <w:sz w:val="14"/>
                <w:szCs w:val="14"/>
                <w:b w:val="1"/>
                <w:bCs w:val="1"/>
                <w:color w:val="005CB9"/>
              </w:rPr>
              <w:t>l</w:t>
            </w:r>
          </w:p>
        </w:tc>
        <w:tc>
          <w:tcPr>
            <w:tcW w:w="680" w:type="dxa"/>
            <w:vAlign w:val="bottom"/>
            <w:tcBorders>
              <w:right w:val="single" w:sz="8" w:color="CCDEF1"/>
            </w:tcBorders>
            <w:gridSpan w:val="2"/>
            <w:shd w:val="clear" w:color="auto" w:fill="CCDEF1"/>
          </w:tcPr>
          <w:p>
            <w:pPr>
              <w:jc w:val="center"/>
              <w:spacing w:after="0"/>
              <w:rPr>
                <w:sz w:val="20"/>
                <w:szCs w:val="20"/>
                <w:color w:val="auto"/>
              </w:rPr>
            </w:pPr>
            <w:r>
              <w:rPr>
                <w:rFonts w:ascii="Arial" w:cs="Arial" w:eastAsia="Arial" w:hAnsi="Arial"/>
                <w:sz w:val="14"/>
                <w:szCs w:val="14"/>
                <w:b w:val="1"/>
                <w:bCs w:val="1"/>
                <w:color w:val="005CB9"/>
              </w:rPr>
              <w:t>Chair</w:t>
            </w:r>
          </w:p>
        </w:tc>
        <w:tc>
          <w:tcPr>
            <w:tcW w:w="0" w:type="dxa"/>
            <w:vAlign w:val="bottom"/>
          </w:tcPr>
          <w:p>
            <w:pPr>
              <w:spacing w:after="0"/>
              <w:rPr>
                <w:sz w:val="1"/>
                <w:szCs w:val="1"/>
                <w:color w:val="auto"/>
              </w:rPr>
            </w:pPr>
          </w:p>
        </w:tc>
      </w:tr>
      <w:tr>
        <w:trPr>
          <w:trHeight w:val="244"/>
        </w:trPr>
        <w:tc>
          <w:tcPr>
            <w:tcW w:w="446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 America Corp.</w:t>
            </w:r>
          </w:p>
        </w:tc>
        <w:tc>
          <w:tcPr>
            <w:tcW w:w="560" w:type="dxa"/>
            <w:vAlign w:val="bottom"/>
            <w:tcBorders>
              <w:bottom w:val="single" w:sz="8" w:color="CCDEF1"/>
            </w:tcBorders>
            <w:shd w:val="clear" w:color="auto" w:fill="CCDEF1"/>
          </w:tcPr>
          <w:p>
            <w:pPr>
              <w:spacing w:after="0"/>
              <w:rPr>
                <w:sz w:val="20"/>
                <w:szCs w:val="20"/>
                <w:color w:val="auto"/>
              </w:rPr>
            </w:pPr>
          </w:p>
        </w:tc>
        <w:tc>
          <w:tcPr>
            <w:tcW w:w="720" w:type="dxa"/>
            <w:vAlign w:val="bottom"/>
            <w:tcBorders>
              <w:bottom w:val="single" w:sz="8" w:color="CCDEF1"/>
            </w:tcBorders>
            <w:shd w:val="clear" w:color="auto" w:fill="CCDEF1"/>
          </w:tcPr>
          <w:p>
            <w:pPr>
              <w:spacing w:after="0"/>
              <w:rPr>
                <w:sz w:val="20"/>
                <w:szCs w:val="20"/>
                <w:color w:val="auto"/>
              </w:rPr>
            </w:pPr>
          </w:p>
        </w:tc>
        <w:tc>
          <w:tcPr>
            <w:tcW w:w="920" w:type="dxa"/>
            <w:vAlign w:val="bottom"/>
            <w:tcBorders>
              <w:bottom w:val="single" w:sz="8" w:color="CCDEF1"/>
              <w:right w:val="single" w:sz="8" w:color="CCDEF1"/>
            </w:tcBorders>
            <w:shd w:val="clear" w:color="auto" w:fill="CCDEF1"/>
          </w:tcPr>
          <w:p>
            <w:pPr>
              <w:spacing w:after="0"/>
              <w:rPr>
                <w:sz w:val="20"/>
                <w:szCs w:val="20"/>
                <w:color w:val="auto"/>
              </w:rPr>
            </w:pPr>
          </w:p>
        </w:tc>
        <w:tc>
          <w:tcPr>
            <w:tcW w:w="780" w:type="dxa"/>
            <w:vAlign w:val="bottom"/>
            <w:tcBorders>
              <w:bottom w:val="single" w:sz="8" w:color="CCDEF1"/>
            </w:tcBorders>
            <w:shd w:val="clear" w:color="auto" w:fill="CCDEF1"/>
          </w:tcPr>
          <w:p>
            <w:pPr>
              <w:spacing w:after="0"/>
              <w:rPr>
                <w:sz w:val="20"/>
                <w:szCs w:val="20"/>
                <w:color w:val="auto"/>
              </w:rPr>
            </w:pPr>
          </w:p>
        </w:tc>
        <w:tc>
          <w:tcPr>
            <w:tcW w:w="1620" w:type="dxa"/>
            <w:vAlign w:val="bottom"/>
            <w:tcBorders>
              <w:bottom w:val="single" w:sz="8" w:color="CCDEF1"/>
            </w:tcBorders>
            <w:shd w:val="clear" w:color="auto" w:fill="CCDEF1"/>
          </w:tcPr>
          <w:p>
            <w:pPr>
              <w:spacing w:after="0"/>
              <w:rPr>
                <w:sz w:val="20"/>
                <w:szCs w:val="20"/>
                <w:color w:val="auto"/>
              </w:rPr>
            </w:pPr>
          </w:p>
        </w:tc>
        <w:tc>
          <w:tcPr>
            <w:tcW w:w="480" w:type="dxa"/>
            <w:vAlign w:val="bottom"/>
            <w:tcBorders>
              <w:bottom w:val="single" w:sz="8" w:color="CCDEF1"/>
            </w:tcBorders>
            <w:shd w:val="clear" w:color="auto" w:fill="CCDEF1"/>
          </w:tcPr>
          <w:p>
            <w:pPr>
              <w:spacing w:after="0"/>
              <w:rPr>
                <w:sz w:val="20"/>
                <w:szCs w:val="20"/>
                <w:color w:val="auto"/>
              </w:rPr>
            </w:pPr>
          </w:p>
        </w:tc>
        <w:tc>
          <w:tcPr>
            <w:tcW w:w="42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right w:val="single" w:sz="8" w:color="CCDEF1"/>
            </w:tcBorders>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460" w:type="dxa"/>
            <w:vAlign w:val="bottom"/>
            <w:tcBorders>
              <w:top w:val="single" w:sz="8" w:color="005CB9"/>
            </w:tcBorders>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Irene M. Esteves</w:t>
            </w:r>
          </w:p>
        </w:tc>
        <w:tc>
          <w:tcPr>
            <w:tcW w:w="560" w:type="dxa"/>
            <w:vAlign w:val="bottom"/>
            <w:tcBorders>
              <w:top w:val="single" w:sz="8" w:color="005CB9"/>
            </w:tcBorders>
          </w:tcPr>
          <w:p>
            <w:pPr>
              <w:spacing w:after="0"/>
              <w:rPr>
                <w:sz w:val="15"/>
                <w:szCs w:val="15"/>
                <w:color w:val="auto"/>
              </w:rPr>
            </w:pPr>
          </w:p>
        </w:tc>
        <w:tc>
          <w:tcPr>
            <w:tcW w:w="720" w:type="dxa"/>
            <w:vAlign w:val="bottom"/>
            <w:tcBorders>
              <w:top w:val="single" w:sz="8" w:color="005CB9"/>
            </w:tcBorders>
          </w:tcPr>
          <w:p>
            <w:pPr>
              <w:spacing w:after="0"/>
              <w:rPr>
                <w:sz w:val="15"/>
                <w:szCs w:val="15"/>
                <w:color w:val="auto"/>
              </w:rPr>
            </w:pPr>
          </w:p>
        </w:tc>
        <w:tc>
          <w:tcPr>
            <w:tcW w:w="920" w:type="dxa"/>
            <w:vAlign w:val="bottom"/>
            <w:tcBorders>
              <w:top w:val="single" w:sz="8" w:color="005CB9"/>
            </w:tcBorders>
          </w:tcPr>
          <w:p>
            <w:pPr>
              <w:spacing w:after="0"/>
              <w:rPr>
                <w:sz w:val="15"/>
                <w:szCs w:val="15"/>
                <w:color w:val="auto"/>
              </w:rPr>
            </w:pPr>
          </w:p>
        </w:tc>
        <w:tc>
          <w:tcPr>
            <w:tcW w:w="780" w:type="dxa"/>
            <w:vAlign w:val="bottom"/>
            <w:tcBorders>
              <w:top w:val="single" w:sz="8" w:color="005CB9"/>
            </w:tcBorders>
          </w:tcPr>
          <w:p>
            <w:pPr>
              <w:spacing w:after="0"/>
              <w:rPr>
                <w:sz w:val="15"/>
                <w:szCs w:val="15"/>
                <w:color w:val="auto"/>
              </w:rPr>
            </w:pPr>
          </w:p>
        </w:tc>
        <w:tc>
          <w:tcPr>
            <w:tcW w:w="1620" w:type="dxa"/>
            <w:vAlign w:val="bottom"/>
            <w:tcBorders>
              <w:top w:val="single" w:sz="8" w:color="005CB9"/>
            </w:tcBorders>
          </w:tcPr>
          <w:p>
            <w:pPr>
              <w:spacing w:after="0"/>
              <w:rPr>
                <w:sz w:val="15"/>
                <w:szCs w:val="15"/>
                <w:color w:val="auto"/>
              </w:rPr>
            </w:pPr>
          </w:p>
        </w:tc>
        <w:tc>
          <w:tcPr>
            <w:tcW w:w="480" w:type="dxa"/>
            <w:vAlign w:val="bottom"/>
            <w:tcBorders>
              <w:top w:val="single" w:sz="8" w:color="005CB9"/>
            </w:tcBorders>
          </w:tcPr>
          <w:p>
            <w:pPr>
              <w:spacing w:after="0"/>
              <w:rPr>
                <w:sz w:val="15"/>
                <w:szCs w:val="15"/>
                <w:color w:val="auto"/>
              </w:rPr>
            </w:pPr>
          </w:p>
        </w:tc>
        <w:tc>
          <w:tcPr>
            <w:tcW w:w="42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 Former Executive Vice President,</w:t>
            </w:r>
          </w:p>
        </w:tc>
        <w:tc>
          <w:tcPr>
            <w:tcW w:w="560" w:type="dxa"/>
            <w:vAlign w:val="bottom"/>
            <w:vMerge w:val="restart"/>
          </w:tcPr>
          <w:p>
            <w:pPr>
              <w:jc w:val="center"/>
              <w:ind w:left="48"/>
              <w:spacing w:after="0"/>
              <w:rPr>
                <w:sz w:val="20"/>
                <w:szCs w:val="20"/>
                <w:color w:val="auto"/>
              </w:rPr>
            </w:pPr>
            <w:r>
              <w:rPr>
                <w:rFonts w:ascii="Arial" w:cs="Arial" w:eastAsia="Arial" w:hAnsi="Arial"/>
                <w:sz w:val="14"/>
                <w:szCs w:val="14"/>
                <w:color w:val="auto"/>
              </w:rPr>
              <w:t>65</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2021</w:t>
            </w:r>
          </w:p>
        </w:tc>
        <w:tc>
          <w:tcPr>
            <w:tcW w:w="920" w:type="dxa"/>
            <w:vAlign w:val="bottom"/>
            <w:vMerge w:val="restart"/>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vMerge w:val="restart"/>
          </w:tcPr>
          <w:p>
            <w:pPr>
              <w:jc w:val="center"/>
              <w:ind w:left="328"/>
              <w:spacing w:after="0"/>
              <w:rPr>
                <w:sz w:val="20"/>
                <w:szCs w:val="20"/>
                <w:color w:val="auto"/>
              </w:rPr>
            </w:pPr>
            <w:r>
              <w:rPr>
                <w:rFonts w:ascii="Wingdings" w:cs="Wingdings" w:eastAsia="Wingdings" w:hAnsi="Wingdings"/>
                <w:sz w:val="14"/>
                <w:szCs w:val="14"/>
                <w:b w:val="1"/>
                <w:bCs w:val="1"/>
                <w:color w:val="005CB9"/>
                <w:w w:val="95"/>
              </w:rPr>
              <w:t>l</w:t>
            </w:r>
          </w:p>
        </w:tc>
        <w:tc>
          <w:tcPr>
            <w:tcW w:w="1620" w:type="dxa"/>
            <w:vAlign w:val="bottom"/>
          </w:tcPr>
          <w:p>
            <w:pPr>
              <w:spacing w:after="0"/>
              <w:rPr>
                <w:sz w:val="14"/>
                <w:szCs w:val="14"/>
                <w:color w:val="auto"/>
              </w:rPr>
            </w:pPr>
          </w:p>
        </w:tc>
        <w:tc>
          <w:tcPr>
            <w:tcW w:w="900" w:type="dxa"/>
            <w:vAlign w:val="bottom"/>
            <w:gridSpan w:val="2"/>
            <w:vMerge w:val="restart"/>
          </w:tcPr>
          <w:p>
            <w:pPr>
              <w:jc w:val="center"/>
              <w:ind w:right="580"/>
              <w:spacing w:after="0"/>
              <w:rPr>
                <w:sz w:val="20"/>
                <w:szCs w:val="20"/>
                <w:color w:val="auto"/>
              </w:rPr>
            </w:pPr>
            <w:r>
              <w:rPr>
                <w:rFonts w:ascii="Wingdings" w:cs="Wingdings" w:eastAsia="Wingdings" w:hAnsi="Wingdings"/>
                <w:sz w:val="14"/>
                <w:szCs w:val="14"/>
                <w:b w:val="1"/>
                <w:bCs w:val="1"/>
                <w:color w:val="005CB9"/>
              </w:rPr>
              <w:t>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460" w:type="dxa"/>
            <w:vAlign w:val="bottom"/>
            <w:vMerge w:val="restart"/>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4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 Time Warner Cable Inc.</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46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92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620" w:type="dxa"/>
            <w:vAlign w:val="bottom"/>
            <w:tcBorders>
              <w:bottom w:val="single" w:sz="8" w:color="005CB9"/>
            </w:tcBorders>
          </w:tcPr>
          <w:p>
            <w:pPr>
              <w:spacing w:after="0"/>
              <w:rPr>
                <w:sz w:val="4"/>
                <w:szCs w:val="4"/>
                <w:color w:val="auto"/>
              </w:rPr>
            </w:pPr>
          </w:p>
        </w:tc>
        <w:tc>
          <w:tcPr>
            <w:tcW w:w="48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L. Neil Hunn</w:t>
            </w:r>
          </w:p>
        </w:tc>
        <w:tc>
          <w:tcPr>
            <w:tcW w:w="560" w:type="dxa"/>
            <w:vAlign w:val="bottom"/>
            <w:shd w:val="clear" w:color="auto" w:fill="CCDEF1"/>
          </w:tcPr>
          <w:p>
            <w:pPr>
              <w:spacing w:after="0"/>
              <w:rPr>
                <w:sz w:val="15"/>
                <w:szCs w:val="15"/>
                <w:color w:val="auto"/>
              </w:rPr>
            </w:pPr>
          </w:p>
        </w:tc>
        <w:tc>
          <w:tcPr>
            <w:tcW w:w="720" w:type="dxa"/>
            <w:vAlign w:val="bottom"/>
            <w:shd w:val="clear" w:color="auto" w:fill="CCDEF1"/>
          </w:tcPr>
          <w:p>
            <w:pPr>
              <w:spacing w:after="0"/>
              <w:rPr>
                <w:sz w:val="15"/>
                <w:szCs w:val="15"/>
                <w:color w:val="auto"/>
              </w:rPr>
            </w:pPr>
          </w:p>
        </w:tc>
        <w:tc>
          <w:tcPr>
            <w:tcW w:w="920" w:type="dxa"/>
            <w:vAlign w:val="bottom"/>
            <w:tcBorders>
              <w:right w:val="single" w:sz="8" w:color="CCDEF1"/>
            </w:tcBorders>
            <w:shd w:val="clear" w:color="auto" w:fill="CCDEF1"/>
          </w:tcPr>
          <w:p>
            <w:pPr>
              <w:spacing w:after="0"/>
              <w:rPr>
                <w:sz w:val="15"/>
                <w:szCs w:val="15"/>
                <w:color w:val="auto"/>
              </w:rPr>
            </w:pPr>
          </w:p>
        </w:tc>
        <w:tc>
          <w:tcPr>
            <w:tcW w:w="780" w:type="dxa"/>
            <w:vAlign w:val="bottom"/>
            <w:shd w:val="clear" w:color="auto" w:fill="CCDEF1"/>
          </w:tcPr>
          <w:p>
            <w:pPr>
              <w:spacing w:after="0"/>
              <w:rPr>
                <w:sz w:val="15"/>
                <w:szCs w:val="15"/>
                <w:color w:val="auto"/>
              </w:rPr>
            </w:pPr>
          </w:p>
        </w:tc>
        <w:tc>
          <w:tcPr>
            <w:tcW w:w="1620" w:type="dxa"/>
            <w:vAlign w:val="bottom"/>
            <w:shd w:val="clear" w:color="auto" w:fill="CCDEF1"/>
          </w:tcPr>
          <w:p>
            <w:pPr>
              <w:spacing w:after="0"/>
              <w:rPr>
                <w:sz w:val="15"/>
                <w:szCs w:val="15"/>
                <w:color w:val="auto"/>
              </w:rPr>
            </w:pPr>
          </w:p>
        </w:tc>
        <w:tc>
          <w:tcPr>
            <w:tcW w:w="480" w:type="dxa"/>
            <w:vAlign w:val="bottom"/>
            <w:shd w:val="clear" w:color="auto" w:fill="CCDEF1"/>
          </w:tcPr>
          <w:p>
            <w:pPr>
              <w:spacing w:after="0"/>
              <w:rPr>
                <w:sz w:val="15"/>
                <w:szCs w:val="15"/>
                <w:color w:val="auto"/>
              </w:rPr>
            </w:pPr>
          </w:p>
        </w:tc>
        <w:tc>
          <w:tcPr>
            <w:tcW w:w="420" w:type="dxa"/>
            <w:vAlign w:val="bottom"/>
            <w:shd w:val="clear" w:color="auto" w:fill="CCDEF1"/>
          </w:tcPr>
          <w:p>
            <w:pPr>
              <w:spacing w:after="0"/>
              <w:rPr>
                <w:sz w:val="15"/>
                <w:szCs w:val="15"/>
                <w:color w:val="auto"/>
              </w:rPr>
            </w:pPr>
          </w:p>
        </w:tc>
        <w:tc>
          <w:tcPr>
            <w:tcW w:w="340" w:type="dxa"/>
            <w:vAlign w:val="bottom"/>
            <w:shd w:val="clear" w:color="auto" w:fill="CCDEF1"/>
          </w:tcPr>
          <w:p>
            <w:pPr>
              <w:spacing w:after="0"/>
              <w:rPr>
                <w:sz w:val="15"/>
                <w:szCs w:val="15"/>
                <w:color w:val="auto"/>
              </w:rPr>
            </w:pPr>
          </w:p>
        </w:tc>
        <w:tc>
          <w:tcPr>
            <w:tcW w:w="340" w:type="dxa"/>
            <w:vAlign w:val="bottom"/>
            <w:tcBorders>
              <w:right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 President and Chief Executive Officer,</w:t>
            </w:r>
          </w:p>
        </w:tc>
        <w:tc>
          <w:tcPr>
            <w:tcW w:w="560" w:type="dxa"/>
            <w:vAlign w:val="bottom"/>
            <w:shd w:val="clear" w:color="auto" w:fill="CCDEF1"/>
          </w:tcPr>
          <w:p>
            <w:pPr>
              <w:jc w:val="center"/>
              <w:ind w:left="48"/>
              <w:spacing w:after="0"/>
              <w:rPr>
                <w:sz w:val="20"/>
                <w:szCs w:val="20"/>
                <w:color w:val="auto"/>
              </w:rPr>
            </w:pPr>
            <w:r>
              <w:rPr>
                <w:rFonts w:ascii="Arial" w:cs="Arial" w:eastAsia="Arial" w:hAnsi="Arial"/>
                <w:sz w:val="14"/>
                <w:szCs w:val="14"/>
                <w:color w:val="auto"/>
              </w:rPr>
              <w:t>52</w:t>
            </w:r>
          </w:p>
        </w:tc>
        <w:tc>
          <w:tcPr>
            <w:tcW w:w="720" w:type="dxa"/>
            <w:vAlign w:val="bottom"/>
            <w:shd w:val="clear" w:color="auto" w:fill="CCDEF1"/>
          </w:tcPr>
          <w:p>
            <w:pPr>
              <w:jc w:val="center"/>
              <w:spacing w:after="0"/>
              <w:rPr>
                <w:sz w:val="20"/>
                <w:szCs w:val="20"/>
                <w:color w:val="auto"/>
              </w:rPr>
            </w:pPr>
            <w:r>
              <w:rPr>
                <w:rFonts w:ascii="Arial" w:cs="Arial" w:eastAsia="Arial" w:hAnsi="Arial"/>
                <w:sz w:val="14"/>
                <w:szCs w:val="14"/>
                <w:color w:val="auto"/>
              </w:rPr>
              <w:t>2018</w:t>
            </w:r>
          </w:p>
        </w:tc>
        <w:tc>
          <w:tcPr>
            <w:tcW w:w="920" w:type="dxa"/>
            <w:vAlign w:val="bottom"/>
            <w:tcBorders>
              <w:right w:val="single" w:sz="8" w:color="CCDEF1"/>
            </w:tcBorders>
            <w:shd w:val="clear" w:color="auto" w:fill="CCDEF1"/>
          </w:tcPr>
          <w:p>
            <w:pPr>
              <w:spacing w:after="0"/>
              <w:rPr>
                <w:sz w:val="14"/>
                <w:szCs w:val="14"/>
                <w:color w:val="auto"/>
              </w:rPr>
            </w:pPr>
          </w:p>
        </w:tc>
        <w:tc>
          <w:tcPr>
            <w:tcW w:w="780" w:type="dxa"/>
            <w:vAlign w:val="bottom"/>
            <w:shd w:val="clear" w:color="auto" w:fill="CCDEF1"/>
          </w:tcPr>
          <w:p>
            <w:pPr>
              <w:spacing w:after="0"/>
              <w:rPr>
                <w:sz w:val="14"/>
                <w:szCs w:val="14"/>
                <w:color w:val="auto"/>
              </w:rPr>
            </w:pPr>
          </w:p>
        </w:tc>
        <w:tc>
          <w:tcPr>
            <w:tcW w:w="1620" w:type="dxa"/>
            <w:vAlign w:val="bottom"/>
            <w:shd w:val="clear" w:color="auto" w:fill="CCDEF1"/>
          </w:tcPr>
          <w:p>
            <w:pPr>
              <w:spacing w:after="0"/>
              <w:rPr>
                <w:sz w:val="14"/>
                <w:szCs w:val="14"/>
                <w:color w:val="auto"/>
              </w:rPr>
            </w:pPr>
          </w:p>
        </w:tc>
        <w:tc>
          <w:tcPr>
            <w:tcW w:w="48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340" w:type="dxa"/>
            <w:vAlign w:val="bottom"/>
            <w:shd w:val="clear" w:color="auto" w:fill="CCDEF1"/>
          </w:tcPr>
          <w:p>
            <w:pPr>
              <w:spacing w:after="0"/>
              <w:rPr>
                <w:sz w:val="14"/>
                <w:szCs w:val="14"/>
                <w:color w:val="auto"/>
              </w:rPr>
            </w:pPr>
          </w:p>
        </w:tc>
        <w:tc>
          <w:tcPr>
            <w:tcW w:w="340" w:type="dxa"/>
            <w:vAlign w:val="bottom"/>
            <w:tcBorders>
              <w:right w:val="single" w:sz="8" w:color="CCDEF1"/>
            </w:tcBorders>
            <w:shd w:val="clear" w:color="auto" w:fill="CCDEF1"/>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 Roper Technologies, Inc.</w:t>
            </w:r>
          </w:p>
        </w:tc>
        <w:tc>
          <w:tcPr>
            <w:tcW w:w="560" w:type="dxa"/>
            <w:vAlign w:val="bottom"/>
            <w:tcBorders>
              <w:bottom w:val="single" w:sz="8" w:color="CCDEF1"/>
            </w:tcBorders>
            <w:shd w:val="clear" w:color="auto" w:fill="CCDEF1"/>
          </w:tcPr>
          <w:p>
            <w:pPr>
              <w:spacing w:after="0"/>
              <w:rPr>
                <w:sz w:val="20"/>
                <w:szCs w:val="20"/>
                <w:color w:val="auto"/>
              </w:rPr>
            </w:pPr>
          </w:p>
        </w:tc>
        <w:tc>
          <w:tcPr>
            <w:tcW w:w="720" w:type="dxa"/>
            <w:vAlign w:val="bottom"/>
            <w:tcBorders>
              <w:bottom w:val="single" w:sz="8" w:color="CCDEF1"/>
            </w:tcBorders>
            <w:shd w:val="clear" w:color="auto" w:fill="CCDEF1"/>
          </w:tcPr>
          <w:p>
            <w:pPr>
              <w:spacing w:after="0"/>
              <w:rPr>
                <w:sz w:val="20"/>
                <w:szCs w:val="20"/>
                <w:color w:val="auto"/>
              </w:rPr>
            </w:pPr>
          </w:p>
        </w:tc>
        <w:tc>
          <w:tcPr>
            <w:tcW w:w="920" w:type="dxa"/>
            <w:vAlign w:val="bottom"/>
            <w:tcBorders>
              <w:bottom w:val="single" w:sz="8" w:color="CCDEF1"/>
              <w:right w:val="single" w:sz="8" w:color="CCDEF1"/>
            </w:tcBorders>
            <w:shd w:val="clear" w:color="auto" w:fill="CCDEF1"/>
          </w:tcPr>
          <w:p>
            <w:pPr>
              <w:spacing w:after="0"/>
              <w:rPr>
                <w:sz w:val="20"/>
                <w:szCs w:val="20"/>
                <w:color w:val="auto"/>
              </w:rPr>
            </w:pPr>
          </w:p>
        </w:tc>
        <w:tc>
          <w:tcPr>
            <w:tcW w:w="780" w:type="dxa"/>
            <w:vAlign w:val="bottom"/>
            <w:tcBorders>
              <w:bottom w:val="single" w:sz="8" w:color="CCDEF1"/>
            </w:tcBorders>
            <w:shd w:val="clear" w:color="auto" w:fill="CCDEF1"/>
          </w:tcPr>
          <w:p>
            <w:pPr>
              <w:spacing w:after="0"/>
              <w:rPr>
                <w:sz w:val="20"/>
                <w:szCs w:val="20"/>
                <w:color w:val="auto"/>
              </w:rPr>
            </w:pPr>
          </w:p>
        </w:tc>
        <w:tc>
          <w:tcPr>
            <w:tcW w:w="1620" w:type="dxa"/>
            <w:vAlign w:val="bottom"/>
            <w:tcBorders>
              <w:bottom w:val="single" w:sz="8" w:color="CCDEF1"/>
            </w:tcBorders>
            <w:shd w:val="clear" w:color="auto" w:fill="CCDEF1"/>
          </w:tcPr>
          <w:p>
            <w:pPr>
              <w:spacing w:after="0"/>
              <w:rPr>
                <w:sz w:val="20"/>
                <w:szCs w:val="20"/>
                <w:color w:val="auto"/>
              </w:rPr>
            </w:pPr>
          </w:p>
        </w:tc>
        <w:tc>
          <w:tcPr>
            <w:tcW w:w="480" w:type="dxa"/>
            <w:vAlign w:val="bottom"/>
            <w:tcBorders>
              <w:bottom w:val="single" w:sz="8" w:color="CCDEF1"/>
            </w:tcBorders>
            <w:shd w:val="clear" w:color="auto" w:fill="CCDEF1"/>
          </w:tcPr>
          <w:p>
            <w:pPr>
              <w:spacing w:after="0"/>
              <w:rPr>
                <w:sz w:val="20"/>
                <w:szCs w:val="20"/>
                <w:color w:val="auto"/>
              </w:rPr>
            </w:pPr>
          </w:p>
        </w:tc>
        <w:tc>
          <w:tcPr>
            <w:tcW w:w="42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right w:val="single" w:sz="8" w:color="CCDEF1"/>
            </w:tcBorders>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460" w:type="dxa"/>
            <w:vAlign w:val="bottom"/>
            <w:tcBorders>
              <w:top w:val="single" w:sz="8" w:color="005CB9"/>
            </w:tcBorders>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Robert D. Johnson</w:t>
            </w:r>
          </w:p>
        </w:tc>
        <w:tc>
          <w:tcPr>
            <w:tcW w:w="560" w:type="dxa"/>
            <w:vAlign w:val="bottom"/>
            <w:tcBorders>
              <w:top w:val="single" w:sz="8" w:color="005CB9"/>
            </w:tcBorders>
          </w:tcPr>
          <w:p>
            <w:pPr>
              <w:spacing w:after="0"/>
              <w:rPr>
                <w:sz w:val="15"/>
                <w:szCs w:val="15"/>
                <w:color w:val="auto"/>
              </w:rPr>
            </w:pPr>
          </w:p>
        </w:tc>
        <w:tc>
          <w:tcPr>
            <w:tcW w:w="720" w:type="dxa"/>
            <w:vAlign w:val="bottom"/>
            <w:tcBorders>
              <w:top w:val="single" w:sz="8" w:color="005CB9"/>
            </w:tcBorders>
          </w:tcPr>
          <w:p>
            <w:pPr>
              <w:spacing w:after="0"/>
              <w:rPr>
                <w:sz w:val="15"/>
                <w:szCs w:val="15"/>
                <w:color w:val="auto"/>
              </w:rPr>
            </w:pPr>
          </w:p>
        </w:tc>
        <w:tc>
          <w:tcPr>
            <w:tcW w:w="920" w:type="dxa"/>
            <w:vAlign w:val="bottom"/>
            <w:tcBorders>
              <w:top w:val="single" w:sz="8" w:color="005CB9"/>
            </w:tcBorders>
          </w:tcPr>
          <w:p>
            <w:pPr>
              <w:spacing w:after="0"/>
              <w:rPr>
                <w:sz w:val="15"/>
                <w:szCs w:val="15"/>
                <w:color w:val="auto"/>
              </w:rPr>
            </w:pPr>
          </w:p>
        </w:tc>
        <w:tc>
          <w:tcPr>
            <w:tcW w:w="780" w:type="dxa"/>
            <w:vAlign w:val="bottom"/>
            <w:tcBorders>
              <w:top w:val="single" w:sz="8" w:color="005CB9"/>
            </w:tcBorders>
          </w:tcPr>
          <w:p>
            <w:pPr>
              <w:spacing w:after="0"/>
              <w:rPr>
                <w:sz w:val="15"/>
                <w:szCs w:val="15"/>
                <w:color w:val="auto"/>
              </w:rPr>
            </w:pPr>
          </w:p>
        </w:tc>
        <w:tc>
          <w:tcPr>
            <w:tcW w:w="1620" w:type="dxa"/>
            <w:vAlign w:val="bottom"/>
            <w:tcBorders>
              <w:top w:val="single" w:sz="8" w:color="005CB9"/>
            </w:tcBorders>
          </w:tcPr>
          <w:p>
            <w:pPr>
              <w:spacing w:after="0"/>
              <w:rPr>
                <w:sz w:val="15"/>
                <w:szCs w:val="15"/>
                <w:color w:val="auto"/>
              </w:rPr>
            </w:pPr>
          </w:p>
        </w:tc>
        <w:tc>
          <w:tcPr>
            <w:tcW w:w="480" w:type="dxa"/>
            <w:vAlign w:val="bottom"/>
            <w:tcBorders>
              <w:top w:val="single" w:sz="8" w:color="005CB9"/>
            </w:tcBorders>
          </w:tcPr>
          <w:p>
            <w:pPr>
              <w:spacing w:after="0"/>
              <w:rPr>
                <w:sz w:val="15"/>
                <w:szCs w:val="15"/>
                <w:color w:val="auto"/>
              </w:rPr>
            </w:pPr>
          </w:p>
        </w:tc>
        <w:tc>
          <w:tcPr>
            <w:tcW w:w="42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 Chairman, Spirit AeroSystems Holdings,</w:t>
            </w:r>
          </w:p>
        </w:tc>
        <w:tc>
          <w:tcPr>
            <w:tcW w:w="560" w:type="dxa"/>
            <w:vAlign w:val="bottom"/>
          </w:tcPr>
          <w:p>
            <w:pPr>
              <w:jc w:val="center"/>
              <w:ind w:left="48"/>
              <w:spacing w:after="0"/>
              <w:rPr>
                <w:sz w:val="20"/>
                <w:szCs w:val="20"/>
                <w:color w:val="auto"/>
              </w:rPr>
            </w:pPr>
            <w:r>
              <w:rPr>
                <w:rFonts w:ascii="Arial" w:cs="Arial" w:eastAsia="Arial" w:hAnsi="Arial"/>
                <w:sz w:val="14"/>
                <w:szCs w:val="14"/>
                <w:color w:val="auto"/>
              </w:rPr>
              <w:t>76</w:t>
            </w:r>
          </w:p>
        </w:tc>
        <w:tc>
          <w:tcPr>
            <w:tcW w:w="720" w:type="dxa"/>
            <w:vAlign w:val="bottom"/>
          </w:tcPr>
          <w:p>
            <w:pPr>
              <w:jc w:val="center"/>
              <w:spacing w:after="0"/>
              <w:rPr>
                <w:sz w:val="20"/>
                <w:szCs w:val="20"/>
                <w:color w:val="auto"/>
              </w:rPr>
            </w:pPr>
            <w:r>
              <w:rPr>
                <w:rFonts w:ascii="Arial" w:cs="Arial" w:eastAsia="Arial" w:hAnsi="Arial"/>
                <w:sz w:val="14"/>
                <w:szCs w:val="14"/>
                <w:color w:val="auto"/>
              </w:rPr>
              <w:t>2005</w:t>
            </w:r>
          </w:p>
        </w:tc>
        <w:tc>
          <w:tcPr>
            <w:tcW w:w="920" w:type="dxa"/>
            <w:vAlign w:val="bottom"/>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tcPr>
          <w:p>
            <w:pPr>
              <w:spacing w:after="0"/>
              <w:rPr>
                <w:sz w:val="14"/>
                <w:szCs w:val="14"/>
                <w:color w:val="auto"/>
              </w:rPr>
            </w:pPr>
          </w:p>
        </w:tc>
        <w:tc>
          <w:tcPr>
            <w:tcW w:w="1620" w:type="dxa"/>
            <w:vAlign w:val="bottom"/>
          </w:tcPr>
          <w:p>
            <w:pPr>
              <w:jc w:val="center"/>
              <w:ind w:right="88"/>
              <w:spacing w:after="0"/>
              <w:rPr>
                <w:sz w:val="20"/>
                <w:szCs w:val="20"/>
                <w:color w:val="auto"/>
              </w:rPr>
            </w:pPr>
            <w:r>
              <w:rPr>
                <w:rFonts w:ascii="Wingdings" w:cs="Wingdings" w:eastAsia="Wingdings" w:hAnsi="Wingdings"/>
                <w:sz w:val="14"/>
                <w:szCs w:val="14"/>
                <w:b w:val="1"/>
                <w:bCs w:val="1"/>
                <w:color w:val="005CB9"/>
                <w:w w:val="95"/>
              </w:rPr>
              <w:t>l</w:t>
            </w:r>
          </w:p>
        </w:tc>
        <w:tc>
          <w:tcPr>
            <w:tcW w:w="900" w:type="dxa"/>
            <w:vAlign w:val="bottom"/>
            <w:gridSpan w:val="2"/>
          </w:tcPr>
          <w:p>
            <w:pPr>
              <w:jc w:val="center"/>
              <w:ind w:right="580"/>
              <w:spacing w:after="0"/>
              <w:rPr>
                <w:sz w:val="20"/>
                <w:szCs w:val="20"/>
                <w:color w:val="auto"/>
              </w:rPr>
            </w:pPr>
            <w:r>
              <w:rPr>
                <w:rFonts w:ascii="Wingdings" w:cs="Wingdings" w:eastAsia="Wingdings" w:hAnsi="Wingdings"/>
                <w:sz w:val="14"/>
                <w:szCs w:val="14"/>
                <w:b w:val="1"/>
                <w:bCs w:val="1"/>
                <w:color w:val="005CB9"/>
              </w:rPr>
              <w:t>l</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 Inc.</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446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92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620" w:type="dxa"/>
            <w:vAlign w:val="bottom"/>
            <w:tcBorders>
              <w:bottom w:val="single" w:sz="8" w:color="005CB9"/>
            </w:tcBorders>
          </w:tcPr>
          <w:p>
            <w:pPr>
              <w:spacing w:after="0"/>
              <w:rPr>
                <w:sz w:val="4"/>
                <w:szCs w:val="4"/>
                <w:color w:val="auto"/>
              </w:rPr>
            </w:pPr>
          </w:p>
        </w:tc>
        <w:tc>
          <w:tcPr>
            <w:tcW w:w="48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Thomas P. Joyce, Jr.</w:t>
            </w:r>
          </w:p>
        </w:tc>
        <w:tc>
          <w:tcPr>
            <w:tcW w:w="560" w:type="dxa"/>
            <w:vAlign w:val="bottom"/>
            <w:shd w:val="clear" w:color="auto" w:fill="CCDEF1"/>
          </w:tcPr>
          <w:p>
            <w:pPr>
              <w:spacing w:after="0"/>
              <w:rPr>
                <w:sz w:val="15"/>
                <w:szCs w:val="15"/>
                <w:color w:val="auto"/>
              </w:rPr>
            </w:pPr>
          </w:p>
        </w:tc>
        <w:tc>
          <w:tcPr>
            <w:tcW w:w="720" w:type="dxa"/>
            <w:vAlign w:val="bottom"/>
            <w:shd w:val="clear" w:color="auto" w:fill="CCDEF1"/>
          </w:tcPr>
          <w:p>
            <w:pPr>
              <w:spacing w:after="0"/>
              <w:rPr>
                <w:sz w:val="15"/>
                <w:szCs w:val="15"/>
                <w:color w:val="auto"/>
              </w:rPr>
            </w:pPr>
          </w:p>
        </w:tc>
        <w:tc>
          <w:tcPr>
            <w:tcW w:w="920" w:type="dxa"/>
            <w:vAlign w:val="bottom"/>
            <w:tcBorders>
              <w:right w:val="single" w:sz="8" w:color="CCDEF1"/>
            </w:tcBorders>
            <w:shd w:val="clear" w:color="auto" w:fill="CCDEF1"/>
          </w:tcPr>
          <w:p>
            <w:pPr>
              <w:spacing w:after="0"/>
              <w:rPr>
                <w:sz w:val="15"/>
                <w:szCs w:val="15"/>
                <w:color w:val="auto"/>
              </w:rPr>
            </w:pPr>
          </w:p>
        </w:tc>
        <w:tc>
          <w:tcPr>
            <w:tcW w:w="780" w:type="dxa"/>
            <w:vAlign w:val="bottom"/>
            <w:shd w:val="clear" w:color="auto" w:fill="CCDEF1"/>
          </w:tcPr>
          <w:p>
            <w:pPr>
              <w:spacing w:after="0"/>
              <w:rPr>
                <w:sz w:val="15"/>
                <w:szCs w:val="15"/>
                <w:color w:val="auto"/>
              </w:rPr>
            </w:pPr>
          </w:p>
        </w:tc>
        <w:tc>
          <w:tcPr>
            <w:tcW w:w="1620" w:type="dxa"/>
            <w:vAlign w:val="bottom"/>
            <w:shd w:val="clear" w:color="auto" w:fill="CCDEF1"/>
          </w:tcPr>
          <w:p>
            <w:pPr>
              <w:spacing w:after="0"/>
              <w:rPr>
                <w:sz w:val="15"/>
                <w:szCs w:val="15"/>
                <w:color w:val="auto"/>
              </w:rPr>
            </w:pPr>
          </w:p>
        </w:tc>
        <w:tc>
          <w:tcPr>
            <w:tcW w:w="480" w:type="dxa"/>
            <w:vAlign w:val="bottom"/>
            <w:shd w:val="clear" w:color="auto" w:fill="CCDEF1"/>
          </w:tcPr>
          <w:p>
            <w:pPr>
              <w:spacing w:after="0"/>
              <w:rPr>
                <w:sz w:val="15"/>
                <w:szCs w:val="15"/>
                <w:color w:val="auto"/>
              </w:rPr>
            </w:pPr>
          </w:p>
        </w:tc>
        <w:tc>
          <w:tcPr>
            <w:tcW w:w="420" w:type="dxa"/>
            <w:vAlign w:val="bottom"/>
            <w:shd w:val="clear" w:color="auto" w:fill="CCDEF1"/>
          </w:tcPr>
          <w:p>
            <w:pPr>
              <w:spacing w:after="0"/>
              <w:rPr>
                <w:sz w:val="15"/>
                <w:szCs w:val="15"/>
                <w:color w:val="auto"/>
              </w:rPr>
            </w:pPr>
          </w:p>
        </w:tc>
        <w:tc>
          <w:tcPr>
            <w:tcW w:w="340" w:type="dxa"/>
            <w:vAlign w:val="bottom"/>
            <w:shd w:val="clear" w:color="auto" w:fill="CCDEF1"/>
          </w:tcPr>
          <w:p>
            <w:pPr>
              <w:spacing w:after="0"/>
              <w:rPr>
                <w:sz w:val="15"/>
                <w:szCs w:val="15"/>
                <w:color w:val="auto"/>
              </w:rPr>
            </w:pPr>
          </w:p>
        </w:tc>
        <w:tc>
          <w:tcPr>
            <w:tcW w:w="340" w:type="dxa"/>
            <w:vAlign w:val="bottom"/>
            <w:tcBorders>
              <w:right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 Retired President and Chief Executive</w:t>
            </w:r>
          </w:p>
        </w:tc>
        <w:tc>
          <w:tcPr>
            <w:tcW w:w="560" w:type="dxa"/>
            <w:vAlign w:val="bottom"/>
            <w:shd w:val="clear" w:color="auto" w:fill="CCDEF1"/>
          </w:tcPr>
          <w:p>
            <w:pPr>
              <w:jc w:val="center"/>
              <w:ind w:left="48"/>
              <w:spacing w:after="0"/>
              <w:rPr>
                <w:sz w:val="20"/>
                <w:szCs w:val="20"/>
                <w:color w:val="auto"/>
              </w:rPr>
            </w:pPr>
            <w:r>
              <w:rPr>
                <w:rFonts w:ascii="Arial" w:cs="Arial" w:eastAsia="Arial" w:hAnsi="Arial"/>
                <w:sz w:val="14"/>
                <w:szCs w:val="14"/>
                <w:color w:val="auto"/>
              </w:rPr>
              <w:t>63</w:t>
            </w:r>
          </w:p>
        </w:tc>
        <w:tc>
          <w:tcPr>
            <w:tcW w:w="720" w:type="dxa"/>
            <w:vAlign w:val="bottom"/>
            <w:shd w:val="clear" w:color="auto" w:fill="CCDEF1"/>
          </w:tcPr>
          <w:p>
            <w:pPr>
              <w:jc w:val="center"/>
              <w:spacing w:after="0"/>
              <w:rPr>
                <w:sz w:val="20"/>
                <w:szCs w:val="20"/>
                <w:color w:val="auto"/>
              </w:rPr>
            </w:pPr>
            <w:r>
              <w:rPr>
                <w:rFonts w:ascii="Arial" w:cs="Arial" w:eastAsia="Arial" w:hAnsi="Arial"/>
                <w:sz w:val="14"/>
                <w:szCs w:val="14"/>
                <w:color w:val="auto"/>
              </w:rPr>
              <w:t>2021</w:t>
            </w:r>
          </w:p>
        </w:tc>
        <w:tc>
          <w:tcPr>
            <w:tcW w:w="920" w:type="dxa"/>
            <w:vAlign w:val="bottom"/>
            <w:tcBorders>
              <w:right w:val="single" w:sz="8" w:color="CCDEF1"/>
            </w:tcBorders>
            <w:shd w:val="clear" w:color="auto" w:fill="CCDEF1"/>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shd w:val="clear" w:color="auto" w:fill="CCDEF1"/>
          </w:tcPr>
          <w:p>
            <w:pPr>
              <w:jc w:val="center"/>
              <w:ind w:left="328"/>
              <w:spacing w:after="0"/>
              <w:rPr>
                <w:sz w:val="20"/>
                <w:szCs w:val="20"/>
                <w:color w:val="auto"/>
              </w:rPr>
            </w:pPr>
            <w:r>
              <w:rPr>
                <w:rFonts w:ascii="Wingdings" w:cs="Wingdings" w:eastAsia="Wingdings" w:hAnsi="Wingdings"/>
                <w:sz w:val="14"/>
                <w:szCs w:val="14"/>
                <w:b w:val="1"/>
                <w:bCs w:val="1"/>
                <w:color w:val="005CB9"/>
                <w:w w:val="95"/>
              </w:rPr>
              <w:t>l</w:t>
            </w:r>
          </w:p>
        </w:tc>
        <w:tc>
          <w:tcPr>
            <w:tcW w:w="1620" w:type="dxa"/>
            <w:vAlign w:val="bottom"/>
            <w:shd w:val="clear" w:color="auto" w:fill="CCDEF1"/>
          </w:tcPr>
          <w:p>
            <w:pPr>
              <w:jc w:val="center"/>
              <w:ind w:right="88"/>
              <w:spacing w:after="0"/>
              <w:rPr>
                <w:sz w:val="20"/>
                <w:szCs w:val="20"/>
                <w:color w:val="auto"/>
              </w:rPr>
            </w:pPr>
            <w:r>
              <w:rPr>
                <w:rFonts w:ascii="Wingdings" w:cs="Wingdings" w:eastAsia="Wingdings" w:hAnsi="Wingdings"/>
                <w:sz w:val="14"/>
                <w:szCs w:val="14"/>
                <w:b w:val="1"/>
                <w:bCs w:val="1"/>
                <w:color w:val="005CB9"/>
                <w:w w:val="95"/>
              </w:rPr>
              <w:t>l</w:t>
            </w:r>
          </w:p>
        </w:tc>
        <w:tc>
          <w:tcPr>
            <w:tcW w:w="48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340" w:type="dxa"/>
            <w:vAlign w:val="bottom"/>
            <w:shd w:val="clear" w:color="auto" w:fill="CCDEF1"/>
          </w:tcPr>
          <w:p>
            <w:pPr>
              <w:spacing w:after="0"/>
              <w:rPr>
                <w:sz w:val="14"/>
                <w:szCs w:val="14"/>
                <w:color w:val="auto"/>
              </w:rPr>
            </w:pPr>
          </w:p>
        </w:tc>
        <w:tc>
          <w:tcPr>
            <w:tcW w:w="340" w:type="dxa"/>
            <w:vAlign w:val="bottom"/>
            <w:tcBorders>
              <w:right w:val="single" w:sz="8" w:color="CCDEF1"/>
            </w:tcBorders>
            <w:shd w:val="clear" w:color="auto" w:fill="CCDEF1"/>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 Officer, Danaher Corporation</w:t>
            </w:r>
          </w:p>
        </w:tc>
        <w:tc>
          <w:tcPr>
            <w:tcW w:w="560" w:type="dxa"/>
            <w:vAlign w:val="bottom"/>
            <w:tcBorders>
              <w:bottom w:val="single" w:sz="8" w:color="CCDEF1"/>
            </w:tcBorders>
            <w:shd w:val="clear" w:color="auto" w:fill="CCDEF1"/>
          </w:tcPr>
          <w:p>
            <w:pPr>
              <w:spacing w:after="0"/>
              <w:rPr>
                <w:sz w:val="20"/>
                <w:szCs w:val="20"/>
                <w:color w:val="auto"/>
              </w:rPr>
            </w:pPr>
          </w:p>
        </w:tc>
        <w:tc>
          <w:tcPr>
            <w:tcW w:w="720" w:type="dxa"/>
            <w:vAlign w:val="bottom"/>
            <w:tcBorders>
              <w:bottom w:val="single" w:sz="8" w:color="CCDEF1"/>
            </w:tcBorders>
            <w:shd w:val="clear" w:color="auto" w:fill="CCDEF1"/>
          </w:tcPr>
          <w:p>
            <w:pPr>
              <w:spacing w:after="0"/>
              <w:rPr>
                <w:sz w:val="20"/>
                <w:szCs w:val="20"/>
                <w:color w:val="auto"/>
              </w:rPr>
            </w:pPr>
          </w:p>
        </w:tc>
        <w:tc>
          <w:tcPr>
            <w:tcW w:w="920" w:type="dxa"/>
            <w:vAlign w:val="bottom"/>
            <w:tcBorders>
              <w:bottom w:val="single" w:sz="8" w:color="CCDEF1"/>
              <w:right w:val="single" w:sz="8" w:color="CCDEF1"/>
            </w:tcBorders>
            <w:shd w:val="clear" w:color="auto" w:fill="CCDEF1"/>
          </w:tcPr>
          <w:p>
            <w:pPr>
              <w:spacing w:after="0"/>
              <w:rPr>
                <w:sz w:val="20"/>
                <w:szCs w:val="20"/>
                <w:color w:val="auto"/>
              </w:rPr>
            </w:pPr>
          </w:p>
        </w:tc>
        <w:tc>
          <w:tcPr>
            <w:tcW w:w="780" w:type="dxa"/>
            <w:vAlign w:val="bottom"/>
            <w:tcBorders>
              <w:bottom w:val="single" w:sz="8" w:color="CCDEF1"/>
            </w:tcBorders>
            <w:shd w:val="clear" w:color="auto" w:fill="CCDEF1"/>
          </w:tcPr>
          <w:p>
            <w:pPr>
              <w:spacing w:after="0"/>
              <w:rPr>
                <w:sz w:val="20"/>
                <w:szCs w:val="20"/>
                <w:color w:val="auto"/>
              </w:rPr>
            </w:pPr>
          </w:p>
        </w:tc>
        <w:tc>
          <w:tcPr>
            <w:tcW w:w="1620" w:type="dxa"/>
            <w:vAlign w:val="bottom"/>
            <w:tcBorders>
              <w:bottom w:val="single" w:sz="8" w:color="CCDEF1"/>
            </w:tcBorders>
            <w:shd w:val="clear" w:color="auto" w:fill="CCDEF1"/>
          </w:tcPr>
          <w:p>
            <w:pPr>
              <w:spacing w:after="0"/>
              <w:rPr>
                <w:sz w:val="20"/>
                <w:szCs w:val="20"/>
                <w:color w:val="auto"/>
              </w:rPr>
            </w:pPr>
          </w:p>
        </w:tc>
        <w:tc>
          <w:tcPr>
            <w:tcW w:w="480" w:type="dxa"/>
            <w:vAlign w:val="bottom"/>
            <w:tcBorders>
              <w:bottom w:val="single" w:sz="8" w:color="CCDEF1"/>
            </w:tcBorders>
            <w:shd w:val="clear" w:color="auto" w:fill="CCDEF1"/>
          </w:tcPr>
          <w:p>
            <w:pPr>
              <w:spacing w:after="0"/>
              <w:rPr>
                <w:sz w:val="20"/>
                <w:szCs w:val="20"/>
                <w:color w:val="auto"/>
              </w:rPr>
            </w:pPr>
          </w:p>
        </w:tc>
        <w:tc>
          <w:tcPr>
            <w:tcW w:w="42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right w:val="single" w:sz="8" w:color="CCDEF1"/>
            </w:tcBorders>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460" w:type="dxa"/>
            <w:vAlign w:val="bottom"/>
            <w:tcBorders>
              <w:top w:val="single" w:sz="8" w:color="005CB9"/>
            </w:tcBorders>
          </w:tcPr>
          <w:p>
            <w:pPr>
              <w:spacing w:after="0"/>
              <w:rPr>
                <w:sz w:val="20"/>
                <w:szCs w:val="20"/>
                <w:color w:val="auto"/>
              </w:rPr>
            </w:pPr>
            <w:r>
              <w:rPr>
                <w:rFonts w:ascii="Arial" w:cs="Arial" w:eastAsia="Arial" w:hAnsi="Arial"/>
                <w:sz w:val="14"/>
                <w:szCs w:val="14"/>
                <w:b w:val="1"/>
                <w:bCs w:val="1"/>
                <w:color w:val="auto"/>
              </w:rPr>
              <w:t> John F. Murphy</w:t>
            </w:r>
          </w:p>
        </w:tc>
        <w:tc>
          <w:tcPr>
            <w:tcW w:w="560" w:type="dxa"/>
            <w:vAlign w:val="bottom"/>
            <w:tcBorders>
              <w:top w:val="single" w:sz="8" w:color="005CB9"/>
            </w:tcBorders>
          </w:tcPr>
          <w:p>
            <w:pPr>
              <w:spacing w:after="0"/>
              <w:rPr>
                <w:sz w:val="15"/>
                <w:szCs w:val="15"/>
                <w:color w:val="auto"/>
              </w:rPr>
            </w:pPr>
          </w:p>
        </w:tc>
        <w:tc>
          <w:tcPr>
            <w:tcW w:w="720" w:type="dxa"/>
            <w:vAlign w:val="bottom"/>
            <w:tcBorders>
              <w:top w:val="single" w:sz="8" w:color="005CB9"/>
            </w:tcBorders>
          </w:tcPr>
          <w:p>
            <w:pPr>
              <w:spacing w:after="0"/>
              <w:rPr>
                <w:sz w:val="15"/>
                <w:szCs w:val="15"/>
                <w:color w:val="auto"/>
              </w:rPr>
            </w:pPr>
          </w:p>
        </w:tc>
        <w:tc>
          <w:tcPr>
            <w:tcW w:w="920" w:type="dxa"/>
            <w:vAlign w:val="bottom"/>
            <w:tcBorders>
              <w:top w:val="single" w:sz="8" w:color="005CB9"/>
            </w:tcBorders>
          </w:tcPr>
          <w:p>
            <w:pPr>
              <w:spacing w:after="0"/>
              <w:rPr>
                <w:sz w:val="15"/>
                <w:szCs w:val="15"/>
                <w:color w:val="auto"/>
              </w:rPr>
            </w:pPr>
          </w:p>
        </w:tc>
        <w:tc>
          <w:tcPr>
            <w:tcW w:w="780" w:type="dxa"/>
            <w:vAlign w:val="bottom"/>
            <w:tcBorders>
              <w:top w:val="single" w:sz="8" w:color="005CB9"/>
            </w:tcBorders>
          </w:tcPr>
          <w:p>
            <w:pPr>
              <w:spacing w:after="0"/>
              <w:rPr>
                <w:sz w:val="15"/>
                <w:szCs w:val="15"/>
                <w:color w:val="auto"/>
              </w:rPr>
            </w:pPr>
          </w:p>
        </w:tc>
        <w:tc>
          <w:tcPr>
            <w:tcW w:w="1620" w:type="dxa"/>
            <w:vAlign w:val="bottom"/>
            <w:tcBorders>
              <w:top w:val="single" w:sz="8" w:color="005CB9"/>
            </w:tcBorders>
          </w:tcPr>
          <w:p>
            <w:pPr>
              <w:spacing w:after="0"/>
              <w:rPr>
                <w:sz w:val="15"/>
                <w:szCs w:val="15"/>
                <w:color w:val="auto"/>
              </w:rPr>
            </w:pPr>
          </w:p>
        </w:tc>
        <w:tc>
          <w:tcPr>
            <w:tcW w:w="480" w:type="dxa"/>
            <w:vAlign w:val="bottom"/>
            <w:tcBorders>
              <w:top w:val="single" w:sz="8" w:color="005CB9"/>
            </w:tcBorders>
          </w:tcPr>
          <w:p>
            <w:pPr>
              <w:spacing w:after="0"/>
              <w:rPr>
                <w:sz w:val="15"/>
                <w:szCs w:val="15"/>
                <w:color w:val="auto"/>
              </w:rPr>
            </w:pPr>
          </w:p>
        </w:tc>
        <w:tc>
          <w:tcPr>
            <w:tcW w:w="42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 Former Executive Vice President and</w:t>
            </w:r>
          </w:p>
        </w:tc>
        <w:tc>
          <w:tcPr>
            <w:tcW w:w="560" w:type="dxa"/>
            <w:vAlign w:val="bottom"/>
            <w:vMerge w:val="restart"/>
          </w:tcPr>
          <w:p>
            <w:pPr>
              <w:jc w:val="center"/>
              <w:ind w:left="48"/>
              <w:spacing w:after="0"/>
              <w:rPr>
                <w:sz w:val="20"/>
                <w:szCs w:val="20"/>
                <w:color w:val="auto"/>
              </w:rPr>
            </w:pPr>
            <w:r>
              <w:rPr>
                <w:rFonts w:ascii="Arial" w:cs="Arial" w:eastAsia="Arial" w:hAnsi="Arial"/>
                <w:sz w:val="14"/>
                <w:szCs w:val="14"/>
                <w:color w:val="auto"/>
              </w:rPr>
              <w:t>55</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920" w:type="dxa"/>
            <w:vAlign w:val="bottom"/>
            <w:vMerge w:val="restart"/>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vMerge w:val="restart"/>
          </w:tcPr>
          <w:p>
            <w:pPr>
              <w:jc w:val="center"/>
              <w:ind w:left="328"/>
              <w:spacing w:after="0"/>
              <w:rPr>
                <w:sz w:val="20"/>
                <w:szCs w:val="20"/>
                <w:color w:val="auto"/>
              </w:rPr>
            </w:pPr>
            <w:r>
              <w:rPr>
                <w:rFonts w:ascii="Wingdings" w:cs="Wingdings" w:eastAsia="Wingdings" w:hAnsi="Wingdings"/>
                <w:sz w:val="14"/>
                <w:szCs w:val="14"/>
                <w:b w:val="1"/>
                <w:bCs w:val="1"/>
                <w:color w:val="005CB9"/>
                <w:w w:val="95"/>
              </w:rPr>
              <w:t>l</w:t>
            </w: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4460" w:type="dxa"/>
            <w:vAlign w:val="bottom"/>
            <w:vMerge w:val="restart"/>
          </w:tcPr>
          <w:p>
            <w:pPr>
              <w:spacing w:after="0"/>
              <w:rPr>
                <w:sz w:val="20"/>
                <w:szCs w:val="20"/>
                <w:color w:val="auto"/>
              </w:rPr>
            </w:pPr>
            <w:r>
              <w:rPr>
                <w:rFonts w:ascii="Arial" w:cs="Arial" w:eastAsia="Arial" w:hAnsi="Arial"/>
                <w:sz w:val="14"/>
                <w:szCs w:val="14"/>
                <w:color w:val="auto"/>
              </w:rPr>
              <w:t> Chief Financial Officer,</w:t>
            </w:r>
          </w:p>
        </w:tc>
        <w:tc>
          <w:tcPr>
            <w:tcW w:w="5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4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 Adobe Inc.</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446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92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620" w:type="dxa"/>
            <w:vAlign w:val="bottom"/>
            <w:tcBorders>
              <w:bottom w:val="single" w:sz="8" w:color="005CB9"/>
            </w:tcBorders>
          </w:tcPr>
          <w:p>
            <w:pPr>
              <w:spacing w:after="0"/>
              <w:rPr>
                <w:sz w:val="4"/>
                <w:szCs w:val="4"/>
                <w:color w:val="auto"/>
              </w:rPr>
            </w:pPr>
          </w:p>
        </w:tc>
        <w:tc>
          <w:tcPr>
            <w:tcW w:w="48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Laura G. Thatcher</w:t>
            </w:r>
          </w:p>
        </w:tc>
        <w:tc>
          <w:tcPr>
            <w:tcW w:w="560" w:type="dxa"/>
            <w:vAlign w:val="bottom"/>
            <w:shd w:val="clear" w:color="auto" w:fill="CCDEF1"/>
          </w:tcPr>
          <w:p>
            <w:pPr>
              <w:spacing w:after="0"/>
              <w:rPr>
                <w:sz w:val="15"/>
                <w:szCs w:val="15"/>
                <w:color w:val="auto"/>
              </w:rPr>
            </w:pPr>
          </w:p>
        </w:tc>
        <w:tc>
          <w:tcPr>
            <w:tcW w:w="720" w:type="dxa"/>
            <w:vAlign w:val="bottom"/>
            <w:shd w:val="clear" w:color="auto" w:fill="CCDEF1"/>
          </w:tcPr>
          <w:p>
            <w:pPr>
              <w:spacing w:after="0"/>
              <w:rPr>
                <w:sz w:val="15"/>
                <w:szCs w:val="15"/>
                <w:color w:val="auto"/>
              </w:rPr>
            </w:pPr>
          </w:p>
        </w:tc>
        <w:tc>
          <w:tcPr>
            <w:tcW w:w="920" w:type="dxa"/>
            <w:vAlign w:val="bottom"/>
            <w:tcBorders>
              <w:right w:val="single" w:sz="8" w:color="CCDEF1"/>
            </w:tcBorders>
            <w:shd w:val="clear" w:color="auto" w:fill="CCDEF1"/>
          </w:tcPr>
          <w:p>
            <w:pPr>
              <w:spacing w:after="0"/>
              <w:rPr>
                <w:sz w:val="15"/>
                <w:szCs w:val="15"/>
                <w:color w:val="auto"/>
              </w:rPr>
            </w:pPr>
          </w:p>
        </w:tc>
        <w:tc>
          <w:tcPr>
            <w:tcW w:w="780" w:type="dxa"/>
            <w:vAlign w:val="bottom"/>
            <w:shd w:val="clear" w:color="auto" w:fill="CCDEF1"/>
          </w:tcPr>
          <w:p>
            <w:pPr>
              <w:spacing w:after="0"/>
              <w:rPr>
                <w:sz w:val="15"/>
                <w:szCs w:val="15"/>
                <w:color w:val="auto"/>
              </w:rPr>
            </w:pPr>
          </w:p>
        </w:tc>
        <w:tc>
          <w:tcPr>
            <w:tcW w:w="1620" w:type="dxa"/>
            <w:vAlign w:val="bottom"/>
            <w:shd w:val="clear" w:color="auto" w:fill="CCDEF1"/>
          </w:tcPr>
          <w:p>
            <w:pPr>
              <w:spacing w:after="0"/>
              <w:rPr>
                <w:sz w:val="15"/>
                <w:szCs w:val="15"/>
                <w:color w:val="auto"/>
              </w:rPr>
            </w:pPr>
          </w:p>
        </w:tc>
        <w:tc>
          <w:tcPr>
            <w:tcW w:w="480" w:type="dxa"/>
            <w:vAlign w:val="bottom"/>
            <w:shd w:val="clear" w:color="auto" w:fill="CCDEF1"/>
          </w:tcPr>
          <w:p>
            <w:pPr>
              <w:spacing w:after="0"/>
              <w:rPr>
                <w:sz w:val="15"/>
                <w:szCs w:val="15"/>
                <w:color w:val="auto"/>
              </w:rPr>
            </w:pPr>
          </w:p>
        </w:tc>
        <w:tc>
          <w:tcPr>
            <w:tcW w:w="420" w:type="dxa"/>
            <w:vAlign w:val="bottom"/>
            <w:shd w:val="clear" w:color="auto" w:fill="CCDEF1"/>
          </w:tcPr>
          <w:p>
            <w:pPr>
              <w:spacing w:after="0"/>
              <w:rPr>
                <w:sz w:val="15"/>
                <w:szCs w:val="15"/>
                <w:color w:val="auto"/>
              </w:rPr>
            </w:pPr>
          </w:p>
        </w:tc>
        <w:tc>
          <w:tcPr>
            <w:tcW w:w="340" w:type="dxa"/>
            <w:vAlign w:val="bottom"/>
            <w:shd w:val="clear" w:color="auto" w:fill="CCDEF1"/>
          </w:tcPr>
          <w:p>
            <w:pPr>
              <w:spacing w:after="0"/>
              <w:rPr>
                <w:sz w:val="15"/>
                <w:szCs w:val="15"/>
                <w:color w:val="auto"/>
              </w:rPr>
            </w:pPr>
          </w:p>
        </w:tc>
        <w:tc>
          <w:tcPr>
            <w:tcW w:w="340" w:type="dxa"/>
            <w:vAlign w:val="bottom"/>
            <w:tcBorders>
              <w:right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 Retired Head of Executive</w:t>
            </w:r>
          </w:p>
        </w:tc>
        <w:tc>
          <w:tcPr>
            <w:tcW w:w="560" w:type="dxa"/>
            <w:vAlign w:val="bottom"/>
            <w:vMerge w:val="restart"/>
            <w:shd w:val="clear" w:color="auto" w:fill="CCDEF1"/>
          </w:tcPr>
          <w:p>
            <w:pPr>
              <w:jc w:val="center"/>
              <w:ind w:left="48"/>
              <w:spacing w:after="0"/>
              <w:rPr>
                <w:sz w:val="20"/>
                <w:szCs w:val="20"/>
                <w:color w:val="auto"/>
              </w:rPr>
            </w:pPr>
            <w:r>
              <w:rPr>
                <w:rFonts w:ascii="Arial" w:cs="Arial" w:eastAsia="Arial" w:hAnsi="Arial"/>
                <w:sz w:val="14"/>
                <w:szCs w:val="14"/>
                <w:color w:val="auto"/>
              </w:rPr>
              <w:t>68</w:t>
            </w:r>
          </w:p>
        </w:tc>
        <w:tc>
          <w:tcPr>
            <w:tcW w:w="720" w:type="dxa"/>
            <w:vAlign w:val="bottom"/>
            <w:vMerge w:val="restart"/>
            <w:shd w:val="clear" w:color="auto" w:fill="CCDEF1"/>
          </w:tcPr>
          <w:p>
            <w:pPr>
              <w:jc w:val="center"/>
              <w:spacing w:after="0"/>
              <w:rPr>
                <w:sz w:val="20"/>
                <w:szCs w:val="20"/>
                <w:color w:val="auto"/>
              </w:rPr>
            </w:pPr>
            <w:r>
              <w:rPr>
                <w:rFonts w:ascii="Arial" w:cs="Arial" w:eastAsia="Arial" w:hAnsi="Arial"/>
                <w:sz w:val="14"/>
                <w:szCs w:val="14"/>
                <w:color w:val="auto"/>
              </w:rPr>
              <w:t>2015</w:t>
            </w:r>
          </w:p>
        </w:tc>
        <w:tc>
          <w:tcPr>
            <w:tcW w:w="920" w:type="dxa"/>
            <w:vAlign w:val="bottom"/>
            <w:tcBorders>
              <w:right w:val="single" w:sz="8" w:color="CCDEF1"/>
            </w:tcBorders>
            <w:vMerge w:val="restart"/>
            <w:shd w:val="clear" w:color="auto" w:fill="CCDEF1"/>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shd w:val="clear" w:color="auto" w:fill="CCDEF1"/>
          </w:tcPr>
          <w:p>
            <w:pPr>
              <w:spacing w:after="0"/>
              <w:rPr>
                <w:sz w:val="14"/>
                <w:szCs w:val="14"/>
                <w:color w:val="auto"/>
              </w:rPr>
            </w:pPr>
          </w:p>
        </w:tc>
        <w:tc>
          <w:tcPr>
            <w:tcW w:w="1620" w:type="dxa"/>
            <w:vAlign w:val="bottom"/>
            <w:vMerge w:val="restart"/>
            <w:shd w:val="clear" w:color="auto" w:fill="CCDEF1"/>
          </w:tcPr>
          <w:p>
            <w:pPr>
              <w:jc w:val="center"/>
              <w:ind w:right="88"/>
              <w:spacing w:after="0"/>
              <w:rPr>
                <w:sz w:val="20"/>
                <w:szCs w:val="20"/>
                <w:color w:val="auto"/>
              </w:rPr>
            </w:pPr>
            <w:r>
              <w:rPr>
                <w:rFonts w:ascii="Arial" w:cs="Arial" w:eastAsia="Arial" w:hAnsi="Arial"/>
                <w:sz w:val="14"/>
                <w:szCs w:val="14"/>
                <w:b w:val="1"/>
                <w:bCs w:val="1"/>
                <w:color w:val="005CB9"/>
              </w:rPr>
              <w:t>Chair</w:t>
            </w:r>
          </w:p>
        </w:tc>
        <w:tc>
          <w:tcPr>
            <w:tcW w:w="480" w:type="dxa"/>
            <w:vAlign w:val="bottom"/>
            <w:shd w:val="clear" w:color="auto" w:fill="CCDEF1"/>
          </w:tcPr>
          <w:p>
            <w:pPr>
              <w:spacing w:after="0"/>
              <w:rPr>
                <w:sz w:val="14"/>
                <w:szCs w:val="14"/>
                <w:color w:val="auto"/>
              </w:rPr>
            </w:pPr>
          </w:p>
        </w:tc>
        <w:tc>
          <w:tcPr>
            <w:tcW w:w="420" w:type="dxa"/>
            <w:vAlign w:val="bottom"/>
            <w:shd w:val="clear" w:color="auto" w:fill="CCDEF1"/>
          </w:tcPr>
          <w:p>
            <w:pPr>
              <w:spacing w:after="0"/>
              <w:rPr>
                <w:sz w:val="14"/>
                <w:szCs w:val="14"/>
                <w:color w:val="auto"/>
              </w:rPr>
            </w:pPr>
          </w:p>
        </w:tc>
        <w:tc>
          <w:tcPr>
            <w:tcW w:w="680" w:type="dxa"/>
            <w:vAlign w:val="bottom"/>
            <w:tcBorders>
              <w:right w:val="single" w:sz="8" w:color="CCDEF1"/>
            </w:tcBorders>
            <w:gridSpan w:val="2"/>
            <w:vMerge w:val="restart"/>
            <w:shd w:val="clear" w:color="auto" w:fill="CCDEF1"/>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15"/>
        </w:trPr>
        <w:tc>
          <w:tcPr>
            <w:tcW w:w="4460" w:type="dxa"/>
            <w:vAlign w:val="bottom"/>
            <w:vMerge w:val="restart"/>
            <w:shd w:val="clear" w:color="auto" w:fill="CCDEF1"/>
          </w:tcPr>
          <w:p>
            <w:pPr>
              <w:spacing w:after="0"/>
              <w:rPr>
                <w:sz w:val="20"/>
                <w:szCs w:val="20"/>
                <w:color w:val="auto"/>
              </w:rPr>
            </w:pPr>
            <w:r>
              <w:rPr>
                <w:rFonts w:ascii="Arial" w:cs="Arial" w:eastAsia="Arial" w:hAnsi="Arial"/>
                <w:sz w:val="14"/>
                <w:szCs w:val="14"/>
                <w:color w:val="auto"/>
              </w:rPr>
              <w:t> Compensation Practice, Alston &amp; Bird</w:t>
            </w:r>
          </w:p>
        </w:tc>
        <w:tc>
          <w:tcPr>
            <w:tcW w:w="560" w:type="dxa"/>
            <w:vAlign w:val="bottom"/>
            <w:vMerge w:val="continue"/>
            <w:shd w:val="clear" w:color="auto" w:fill="CCDEF1"/>
          </w:tcPr>
          <w:p>
            <w:pPr>
              <w:spacing w:after="0"/>
              <w:rPr>
                <w:sz w:val="10"/>
                <w:szCs w:val="10"/>
                <w:color w:val="auto"/>
              </w:rPr>
            </w:pPr>
          </w:p>
        </w:tc>
        <w:tc>
          <w:tcPr>
            <w:tcW w:w="720" w:type="dxa"/>
            <w:vAlign w:val="bottom"/>
            <w:vMerge w:val="continue"/>
            <w:shd w:val="clear" w:color="auto" w:fill="CCDEF1"/>
          </w:tcPr>
          <w:p>
            <w:pPr>
              <w:spacing w:after="0"/>
              <w:rPr>
                <w:sz w:val="10"/>
                <w:szCs w:val="10"/>
                <w:color w:val="auto"/>
              </w:rPr>
            </w:pPr>
          </w:p>
        </w:tc>
        <w:tc>
          <w:tcPr>
            <w:tcW w:w="920" w:type="dxa"/>
            <w:vAlign w:val="bottom"/>
            <w:tcBorders>
              <w:right w:val="single" w:sz="8" w:color="CCDEF1"/>
            </w:tcBorders>
            <w:vMerge w:val="continue"/>
            <w:shd w:val="clear" w:color="auto" w:fill="CCDEF1"/>
          </w:tcPr>
          <w:p>
            <w:pPr>
              <w:spacing w:after="0"/>
              <w:rPr>
                <w:sz w:val="10"/>
                <w:szCs w:val="10"/>
                <w:color w:val="auto"/>
              </w:rPr>
            </w:pPr>
          </w:p>
        </w:tc>
        <w:tc>
          <w:tcPr>
            <w:tcW w:w="780" w:type="dxa"/>
            <w:vAlign w:val="bottom"/>
            <w:shd w:val="clear" w:color="auto" w:fill="CCDEF1"/>
          </w:tcPr>
          <w:p>
            <w:pPr>
              <w:spacing w:after="0"/>
              <w:rPr>
                <w:sz w:val="10"/>
                <w:szCs w:val="10"/>
                <w:color w:val="auto"/>
              </w:rPr>
            </w:pPr>
          </w:p>
        </w:tc>
        <w:tc>
          <w:tcPr>
            <w:tcW w:w="1620" w:type="dxa"/>
            <w:vAlign w:val="bottom"/>
            <w:vMerge w:val="continue"/>
            <w:shd w:val="clear" w:color="auto" w:fill="CCDEF1"/>
          </w:tcPr>
          <w:p>
            <w:pPr>
              <w:spacing w:after="0"/>
              <w:rPr>
                <w:sz w:val="10"/>
                <w:szCs w:val="10"/>
                <w:color w:val="auto"/>
              </w:rPr>
            </w:pPr>
          </w:p>
        </w:tc>
        <w:tc>
          <w:tcPr>
            <w:tcW w:w="480" w:type="dxa"/>
            <w:vAlign w:val="bottom"/>
            <w:shd w:val="clear" w:color="auto" w:fill="CCDEF1"/>
          </w:tcPr>
          <w:p>
            <w:pPr>
              <w:spacing w:after="0"/>
              <w:rPr>
                <w:sz w:val="10"/>
                <w:szCs w:val="10"/>
                <w:color w:val="auto"/>
              </w:rPr>
            </w:pPr>
          </w:p>
        </w:tc>
        <w:tc>
          <w:tcPr>
            <w:tcW w:w="420" w:type="dxa"/>
            <w:vAlign w:val="bottom"/>
            <w:shd w:val="clear" w:color="auto" w:fill="CCDEF1"/>
          </w:tcPr>
          <w:p>
            <w:pPr>
              <w:spacing w:after="0"/>
              <w:rPr>
                <w:sz w:val="10"/>
                <w:szCs w:val="10"/>
                <w:color w:val="auto"/>
              </w:rPr>
            </w:pPr>
          </w:p>
        </w:tc>
        <w:tc>
          <w:tcPr>
            <w:tcW w:w="680" w:type="dxa"/>
            <w:vAlign w:val="bottom"/>
            <w:tcBorders>
              <w:right w:val="single" w:sz="8" w:color="CCDEF1"/>
            </w:tcBorders>
            <w:gridSpan w:val="2"/>
            <w:vMerge w:val="continue"/>
            <w:shd w:val="clear" w:color="auto" w:fill="CCDEF1"/>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460" w:type="dxa"/>
            <w:vAlign w:val="bottom"/>
            <w:vMerge w:val="continue"/>
            <w:shd w:val="clear" w:color="auto" w:fill="CCDEF1"/>
          </w:tcPr>
          <w:p>
            <w:pPr>
              <w:spacing w:after="0"/>
              <w:rPr>
                <w:sz w:val="4"/>
                <w:szCs w:val="4"/>
                <w:color w:val="auto"/>
              </w:rPr>
            </w:pPr>
          </w:p>
        </w:tc>
        <w:tc>
          <w:tcPr>
            <w:tcW w:w="560" w:type="dxa"/>
            <w:vAlign w:val="bottom"/>
            <w:shd w:val="clear" w:color="auto" w:fill="CCDEF1"/>
          </w:tcPr>
          <w:p>
            <w:pPr>
              <w:spacing w:after="0"/>
              <w:rPr>
                <w:sz w:val="4"/>
                <w:szCs w:val="4"/>
                <w:color w:val="auto"/>
              </w:rPr>
            </w:pPr>
          </w:p>
        </w:tc>
        <w:tc>
          <w:tcPr>
            <w:tcW w:w="720" w:type="dxa"/>
            <w:vAlign w:val="bottom"/>
            <w:shd w:val="clear" w:color="auto" w:fill="CCDEF1"/>
          </w:tcPr>
          <w:p>
            <w:pPr>
              <w:spacing w:after="0"/>
              <w:rPr>
                <w:sz w:val="4"/>
                <w:szCs w:val="4"/>
                <w:color w:val="auto"/>
              </w:rPr>
            </w:pPr>
          </w:p>
        </w:tc>
        <w:tc>
          <w:tcPr>
            <w:tcW w:w="920" w:type="dxa"/>
            <w:vAlign w:val="bottom"/>
            <w:tcBorders>
              <w:right w:val="single" w:sz="8" w:color="CCDEF1"/>
            </w:tcBorders>
            <w:shd w:val="clear" w:color="auto" w:fill="CCDEF1"/>
          </w:tcPr>
          <w:p>
            <w:pPr>
              <w:spacing w:after="0"/>
              <w:rPr>
                <w:sz w:val="4"/>
                <w:szCs w:val="4"/>
                <w:color w:val="auto"/>
              </w:rPr>
            </w:pPr>
          </w:p>
        </w:tc>
        <w:tc>
          <w:tcPr>
            <w:tcW w:w="780" w:type="dxa"/>
            <w:vAlign w:val="bottom"/>
            <w:shd w:val="clear" w:color="auto" w:fill="CCDEF1"/>
          </w:tcPr>
          <w:p>
            <w:pPr>
              <w:spacing w:after="0"/>
              <w:rPr>
                <w:sz w:val="4"/>
                <w:szCs w:val="4"/>
                <w:color w:val="auto"/>
              </w:rPr>
            </w:pPr>
          </w:p>
        </w:tc>
        <w:tc>
          <w:tcPr>
            <w:tcW w:w="1620" w:type="dxa"/>
            <w:vAlign w:val="bottom"/>
            <w:shd w:val="clear" w:color="auto" w:fill="CCDEF1"/>
          </w:tcPr>
          <w:p>
            <w:pPr>
              <w:spacing w:after="0"/>
              <w:rPr>
                <w:sz w:val="4"/>
                <w:szCs w:val="4"/>
                <w:color w:val="auto"/>
              </w:rPr>
            </w:pPr>
          </w:p>
        </w:tc>
        <w:tc>
          <w:tcPr>
            <w:tcW w:w="480" w:type="dxa"/>
            <w:vAlign w:val="bottom"/>
            <w:shd w:val="clear" w:color="auto" w:fill="CCDEF1"/>
          </w:tcPr>
          <w:p>
            <w:pPr>
              <w:spacing w:after="0"/>
              <w:rPr>
                <w:sz w:val="4"/>
                <w:szCs w:val="4"/>
                <w:color w:val="auto"/>
              </w:rPr>
            </w:pPr>
          </w:p>
        </w:tc>
        <w:tc>
          <w:tcPr>
            <w:tcW w:w="420" w:type="dxa"/>
            <w:vAlign w:val="bottom"/>
            <w:shd w:val="clear" w:color="auto" w:fill="CCDEF1"/>
          </w:tcPr>
          <w:p>
            <w:pPr>
              <w:spacing w:after="0"/>
              <w:rPr>
                <w:sz w:val="4"/>
                <w:szCs w:val="4"/>
                <w:color w:val="auto"/>
              </w:rPr>
            </w:pPr>
          </w:p>
        </w:tc>
        <w:tc>
          <w:tcPr>
            <w:tcW w:w="340" w:type="dxa"/>
            <w:vAlign w:val="bottom"/>
            <w:shd w:val="clear" w:color="auto" w:fill="CCDEF1"/>
          </w:tcPr>
          <w:p>
            <w:pPr>
              <w:spacing w:after="0"/>
              <w:rPr>
                <w:sz w:val="4"/>
                <w:szCs w:val="4"/>
                <w:color w:val="auto"/>
              </w:rPr>
            </w:pPr>
          </w:p>
        </w:tc>
        <w:tc>
          <w:tcPr>
            <w:tcW w:w="340" w:type="dxa"/>
            <w:vAlign w:val="bottom"/>
            <w:tcBorders>
              <w:right w:val="single" w:sz="8" w:color="CCDEF1"/>
            </w:tcBorders>
            <w:shd w:val="clear" w:color="auto" w:fill="CCDEF1"/>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 LLP</w:t>
            </w:r>
          </w:p>
        </w:tc>
        <w:tc>
          <w:tcPr>
            <w:tcW w:w="560" w:type="dxa"/>
            <w:vAlign w:val="bottom"/>
            <w:tcBorders>
              <w:bottom w:val="single" w:sz="8" w:color="CCDEF1"/>
            </w:tcBorders>
            <w:shd w:val="clear" w:color="auto" w:fill="CCDEF1"/>
          </w:tcPr>
          <w:p>
            <w:pPr>
              <w:spacing w:after="0"/>
              <w:rPr>
                <w:sz w:val="20"/>
                <w:szCs w:val="20"/>
                <w:color w:val="auto"/>
              </w:rPr>
            </w:pPr>
          </w:p>
        </w:tc>
        <w:tc>
          <w:tcPr>
            <w:tcW w:w="720" w:type="dxa"/>
            <w:vAlign w:val="bottom"/>
            <w:tcBorders>
              <w:bottom w:val="single" w:sz="8" w:color="CCDEF1"/>
            </w:tcBorders>
            <w:shd w:val="clear" w:color="auto" w:fill="CCDEF1"/>
          </w:tcPr>
          <w:p>
            <w:pPr>
              <w:spacing w:after="0"/>
              <w:rPr>
                <w:sz w:val="20"/>
                <w:szCs w:val="20"/>
                <w:color w:val="auto"/>
              </w:rPr>
            </w:pPr>
          </w:p>
        </w:tc>
        <w:tc>
          <w:tcPr>
            <w:tcW w:w="920" w:type="dxa"/>
            <w:vAlign w:val="bottom"/>
            <w:tcBorders>
              <w:bottom w:val="single" w:sz="8" w:color="CCDEF1"/>
              <w:right w:val="single" w:sz="8" w:color="CCDEF1"/>
            </w:tcBorders>
            <w:shd w:val="clear" w:color="auto" w:fill="CCDEF1"/>
          </w:tcPr>
          <w:p>
            <w:pPr>
              <w:spacing w:after="0"/>
              <w:rPr>
                <w:sz w:val="20"/>
                <w:szCs w:val="20"/>
                <w:color w:val="auto"/>
              </w:rPr>
            </w:pPr>
          </w:p>
        </w:tc>
        <w:tc>
          <w:tcPr>
            <w:tcW w:w="780" w:type="dxa"/>
            <w:vAlign w:val="bottom"/>
            <w:tcBorders>
              <w:bottom w:val="single" w:sz="8" w:color="CCDEF1"/>
            </w:tcBorders>
            <w:shd w:val="clear" w:color="auto" w:fill="CCDEF1"/>
          </w:tcPr>
          <w:p>
            <w:pPr>
              <w:spacing w:after="0"/>
              <w:rPr>
                <w:sz w:val="20"/>
                <w:szCs w:val="20"/>
                <w:color w:val="auto"/>
              </w:rPr>
            </w:pPr>
          </w:p>
        </w:tc>
        <w:tc>
          <w:tcPr>
            <w:tcW w:w="1620" w:type="dxa"/>
            <w:vAlign w:val="bottom"/>
            <w:tcBorders>
              <w:bottom w:val="single" w:sz="8" w:color="CCDEF1"/>
            </w:tcBorders>
            <w:shd w:val="clear" w:color="auto" w:fill="CCDEF1"/>
          </w:tcPr>
          <w:p>
            <w:pPr>
              <w:spacing w:after="0"/>
              <w:rPr>
                <w:sz w:val="20"/>
                <w:szCs w:val="20"/>
                <w:color w:val="auto"/>
              </w:rPr>
            </w:pPr>
          </w:p>
        </w:tc>
        <w:tc>
          <w:tcPr>
            <w:tcW w:w="480" w:type="dxa"/>
            <w:vAlign w:val="bottom"/>
            <w:tcBorders>
              <w:bottom w:val="single" w:sz="8" w:color="CCDEF1"/>
            </w:tcBorders>
            <w:shd w:val="clear" w:color="auto" w:fill="CCDEF1"/>
          </w:tcPr>
          <w:p>
            <w:pPr>
              <w:spacing w:after="0"/>
              <w:rPr>
                <w:sz w:val="20"/>
                <w:szCs w:val="20"/>
                <w:color w:val="auto"/>
              </w:rPr>
            </w:pPr>
          </w:p>
        </w:tc>
        <w:tc>
          <w:tcPr>
            <w:tcW w:w="42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tcBorders>
            <w:shd w:val="clear" w:color="auto" w:fill="CCDEF1"/>
          </w:tcPr>
          <w:p>
            <w:pPr>
              <w:spacing w:after="0"/>
              <w:rPr>
                <w:sz w:val="20"/>
                <w:szCs w:val="20"/>
                <w:color w:val="auto"/>
              </w:rPr>
            </w:pPr>
          </w:p>
        </w:tc>
        <w:tc>
          <w:tcPr>
            <w:tcW w:w="340" w:type="dxa"/>
            <w:vAlign w:val="bottom"/>
            <w:tcBorders>
              <w:bottom w:val="single" w:sz="8" w:color="CCDEF1"/>
              <w:right w:val="single" w:sz="8" w:color="CCDEF1"/>
            </w:tcBorders>
            <w:shd w:val="clear" w:color="auto" w:fill="CCDEF1"/>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460" w:type="dxa"/>
            <w:vAlign w:val="bottom"/>
            <w:tcBorders>
              <w:top w:val="single" w:sz="8" w:color="005CB9"/>
            </w:tcBorders>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Richard F. Wallman</w:t>
            </w:r>
          </w:p>
        </w:tc>
        <w:tc>
          <w:tcPr>
            <w:tcW w:w="560" w:type="dxa"/>
            <w:vAlign w:val="bottom"/>
            <w:tcBorders>
              <w:top w:val="single" w:sz="8" w:color="005CB9"/>
            </w:tcBorders>
          </w:tcPr>
          <w:p>
            <w:pPr>
              <w:spacing w:after="0"/>
              <w:rPr>
                <w:sz w:val="15"/>
                <w:szCs w:val="15"/>
                <w:color w:val="auto"/>
              </w:rPr>
            </w:pPr>
          </w:p>
        </w:tc>
        <w:tc>
          <w:tcPr>
            <w:tcW w:w="720" w:type="dxa"/>
            <w:vAlign w:val="bottom"/>
            <w:tcBorders>
              <w:top w:val="single" w:sz="8" w:color="005CB9"/>
            </w:tcBorders>
          </w:tcPr>
          <w:p>
            <w:pPr>
              <w:spacing w:after="0"/>
              <w:rPr>
                <w:sz w:val="15"/>
                <w:szCs w:val="15"/>
                <w:color w:val="auto"/>
              </w:rPr>
            </w:pPr>
          </w:p>
        </w:tc>
        <w:tc>
          <w:tcPr>
            <w:tcW w:w="920" w:type="dxa"/>
            <w:vAlign w:val="bottom"/>
            <w:tcBorders>
              <w:top w:val="single" w:sz="8" w:color="005CB9"/>
            </w:tcBorders>
          </w:tcPr>
          <w:p>
            <w:pPr>
              <w:spacing w:after="0"/>
              <w:rPr>
                <w:sz w:val="15"/>
                <w:szCs w:val="15"/>
                <w:color w:val="auto"/>
              </w:rPr>
            </w:pPr>
          </w:p>
        </w:tc>
        <w:tc>
          <w:tcPr>
            <w:tcW w:w="780" w:type="dxa"/>
            <w:vAlign w:val="bottom"/>
            <w:tcBorders>
              <w:top w:val="single" w:sz="8" w:color="005CB9"/>
            </w:tcBorders>
          </w:tcPr>
          <w:p>
            <w:pPr>
              <w:spacing w:after="0"/>
              <w:rPr>
                <w:sz w:val="15"/>
                <w:szCs w:val="15"/>
                <w:color w:val="auto"/>
              </w:rPr>
            </w:pPr>
          </w:p>
        </w:tc>
        <w:tc>
          <w:tcPr>
            <w:tcW w:w="1620" w:type="dxa"/>
            <w:vAlign w:val="bottom"/>
            <w:tcBorders>
              <w:top w:val="single" w:sz="8" w:color="005CB9"/>
            </w:tcBorders>
          </w:tcPr>
          <w:p>
            <w:pPr>
              <w:spacing w:after="0"/>
              <w:rPr>
                <w:sz w:val="15"/>
                <w:szCs w:val="15"/>
                <w:color w:val="auto"/>
              </w:rPr>
            </w:pPr>
          </w:p>
        </w:tc>
        <w:tc>
          <w:tcPr>
            <w:tcW w:w="480" w:type="dxa"/>
            <w:vAlign w:val="bottom"/>
            <w:tcBorders>
              <w:top w:val="single" w:sz="8" w:color="005CB9"/>
            </w:tcBorders>
          </w:tcPr>
          <w:p>
            <w:pPr>
              <w:spacing w:after="0"/>
              <w:rPr>
                <w:sz w:val="15"/>
                <w:szCs w:val="15"/>
                <w:color w:val="auto"/>
              </w:rPr>
            </w:pPr>
          </w:p>
        </w:tc>
        <w:tc>
          <w:tcPr>
            <w:tcW w:w="42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340" w:type="dxa"/>
            <w:vAlign w:val="bottom"/>
            <w:tcBorders>
              <w:top w:val="single" w:sz="8" w:color="005CB9"/>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460" w:type="dxa"/>
            <w:vAlign w:val="bottom"/>
          </w:tcPr>
          <w:p>
            <w:pPr>
              <w:spacing w:after="0"/>
              <w:rPr>
                <w:sz w:val="20"/>
                <w:szCs w:val="20"/>
                <w:color w:val="auto"/>
              </w:rPr>
            </w:pPr>
            <w:r>
              <w:rPr>
                <w:rFonts w:ascii="Arial" w:cs="Arial" w:eastAsia="Arial" w:hAnsi="Arial"/>
                <w:sz w:val="14"/>
                <w:szCs w:val="14"/>
                <w:color w:val="auto"/>
              </w:rPr>
              <w:t> Retired Chief Financial Officer and</w:t>
            </w:r>
          </w:p>
        </w:tc>
        <w:tc>
          <w:tcPr>
            <w:tcW w:w="560" w:type="dxa"/>
            <w:vAlign w:val="bottom"/>
            <w:vMerge w:val="restart"/>
          </w:tcPr>
          <w:p>
            <w:pPr>
              <w:jc w:val="center"/>
              <w:ind w:left="48"/>
              <w:spacing w:after="0"/>
              <w:rPr>
                <w:sz w:val="20"/>
                <w:szCs w:val="20"/>
                <w:color w:val="auto"/>
              </w:rPr>
            </w:pPr>
            <w:r>
              <w:rPr>
                <w:rFonts w:ascii="Arial" w:cs="Arial" w:eastAsia="Arial" w:hAnsi="Arial"/>
                <w:sz w:val="14"/>
                <w:szCs w:val="14"/>
                <w:color w:val="auto"/>
              </w:rPr>
              <w:t>73</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rPr>
              <w:t>2007</w:t>
            </w:r>
          </w:p>
        </w:tc>
        <w:tc>
          <w:tcPr>
            <w:tcW w:w="920" w:type="dxa"/>
            <w:vAlign w:val="bottom"/>
            <w:vMerge w:val="restart"/>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005CB9"/>
              </w:rPr>
              <w:t>Chair</w:t>
            </w:r>
          </w:p>
        </w:tc>
        <w:tc>
          <w:tcPr>
            <w:tcW w:w="1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vMerge w:val="restart"/>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115"/>
        </w:trPr>
        <w:tc>
          <w:tcPr>
            <w:tcW w:w="4460" w:type="dxa"/>
            <w:vAlign w:val="bottom"/>
            <w:vMerge w:val="restart"/>
          </w:tcPr>
          <w:p>
            <w:pPr>
              <w:spacing w:after="0"/>
              <w:rPr>
                <w:sz w:val="20"/>
                <w:szCs w:val="20"/>
                <w:color w:val="auto"/>
              </w:rPr>
            </w:pPr>
            <w:r>
              <w:rPr>
                <w:rFonts w:ascii="Arial" w:cs="Arial" w:eastAsia="Arial" w:hAnsi="Arial"/>
                <w:sz w:val="14"/>
                <w:szCs w:val="14"/>
                <w:color w:val="auto"/>
              </w:rPr>
              <w:t> Senior Vice President, Honeywell</w:t>
            </w:r>
          </w:p>
        </w:tc>
        <w:tc>
          <w:tcPr>
            <w:tcW w:w="5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446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60" w:type="dxa"/>
            <w:vAlign w:val="bottom"/>
          </w:tcPr>
          <w:p>
            <w:pPr>
              <w:spacing w:after="0"/>
              <w:rPr>
                <w:sz w:val="20"/>
                <w:szCs w:val="20"/>
                <w:color w:val="auto"/>
              </w:rPr>
            </w:pPr>
            <w:r>
              <w:rPr>
                <w:rFonts w:ascii="Arial" w:cs="Arial" w:eastAsia="Arial" w:hAnsi="Arial"/>
                <w:sz w:val="14"/>
                <w:szCs w:val="14"/>
                <w:color w:val="auto"/>
              </w:rPr>
              <w:t> International Inc.</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
        </w:trPr>
        <w:tc>
          <w:tcPr>
            <w:tcW w:w="4460" w:type="dxa"/>
            <w:vAlign w:val="bottom"/>
            <w:tcBorders>
              <w:bottom w:val="single" w:sz="8" w:color="005CB9"/>
            </w:tcBorders>
          </w:tcPr>
          <w:p>
            <w:pPr>
              <w:spacing w:after="0"/>
              <w:rPr>
                <w:sz w:val="4"/>
                <w:szCs w:val="4"/>
                <w:color w:val="auto"/>
              </w:rPr>
            </w:pPr>
          </w:p>
        </w:tc>
        <w:tc>
          <w:tcPr>
            <w:tcW w:w="560" w:type="dxa"/>
            <w:vAlign w:val="bottom"/>
            <w:tcBorders>
              <w:bottom w:val="single" w:sz="8" w:color="005CB9"/>
            </w:tcBorders>
          </w:tcPr>
          <w:p>
            <w:pPr>
              <w:spacing w:after="0"/>
              <w:rPr>
                <w:sz w:val="4"/>
                <w:szCs w:val="4"/>
                <w:color w:val="auto"/>
              </w:rPr>
            </w:pPr>
          </w:p>
        </w:tc>
        <w:tc>
          <w:tcPr>
            <w:tcW w:w="720" w:type="dxa"/>
            <w:vAlign w:val="bottom"/>
            <w:tcBorders>
              <w:bottom w:val="single" w:sz="8" w:color="005CB9"/>
            </w:tcBorders>
          </w:tcPr>
          <w:p>
            <w:pPr>
              <w:spacing w:after="0"/>
              <w:rPr>
                <w:sz w:val="4"/>
                <w:szCs w:val="4"/>
                <w:color w:val="auto"/>
              </w:rPr>
            </w:pPr>
          </w:p>
        </w:tc>
        <w:tc>
          <w:tcPr>
            <w:tcW w:w="920" w:type="dxa"/>
            <w:vAlign w:val="bottom"/>
            <w:tcBorders>
              <w:bottom w:val="single" w:sz="8" w:color="005CB9"/>
            </w:tcBorders>
          </w:tcPr>
          <w:p>
            <w:pPr>
              <w:spacing w:after="0"/>
              <w:rPr>
                <w:sz w:val="4"/>
                <w:szCs w:val="4"/>
                <w:color w:val="auto"/>
              </w:rPr>
            </w:pPr>
          </w:p>
        </w:tc>
        <w:tc>
          <w:tcPr>
            <w:tcW w:w="780" w:type="dxa"/>
            <w:vAlign w:val="bottom"/>
            <w:tcBorders>
              <w:bottom w:val="single" w:sz="8" w:color="005CB9"/>
            </w:tcBorders>
          </w:tcPr>
          <w:p>
            <w:pPr>
              <w:spacing w:after="0"/>
              <w:rPr>
                <w:sz w:val="4"/>
                <w:szCs w:val="4"/>
                <w:color w:val="auto"/>
              </w:rPr>
            </w:pPr>
          </w:p>
        </w:tc>
        <w:tc>
          <w:tcPr>
            <w:tcW w:w="1620" w:type="dxa"/>
            <w:vAlign w:val="bottom"/>
            <w:tcBorders>
              <w:bottom w:val="single" w:sz="8" w:color="005CB9"/>
            </w:tcBorders>
          </w:tcPr>
          <w:p>
            <w:pPr>
              <w:spacing w:after="0"/>
              <w:rPr>
                <w:sz w:val="4"/>
                <w:szCs w:val="4"/>
                <w:color w:val="auto"/>
              </w:rPr>
            </w:pPr>
          </w:p>
        </w:tc>
        <w:tc>
          <w:tcPr>
            <w:tcW w:w="480" w:type="dxa"/>
            <w:vAlign w:val="bottom"/>
            <w:tcBorders>
              <w:bottom w:val="single" w:sz="8" w:color="005CB9"/>
            </w:tcBorders>
          </w:tcPr>
          <w:p>
            <w:pPr>
              <w:spacing w:after="0"/>
              <w:rPr>
                <w:sz w:val="4"/>
                <w:szCs w:val="4"/>
                <w:color w:val="auto"/>
              </w:rPr>
            </w:pPr>
          </w:p>
        </w:tc>
        <w:tc>
          <w:tcPr>
            <w:tcW w:w="42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34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460" w:type="dxa"/>
            <w:vAlign w:val="bottom"/>
            <w:shd w:val="clear" w:color="auto" w:fill="CCDEF1"/>
          </w:tcPr>
          <w:p>
            <w:pPr>
              <w:spacing w:after="0"/>
              <w:rPr>
                <w:sz w:val="20"/>
                <w:szCs w:val="20"/>
                <w:color w:val="auto"/>
              </w:rPr>
            </w:pPr>
            <w:r>
              <w:rPr>
                <w:rFonts w:ascii="Arial" w:cs="Arial" w:eastAsia="Arial" w:hAnsi="Arial"/>
                <w:sz w:val="14"/>
                <w:szCs w:val="14"/>
                <w:color w:val="auto"/>
              </w:rPr>
              <w:t> </w:t>
            </w:r>
            <w:r>
              <w:rPr>
                <w:rFonts w:ascii="Arial" w:cs="Arial" w:eastAsia="Arial" w:hAnsi="Arial"/>
                <w:sz w:val="14"/>
                <w:szCs w:val="14"/>
                <w:b w:val="1"/>
                <w:bCs w:val="1"/>
                <w:color w:val="auto"/>
              </w:rPr>
              <w:t>Christopher Wright</w:t>
            </w:r>
          </w:p>
        </w:tc>
        <w:tc>
          <w:tcPr>
            <w:tcW w:w="560" w:type="dxa"/>
            <w:vAlign w:val="bottom"/>
            <w:vMerge w:val="restart"/>
            <w:shd w:val="clear" w:color="auto" w:fill="CCDEF1"/>
          </w:tcPr>
          <w:p>
            <w:pPr>
              <w:jc w:val="center"/>
              <w:ind w:left="48"/>
              <w:spacing w:after="0"/>
              <w:rPr>
                <w:sz w:val="20"/>
                <w:szCs w:val="20"/>
                <w:color w:val="auto"/>
              </w:rPr>
            </w:pPr>
            <w:r>
              <w:rPr>
                <w:rFonts w:ascii="Arial" w:cs="Arial" w:eastAsia="Arial" w:hAnsi="Arial"/>
                <w:sz w:val="14"/>
                <w:szCs w:val="14"/>
                <w:color w:val="auto"/>
              </w:rPr>
              <w:t>66</w:t>
            </w:r>
          </w:p>
        </w:tc>
        <w:tc>
          <w:tcPr>
            <w:tcW w:w="720" w:type="dxa"/>
            <w:vAlign w:val="bottom"/>
            <w:vMerge w:val="restart"/>
            <w:shd w:val="clear" w:color="auto" w:fill="CCDEF1"/>
          </w:tcPr>
          <w:p>
            <w:pPr>
              <w:jc w:val="center"/>
              <w:spacing w:after="0"/>
              <w:rPr>
                <w:sz w:val="20"/>
                <w:szCs w:val="20"/>
                <w:color w:val="auto"/>
              </w:rPr>
            </w:pPr>
            <w:r>
              <w:rPr>
                <w:rFonts w:ascii="Arial" w:cs="Arial" w:eastAsia="Arial" w:hAnsi="Arial"/>
                <w:sz w:val="14"/>
                <w:szCs w:val="14"/>
                <w:color w:val="auto"/>
              </w:rPr>
              <w:t>1991</w:t>
            </w:r>
          </w:p>
        </w:tc>
        <w:tc>
          <w:tcPr>
            <w:tcW w:w="920" w:type="dxa"/>
            <w:vAlign w:val="bottom"/>
            <w:tcBorders>
              <w:right w:val="single" w:sz="8" w:color="CCDEF1"/>
            </w:tcBorders>
            <w:vMerge w:val="restart"/>
            <w:shd w:val="clear" w:color="auto" w:fill="CCDEF1"/>
          </w:tcPr>
          <w:p>
            <w:pPr>
              <w:jc w:val="center"/>
              <w:ind w:left="8"/>
              <w:spacing w:after="0"/>
              <w:rPr>
                <w:sz w:val="20"/>
                <w:szCs w:val="20"/>
                <w:color w:val="auto"/>
              </w:rPr>
            </w:pPr>
            <w:r>
              <w:rPr>
                <w:rFonts w:ascii="Wingdings" w:cs="Wingdings" w:eastAsia="Wingdings" w:hAnsi="Wingdings"/>
                <w:sz w:val="14"/>
                <w:szCs w:val="14"/>
                <w:b w:val="1"/>
                <w:bCs w:val="1"/>
                <w:color w:val="005CB9"/>
              </w:rPr>
              <w:t>l</w:t>
            </w:r>
          </w:p>
        </w:tc>
        <w:tc>
          <w:tcPr>
            <w:tcW w:w="780" w:type="dxa"/>
            <w:vAlign w:val="bottom"/>
            <w:vMerge w:val="restart"/>
            <w:shd w:val="clear" w:color="auto" w:fill="CCDEF1"/>
          </w:tcPr>
          <w:p>
            <w:pPr>
              <w:jc w:val="center"/>
              <w:ind w:left="328"/>
              <w:spacing w:after="0"/>
              <w:rPr>
                <w:sz w:val="20"/>
                <w:szCs w:val="20"/>
                <w:color w:val="auto"/>
              </w:rPr>
            </w:pPr>
            <w:r>
              <w:rPr>
                <w:rFonts w:ascii="Wingdings" w:cs="Wingdings" w:eastAsia="Wingdings" w:hAnsi="Wingdings"/>
                <w:sz w:val="14"/>
                <w:szCs w:val="14"/>
                <w:b w:val="1"/>
                <w:bCs w:val="1"/>
                <w:color w:val="005CB9"/>
                <w:w w:val="95"/>
              </w:rPr>
              <w:t>l</w:t>
            </w:r>
          </w:p>
        </w:tc>
        <w:tc>
          <w:tcPr>
            <w:tcW w:w="1620" w:type="dxa"/>
            <w:vAlign w:val="bottom"/>
            <w:vMerge w:val="restart"/>
            <w:shd w:val="clear" w:color="auto" w:fill="CCDEF1"/>
          </w:tcPr>
          <w:p>
            <w:pPr>
              <w:jc w:val="center"/>
              <w:ind w:right="88"/>
              <w:spacing w:after="0"/>
              <w:rPr>
                <w:sz w:val="20"/>
                <w:szCs w:val="20"/>
                <w:color w:val="auto"/>
              </w:rPr>
            </w:pPr>
            <w:r>
              <w:rPr>
                <w:rFonts w:ascii="Wingdings" w:cs="Wingdings" w:eastAsia="Wingdings" w:hAnsi="Wingdings"/>
                <w:sz w:val="14"/>
                <w:szCs w:val="14"/>
                <w:b w:val="1"/>
                <w:bCs w:val="1"/>
                <w:color w:val="005CB9"/>
                <w:w w:val="95"/>
              </w:rPr>
              <w:t>l</w:t>
            </w:r>
          </w:p>
        </w:tc>
        <w:tc>
          <w:tcPr>
            <w:tcW w:w="480" w:type="dxa"/>
            <w:vAlign w:val="bottom"/>
            <w:shd w:val="clear" w:color="auto" w:fill="CCDEF1"/>
          </w:tcPr>
          <w:p>
            <w:pPr>
              <w:spacing w:after="0"/>
              <w:rPr>
                <w:sz w:val="15"/>
                <w:szCs w:val="15"/>
                <w:color w:val="auto"/>
              </w:rPr>
            </w:pPr>
          </w:p>
        </w:tc>
        <w:tc>
          <w:tcPr>
            <w:tcW w:w="420" w:type="dxa"/>
            <w:vAlign w:val="bottom"/>
            <w:shd w:val="clear" w:color="auto" w:fill="CCDEF1"/>
          </w:tcPr>
          <w:p>
            <w:pPr>
              <w:spacing w:after="0"/>
              <w:rPr>
                <w:sz w:val="15"/>
                <w:szCs w:val="15"/>
                <w:color w:val="auto"/>
              </w:rPr>
            </w:pPr>
          </w:p>
        </w:tc>
        <w:tc>
          <w:tcPr>
            <w:tcW w:w="340" w:type="dxa"/>
            <w:vAlign w:val="bottom"/>
            <w:shd w:val="clear" w:color="auto" w:fill="CCDEF1"/>
          </w:tcPr>
          <w:p>
            <w:pPr>
              <w:spacing w:after="0"/>
              <w:rPr>
                <w:sz w:val="15"/>
                <w:szCs w:val="15"/>
                <w:color w:val="auto"/>
              </w:rPr>
            </w:pPr>
          </w:p>
        </w:tc>
        <w:tc>
          <w:tcPr>
            <w:tcW w:w="340" w:type="dxa"/>
            <w:vAlign w:val="bottom"/>
            <w:tcBorders>
              <w:right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460" w:type="dxa"/>
            <w:vAlign w:val="bottom"/>
            <w:vMerge w:val="restart"/>
            <w:shd w:val="clear" w:color="auto" w:fill="CCDEF1"/>
          </w:tcPr>
          <w:p>
            <w:pPr>
              <w:spacing w:after="0"/>
              <w:rPr>
                <w:sz w:val="20"/>
                <w:szCs w:val="20"/>
                <w:color w:val="auto"/>
              </w:rPr>
            </w:pPr>
            <w:r>
              <w:rPr>
                <w:rFonts w:ascii="Arial" w:cs="Arial" w:eastAsia="Arial" w:hAnsi="Arial"/>
                <w:sz w:val="14"/>
                <w:szCs w:val="14"/>
                <w:color w:val="auto"/>
              </w:rPr>
              <w:t> Director, Merifin Capital</w:t>
            </w:r>
          </w:p>
        </w:tc>
        <w:tc>
          <w:tcPr>
            <w:tcW w:w="560" w:type="dxa"/>
            <w:vAlign w:val="bottom"/>
            <w:vMerge w:val="continue"/>
            <w:shd w:val="clear" w:color="auto" w:fill="CCDEF1"/>
          </w:tcPr>
          <w:p>
            <w:pPr>
              <w:spacing w:after="0"/>
              <w:rPr>
                <w:sz w:val="9"/>
                <w:szCs w:val="9"/>
                <w:color w:val="auto"/>
              </w:rPr>
            </w:pPr>
          </w:p>
        </w:tc>
        <w:tc>
          <w:tcPr>
            <w:tcW w:w="720" w:type="dxa"/>
            <w:vAlign w:val="bottom"/>
            <w:vMerge w:val="continue"/>
            <w:shd w:val="clear" w:color="auto" w:fill="CCDEF1"/>
          </w:tcPr>
          <w:p>
            <w:pPr>
              <w:spacing w:after="0"/>
              <w:rPr>
                <w:sz w:val="9"/>
                <w:szCs w:val="9"/>
                <w:color w:val="auto"/>
              </w:rPr>
            </w:pPr>
          </w:p>
        </w:tc>
        <w:tc>
          <w:tcPr>
            <w:tcW w:w="920" w:type="dxa"/>
            <w:vAlign w:val="bottom"/>
            <w:tcBorders>
              <w:right w:val="single" w:sz="8" w:color="CCDEF1"/>
            </w:tcBorders>
            <w:vMerge w:val="continue"/>
            <w:shd w:val="clear" w:color="auto" w:fill="CCDEF1"/>
          </w:tcPr>
          <w:p>
            <w:pPr>
              <w:spacing w:after="0"/>
              <w:rPr>
                <w:sz w:val="9"/>
                <w:szCs w:val="9"/>
                <w:color w:val="auto"/>
              </w:rPr>
            </w:pPr>
          </w:p>
        </w:tc>
        <w:tc>
          <w:tcPr>
            <w:tcW w:w="780" w:type="dxa"/>
            <w:vAlign w:val="bottom"/>
            <w:vMerge w:val="continue"/>
            <w:shd w:val="clear" w:color="auto" w:fill="CCDEF1"/>
          </w:tcPr>
          <w:p>
            <w:pPr>
              <w:spacing w:after="0"/>
              <w:rPr>
                <w:sz w:val="9"/>
                <w:szCs w:val="9"/>
                <w:color w:val="auto"/>
              </w:rPr>
            </w:pPr>
          </w:p>
        </w:tc>
        <w:tc>
          <w:tcPr>
            <w:tcW w:w="1620" w:type="dxa"/>
            <w:vAlign w:val="bottom"/>
            <w:vMerge w:val="continue"/>
            <w:shd w:val="clear" w:color="auto" w:fill="CCDEF1"/>
          </w:tcPr>
          <w:p>
            <w:pPr>
              <w:spacing w:after="0"/>
              <w:rPr>
                <w:sz w:val="9"/>
                <w:szCs w:val="9"/>
                <w:color w:val="auto"/>
              </w:rPr>
            </w:pPr>
          </w:p>
        </w:tc>
        <w:tc>
          <w:tcPr>
            <w:tcW w:w="480" w:type="dxa"/>
            <w:vAlign w:val="bottom"/>
            <w:shd w:val="clear" w:color="auto" w:fill="CCDEF1"/>
          </w:tcPr>
          <w:p>
            <w:pPr>
              <w:spacing w:after="0"/>
              <w:rPr>
                <w:sz w:val="9"/>
                <w:szCs w:val="9"/>
                <w:color w:val="auto"/>
              </w:rPr>
            </w:pPr>
          </w:p>
        </w:tc>
        <w:tc>
          <w:tcPr>
            <w:tcW w:w="420" w:type="dxa"/>
            <w:vAlign w:val="bottom"/>
            <w:shd w:val="clear" w:color="auto" w:fill="CCDEF1"/>
          </w:tcPr>
          <w:p>
            <w:pPr>
              <w:spacing w:after="0"/>
              <w:rPr>
                <w:sz w:val="9"/>
                <w:szCs w:val="9"/>
                <w:color w:val="auto"/>
              </w:rPr>
            </w:pPr>
          </w:p>
        </w:tc>
        <w:tc>
          <w:tcPr>
            <w:tcW w:w="340" w:type="dxa"/>
            <w:vAlign w:val="bottom"/>
            <w:shd w:val="clear" w:color="auto" w:fill="CCDEF1"/>
          </w:tcPr>
          <w:p>
            <w:pPr>
              <w:spacing w:after="0"/>
              <w:rPr>
                <w:sz w:val="9"/>
                <w:szCs w:val="9"/>
                <w:color w:val="auto"/>
              </w:rPr>
            </w:pPr>
          </w:p>
        </w:tc>
        <w:tc>
          <w:tcPr>
            <w:tcW w:w="340" w:type="dxa"/>
            <w:vAlign w:val="bottom"/>
            <w:tcBorders>
              <w:right w:val="single" w:sz="8" w:color="CCDEF1"/>
            </w:tcBorders>
            <w:shd w:val="clear" w:color="auto" w:fill="CCDEF1"/>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460" w:type="dxa"/>
            <w:vAlign w:val="bottom"/>
            <w:tcBorders>
              <w:bottom w:val="single" w:sz="8" w:color="CCDEF1"/>
            </w:tcBorders>
            <w:vMerge w:val="continue"/>
            <w:shd w:val="clear" w:color="auto" w:fill="CCDEF1"/>
          </w:tcPr>
          <w:p>
            <w:pPr>
              <w:spacing w:after="0"/>
              <w:rPr>
                <w:sz w:val="9"/>
                <w:szCs w:val="9"/>
                <w:color w:val="auto"/>
              </w:rPr>
            </w:pPr>
          </w:p>
        </w:tc>
        <w:tc>
          <w:tcPr>
            <w:tcW w:w="560" w:type="dxa"/>
            <w:vAlign w:val="bottom"/>
            <w:tcBorders>
              <w:bottom w:val="single" w:sz="8" w:color="CCDEF1"/>
            </w:tcBorders>
            <w:shd w:val="clear" w:color="auto" w:fill="CCDEF1"/>
          </w:tcPr>
          <w:p>
            <w:pPr>
              <w:spacing w:after="0"/>
              <w:rPr>
                <w:sz w:val="9"/>
                <w:szCs w:val="9"/>
                <w:color w:val="auto"/>
              </w:rPr>
            </w:pPr>
          </w:p>
        </w:tc>
        <w:tc>
          <w:tcPr>
            <w:tcW w:w="720" w:type="dxa"/>
            <w:vAlign w:val="bottom"/>
            <w:tcBorders>
              <w:bottom w:val="single" w:sz="8" w:color="CCDEF1"/>
            </w:tcBorders>
            <w:shd w:val="clear" w:color="auto" w:fill="CCDEF1"/>
          </w:tcPr>
          <w:p>
            <w:pPr>
              <w:spacing w:after="0"/>
              <w:rPr>
                <w:sz w:val="9"/>
                <w:szCs w:val="9"/>
                <w:color w:val="auto"/>
              </w:rPr>
            </w:pPr>
          </w:p>
        </w:tc>
        <w:tc>
          <w:tcPr>
            <w:tcW w:w="920" w:type="dxa"/>
            <w:vAlign w:val="bottom"/>
            <w:tcBorders>
              <w:bottom w:val="single" w:sz="8" w:color="CCDEF1"/>
              <w:right w:val="single" w:sz="8" w:color="CCDEF1"/>
            </w:tcBorders>
            <w:shd w:val="clear" w:color="auto" w:fill="CCDEF1"/>
          </w:tcPr>
          <w:p>
            <w:pPr>
              <w:spacing w:after="0"/>
              <w:rPr>
                <w:sz w:val="9"/>
                <w:szCs w:val="9"/>
                <w:color w:val="auto"/>
              </w:rPr>
            </w:pPr>
          </w:p>
        </w:tc>
        <w:tc>
          <w:tcPr>
            <w:tcW w:w="780" w:type="dxa"/>
            <w:vAlign w:val="bottom"/>
            <w:tcBorders>
              <w:bottom w:val="single" w:sz="8" w:color="CCDEF1"/>
            </w:tcBorders>
            <w:shd w:val="clear" w:color="auto" w:fill="CCDEF1"/>
          </w:tcPr>
          <w:p>
            <w:pPr>
              <w:spacing w:after="0"/>
              <w:rPr>
                <w:sz w:val="9"/>
                <w:szCs w:val="9"/>
                <w:color w:val="auto"/>
              </w:rPr>
            </w:pPr>
          </w:p>
        </w:tc>
        <w:tc>
          <w:tcPr>
            <w:tcW w:w="1620" w:type="dxa"/>
            <w:vAlign w:val="bottom"/>
            <w:tcBorders>
              <w:bottom w:val="single" w:sz="8" w:color="CCDEF1"/>
            </w:tcBorders>
            <w:shd w:val="clear" w:color="auto" w:fill="CCDEF1"/>
          </w:tcPr>
          <w:p>
            <w:pPr>
              <w:spacing w:after="0"/>
              <w:rPr>
                <w:sz w:val="9"/>
                <w:szCs w:val="9"/>
                <w:color w:val="auto"/>
              </w:rPr>
            </w:pPr>
          </w:p>
        </w:tc>
        <w:tc>
          <w:tcPr>
            <w:tcW w:w="480" w:type="dxa"/>
            <w:vAlign w:val="bottom"/>
            <w:tcBorders>
              <w:bottom w:val="single" w:sz="8" w:color="CCDEF1"/>
            </w:tcBorders>
            <w:shd w:val="clear" w:color="auto" w:fill="CCDEF1"/>
          </w:tcPr>
          <w:p>
            <w:pPr>
              <w:spacing w:after="0"/>
              <w:rPr>
                <w:sz w:val="9"/>
                <w:szCs w:val="9"/>
                <w:color w:val="auto"/>
              </w:rPr>
            </w:pPr>
          </w:p>
        </w:tc>
        <w:tc>
          <w:tcPr>
            <w:tcW w:w="420" w:type="dxa"/>
            <w:vAlign w:val="bottom"/>
            <w:tcBorders>
              <w:bottom w:val="single" w:sz="8" w:color="CCDEF1"/>
            </w:tcBorders>
            <w:shd w:val="clear" w:color="auto" w:fill="CCDEF1"/>
          </w:tcPr>
          <w:p>
            <w:pPr>
              <w:spacing w:after="0"/>
              <w:rPr>
                <w:sz w:val="9"/>
                <w:szCs w:val="9"/>
                <w:color w:val="auto"/>
              </w:rPr>
            </w:pPr>
          </w:p>
        </w:tc>
        <w:tc>
          <w:tcPr>
            <w:tcW w:w="340" w:type="dxa"/>
            <w:vAlign w:val="bottom"/>
            <w:tcBorders>
              <w:bottom w:val="single" w:sz="8" w:color="CCDEF1"/>
            </w:tcBorders>
            <w:shd w:val="clear" w:color="auto" w:fill="CCDEF1"/>
          </w:tcPr>
          <w:p>
            <w:pPr>
              <w:spacing w:after="0"/>
              <w:rPr>
                <w:sz w:val="9"/>
                <w:szCs w:val="9"/>
                <w:color w:val="auto"/>
              </w:rPr>
            </w:pPr>
          </w:p>
        </w:tc>
        <w:tc>
          <w:tcPr>
            <w:tcW w:w="340" w:type="dxa"/>
            <w:vAlign w:val="bottom"/>
            <w:tcBorders>
              <w:bottom w:val="single" w:sz="8" w:color="CCDEF1"/>
              <w:right w:val="single" w:sz="8" w:color="CCDEF1"/>
            </w:tcBorders>
            <w:shd w:val="clear" w:color="auto" w:fill="CCDEF1"/>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460" w:type="dxa"/>
            <w:vAlign w:val="bottom"/>
            <w:shd w:val="clear" w:color="auto" w:fill="005CB9"/>
          </w:tcPr>
          <w:p>
            <w:pPr>
              <w:spacing w:after="0" w:line="20" w:lineRule="exact"/>
              <w:rPr>
                <w:sz w:val="1"/>
                <w:szCs w:val="1"/>
                <w:color w:val="auto"/>
              </w:rPr>
            </w:pPr>
          </w:p>
        </w:tc>
        <w:tc>
          <w:tcPr>
            <w:tcW w:w="560" w:type="dxa"/>
            <w:vAlign w:val="bottom"/>
            <w:shd w:val="clear" w:color="auto" w:fill="005CB9"/>
          </w:tcPr>
          <w:p>
            <w:pPr>
              <w:spacing w:after="0" w:line="20" w:lineRule="exact"/>
              <w:rPr>
                <w:sz w:val="1"/>
                <w:szCs w:val="1"/>
                <w:color w:val="auto"/>
              </w:rPr>
            </w:pPr>
          </w:p>
        </w:tc>
        <w:tc>
          <w:tcPr>
            <w:tcW w:w="720" w:type="dxa"/>
            <w:vAlign w:val="bottom"/>
            <w:shd w:val="clear" w:color="auto" w:fill="005CB9"/>
          </w:tcPr>
          <w:p>
            <w:pPr>
              <w:spacing w:after="0" w:line="20" w:lineRule="exact"/>
              <w:rPr>
                <w:sz w:val="1"/>
                <w:szCs w:val="1"/>
                <w:color w:val="auto"/>
              </w:rPr>
            </w:pPr>
          </w:p>
        </w:tc>
        <w:tc>
          <w:tcPr>
            <w:tcW w:w="920" w:type="dxa"/>
            <w:vAlign w:val="bottom"/>
            <w:tcBorders>
              <w:right w:val="single" w:sz="8" w:color="005CB9"/>
            </w:tcBorders>
            <w:shd w:val="clear" w:color="auto" w:fill="005CB9"/>
          </w:tcPr>
          <w:p>
            <w:pPr>
              <w:spacing w:after="0" w:line="20" w:lineRule="exact"/>
              <w:rPr>
                <w:sz w:val="1"/>
                <w:szCs w:val="1"/>
                <w:color w:val="auto"/>
              </w:rPr>
            </w:pPr>
          </w:p>
        </w:tc>
        <w:tc>
          <w:tcPr>
            <w:tcW w:w="780" w:type="dxa"/>
            <w:vAlign w:val="bottom"/>
            <w:shd w:val="clear" w:color="auto" w:fill="005CB9"/>
          </w:tcPr>
          <w:p>
            <w:pPr>
              <w:spacing w:after="0" w:line="20" w:lineRule="exact"/>
              <w:rPr>
                <w:sz w:val="1"/>
                <w:szCs w:val="1"/>
                <w:color w:val="auto"/>
              </w:rPr>
            </w:pPr>
          </w:p>
        </w:tc>
        <w:tc>
          <w:tcPr>
            <w:tcW w:w="1620" w:type="dxa"/>
            <w:vAlign w:val="bottom"/>
            <w:shd w:val="clear" w:color="auto" w:fill="005CB9"/>
          </w:tcPr>
          <w:p>
            <w:pPr>
              <w:spacing w:after="0" w:line="20" w:lineRule="exact"/>
              <w:rPr>
                <w:sz w:val="1"/>
                <w:szCs w:val="1"/>
                <w:color w:val="auto"/>
              </w:rPr>
            </w:pPr>
          </w:p>
        </w:tc>
        <w:tc>
          <w:tcPr>
            <w:tcW w:w="480" w:type="dxa"/>
            <w:vAlign w:val="bottom"/>
            <w:shd w:val="clear" w:color="auto" w:fill="005CB9"/>
          </w:tcPr>
          <w:p>
            <w:pPr>
              <w:spacing w:after="0" w:line="20" w:lineRule="exact"/>
              <w:rPr>
                <w:sz w:val="1"/>
                <w:szCs w:val="1"/>
                <w:color w:val="auto"/>
              </w:rPr>
            </w:pPr>
          </w:p>
        </w:tc>
        <w:tc>
          <w:tcPr>
            <w:tcW w:w="420" w:type="dxa"/>
            <w:vAlign w:val="bottom"/>
            <w:shd w:val="clear" w:color="auto" w:fill="005CB9"/>
          </w:tcPr>
          <w:p>
            <w:pPr>
              <w:spacing w:after="0" w:line="20" w:lineRule="exact"/>
              <w:rPr>
                <w:sz w:val="1"/>
                <w:szCs w:val="1"/>
                <w:color w:val="auto"/>
              </w:rPr>
            </w:pPr>
          </w:p>
        </w:tc>
        <w:tc>
          <w:tcPr>
            <w:tcW w:w="340" w:type="dxa"/>
            <w:vAlign w:val="bottom"/>
            <w:shd w:val="clear" w:color="auto" w:fill="005CB9"/>
          </w:tcPr>
          <w:p>
            <w:pPr>
              <w:spacing w:after="0" w:line="20" w:lineRule="exact"/>
              <w:rPr>
                <w:sz w:val="1"/>
                <w:szCs w:val="1"/>
                <w:color w:val="auto"/>
              </w:rPr>
            </w:pPr>
          </w:p>
        </w:tc>
        <w:tc>
          <w:tcPr>
            <w:tcW w:w="340" w:type="dxa"/>
            <w:vAlign w:val="bottom"/>
            <w:tcBorders>
              <w:right w:val="single" w:sz="8" w:color="005CB9"/>
            </w:tcBorders>
            <w:shd w:val="clear" w:color="auto" w:fill="005CB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AC </w:t>
      </w:r>
      <w:r>
        <w:rPr>
          <w:rFonts w:ascii="Arial" w:cs="Arial" w:eastAsia="Arial" w:hAnsi="Arial"/>
          <w:sz w:val="14"/>
          <w:szCs w:val="14"/>
          <w:color w:val="auto"/>
        </w:rPr>
        <w:t>= Audit Committee</w:t>
      </w:r>
      <w:r>
        <w:rPr>
          <w:rFonts w:ascii="Arial" w:cs="Arial" w:eastAsia="Arial" w:hAnsi="Arial"/>
          <w:sz w:val="14"/>
          <w:szCs w:val="14"/>
          <w:b w:val="1"/>
          <w:bCs w:val="1"/>
          <w:color w:val="auto"/>
        </w:rPr>
        <w:t xml:space="preserve"> CC </w:t>
      </w:r>
      <w:r>
        <w:rPr>
          <w:rFonts w:ascii="Arial" w:cs="Arial" w:eastAsia="Arial" w:hAnsi="Arial"/>
          <w:sz w:val="14"/>
          <w:szCs w:val="14"/>
          <w:color w:val="auto"/>
        </w:rPr>
        <w:t>= Compensation Committee</w:t>
      </w:r>
      <w:r>
        <w:rPr>
          <w:rFonts w:ascii="Arial" w:cs="Arial" w:eastAsia="Arial" w:hAnsi="Arial"/>
          <w:sz w:val="14"/>
          <w:szCs w:val="14"/>
          <w:b w:val="1"/>
          <w:bCs w:val="1"/>
          <w:color w:val="auto"/>
        </w:rPr>
        <w:t xml:space="preserve">  NGC </w:t>
      </w:r>
      <w:r>
        <w:rPr>
          <w:rFonts w:ascii="Arial" w:cs="Arial" w:eastAsia="Arial" w:hAnsi="Arial"/>
          <w:sz w:val="14"/>
          <w:szCs w:val="14"/>
          <w:color w:val="auto"/>
        </w:rPr>
        <w:t>= Nominating and Governance Committee</w:t>
      </w:r>
      <w:r>
        <w:rPr>
          <w:rFonts w:ascii="Arial" w:cs="Arial" w:eastAsia="Arial" w:hAnsi="Arial"/>
          <w:sz w:val="14"/>
          <w:szCs w:val="14"/>
          <w:b w:val="1"/>
          <w:bCs w:val="1"/>
          <w:color w:val="auto"/>
        </w:rPr>
        <w:t xml:space="preserve">  EC </w:t>
      </w:r>
      <w:r>
        <w:rPr>
          <w:rFonts w:ascii="Arial" w:cs="Arial" w:eastAsia="Arial" w:hAnsi="Arial"/>
          <w:sz w:val="14"/>
          <w:szCs w:val="14"/>
          <w:color w:val="auto"/>
        </w:rPr>
        <w:t>= Executive Committee</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CORPORATE GOVERNANCE</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strive to maintain effective corporate governance practices and policies, including:</w:t>
      </w:r>
    </w:p>
    <w:p>
      <w:pPr>
        <w:spacing w:after="0" w:line="102" w:lineRule="exact"/>
        <w:rPr>
          <w:sz w:val="20"/>
          <w:szCs w:val="20"/>
          <w:color w:val="auto"/>
        </w:rPr>
      </w:pPr>
    </w:p>
    <w:p>
      <w:pPr>
        <w:ind w:left="300" w:right="980"/>
        <w:spacing w:after="0" w:line="267" w:lineRule="auto"/>
        <w:rPr>
          <w:sz w:val="20"/>
          <w:szCs w:val="20"/>
          <w:color w:val="auto"/>
        </w:rPr>
      </w:pPr>
      <w:r>
        <w:rPr>
          <w:rFonts w:ascii="Arial" w:cs="Arial" w:eastAsia="Arial" w:hAnsi="Arial"/>
          <w:sz w:val="17"/>
          <w:szCs w:val="17"/>
          <w:b w:val="1"/>
          <w:bCs w:val="1"/>
          <w:color w:val="auto"/>
        </w:rPr>
        <w:t xml:space="preserve">Shareholder Outreach: </w:t>
      </w:r>
      <w:r>
        <w:rPr>
          <w:rFonts w:ascii="Arial" w:cs="Arial" w:eastAsia="Arial" w:hAnsi="Arial"/>
          <w:sz w:val="17"/>
          <w:szCs w:val="17"/>
          <w:color w:val="auto"/>
        </w:rPr>
        <w:t>We regularly engage our shareholders for feedback to learn their views on the Company’s strategy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ESG program, as well as any other governance matters of concern.</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One-Year Terms for Directors: </w:t>
      </w:r>
      <w:r>
        <w:rPr>
          <w:rFonts w:ascii="Arial" w:cs="Arial" w:eastAsia="Arial" w:hAnsi="Arial"/>
          <w:sz w:val="17"/>
          <w:szCs w:val="17"/>
          <w:color w:val="auto"/>
        </w:rPr>
        <w:t>All of our directors serve one-year terms.</w:t>
      </w:r>
    </w:p>
    <w:p>
      <w:pPr>
        <w:spacing w:after="0" w:line="34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spacing w:after="0"/>
              <w:rPr>
                <w:sz w:val="20"/>
                <w:szCs w:val="20"/>
                <w:color w:val="auto"/>
              </w:rPr>
            </w:pPr>
            <w:r>
              <w:rPr>
                <w:rFonts w:ascii="Arial" w:cs="Arial" w:eastAsia="Arial" w:hAnsi="Arial"/>
                <w:sz w:val="16"/>
                <w:szCs w:val="16"/>
                <w:b w:val="1"/>
                <w:bCs w:val="1"/>
                <w:color w:val="005CB9"/>
              </w:rPr>
              <w:t>ii</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6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-205105</wp:posOffset>
            </wp:positionV>
            <wp:extent cx="42862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40"/>
          </w:cols>
          <w:pgMar w:left="320" w:top="482"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95250</wp:posOffset>
            </wp:positionV>
            <wp:extent cx="7011670" cy="2820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11670" cy="2820035"/>
                    </a:xfrm>
                    <a:prstGeom prst="rect">
                      <a:avLst/>
                    </a:prstGeom>
                    <a:noFill/>
                  </pic:spPr>
                </pic:pic>
              </a:graphicData>
            </a:graphic>
          </wp:anchor>
        </w:drawing>
      </w:r>
    </w:p>
    <w:p>
      <w:pPr>
        <w:spacing w:after="0" w:line="310" w:lineRule="exact"/>
        <w:rPr>
          <w:sz w:val="20"/>
          <w:szCs w:val="20"/>
          <w:color w:val="auto"/>
        </w:rPr>
      </w:pPr>
    </w:p>
    <w:p>
      <w:pPr>
        <w:ind w:left="300" w:right="480"/>
        <w:spacing w:after="0" w:line="267" w:lineRule="auto"/>
        <w:rPr>
          <w:sz w:val="20"/>
          <w:szCs w:val="20"/>
          <w:color w:val="auto"/>
        </w:rPr>
      </w:pPr>
      <w:r>
        <w:rPr>
          <w:rFonts w:ascii="Arial" w:cs="Arial" w:eastAsia="Arial" w:hAnsi="Arial"/>
          <w:sz w:val="17"/>
          <w:szCs w:val="17"/>
          <w:b w:val="1"/>
          <w:bCs w:val="1"/>
          <w:color w:val="auto"/>
        </w:rPr>
        <w:t xml:space="preserve">Independent Directors: </w:t>
      </w:r>
      <w:r>
        <w:rPr>
          <w:rFonts w:ascii="Arial" w:cs="Arial" w:eastAsia="Arial" w:hAnsi="Arial"/>
          <w:sz w:val="17"/>
          <w:szCs w:val="17"/>
          <w:color w:val="auto"/>
        </w:rPr>
        <w:t>All of our directors except our CEO are independent, as is each member of the Audit, Compensation,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and Nominating and Governance Committees.</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Independent Chair of the Board: </w:t>
      </w:r>
      <w:r>
        <w:rPr>
          <w:rFonts w:ascii="Arial" w:cs="Arial" w:eastAsia="Arial" w:hAnsi="Arial"/>
          <w:sz w:val="17"/>
          <w:szCs w:val="17"/>
          <w:color w:val="auto"/>
        </w:rPr>
        <w:t>Our Chair of the Board is independent.</w:t>
      </w:r>
    </w:p>
    <w:p>
      <w:pPr>
        <w:spacing w:after="0" w:line="102" w:lineRule="exact"/>
        <w:rPr>
          <w:sz w:val="20"/>
          <w:szCs w:val="20"/>
          <w:color w:val="auto"/>
        </w:rPr>
      </w:pPr>
    </w:p>
    <w:p>
      <w:pPr>
        <w:ind w:left="300" w:right="400"/>
        <w:spacing w:after="0" w:line="267" w:lineRule="auto"/>
        <w:rPr>
          <w:sz w:val="20"/>
          <w:szCs w:val="20"/>
          <w:color w:val="auto"/>
        </w:rPr>
      </w:pPr>
      <w:r>
        <w:rPr>
          <w:rFonts w:ascii="Arial" w:cs="Arial" w:eastAsia="Arial" w:hAnsi="Arial"/>
          <w:sz w:val="17"/>
          <w:szCs w:val="17"/>
          <w:b w:val="1"/>
          <w:bCs w:val="1"/>
          <w:color w:val="auto"/>
        </w:rPr>
        <w:t xml:space="preserve">Majority Voting Standards for Uncontested Director Elections: </w:t>
      </w:r>
      <w:r>
        <w:rPr>
          <w:rFonts w:ascii="Arial" w:cs="Arial" w:eastAsia="Arial" w:hAnsi="Arial"/>
          <w:sz w:val="17"/>
          <w:szCs w:val="17"/>
          <w:color w:val="auto"/>
        </w:rPr>
        <w:t>We require any incumbent director who fails to obtain a majority vote in</w:t>
      </w:r>
      <w:r>
        <w:rPr>
          <w:rFonts w:ascii="Arial" w:cs="Arial" w:eastAsia="Arial" w:hAnsi="Arial"/>
          <w:sz w:val="17"/>
          <w:szCs w:val="17"/>
          <w:b w:val="1"/>
          <w:bCs w:val="1"/>
          <w:color w:val="auto"/>
        </w:rPr>
        <w:t xml:space="preserve"> </w:t>
      </w:r>
      <w:r>
        <w:rPr>
          <w:rFonts w:ascii="Arial" w:cs="Arial" w:eastAsia="Arial" w:hAnsi="Arial"/>
          <w:sz w:val="17"/>
          <w:szCs w:val="17"/>
          <w:color w:val="auto"/>
        </w:rPr>
        <w:t>uncontested elections to tender his or her resignation.</w:t>
      </w:r>
    </w:p>
    <w:p>
      <w:pPr>
        <w:spacing w:after="0" w:line="51" w:lineRule="exact"/>
        <w:rPr>
          <w:sz w:val="20"/>
          <w:szCs w:val="20"/>
          <w:color w:val="auto"/>
        </w:rPr>
      </w:pPr>
    </w:p>
    <w:p>
      <w:pPr>
        <w:ind w:left="300" w:right="280"/>
        <w:spacing w:after="0" w:line="244" w:lineRule="auto"/>
        <w:rPr>
          <w:sz w:val="20"/>
          <w:szCs w:val="20"/>
          <w:color w:val="auto"/>
        </w:rPr>
      </w:pPr>
      <w:r>
        <w:rPr>
          <w:rFonts w:ascii="Arial" w:cs="Arial" w:eastAsia="Arial" w:hAnsi="Arial"/>
          <w:sz w:val="17"/>
          <w:szCs w:val="17"/>
          <w:b w:val="1"/>
          <w:bCs w:val="1"/>
          <w:color w:val="auto"/>
        </w:rPr>
        <w:t xml:space="preserve">Proxy Access: </w:t>
      </w:r>
      <w:r>
        <w:rPr>
          <w:rFonts w:ascii="Arial" w:cs="Arial" w:eastAsia="Arial" w:hAnsi="Arial"/>
          <w:sz w:val="17"/>
          <w:szCs w:val="17"/>
          <w:color w:val="auto"/>
        </w:rPr>
        <w:t>In March 2016, we amended our By-laws to implement proxy access for eligible shareholders. Our proxy access provision</w:t>
      </w:r>
      <w:r>
        <w:rPr>
          <w:rFonts w:ascii="Arial" w:cs="Arial" w:eastAsia="Arial" w:hAnsi="Arial"/>
          <w:sz w:val="17"/>
          <w:szCs w:val="17"/>
          <w:b w:val="1"/>
          <w:bCs w:val="1"/>
          <w:color w:val="auto"/>
        </w:rPr>
        <w:t xml:space="preserve"> </w:t>
      </w:r>
      <w:r>
        <w:rPr>
          <w:rFonts w:ascii="Arial" w:cs="Arial" w:eastAsia="Arial" w:hAnsi="Arial"/>
          <w:sz w:val="17"/>
          <w:szCs w:val="17"/>
          <w:color w:val="auto"/>
        </w:rPr>
        <w:t>permits a shareholder, or a group of up to 20 shareholders, that has owned at least 3% of our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69" w:lineRule="exact"/>
        <w:rPr>
          <w:sz w:val="20"/>
          <w:szCs w:val="20"/>
          <w:color w:val="auto"/>
        </w:rPr>
      </w:pPr>
    </w:p>
    <w:p>
      <w:pPr>
        <w:ind w:left="300" w:right="220"/>
        <w:spacing w:after="0" w:line="241" w:lineRule="auto"/>
        <w:rPr>
          <w:sz w:val="20"/>
          <w:szCs w:val="20"/>
          <w:color w:val="auto"/>
        </w:rPr>
      </w:pPr>
      <w:r>
        <w:rPr>
          <w:rFonts w:ascii="Arial" w:cs="Arial" w:eastAsia="Arial" w:hAnsi="Arial"/>
          <w:sz w:val="17"/>
          <w:szCs w:val="17"/>
          <w:b w:val="1"/>
          <w:bCs w:val="1"/>
          <w:color w:val="auto"/>
        </w:rPr>
        <w:t xml:space="preserve">Shareholder Engagement: </w:t>
      </w:r>
      <w:r>
        <w:rPr>
          <w:rFonts w:ascii="Arial" w:cs="Arial" w:eastAsia="Arial" w:hAnsi="Arial"/>
          <w:sz w:val="17"/>
          <w:szCs w:val="17"/>
          <w:color w:val="auto"/>
        </w:rPr>
        <w:t>We highly value feedback from our shareholders. In addition to our traditional Investor Relations engagement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efforts, we have had discussions with numerous shareholders on ESG topics including climate change, cybersecurity, data privacy, diversity and inclusion, and talent management. These discussions have been extremely helpful in identifying issues of importance to our investors as we evolve our ESG program. We also shared feedback received during these discussions with our Compensation Committee and Nominating and Governance Committee, informing their decision-making.</w:t>
      </w:r>
    </w:p>
    <w:p>
      <w:pPr>
        <w:spacing w:after="0" w:line="7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Anti-Hedging and Anti-Pledging Policy: </w:t>
      </w:r>
      <w:r>
        <w:rPr>
          <w:rFonts w:ascii="Arial" w:cs="Arial" w:eastAsia="Arial" w:hAnsi="Arial"/>
          <w:sz w:val="17"/>
          <w:szCs w:val="17"/>
          <w:color w:val="auto"/>
        </w:rPr>
        <w:t>We have both anti-hedging and anti-pledging policies.</w:t>
      </w:r>
    </w:p>
    <w:p>
      <w:pPr>
        <w:spacing w:after="0" w:line="102" w:lineRule="exact"/>
        <w:rPr>
          <w:sz w:val="20"/>
          <w:szCs w:val="20"/>
          <w:color w:val="auto"/>
        </w:rPr>
      </w:pPr>
    </w:p>
    <w:p>
      <w:pPr>
        <w:ind w:left="300" w:right="360"/>
        <w:spacing w:after="0" w:line="249" w:lineRule="auto"/>
        <w:rPr>
          <w:sz w:val="20"/>
          <w:szCs w:val="20"/>
          <w:color w:val="auto"/>
        </w:rPr>
      </w:pPr>
      <w:r>
        <w:rPr>
          <w:rFonts w:ascii="Arial" w:cs="Arial" w:eastAsia="Arial" w:hAnsi="Arial"/>
          <w:sz w:val="17"/>
          <w:szCs w:val="17"/>
          <w:b w:val="1"/>
          <w:bCs w:val="1"/>
          <w:color w:val="auto"/>
        </w:rPr>
        <w:t xml:space="preserve">Board Refreshment/Term Limits: </w:t>
      </w:r>
      <w:r>
        <w:rPr>
          <w:rFonts w:ascii="Arial" w:cs="Arial" w:eastAsia="Arial" w:hAnsi="Arial"/>
          <w:sz w:val="17"/>
          <w:szCs w:val="17"/>
          <w:color w:val="auto"/>
        </w:rPr>
        <w:t>The mandatory retirement age for directors joining the Board prior to 2020 is 80. Directors joining our</w:t>
      </w:r>
      <w:r>
        <w:rPr>
          <w:rFonts w:ascii="Arial" w:cs="Arial" w:eastAsia="Arial" w:hAnsi="Arial"/>
          <w:sz w:val="17"/>
          <w:szCs w:val="17"/>
          <w:b w:val="1"/>
          <w:bCs w:val="1"/>
          <w:color w:val="auto"/>
        </w:rPr>
        <w:t xml:space="preserve"> </w:t>
      </w:r>
      <w:r>
        <w:rPr>
          <w:rFonts w:ascii="Arial" w:cs="Arial" w:eastAsia="Arial" w:hAnsi="Arial"/>
          <w:sz w:val="17"/>
          <w:szCs w:val="17"/>
          <w:color w:val="auto"/>
        </w:rPr>
        <w:t>Board after January 1, 2020 are required to retire upon the earlier of (i) the attainment of age 80, and (ii) the 15-year anniversary of the first annual shareholders meeting following the date the director joined the Board.</w:t>
      </w:r>
    </w:p>
    <w:p>
      <w:pPr>
        <w:spacing w:after="0" w:line="305" w:lineRule="exact"/>
        <w:rPr>
          <w:sz w:val="20"/>
          <w:szCs w:val="20"/>
          <w:color w:val="auto"/>
        </w:rPr>
      </w:pPr>
    </w:p>
    <w:tbl>
      <w:tblPr>
        <w:tblLayout w:type="fixed"/>
        <w:tblInd w:w="60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4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6"/>
              </w:rPr>
              <w:t> iii</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-205105</wp:posOffset>
            </wp:positionV>
            <wp:extent cx="4286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95250</wp:posOffset>
            </wp:positionV>
            <wp:extent cx="7011670" cy="4860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11670" cy="4860290"/>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BOARD SNAPSHOT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60" w:type="dxa"/>
            <w:vAlign w:val="bottom"/>
            <w:vMerge w:val="restart"/>
          </w:tcPr>
          <w:p>
            <w:pPr>
              <w:spacing w:after="0"/>
              <w:rPr>
                <w:sz w:val="20"/>
                <w:szCs w:val="20"/>
                <w:color w:val="auto"/>
              </w:rPr>
            </w:pPr>
            <w:r>
              <w:rPr>
                <w:rFonts w:ascii="Arial" w:cs="Arial" w:eastAsia="Arial" w:hAnsi="Arial"/>
                <w:sz w:val="16"/>
                <w:szCs w:val="16"/>
                <w:b w:val="1"/>
                <w:bCs w:val="1"/>
                <w:color w:val="005CB9"/>
              </w:rPr>
              <w:t>iv</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6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-205105</wp:posOffset>
            </wp:positionV>
            <wp:extent cx="4286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95250</wp:posOffset>
            </wp:positionV>
            <wp:extent cx="7011670" cy="509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11670" cy="5091430"/>
                    </a:xfrm>
                    <a:prstGeom prst="rect">
                      <a:avLst/>
                    </a:prstGeom>
                    <a:noFill/>
                  </pic:spPr>
                </pic:pic>
              </a:graphicData>
            </a:graphic>
          </wp:anchor>
        </w:drawing>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BUSINESS HIGHLIGHTS</w:t>
      </w:r>
    </w:p>
    <w:p>
      <w:pPr>
        <w:spacing w:after="0" w:line="20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 xml:space="preserve">We achieved another year of strong results in 2023 following the successful completion of our divestiture strategy: </w:t>
      </w:r>
      <w:r>
        <w:rPr>
          <w:rFonts w:ascii="Arial" w:cs="Arial" w:eastAsia="Arial" w:hAnsi="Arial"/>
          <w:sz w:val="12"/>
          <w:szCs w:val="12"/>
          <w:color w:val="auto"/>
        </w:rPr>
        <w:t>(1)</w:t>
      </w:r>
    </w:p>
    <w:p>
      <w:pPr>
        <w:spacing w:after="0" w:line="115" w:lineRule="exact"/>
        <w:rPr>
          <w:sz w:val="20"/>
          <w:szCs w:val="20"/>
          <w:color w:val="auto"/>
        </w:rPr>
      </w:pPr>
    </w:p>
    <w:p>
      <w:pPr>
        <w:ind w:left="800" w:hanging="407"/>
        <w:spacing w:after="0"/>
        <w:tabs>
          <w:tab w:leader="none" w:pos="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Annual shareholder return of 26.9%, compared to a return of 26.3% for the S&amp;P 500</w:t>
      </w:r>
    </w:p>
    <w:p>
      <w:pPr>
        <w:spacing w:after="0" w:line="115" w:lineRule="exact"/>
        <w:rPr>
          <w:rFonts w:ascii="Arial" w:cs="Arial" w:eastAsia="Arial" w:hAnsi="Arial"/>
          <w:sz w:val="17"/>
          <w:szCs w:val="17"/>
          <w:color w:val="auto"/>
        </w:rPr>
      </w:pPr>
    </w:p>
    <w:p>
      <w:pPr>
        <w:ind w:left="800" w:hanging="407"/>
        <w:spacing w:after="0"/>
        <w:tabs>
          <w:tab w:leader="none" w:pos="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GAAP revenue increased 15% to $6.18 billion and organic revenue increased 8%</w:t>
      </w:r>
    </w:p>
    <w:p>
      <w:pPr>
        <w:spacing w:after="0" w:line="115" w:lineRule="exact"/>
        <w:rPr>
          <w:rFonts w:ascii="Arial" w:cs="Arial" w:eastAsia="Arial" w:hAnsi="Arial"/>
          <w:sz w:val="17"/>
          <w:szCs w:val="17"/>
          <w:color w:val="auto"/>
        </w:rPr>
      </w:pPr>
    </w:p>
    <w:p>
      <w:pPr>
        <w:ind w:left="800" w:right="360" w:hanging="407"/>
        <w:spacing w:after="0" w:line="267" w:lineRule="auto"/>
        <w:tabs>
          <w:tab w:leader="none" w:pos="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GAAP net earnings were $1.37 billion while adjusted EBITDA increased 16% to $2.51 billion and adjusted EBITDA margin improved 20 basis points to 40.6%</w:t>
      </w:r>
    </w:p>
    <w:p>
      <w:pPr>
        <w:spacing w:after="0" w:line="64" w:lineRule="exact"/>
        <w:rPr>
          <w:rFonts w:ascii="Arial" w:cs="Arial" w:eastAsia="Arial" w:hAnsi="Arial"/>
          <w:sz w:val="17"/>
          <w:szCs w:val="17"/>
          <w:color w:val="auto"/>
        </w:rPr>
      </w:pPr>
    </w:p>
    <w:p>
      <w:pPr>
        <w:ind w:left="800" w:hanging="407"/>
        <w:spacing w:after="0"/>
        <w:tabs>
          <w:tab w:leader="none" w:pos="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Adjusted operating cash flow increased 33% to $2.07 billion and adjusted free cash flow increased 32% to $1.96 billion</w:t>
      </w:r>
    </w:p>
    <w:p>
      <w:pPr>
        <w:spacing w:after="0" w:line="115" w:lineRule="exact"/>
        <w:rPr>
          <w:rFonts w:ascii="Arial" w:cs="Arial" w:eastAsia="Arial" w:hAnsi="Arial"/>
          <w:sz w:val="17"/>
          <w:szCs w:val="17"/>
          <w:color w:val="auto"/>
        </w:rPr>
      </w:pPr>
    </w:p>
    <w:p>
      <w:pPr>
        <w:ind w:left="800" w:right="480" w:hanging="407"/>
        <w:spacing w:after="0" w:line="267" w:lineRule="auto"/>
        <w:tabs>
          <w:tab w:leader="none" w:pos="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We deployed $2.1 billion of capital toward vertical software acquisitions, highlighted by Syntellis Performance Solutions, which was successfully combined with our Strata Decision Technology business</w:t>
      </w:r>
    </w:p>
    <w:p>
      <w:pPr>
        <w:spacing w:after="0" w:line="64" w:lineRule="exact"/>
        <w:rPr>
          <w:rFonts w:ascii="Arial" w:cs="Arial" w:eastAsia="Arial" w:hAnsi="Arial"/>
          <w:sz w:val="17"/>
          <w:szCs w:val="17"/>
          <w:color w:val="auto"/>
        </w:rPr>
      </w:pPr>
    </w:p>
    <w:p>
      <w:pPr>
        <w:ind w:left="800" w:hanging="407"/>
        <w:spacing w:after="0"/>
        <w:tabs>
          <w:tab w:leader="none" w:pos="8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Our annual dividend increased by 10%, increasing for the 31</w:t>
      </w:r>
      <w:r>
        <w:rPr>
          <w:rFonts w:ascii="Arial" w:cs="Arial" w:eastAsia="Arial" w:hAnsi="Arial"/>
          <w:sz w:val="12"/>
          <w:szCs w:val="12"/>
          <w:color w:val="auto"/>
        </w:rPr>
        <w:t>st</w:t>
      </w:r>
      <w:r>
        <w:rPr>
          <w:rFonts w:ascii="Arial" w:cs="Arial" w:eastAsia="Arial" w:hAnsi="Arial"/>
          <w:sz w:val="17"/>
          <w:szCs w:val="17"/>
          <w:color w:val="auto"/>
        </w:rPr>
        <w:t xml:space="preserve"> consecutive year</w:t>
      </w:r>
    </w:p>
    <w:p>
      <w:pPr>
        <w:spacing w:after="0" w:line="129" w:lineRule="exact"/>
        <w:rPr>
          <w:rFonts w:ascii="Arial" w:cs="Arial" w:eastAsia="Arial" w:hAnsi="Arial"/>
          <w:sz w:val="17"/>
          <w:szCs w:val="17"/>
          <w:color w:val="auto"/>
        </w:rPr>
      </w:pPr>
    </w:p>
    <w:p>
      <w:pPr>
        <w:ind w:left="720" w:right="300" w:hanging="422"/>
        <w:spacing w:after="0" w:line="203" w:lineRule="auto"/>
        <w:tabs>
          <w:tab w:leader="none" w:pos="720" w:val="left"/>
        </w:tabs>
        <w:numPr>
          <w:ilvl w:val="0"/>
          <w:numId w:val="11"/>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COMPENSATION HIGHLIGHTS</w:t>
      </w:r>
    </w:p>
    <w:p>
      <w:pPr>
        <w:spacing w:after="0" w:line="208" w:lineRule="exact"/>
        <w:rPr>
          <w:sz w:val="20"/>
          <w:szCs w:val="20"/>
          <w:color w:val="auto"/>
        </w:rPr>
      </w:pPr>
    </w:p>
    <w:p>
      <w:pPr>
        <w:ind w:left="300" w:right="360"/>
        <w:spacing w:after="0" w:line="267"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Aspects of our program that closely align the compensation of our executive officers with the long-term interests of our shareholders include the following:</w:t>
      </w:r>
    </w:p>
    <w:p>
      <w:pPr>
        <w:spacing w:after="0" w:line="51" w:lineRule="exact"/>
        <w:rPr>
          <w:sz w:val="20"/>
          <w:szCs w:val="20"/>
          <w:color w:val="auto"/>
        </w:rPr>
      </w:pPr>
    </w:p>
    <w:p>
      <w:pPr>
        <w:ind w:left="300" w:right="460"/>
        <w:spacing w:after="0" w:line="249" w:lineRule="auto"/>
        <w:rPr>
          <w:sz w:val="20"/>
          <w:szCs w:val="20"/>
          <w:color w:val="auto"/>
        </w:rPr>
      </w:pPr>
      <w:r>
        <w:rPr>
          <w:rFonts w:ascii="Arial" w:cs="Arial" w:eastAsia="Arial" w:hAnsi="Arial"/>
          <w:sz w:val="17"/>
          <w:szCs w:val="17"/>
          <w:b w:val="1"/>
          <w:bCs w:val="1"/>
          <w:color w:val="auto"/>
        </w:rPr>
        <w:t xml:space="preserve">Pay for Performance: </w:t>
      </w:r>
      <w:r>
        <w:rPr>
          <w:rFonts w:ascii="Arial" w:cs="Arial" w:eastAsia="Arial" w:hAnsi="Arial"/>
          <w:sz w:val="17"/>
          <w:szCs w:val="17"/>
          <w:color w:val="auto"/>
        </w:rPr>
        <w:t>Almost all of our executive officer compensation is tied to pre-set, objective performance criteria and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 value creation. In 2023, total direct compensation at target that was at risk and tied to stock price and performance objectives was 95% for our CEO, and 89% on average for our other named executive officers.</w:t>
      </w:r>
    </w:p>
    <w:p>
      <w:pPr>
        <w:spacing w:after="0" w:line="67" w:lineRule="exact"/>
        <w:rPr>
          <w:sz w:val="20"/>
          <w:szCs w:val="20"/>
          <w:color w:val="auto"/>
        </w:rPr>
      </w:pPr>
    </w:p>
    <w:p>
      <w:pPr>
        <w:ind w:left="300" w:right="220"/>
        <w:spacing w:after="0" w:line="267" w:lineRule="auto"/>
        <w:rPr>
          <w:sz w:val="20"/>
          <w:szCs w:val="20"/>
          <w:color w:val="auto"/>
        </w:rPr>
      </w:pPr>
      <w:r>
        <w:rPr>
          <w:rFonts w:ascii="Arial" w:cs="Arial" w:eastAsia="Arial" w:hAnsi="Arial"/>
          <w:sz w:val="17"/>
          <w:szCs w:val="17"/>
          <w:b w:val="1"/>
          <w:bCs w:val="1"/>
          <w:color w:val="auto"/>
        </w:rPr>
        <w:t xml:space="preserve">Performance-Based Equity: </w:t>
      </w:r>
      <w:r>
        <w:rPr>
          <w:rFonts w:ascii="Arial" w:cs="Arial" w:eastAsia="Arial" w:hAnsi="Arial"/>
          <w:sz w:val="17"/>
          <w:szCs w:val="17"/>
          <w:color w:val="auto"/>
        </w:rPr>
        <w:t>All restricted stock awards made to our executive officers are subject to satisfaction of performance criteria (no</w:t>
      </w:r>
      <w:r>
        <w:rPr>
          <w:rFonts w:ascii="Arial" w:cs="Arial" w:eastAsia="Arial" w:hAnsi="Arial"/>
          <w:sz w:val="17"/>
          <w:szCs w:val="17"/>
          <w:b w:val="1"/>
          <w:bCs w:val="1"/>
          <w:color w:val="auto"/>
        </w:rPr>
        <w:t xml:space="preserve"> </w:t>
      </w:r>
      <w:r>
        <w:rPr>
          <w:rFonts w:ascii="Arial" w:cs="Arial" w:eastAsia="Arial" w:hAnsi="Arial"/>
          <w:sz w:val="17"/>
          <w:szCs w:val="17"/>
          <w:color w:val="auto"/>
        </w:rPr>
        <w:t>stock awards are solely time-based).</w:t>
      </w:r>
    </w:p>
    <w:p>
      <w:pPr>
        <w:spacing w:after="0" w:line="51" w:lineRule="exact"/>
        <w:rPr>
          <w:sz w:val="20"/>
          <w:szCs w:val="20"/>
          <w:color w:val="auto"/>
        </w:rPr>
      </w:pPr>
    </w:p>
    <w:p>
      <w:pPr>
        <w:ind w:left="300" w:right="1500"/>
        <w:spacing w:after="0" w:line="267" w:lineRule="auto"/>
        <w:rPr>
          <w:sz w:val="20"/>
          <w:szCs w:val="20"/>
          <w:color w:val="auto"/>
        </w:rPr>
      </w:pPr>
      <w:r>
        <w:rPr>
          <w:rFonts w:ascii="Arial" w:cs="Arial" w:eastAsia="Arial" w:hAnsi="Arial"/>
          <w:sz w:val="17"/>
          <w:szCs w:val="17"/>
          <w:b w:val="1"/>
          <w:bCs w:val="1"/>
          <w:color w:val="auto"/>
        </w:rPr>
        <w:t xml:space="preserve">Double Trigger Vesting: </w:t>
      </w:r>
      <w:r>
        <w:rPr>
          <w:rFonts w:ascii="Arial" w:cs="Arial" w:eastAsia="Arial" w:hAnsi="Arial"/>
          <w:sz w:val="17"/>
          <w:szCs w:val="17"/>
          <w:color w:val="auto"/>
        </w:rPr>
        <w:t>“Double trigger” vesting of equity awards if a change in control occurs; no excise tax gross-ups for</w:t>
      </w:r>
      <w:r>
        <w:rPr>
          <w:rFonts w:ascii="Arial" w:cs="Arial" w:eastAsia="Arial" w:hAnsi="Arial"/>
          <w:sz w:val="17"/>
          <w:szCs w:val="17"/>
          <w:b w:val="1"/>
          <w:bCs w:val="1"/>
          <w:color w:val="auto"/>
        </w:rPr>
        <w:t xml:space="preserve"> </w:t>
      </w:r>
      <w:r>
        <w:rPr>
          <w:rFonts w:ascii="Arial" w:cs="Arial" w:eastAsia="Arial" w:hAnsi="Arial"/>
          <w:sz w:val="17"/>
          <w:szCs w:val="17"/>
          <w:color w:val="auto"/>
        </w:rPr>
        <w:t>change-in-control payments.</w:t>
      </w:r>
    </w:p>
    <w:p>
      <w:pPr>
        <w:spacing w:after="0" w:line="51" w:lineRule="exact"/>
        <w:rPr>
          <w:sz w:val="20"/>
          <w:szCs w:val="20"/>
          <w:color w:val="auto"/>
        </w:rPr>
      </w:pPr>
    </w:p>
    <w:p>
      <w:pPr>
        <w:ind w:left="300" w:right="280"/>
        <w:spacing w:after="0" w:line="267" w:lineRule="auto"/>
        <w:rPr>
          <w:sz w:val="20"/>
          <w:szCs w:val="20"/>
          <w:color w:val="auto"/>
        </w:rPr>
      </w:pPr>
      <w:r>
        <w:rPr>
          <w:rFonts w:ascii="Arial" w:cs="Arial" w:eastAsia="Arial" w:hAnsi="Arial"/>
          <w:sz w:val="17"/>
          <w:szCs w:val="17"/>
          <w:b w:val="1"/>
          <w:bCs w:val="1"/>
          <w:color w:val="auto"/>
        </w:rPr>
        <w:t xml:space="preserve">Three Year Vesting for Equity Awards: </w:t>
      </w:r>
      <w:r>
        <w:rPr>
          <w:rFonts w:ascii="Arial" w:cs="Arial" w:eastAsia="Arial" w:hAnsi="Arial"/>
          <w:sz w:val="17"/>
          <w:szCs w:val="17"/>
          <w:color w:val="auto"/>
        </w:rPr>
        <w:t>Beginning in 2022, equity awards made to all named executive officers may vest only at the end of</w:t>
      </w:r>
      <w:r>
        <w:rPr>
          <w:rFonts w:ascii="Arial" w:cs="Arial" w:eastAsia="Arial" w:hAnsi="Arial"/>
          <w:sz w:val="17"/>
          <w:szCs w:val="17"/>
          <w:b w:val="1"/>
          <w:bCs w:val="1"/>
          <w:color w:val="auto"/>
        </w:rPr>
        <w:t xml:space="preserve"> </w:t>
      </w:r>
      <w:r>
        <w:rPr>
          <w:rFonts w:ascii="Arial" w:cs="Arial" w:eastAsia="Arial" w:hAnsi="Arial"/>
          <w:sz w:val="17"/>
          <w:szCs w:val="17"/>
          <w:color w:val="auto"/>
        </w:rPr>
        <w:t>a three-year period. Previously only awards made to the CEO were subject to vesting at the end of a three-year period.</w:t>
      </w:r>
    </w:p>
    <w:p>
      <w:pPr>
        <w:spacing w:after="0" w:line="51"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Stock Ownership Guidelines: </w:t>
      </w:r>
      <w:r>
        <w:rPr>
          <w:rFonts w:ascii="Arial" w:cs="Arial" w:eastAsia="Arial" w:hAnsi="Arial"/>
          <w:sz w:val="17"/>
          <w:szCs w:val="17"/>
          <w:color w:val="auto"/>
        </w:rPr>
        <w:t>Substantial share ownership and retention guidelines for our executive officers and non-employee directors.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Clawback Policy: </w:t>
      </w:r>
      <w:r>
        <w:rPr>
          <w:rFonts w:ascii="Arial" w:cs="Arial" w:eastAsia="Arial" w:hAnsi="Arial"/>
          <w:sz w:val="17"/>
          <w:szCs w:val="17"/>
          <w:color w:val="auto"/>
        </w:rPr>
        <w:t>We have a Nasdaq-compliant clawback policy to recoup certain erroneously paid cash and equity compensation.</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Dividends Only on Shares Earned: </w:t>
      </w:r>
      <w:r>
        <w:rPr>
          <w:rFonts w:ascii="Arial" w:cs="Arial" w:eastAsia="Arial" w:hAnsi="Arial"/>
          <w:sz w:val="17"/>
          <w:szCs w:val="17"/>
          <w:color w:val="auto"/>
        </w:rPr>
        <w:t>Dividends on executive officers’ restricted shares are paid only if the shares are earned.</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Annual Bonus Caps: </w:t>
      </w:r>
      <w:r>
        <w:rPr>
          <w:rFonts w:ascii="Arial" w:cs="Arial" w:eastAsia="Arial" w:hAnsi="Arial"/>
          <w:sz w:val="17"/>
          <w:szCs w:val="17"/>
          <w:color w:val="auto"/>
        </w:rPr>
        <w:t>We have caps on annual bonuses to avoid an excessive short-term focus and potentially adverse risk-taking.</w:t>
      </w:r>
    </w:p>
    <w:p>
      <w:pPr>
        <w:spacing w:after="0" w:line="340" w:lineRule="exact"/>
        <w:rPr>
          <w:sz w:val="20"/>
          <w:szCs w:val="20"/>
          <w:color w:val="auto"/>
        </w:rPr>
      </w:pPr>
    </w:p>
    <w:tbl>
      <w:tblPr>
        <w:tblLayout w:type="fixed"/>
        <w:tblInd w:w="6060" w:type="dxa"/>
        <w:tblCellMar>
          <w:top w:w="0" w:type="dxa"/>
          <w:left w:w="0" w:type="dxa"/>
          <w:bottom w:w="0" w:type="dxa"/>
          <w:right w:w="0" w:type="dxa"/>
        </w:tblCellMar>
      </w:tblPr>
      <w:tr>
        <w:trPr>
          <w:trHeight w:val="243"/>
        </w:trPr>
        <w:tc>
          <w:tcPr>
            <w:tcW w:w="46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20" w:type="dxa"/>
            <w:vAlign w:val="bottom"/>
            <w:vMerge w:val="restart"/>
          </w:tcPr>
          <w:p>
            <w:pPr>
              <w:ind w:left="80"/>
              <w:spacing w:after="0"/>
              <w:rPr>
                <w:sz w:val="20"/>
                <w:szCs w:val="20"/>
                <w:color w:val="auto"/>
              </w:rPr>
            </w:pPr>
            <w:r>
              <w:rPr>
                <w:rFonts w:ascii="Arial" w:cs="Arial" w:eastAsia="Arial" w:hAnsi="Arial"/>
                <w:sz w:val="16"/>
                <w:szCs w:val="16"/>
                <w:b w:val="1"/>
                <w:bCs w:val="1"/>
                <w:color w:val="005CB9"/>
                <w:w w:val="98"/>
              </w:rPr>
              <w:t> v</w:t>
            </w: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6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42862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PROXY STATEMENT SUMMARY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95250</wp:posOffset>
            </wp:positionV>
            <wp:extent cx="7011670" cy="1868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11670" cy="1868805"/>
                    </a:xfrm>
                    <a:prstGeom prst="rect">
                      <a:avLst/>
                    </a:prstGeom>
                    <a:noFill/>
                  </pic:spPr>
                </pic:pic>
              </a:graphicData>
            </a:graphic>
          </wp:anchor>
        </w:drawing>
      </w:r>
    </w:p>
    <w:p>
      <w:pPr>
        <w:spacing w:after="0" w:line="310"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 xml:space="preserve">No Repricing: </w:t>
      </w:r>
      <w:r>
        <w:rPr>
          <w:rFonts w:ascii="Arial" w:cs="Arial" w:eastAsia="Arial" w:hAnsi="Arial"/>
          <w:sz w:val="17"/>
          <w:szCs w:val="17"/>
          <w:color w:val="auto"/>
        </w:rPr>
        <w:t>Repricing of stock options absent shareholder approval is prohibited.</w:t>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005CB9"/>
        </w:rPr>
        <w:t>ESG HIGHLIGHTS</w:t>
      </w:r>
    </w:p>
    <w:p>
      <w:pPr>
        <w:spacing w:after="0" w:line="208" w:lineRule="exact"/>
        <w:rPr>
          <w:sz w:val="20"/>
          <w:szCs w:val="20"/>
          <w:color w:val="auto"/>
        </w:rPr>
      </w:pPr>
    </w:p>
    <w:p>
      <w:pPr>
        <w:ind w:left="300" w:right="460"/>
        <w:spacing w:after="0" w:line="267" w:lineRule="auto"/>
        <w:rPr>
          <w:sz w:val="20"/>
          <w:szCs w:val="20"/>
          <w:color w:val="auto"/>
        </w:rPr>
      </w:pPr>
      <w:r>
        <w:rPr>
          <w:rFonts w:ascii="Arial" w:cs="Arial" w:eastAsia="Arial" w:hAnsi="Arial"/>
          <w:sz w:val="17"/>
          <w:szCs w:val="17"/>
          <w:color w:val="auto"/>
        </w:rPr>
        <w:t>We are committed to conducting business in an ethically and socially responsible manner. We are in the early stages of our long-term, committed ESG journey and have taken the following steps to enhance our ESG program:</w:t>
      </w:r>
    </w:p>
    <w:p>
      <w:pPr>
        <w:spacing w:after="0" w:line="51" w:lineRule="exact"/>
        <w:rPr>
          <w:sz w:val="20"/>
          <w:szCs w:val="20"/>
          <w:color w:val="auto"/>
        </w:rPr>
      </w:pPr>
    </w:p>
    <w:p>
      <w:pPr>
        <w:ind w:left="300"/>
        <w:spacing w:after="0" w:line="244" w:lineRule="auto"/>
        <w:rPr>
          <w:sz w:val="20"/>
          <w:szCs w:val="20"/>
          <w:color w:val="auto"/>
        </w:rPr>
      </w:pPr>
      <w:r>
        <w:rPr>
          <w:rFonts w:ascii="Arial" w:cs="Arial" w:eastAsia="Arial" w:hAnsi="Arial"/>
          <w:sz w:val="17"/>
          <w:szCs w:val="17"/>
          <w:b w:val="1"/>
          <w:bCs w:val="1"/>
          <w:color w:val="auto"/>
        </w:rPr>
        <w:t xml:space="preserve">ESG Program Development: </w:t>
      </w:r>
      <w:r>
        <w:rPr>
          <w:rFonts w:ascii="Arial" w:cs="Arial" w:eastAsia="Arial" w:hAnsi="Arial"/>
          <w:sz w:val="17"/>
          <w:szCs w:val="17"/>
          <w:color w:val="auto"/>
        </w:rPr>
        <w:t>In 2023, we continued to develop and enhance our ESG program. We expanded our data collection efforts to</w:t>
      </w:r>
      <w:r>
        <w:rPr>
          <w:rFonts w:ascii="Arial" w:cs="Arial" w:eastAsia="Arial" w:hAnsi="Arial"/>
          <w:sz w:val="17"/>
          <w:szCs w:val="17"/>
          <w:b w:val="1"/>
          <w:bCs w:val="1"/>
          <w:color w:val="auto"/>
        </w:rPr>
        <w:t xml:space="preserve"> </w:t>
      </w:r>
      <w:r>
        <w:rPr>
          <w:rFonts w:ascii="Arial" w:cs="Arial" w:eastAsia="Arial" w:hAnsi="Arial"/>
          <w:sz w:val="17"/>
          <w:szCs w:val="17"/>
          <w:color w:val="auto"/>
        </w:rPr>
        <w:t>include Scope 3 emissions, and in 2024 we made a commitment to SBTi to develop and implement a near-term emission reduction target. As we continue to make progress, we are mindful of the differing ESG maturity profiles of our businesses and endeavor to foster cross-collaborative efforts to increase the maturity of the overall enterprise.</w:t>
      </w:r>
    </w:p>
    <w:p>
      <w:pPr>
        <w:spacing w:after="0" w:line="69" w:lineRule="exact"/>
        <w:rPr>
          <w:sz w:val="20"/>
          <w:szCs w:val="20"/>
          <w:color w:val="auto"/>
        </w:rPr>
      </w:pPr>
    </w:p>
    <w:p>
      <w:pPr>
        <w:ind w:left="300" w:right="440"/>
        <w:spacing w:after="0" w:line="267" w:lineRule="auto"/>
        <w:rPr>
          <w:sz w:val="20"/>
          <w:szCs w:val="20"/>
          <w:color w:val="auto"/>
        </w:rPr>
      </w:pPr>
      <w:r>
        <w:rPr>
          <w:rFonts w:ascii="Arial" w:cs="Arial" w:eastAsia="Arial" w:hAnsi="Arial"/>
          <w:sz w:val="17"/>
          <w:szCs w:val="17"/>
          <w:b w:val="1"/>
          <w:bCs w:val="1"/>
          <w:color w:val="auto"/>
        </w:rPr>
        <w:t>ESG Update Report</w:t>
      </w:r>
      <w:r>
        <w:rPr>
          <w:rFonts w:ascii="Arial" w:cs="Arial" w:eastAsia="Arial" w:hAnsi="Arial"/>
          <w:sz w:val="17"/>
          <w:szCs w:val="17"/>
          <w:color w:val="auto"/>
        </w:rPr>
        <w:t>: In April 2023, we published an ESG update report which included our Scope 1 and 2 emissions as well as water</w:t>
      </w:r>
      <w:r>
        <w:rPr>
          <w:rFonts w:ascii="Arial" w:cs="Arial" w:eastAsia="Arial" w:hAnsi="Arial"/>
          <w:sz w:val="17"/>
          <w:szCs w:val="17"/>
          <w:b w:val="1"/>
          <w:bCs w:val="1"/>
          <w:color w:val="auto"/>
        </w:rPr>
        <w:t xml:space="preserve"> </w:t>
      </w:r>
      <w:r>
        <w:rPr>
          <w:rFonts w:ascii="Arial" w:cs="Arial" w:eastAsia="Arial" w:hAnsi="Arial"/>
          <w:sz w:val="17"/>
          <w:szCs w:val="17"/>
          <w:color w:val="auto"/>
        </w:rPr>
        <w:t>usage. In April 2024, we published a report that also included disclosure of our Scope 3 emissions for the first time.</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60" w:type="dxa"/>
            <w:vAlign w:val="bottom"/>
            <w:vMerge w:val="restart"/>
          </w:tcPr>
          <w:p>
            <w:pPr>
              <w:spacing w:after="0"/>
              <w:rPr>
                <w:sz w:val="20"/>
                <w:szCs w:val="20"/>
                <w:color w:val="auto"/>
              </w:rPr>
            </w:pPr>
            <w:r>
              <w:rPr>
                <w:rFonts w:ascii="Arial" w:cs="Arial" w:eastAsia="Arial" w:hAnsi="Arial"/>
                <w:sz w:val="16"/>
                <w:szCs w:val="16"/>
                <w:b w:val="1"/>
                <w:bCs w:val="1"/>
                <w:color w:val="005CB9"/>
              </w:rPr>
              <w:t>vi</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6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-205105</wp:posOffset>
            </wp:positionV>
            <wp:extent cx="42862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PROPOSAL 1: ELECTION OF DIRECTORS</w:t>
      </w:r>
    </w:p>
    <w:p>
      <w:pPr>
        <w:spacing w:after="0" w:line="338"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color w:val="auto"/>
        </w:rPr>
        <w:t>Our Certificate of Incorporation provides that the Board of Directors of the Company (the “Board of Directors” or the “Board”) will consist of a number of members to be fixed, from time to time, by the Board of Directors, but not less than the minimum number required under Delaware law. The Board of Directors is currently comprised of ten directors who are elected on an annual basis.</w:t>
      </w:r>
    </w:p>
    <w:p>
      <w:pPr>
        <w:spacing w:after="0" w:line="175"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Our Board unanimously recommended each incumbent director for reelection at the 2024 Annual Meeting. If reelected, the director nominees will serve until the 2025 Annual Meeting and until their successors have been duly elected and qualified. Certain information about our director nominees is set forth under “Board of Directors.” This information includes the business experience, qualifications, attributes and skills that each individual brings to our Board.</w:t>
      </w:r>
    </w:p>
    <w:p>
      <w:pPr>
        <w:spacing w:after="0" w:line="177"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Although not anticipated, if prior to the meeting a director nominee is unable to serve, the proxy will be voted for a substitute nominee selected by the Board of Directors or the Board may choose to reduce its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7020560" cy="454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20560" cy="454025"/>
                    </a:xfrm>
                    <a:prstGeom prst="rect">
                      <a:avLst/>
                    </a:prstGeom>
                    <a:noFill/>
                  </pic:spPr>
                </pic:pic>
              </a:graphicData>
            </a:graphic>
          </wp:anchor>
        </w:drawing>
      </w:r>
    </w:p>
    <w:p>
      <w:pPr>
        <w:spacing w:after="0" w:line="331" w:lineRule="exact"/>
        <w:rPr>
          <w:sz w:val="20"/>
          <w:szCs w:val="20"/>
          <w:color w:val="auto"/>
        </w:rPr>
      </w:pPr>
    </w:p>
    <w:p>
      <w:pPr>
        <w:ind w:left="560" w:right="1000"/>
        <w:spacing w:after="0" w:line="281" w:lineRule="auto"/>
        <w:rPr>
          <w:sz w:val="20"/>
          <w:szCs w:val="20"/>
          <w:color w:val="auto"/>
        </w:rPr>
      </w:pPr>
      <w:r>
        <w:rPr>
          <w:rFonts w:ascii="Arial" w:cs="Arial" w:eastAsia="Arial" w:hAnsi="Arial"/>
          <w:sz w:val="18"/>
          <w:szCs w:val="18"/>
          <w:b w:val="1"/>
          <w:bCs w:val="1"/>
          <w:color w:val="auto"/>
        </w:rPr>
        <w:t>The Board of Directors recommends a vote “FOR” the election to the Board of Directors of each of the following director nominees:</w:t>
      </w:r>
    </w:p>
    <w:p>
      <w:pPr>
        <w:spacing w:after="0" w:line="290"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2140" w:type="dxa"/>
            <w:vAlign w:val="bottom"/>
            <w:shd w:val="clear" w:color="auto" w:fill="005CB9"/>
          </w:tcPr>
          <w:p>
            <w:pPr>
              <w:spacing w:after="0"/>
              <w:rPr>
                <w:sz w:val="17"/>
                <w:szCs w:val="17"/>
                <w:color w:val="auto"/>
              </w:rPr>
            </w:pPr>
          </w:p>
        </w:tc>
        <w:tc>
          <w:tcPr>
            <w:tcW w:w="880" w:type="dxa"/>
            <w:vAlign w:val="bottom"/>
            <w:shd w:val="clear" w:color="auto" w:fill="005CB9"/>
          </w:tcPr>
          <w:p>
            <w:pPr>
              <w:spacing w:after="0"/>
              <w:rPr>
                <w:sz w:val="17"/>
                <w:szCs w:val="17"/>
                <w:color w:val="auto"/>
              </w:rPr>
            </w:pPr>
          </w:p>
        </w:tc>
        <w:tc>
          <w:tcPr>
            <w:tcW w:w="980" w:type="dxa"/>
            <w:vAlign w:val="bottom"/>
            <w:shd w:val="clear" w:color="auto" w:fill="005CB9"/>
          </w:tcPr>
          <w:p>
            <w:pPr>
              <w:jc w:val="center"/>
              <w:spacing w:after="0"/>
              <w:rPr>
                <w:sz w:val="20"/>
                <w:szCs w:val="20"/>
                <w:color w:val="auto"/>
              </w:rPr>
            </w:pPr>
            <w:r>
              <w:rPr>
                <w:rFonts w:ascii="Arial" w:cs="Arial" w:eastAsia="Arial" w:hAnsi="Arial"/>
                <w:sz w:val="16"/>
                <w:szCs w:val="16"/>
                <w:color w:val="FFFFFF"/>
              </w:rPr>
              <w:t>Director</w:t>
            </w:r>
          </w:p>
        </w:tc>
        <w:tc>
          <w:tcPr>
            <w:tcW w:w="1500" w:type="dxa"/>
            <w:vAlign w:val="bottom"/>
            <w:shd w:val="clear" w:color="auto" w:fill="005CB9"/>
          </w:tcPr>
          <w:p>
            <w:pPr>
              <w:spacing w:after="0"/>
              <w:rPr>
                <w:sz w:val="17"/>
                <w:szCs w:val="17"/>
                <w:color w:val="auto"/>
              </w:rPr>
            </w:pPr>
          </w:p>
        </w:tc>
        <w:tc>
          <w:tcPr>
            <w:tcW w:w="900" w:type="dxa"/>
            <w:vAlign w:val="bottom"/>
            <w:shd w:val="clear" w:color="auto" w:fill="005CB9"/>
          </w:tcPr>
          <w:p>
            <w:pPr>
              <w:spacing w:after="0"/>
              <w:rPr>
                <w:sz w:val="17"/>
                <w:szCs w:val="17"/>
                <w:color w:val="auto"/>
              </w:rPr>
            </w:pPr>
          </w:p>
        </w:tc>
        <w:tc>
          <w:tcPr>
            <w:tcW w:w="4220" w:type="dxa"/>
            <w:vAlign w:val="bottom"/>
            <w:shd w:val="clear" w:color="auto" w:fill="005CB9"/>
          </w:tcPr>
          <w:p>
            <w:pPr>
              <w:spacing w:after="0"/>
              <w:rPr>
                <w:sz w:val="17"/>
                <w:szCs w:val="17"/>
                <w:color w:val="auto"/>
              </w:rPr>
            </w:pPr>
          </w:p>
        </w:tc>
        <w:tc>
          <w:tcPr>
            <w:tcW w:w="160" w:type="dxa"/>
            <w:vAlign w:val="bottom"/>
            <w:shd w:val="clear" w:color="auto" w:fill="005CB9"/>
          </w:tcPr>
          <w:p>
            <w:pPr>
              <w:spacing w:after="0"/>
              <w:rPr>
                <w:sz w:val="17"/>
                <w:szCs w:val="17"/>
                <w:color w:val="auto"/>
              </w:rPr>
            </w:pPr>
          </w:p>
        </w:tc>
        <w:tc>
          <w:tcPr>
            <w:tcW w:w="20" w:type="dxa"/>
            <w:vAlign w:val="bottom"/>
            <w:shd w:val="clear" w:color="auto" w:fill="005CB9"/>
          </w:tcPr>
          <w:p>
            <w:pPr>
              <w:spacing w:after="0"/>
              <w:rPr>
                <w:sz w:val="17"/>
                <w:szCs w:val="17"/>
                <w:color w:val="auto"/>
              </w:rPr>
            </w:pPr>
          </w:p>
        </w:tc>
        <w:tc>
          <w:tcPr>
            <w:tcW w:w="220" w:type="dxa"/>
            <w:vAlign w:val="bottom"/>
            <w:shd w:val="clear" w:color="auto" w:fill="005CB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40" w:type="dxa"/>
            <w:vAlign w:val="bottom"/>
            <w:tcBorders>
              <w:bottom w:val="single" w:sz="8" w:color="005CB9"/>
            </w:tcBorders>
            <w:shd w:val="clear" w:color="auto" w:fill="005CB9"/>
          </w:tcPr>
          <w:p>
            <w:pPr>
              <w:ind w:left="860"/>
              <w:spacing w:after="0"/>
              <w:rPr>
                <w:sz w:val="20"/>
                <w:szCs w:val="20"/>
                <w:color w:val="auto"/>
              </w:rPr>
            </w:pPr>
            <w:r>
              <w:rPr>
                <w:rFonts w:ascii="Arial" w:cs="Arial" w:eastAsia="Arial" w:hAnsi="Arial"/>
                <w:sz w:val="16"/>
                <w:szCs w:val="16"/>
                <w:color w:val="FFFFFF"/>
              </w:rPr>
              <w:t>Name</w:t>
            </w:r>
          </w:p>
        </w:tc>
        <w:tc>
          <w:tcPr>
            <w:tcW w:w="880" w:type="dxa"/>
            <w:vAlign w:val="bottom"/>
            <w:tcBorders>
              <w:bottom w:val="single" w:sz="8" w:color="005CB9"/>
            </w:tcBorders>
            <w:shd w:val="clear" w:color="auto" w:fill="005CB9"/>
          </w:tcPr>
          <w:p>
            <w:pPr>
              <w:jc w:val="center"/>
              <w:ind w:left="115"/>
              <w:spacing w:after="0"/>
              <w:rPr>
                <w:sz w:val="20"/>
                <w:szCs w:val="20"/>
                <w:color w:val="auto"/>
              </w:rPr>
            </w:pPr>
            <w:r>
              <w:rPr>
                <w:rFonts w:ascii="Arial" w:cs="Arial" w:eastAsia="Arial" w:hAnsi="Arial"/>
                <w:sz w:val="16"/>
                <w:szCs w:val="16"/>
                <w:color w:val="FFFFFF"/>
                <w:w w:val="98"/>
              </w:rPr>
              <w:t>Age</w:t>
            </w:r>
          </w:p>
        </w:tc>
        <w:tc>
          <w:tcPr>
            <w:tcW w:w="98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6"/>
                <w:szCs w:val="16"/>
                <w:color w:val="FFFFFF"/>
                <w:w w:val="99"/>
              </w:rPr>
              <w:t>Since</w:t>
            </w:r>
          </w:p>
        </w:tc>
        <w:tc>
          <w:tcPr>
            <w:tcW w:w="1500" w:type="dxa"/>
            <w:vAlign w:val="bottom"/>
            <w:tcBorders>
              <w:bottom w:val="single" w:sz="8" w:color="005CB9"/>
            </w:tcBorders>
            <w:shd w:val="clear" w:color="auto" w:fill="005CB9"/>
          </w:tcPr>
          <w:p>
            <w:pPr>
              <w:jc w:val="center"/>
              <w:ind w:right="115"/>
              <w:spacing w:after="0"/>
              <w:rPr>
                <w:sz w:val="20"/>
                <w:szCs w:val="20"/>
                <w:color w:val="auto"/>
              </w:rPr>
            </w:pPr>
            <w:r>
              <w:rPr>
                <w:rFonts w:ascii="Arial" w:cs="Arial" w:eastAsia="Arial" w:hAnsi="Arial"/>
                <w:sz w:val="16"/>
                <w:szCs w:val="16"/>
                <w:color w:val="FFFFFF"/>
              </w:rPr>
              <w:t>Independent</w:t>
            </w:r>
          </w:p>
        </w:tc>
        <w:tc>
          <w:tcPr>
            <w:tcW w:w="900" w:type="dxa"/>
            <w:vAlign w:val="bottom"/>
            <w:tcBorders>
              <w:bottom w:val="single" w:sz="8" w:color="005CB9"/>
            </w:tcBorders>
            <w:shd w:val="clear" w:color="auto" w:fill="005CB9"/>
          </w:tcPr>
          <w:p>
            <w:pPr>
              <w:spacing w:after="0"/>
              <w:rPr>
                <w:sz w:val="20"/>
                <w:szCs w:val="20"/>
                <w:color w:val="auto"/>
              </w:rPr>
            </w:pPr>
          </w:p>
        </w:tc>
        <w:tc>
          <w:tcPr>
            <w:tcW w:w="4220" w:type="dxa"/>
            <w:vAlign w:val="bottom"/>
            <w:tcBorders>
              <w:bottom w:val="single" w:sz="8" w:color="005CB9"/>
            </w:tcBorders>
            <w:shd w:val="clear" w:color="auto" w:fill="005CB9"/>
          </w:tcPr>
          <w:p>
            <w:pPr>
              <w:ind w:left="1140"/>
              <w:spacing w:after="0"/>
              <w:rPr>
                <w:sz w:val="20"/>
                <w:szCs w:val="20"/>
                <w:color w:val="auto"/>
              </w:rPr>
            </w:pPr>
            <w:r>
              <w:rPr>
                <w:rFonts w:ascii="Arial" w:cs="Arial" w:eastAsia="Arial" w:hAnsi="Arial"/>
                <w:sz w:val="16"/>
                <w:szCs w:val="16"/>
                <w:color w:val="FFFFFF"/>
              </w:rPr>
              <w:t>Primary Occupation</w:t>
            </w:r>
          </w:p>
        </w:tc>
        <w:tc>
          <w:tcPr>
            <w:tcW w:w="160" w:type="dxa"/>
            <w:vAlign w:val="bottom"/>
            <w:tcBorders>
              <w:bottom w:val="single" w:sz="8" w:color="005CB9"/>
            </w:tcBorders>
            <w:shd w:val="clear" w:color="auto" w:fill="005CB9"/>
          </w:tcPr>
          <w:p>
            <w:pPr>
              <w:spacing w:after="0"/>
              <w:rPr>
                <w:sz w:val="20"/>
                <w:szCs w:val="20"/>
                <w:color w:val="auto"/>
              </w:rPr>
            </w:pPr>
          </w:p>
        </w:tc>
        <w:tc>
          <w:tcPr>
            <w:tcW w:w="20" w:type="dxa"/>
            <w:vAlign w:val="bottom"/>
            <w:tcBorders>
              <w:bottom w:val="single" w:sz="8" w:color="005CB9"/>
            </w:tcBorders>
            <w:shd w:val="clear" w:color="auto" w:fill="005CB9"/>
          </w:tcPr>
          <w:p>
            <w:pPr>
              <w:spacing w:after="0"/>
              <w:rPr>
                <w:sz w:val="20"/>
                <w:szCs w:val="20"/>
                <w:color w:val="auto"/>
              </w:rPr>
            </w:pPr>
          </w:p>
        </w:tc>
        <w:tc>
          <w:tcPr>
            <w:tcW w:w="220" w:type="dxa"/>
            <w:vAlign w:val="bottom"/>
            <w:tcBorders>
              <w:bottom w:val="single" w:sz="8" w:color="005CB9"/>
            </w:tcBorders>
            <w:shd w:val="clear" w:color="auto" w:fill="005CB9"/>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140" w:type="dxa"/>
            <w:vAlign w:val="bottom"/>
          </w:tcPr>
          <w:p>
            <w:pPr>
              <w:spacing w:after="0"/>
              <w:rPr>
                <w:sz w:val="20"/>
                <w:szCs w:val="20"/>
                <w:color w:val="auto"/>
              </w:rPr>
            </w:pPr>
            <w:r>
              <w:rPr>
                <w:rFonts w:ascii="Arial" w:cs="Arial" w:eastAsia="Arial" w:hAnsi="Arial"/>
                <w:sz w:val="17"/>
                <w:szCs w:val="17"/>
                <w:color w:val="005CB9"/>
              </w:rPr>
              <w:t>Shellye L. Archambeau</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61</w:t>
            </w:r>
          </w:p>
        </w:tc>
        <w:tc>
          <w:tcPr>
            <w:tcW w:w="980" w:type="dxa"/>
            <w:vAlign w:val="bottom"/>
          </w:tcPr>
          <w:p>
            <w:pPr>
              <w:jc w:val="center"/>
              <w:spacing w:after="0"/>
              <w:rPr>
                <w:sz w:val="20"/>
                <w:szCs w:val="20"/>
                <w:color w:val="auto"/>
              </w:rPr>
            </w:pPr>
            <w:r>
              <w:rPr>
                <w:rFonts w:ascii="Arial" w:cs="Arial" w:eastAsia="Arial" w:hAnsi="Arial"/>
                <w:sz w:val="17"/>
                <w:szCs w:val="17"/>
                <w:color w:val="auto"/>
              </w:rPr>
              <w:t>2018</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rPr>
              <w:t>Former Chief Executive Officer, MetricStream, Inc.</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120" w:type="dxa"/>
            <w:vAlign w:val="bottom"/>
            <w:tcBorders>
              <w:bottom w:val="single" w:sz="8" w:color="005CB9"/>
            </w:tcBorders>
            <w:gridSpan w:val="2"/>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7"/>
                <w:szCs w:val="17"/>
                <w:color w:val="005CB9"/>
              </w:rPr>
              <w:t>Amy Woods Brinkley</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68</w:t>
            </w:r>
          </w:p>
        </w:tc>
        <w:tc>
          <w:tcPr>
            <w:tcW w:w="980" w:type="dxa"/>
            <w:vAlign w:val="bottom"/>
          </w:tcPr>
          <w:p>
            <w:pPr>
              <w:jc w:val="center"/>
              <w:spacing w:after="0"/>
              <w:rPr>
                <w:sz w:val="20"/>
                <w:szCs w:val="20"/>
                <w:color w:val="auto"/>
              </w:rPr>
            </w:pPr>
            <w:r>
              <w:rPr>
                <w:rFonts w:ascii="Arial" w:cs="Arial" w:eastAsia="Arial" w:hAnsi="Arial"/>
                <w:sz w:val="17"/>
                <w:szCs w:val="17"/>
                <w:color w:val="auto"/>
              </w:rPr>
              <w:t>2015</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rPr>
              <w:t>Retired Chief Risk Officer, Bank of America Corp.</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120" w:type="dxa"/>
            <w:vAlign w:val="bottom"/>
            <w:tcBorders>
              <w:bottom w:val="single" w:sz="8" w:color="005CB9"/>
            </w:tcBorders>
            <w:gridSpan w:val="2"/>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7"/>
                <w:szCs w:val="17"/>
                <w:color w:val="005CB9"/>
              </w:rPr>
              <w:t>Irene M. Esteves</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65</w:t>
            </w:r>
          </w:p>
        </w:tc>
        <w:tc>
          <w:tcPr>
            <w:tcW w:w="980" w:type="dxa"/>
            <w:vAlign w:val="bottom"/>
          </w:tcPr>
          <w:p>
            <w:pPr>
              <w:jc w:val="center"/>
              <w:spacing w:after="0"/>
              <w:rPr>
                <w:sz w:val="20"/>
                <w:szCs w:val="20"/>
                <w:color w:val="auto"/>
              </w:rPr>
            </w:pPr>
            <w:r>
              <w:rPr>
                <w:rFonts w:ascii="Arial" w:cs="Arial" w:eastAsia="Arial" w:hAnsi="Arial"/>
                <w:sz w:val="17"/>
                <w:szCs w:val="17"/>
                <w:color w:val="auto"/>
              </w:rPr>
              <w:t>2021</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rPr>
              <w:t>Former Chief Financial Officer, Time Warner Cable Inc.</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120" w:type="dxa"/>
            <w:vAlign w:val="bottom"/>
            <w:tcBorders>
              <w:bottom w:val="single" w:sz="8" w:color="005CB9"/>
            </w:tcBorders>
            <w:gridSpan w:val="2"/>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Arial" w:cs="Arial" w:eastAsia="Arial" w:hAnsi="Arial"/>
                <w:sz w:val="17"/>
                <w:szCs w:val="17"/>
                <w:color w:val="005CB9"/>
              </w:rPr>
              <w:t>L. Neil Hunn</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52</w:t>
            </w:r>
          </w:p>
        </w:tc>
        <w:tc>
          <w:tcPr>
            <w:tcW w:w="980" w:type="dxa"/>
            <w:vAlign w:val="bottom"/>
          </w:tcPr>
          <w:p>
            <w:pPr>
              <w:jc w:val="center"/>
              <w:spacing w:after="0"/>
              <w:rPr>
                <w:sz w:val="20"/>
                <w:szCs w:val="20"/>
                <w:color w:val="auto"/>
              </w:rPr>
            </w:pPr>
            <w:r>
              <w:rPr>
                <w:rFonts w:ascii="Arial" w:cs="Arial" w:eastAsia="Arial" w:hAnsi="Arial"/>
                <w:sz w:val="17"/>
                <w:szCs w:val="17"/>
                <w:color w:val="auto"/>
              </w:rPr>
              <w:t>2018</w:t>
            </w:r>
          </w:p>
        </w:tc>
        <w:tc>
          <w:tcPr>
            <w:tcW w:w="1500" w:type="dxa"/>
            <w:vAlign w:val="bottom"/>
          </w:tcPr>
          <w:p>
            <w:pPr>
              <w:jc w:val="center"/>
              <w:ind w:right="115"/>
              <w:spacing w:after="0"/>
              <w:rPr>
                <w:sz w:val="20"/>
                <w:szCs w:val="20"/>
                <w:color w:val="auto"/>
              </w:rPr>
            </w:pPr>
            <w:r>
              <w:rPr>
                <w:rFonts w:ascii="Arial" w:cs="Arial" w:eastAsia="Arial" w:hAnsi="Arial"/>
                <w:sz w:val="17"/>
                <w:szCs w:val="17"/>
                <w:color w:val="auto"/>
              </w:rPr>
              <w:t>No</w:t>
            </w:r>
          </w:p>
        </w:tc>
        <w:tc>
          <w:tcPr>
            <w:tcW w:w="512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7"/>
                <w:szCs w:val="17"/>
                <w:color w:val="auto"/>
              </w:rPr>
              <w:t>Roper Technologies, Inc.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
        </w:trPr>
        <w:tc>
          <w:tcPr>
            <w:tcW w:w="2140" w:type="dxa"/>
            <w:vAlign w:val="bottom"/>
            <w:tcBorders>
              <w:bottom w:val="single" w:sz="8" w:color="005CB9"/>
            </w:tcBorders>
          </w:tcPr>
          <w:p>
            <w:pPr>
              <w:spacing w:after="0"/>
              <w:rPr>
                <w:sz w:val="4"/>
                <w:szCs w:val="4"/>
                <w:color w:val="auto"/>
              </w:rPr>
            </w:pPr>
          </w:p>
        </w:tc>
        <w:tc>
          <w:tcPr>
            <w:tcW w:w="880" w:type="dxa"/>
            <w:vAlign w:val="bottom"/>
            <w:tcBorders>
              <w:bottom w:val="single" w:sz="8" w:color="005CB9"/>
            </w:tcBorders>
          </w:tcPr>
          <w:p>
            <w:pPr>
              <w:spacing w:after="0"/>
              <w:rPr>
                <w:sz w:val="4"/>
                <w:szCs w:val="4"/>
                <w:color w:val="auto"/>
              </w:rPr>
            </w:pPr>
          </w:p>
        </w:tc>
        <w:tc>
          <w:tcPr>
            <w:tcW w:w="980" w:type="dxa"/>
            <w:vAlign w:val="bottom"/>
            <w:tcBorders>
              <w:bottom w:val="single" w:sz="8" w:color="005CB9"/>
            </w:tcBorders>
          </w:tcPr>
          <w:p>
            <w:pPr>
              <w:spacing w:after="0"/>
              <w:rPr>
                <w:sz w:val="4"/>
                <w:szCs w:val="4"/>
                <w:color w:val="auto"/>
              </w:rPr>
            </w:pPr>
          </w:p>
        </w:tc>
        <w:tc>
          <w:tcPr>
            <w:tcW w:w="1500" w:type="dxa"/>
            <w:vAlign w:val="bottom"/>
            <w:tcBorders>
              <w:bottom w:val="single" w:sz="8" w:color="005CB9"/>
            </w:tcBorders>
          </w:tcPr>
          <w:p>
            <w:pPr>
              <w:spacing w:after="0"/>
              <w:rPr>
                <w:sz w:val="4"/>
                <w:szCs w:val="4"/>
                <w:color w:val="auto"/>
              </w:rPr>
            </w:pPr>
          </w:p>
        </w:tc>
        <w:tc>
          <w:tcPr>
            <w:tcW w:w="5120" w:type="dxa"/>
            <w:vAlign w:val="bottom"/>
            <w:tcBorders>
              <w:bottom w:val="single" w:sz="8" w:color="005CB9"/>
            </w:tcBorders>
            <w:gridSpan w:val="2"/>
          </w:tcPr>
          <w:p>
            <w:pPr>
              <w:spacing w:after="0"/>
              <w:rPr>
                <w:sz w:val="4"/>
                <w:szCs w:val="4"/>
                <w:color w:val="auto"/>
              </w:rPr>
            </w:pPr>
          </w:p>
        </w:tc>
        <w:tc>
          <w:tcPr>
            <w:tcW w:w="160" w:type="dxa"/>
            <w:vAlign w:val="bottom"/>
            <w:tcBorders>
              <w:bottom w:val="single" w:sz="8" w:color="005CB9"/>
            </w:tcBorders>
          </w:tcPr>
          <w:p>
            <w:pPr>
              <w:spacing w:after="0"/>
              <w:rPr>
                <w:sz w:val="4"/>
                <w:szCs w:val="4"/>
                <w:color w:val="auto"/>
              </w:rPr>
            </w:pPr>
          </w:p>
        </w:tc>
        <w:tc>
          <w:tcPr>
            <w:tcW w:w="20" w:type="dxa"/>
            <w:vAlign w:val="bottom"/>
            <w:tcBorders>
              <w:bottom w:val="single" w:sz="8" w:color="005CB9"/>
            </w:tcBorders>
          </w:tcPr>
          <w:p>
            <w:pPr>
              <w:spacing w:after="0"/>
              <w:rPr>
                <w:sz w:val="4"/>
                <w:szCs w:val="4"/>
                <w:color w:val="auto"/>
              </w:rPr>
            </w:pPr>
          </w:p>
        </w:tc>
        <w:tc>
          <w:tcPr>
            <w:tcW w:w="220" w:type="dxa"/>
            <w:vAlign w:val="bottom"/>
            <w:tcBorders>
              <w:bottom w:val="single" w:sz="8" w:color="005CB9"/>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7"/>
                <w:szCs w:val="17"/>
                <w:color w:val="005CB9"/>
              </w:rPr>
              <w:t>Robert D. Johnson</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76</w:t>
            </w:r>
          </w:p>
        </w:tc>
        <w:tc>
          <w:tcPr>
            <w:tcW w:w="980" w:type="dxa"/>
            <w:vAlign w:val="bottom"/>
          </w:tcPr>
          <w:p>
            <w:pPr>
              <w:jc w:val="center"/>
              <w:spacing w:after="0"/>
              <w:rPr>
                <w:sz w:val="20"/>
                <w:szCs w:val="20"/>
                <w:color w:val="auto"/>
              </w:rPr>
            </w:pPr>
            <w:r>
              <w:rPr>
                <w:rFonts w:ascii="Arial" w:cs="Arial" w:eastAsia="Arial" w:hAnsi="Arial"/>
                <w:sz w:val="17"/>
                <w:szCs w:val="17"/>
                <w:color w:val="auto"/>
              </w:rPr>
              <w:t>2005</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rPr>
              <w:t>Chairman, Spirit AeroSystems Holdings, Inc.</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120" w:type="dxa"/>
            <w:vAlign w:val="bottom"/>
            <w:tcBorders>
              <w:bottom w:val="single" w:sz="8" w:color="005CB9"/>
            </w:tcBorders>
            <w:gridSpan w:val="2"/>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7"/>
                <w:szCs w:val="17"/>
                <w:color w:val="005CB9"/>
              </w:rPr>
              <w:t>Thomas P. Joyce, Jr.</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63</w:t>
            </w:r>
          </w:p>
        </w:tc>
        <w:tc>
          <w:tcPr>
            <w:tcW w:w="980" w:type="dxa"/>
            <w:vAlign w:val="bottom"/>
          </w:tcPr>
          <w:p>
            <w:pPr>
              <w:jc w:val="center"/>
              <w:spacing w:after="0"/>
              <w:rPr>
                <w:sz w:val="20"/>
                <w:szCs w:val="20"/>
                <w:color w:val="auto"/>
              </w:rPr>
            </w:pPr>
            <w:r>
              <w:rPr>
                <w:rFonts w:ascii="Arial" w:cs="Arial" w:eastAsia="Arial" w:hAnsi="Arial"/>
                <w:sz w:val="17"/>
                <w:szCs w:val="17"/>
                <w:color w:val="auto"/>
              </w:rPr>
              <w:t>2021</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w w:val="99"/>
              </w:rPr>
              <w:t>Retired President and Chief Executive Officer, Danaher Corporation</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300" w:type="dxa"/>
            <w:vAlign w:val="bottom"/>
            <w:tcBorders>
              <w:bottom w:val="single" w:sz="8" w:color="005CB9"/>
            </w:tcBorders>
            <w:gridSpan w:val="4"/>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7"/>
                <w:szCs w:val="17"/>
                <w:color w:val="005CB9"/>
              </w:rPr>
              <w:t>John F. Murphy</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55</w:t>
            </w:r>
          </w:p>
        </w:tc>
        <w:tc>
          <w:tcPr>
            <w:tcW w:w="980" w:type="dxa"/>
            <w:vAlign w:val="bottom"/>
          </w:tcPr>
          <w:p>
            <w:pPr>
              <w:jc w:val="center"/>
              <w:spacing w:after="0"/>
              <w:rPr>
                <w:sz w:val="20"/>
                <w:szCs w:val="20"/>
                <w:color w:val="auto"/>
              </w:rPr>
            </w:pPr>
            <w:r>
              <w:rPr>
                <w:rFonts w:ascii="Arial" w:cs="Arial" w:eastAsia="Arial" w:hAnsi="Arial"/>
                <w:sz w:val="17"/>
                <w:szCs w:val="17"/>
                <w:color w:val="auto"/>
              </w:rPr>
              <w:t>2024</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520" w:type="dxa"/>
            <w:vAlign w:val="bottom"/>
            <w:gridSpan w:val="5"/>
          </w:tcPr>
          <w:p>
            <w:pPr>
              <w:spacing w:after="0"/>
              <w:rPr>
                <w:sz w:val="20"/>
                <w:szCs w:val="20"/>
                <w:color w:val="auto"/>
              </w:rPr>
            </w:pPr>
            <w:r>
              <w:rPr>
                <w:rFonts w:ascii="Arial" w:cs="Arial" w:eastAsia="Arial" w:hAnsi="Arial"/>
                <w:sz w:val="17"/>
                <w:szCs w:val="17"/>
                <w:color w:val="auto"/>
              </w:rPr>
              <w:t>Former Executive Vice President and Chief Financial Officer, Adobe Inc.</w:t>
            </w: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120" w:type="dxa"/>
            <w:vAlign w:val="bottom"/>
            <w:tcBorders>
              <w:bottom w:val="single" w:sz="8" w:color="005CB9"/>
            </w:tcBorders>
            <w:gridSpan w:val="2"/>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Arial" w:cs="Arial" w:eastAsia="Arial" w:hAnsi="Arial"/>
                <w:sz w:val="17"/>
                <w:szCs w:val="17"/>
                <w:color w:val="005CB9"/>
              </w:rPr>
              <w:t>Laura G. Thatcher</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68</w:t>
            </w:r>
          </w:p>
        </w:tc>
        <w:tc>
          <w:tcPr>
            <w:tcW w:w="980" w:type="dxa"/>
            <w:vAlign w:val="bottom"/>
          </w:tcPr>
          <w:p>
            <w:pPr>
              <w:jc w:val="center"/>
              <w:spacing w:after="0"/>
              <w:rPr>
                <w:sz w:val="20"/>
                <w:szCs w:val="20"/>
                <w:color w:val="auto"/>
              </w:rPr>
            </w:pPr>
            <w:r>
              <w:rPr>
                <w:rFonts w:ascii="Arial" w:cs="Arial" w:eastAsia="Arial" w:hAnsi="Arial"/>
                <w:sz w:val="17"/>
                <w:szCs w:val="17"/>
                <w:color w:val="auto"/>
              </w:rPr>
              <w:t>2015</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rPr>
              <w:t>Retired Head of Executive Compensation Practice,</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7"/>
                <w:szCs w:val="17"/>
                <w:color w:val="auto"/>
              </w:rPr>
              <w:t>Alston &amp; Bird LLP</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280" w:type="dxa"/>
            <w:vAlign w:val="bottom"/>
            <w:tcBorders>
              <w:bottom w:val="single" w:sz="8" w:color="005CB9"/>
            </w:tcBorders>
            <w:gridSpan w:val="3"/>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140" w:type="dxa"/>
            <w:vAlign w:val="bottom"/>
          </w:tcPr>
          <w:p>
            <w:pPr>
              <w:spacing w:after="0"/>
              <w:rPr>
                <w:sz w:val="20"/>
                <w:szCs w:val="20"/>
                <w:color w:val="auto"/>
              </w:rPr>
            </w:pPr>
            <w:r>
              <w:rPr>
                <w:rFonts w:ascii="Arial" w:cs="Arial" w:eastAsia="Arial" w:hAnsi="Arial"/>
                <w:sz w:val="17"/>
                <w:szCs w:val="17"/>
                <w:color w:val="005CB9"/>
              </w:rPr>
              <w:t>Richard F. Wallman</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73</w:t>
            </w:r>
          </w:p>
        </w:tc>
        <w:tc>
          <w:tcPr>
            <w:tcW w:w="980" w:type="dxa"/>
            <w:vAlign w:val="bottom"/>
          </w:tcPr>
          <w:p>
            <w:pPr>
              <w:jc w:val="center"/>
              <w:spacing w:after="0"/>
              <w:rPr>
                <w:sz w:val="20"/>
                <w:szCs w:val="20"/>
                <w:color w:val="auto"/>
              </w:rPr>
            </w:pPr>
            <w:r>
              <w:rPr>
                <w:rFonts w:ascii="Arial" w:cs="Arial" w:eastAsia="Arial" w:hAnsi="Arial"/>
                <w:sz w:val="17"/>
                <w:szCs w:val="17"/>
                <w:color w:val="auto"/>
              </w:rPr>
              <w:t>2007</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280" w:type="dxa"/>
            <w:vAlign w:val="bottom"/>
            <w:gridSpan w:val="3"/>
          </w:tcPr>
          <w:p>
            <w:pPr>
              <w:spacing w:after="0"/>
              <w:rPr>
                <w:sz w:val="20"/>
                <w:szCs w:val="20"/>
                <w:color w:val="auto"/>
              </w:rPr>
            </w:pPr>
            <w:r>
              <w:rPr>
                <w:rFonts w:ascii="Arial" w:cs="Arial" w:eastAsia="Arial" w:hAnsi="Arial"/>
                <w:sz w:val="17"/>
                <w:szCs w:val="17"/>
                <w:color w:val="auto"/>
              </w:rPr>
              <w:t>Retired Chief Financial Officer and Senior Vice President, Honeywell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Arial" w:cs="Arial" w:eastAsia="Arial" w:hAnsi="Arial"/>
                <w:sz w:val="17"/>
                <w:szCs w:val="17"/>
                <w:color w:val="auto"/>
              </w:rPr>
              <w:t>International Inc.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5120" w:type="dxa"/>
            <w:vAlign w:val="bottom"/>
            <w:tcBorders>
              <w:bottom w:val="single" w:sz="8" w:color="005CB9"/>
            </w:tcBorders>
            <w:gridSpan w:val="2"/>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40" w:type="dxa"/>
            <w:vAlign w:val="bottom"/>
          </w:tcPr>
          <w:p>
            <w:pPr>
              <w:spacing w:after="0"/>
              <w:rPr>
                <w:sz w:val="20"/>
                <w:szCs w:val="20"/>
                <w:color w:val="auto"/>
              </w:rPr>
            </w:pPr>
            <w:r>
              <w:rPr>
                <w:rFonts w:ascii="Arial" w:cs="Arial" w:eastAsia="Arial" w:hAnsi="Arial"/>
                <w:sz w:val="17"/>
                <w:szCs w:val="17"/>
                <w:color w:val="005CB9"/>
              </w:rPr>
              <w:t>Christopher Wright</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rPr>
              <w:t>66</w:t>
            </w:r>
          </w:p>
        </w:tc>
        <w:tc>
          <w:tcPr>
            <w:tcW w:w="980" w:type="dxa"/>
            <w:vAlign w:val="bottom"/>
          </w:tcPr>
          <w:p>
            <w:pPr>
              <w:jc w:val="center"/>
              <w:spacing w:after="0"/>
              <w:rPr>
                <w:sz w:val="20"/>
                <w:szCs w:val="20"/>
                <w:color w:val="auto"/>
              </w:rPr>
            </w:pPr>
            <w:r>
              <w:rPr>
                <w:rFonts w:ascii="Arial" w:cs="Arial" w:eastAsia="Arial" w:hAnsi="Arial"/>
                <w:sz w:val="17"/>
                <w:szCs w:val="17"/>
                <w:color w:val="auto"/>
              </w:rPr>
              <w:t>1991</w:t>
            </w:r>
          </w:p>
        </w:tc>
        <w:tc>
          <w:tcPr>
            <w:tcW w:w="1500" w:type="dxa"/>
            <w:vAlign w:val="bottom"/>
          </w:tcPr>
          <w:p>
            <w:pPr>
              <w:jc w:val="center"/>
              <w:ind w:right="135"/>
              <w:spacing w:after="0"/>
              <w:rPr>
                <w:sz w:val="20"/>
                <w:szCs w:val="20"/>
                <w:color w:val="auto"/>
              </w:rPr>
            </w:pPr>
            <w:r>
              <w:rPr>
                <w:rFonts w:ascii="Arial" w:cs="Arial" w:eastAsia="Arial" w:hAnsi="Arial"/>
                <w:sz w:val="17"/>
                <w:szCs w:val="17"/>
                <w:color w:val="auto"/>
                <w:w w:val="95"/>
              </w:rPr>
              <w:t>Yes</w:t>
            </w:r>
          </w:p>
        </w:tc>
        <w:tc>
          <w:tcPr>
            <w:tcW w:w="5120" w:type="dxa"/>
            <w:vAlign w:val="bottom"/>
            <w:gridSpan w:val="2"/>
          </w:tcPr>
          <w:p>
            <w:pPr>
              <w:spacing w:after="0"/>
              <w:rPr>
                <w:sz w:val="20"/>
                <w:szCs w:val="20"/>
                <w:color w:val="auto"/>
              </w:rPr>
            </w:pPr>
            <w:r>
              <w:rPr>
                <w:rFonts w:ascii="Arial" w:cs="Arial" w:eastAsia="Arial" w:hAnsi="Arial"/>
                <w:sz w:val="17"/>
                <w:szCs w:val="17"/>
                <w:color w:val="auto"/>
              </w:rPr>
              <w:t>Director, Merifin Capital</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140" w:type="dxa"/>
            <w:vAlign w:val="bottom"/>
            <w:tcBorders>
              <w:bottom w:val="single" w:sz="8" w:color="005CB9"/>
            </w:tcBorders>
          </w:tcPr>
          <w:p>
            <w:pPr>
              <w:spacing w:after="0"/>
              <w:rPr>
                <w:sz w:val="3"/>
                <w:szCs w:val="3"/>
                <w:color w:val="auto"/>
              </w:rPr>
            </w:pPr>
          </w:p>
        </w:tc>
        <w:tc>
          <w:tcPr>
            <w:tcW w:w="880" w:type="dxa"/>
            <w:vAlign w:val="bottom"/>
            <w:tcBorders>
              <w:bottom w:val="single" w:sz="8" w:color="005CB9"/>
            </w:tcBorders>
          </w:tcPr>
          <w:p>
            <w:pPr>
              <w:spacing w:after="0"/>
              <w:rPr>
                <w:sz w:val="3"/>
                <w:szCs w:val="3"/>
                <w:color w:val="auto"/>
              </w:rPr>
            </w:pPr>
          </w:p>
        </w:tc>
        <w:tc>
          <w:tcPr>
            <w:tcW w:w="980" w:type="dxa"/>
            <w:vAlign w:val="bottom"/>
            <w:tcBorders>
              <w:bottom w:val="single" w:sz="8" w:color="005CB9"/>
            </w:tcBorders>
          </w:tcPr>
          <w:p>
            <w:pPr>
              <w:spacing w:after="0"/>
              <w:rPr>
                <w:sz w:val="3"/>
                <w:szCs w:val="3"/>
                <w:color w:val="auto"/>
              </w:rPr>
            </w:pPr>
          </w:p>
        </w:tc>
        <w:tc>
          <w:tcPr>
            <w:tcW w:w="1500" w:type="dxa"/>
            <w:vAlign w:val="bottom"/>
            <w:tcBorders>
              <w:bottom w:val="single" w:sz="8" w:color="005CB9"/>
            </w:tcBorders>
          </w:tcPr>
          <w:p>
            <w:pPr>
              <w:spacing w:after="0"/>
              <w:rPr>
                <w:sz w:val="3"/>
                <w:szCs w:val="3"/>
                <w:color w:val="auto"/>
              </w:rPr>
            </w:pPr>
          </w:p>
        </w:tc>
        <w:tc>
          <w:tcPr>
            <w:tcW w:w="900" w:type="dxa"/>
            <w:vAlign w:val="bottom"/>
            <w:tcBorders>
              <w:bottom w:val="single" w:sz="8" w:color="005CB9"/>
            </w:tcBorders>
          </w:tcPr>
          <w:p>
            <w:pPr>
              <w:spacing w:after="0"/>
              <w:rPr>
                <w:sz w:val="3"/>
                <w:szCs w:val="3"/>
                <w:color w:val="auto"/>
              </w:rPr>
            </w:pPr>
          </w:p>
        </w:tc>
        <w:tc>
          <w:tcPr>
            <w:tcW w:w="4220" w:type="dxa"/>
            <w:vAlign w:val="bottom"/>
            <w:tcBorders>
              <w:bottom w:val="single" w:sz="8" w:color="005CB9"/>
            </w:tcBorders>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2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vMerge w:val="restart"/>
          </w:tcPr>
          <w:p>
            <w:pPr>
              <w:ind w:left="440"/>
              <w:spacing w:after="0"/>
              <w:rPr>
                <w:sz w:val="20"/>
                <w:szCs w:val="20"/>
                <w:color w:val="auto"/>
              </w:rPr>
            </w:pPr>
            <w:r>
              <w:rPr>
                <w:rFonts w:ascii="Arial" w:cs="Arial" w:eastAsia="Arial" w:hAnsi="Arial"/>
                <w:sz w:val="16"/>
                <w:szCs w:val="16"/>
                <w:b w:val="1"/>
                <w:bCs w:val="1"/>
                <w:color w:val="005CB9"/>
              </w:rPr>
              <w:t xml:space="preserve">  </w:t>
            </w:r>
          </w:p>
        </w:tc>
        <w:tc>
          <w:tcPr>
            <w:tcW w:w="422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9"/>
              </w:rPr>
              <w:t>   Roper Technologies, Inc. 2024 Proxy Statement</w:t>
            </w:r>
          </w:p>
        </w:tc>
        <w:tc>
          <w:tcPr>
            <w:tcW w:w="160" w:type="dxa"/>
            <w:vAlign w:val="bottom"/>
            <w:vMerge w:val="restart"/>
          </w:tcPr>
          <w:p>
            <w:pPr>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2"/>
                <w:szCs w:val="12"/>
                <w:color w:val="auto"/>
              </w:rPr>
            </w:pPr>
          </w:p>
        </w:tc>
        <w:tc>
          <w:tcPr>
            <w:tcW w:w="220" w:type="dxa"/>
            <w:vAlign w:val="bottom"/>
            <w:vMerge w:val="restart"/>
          </w:tcPr>
          <w:p>
            <w:pPr>
              <w:ind w:left="80"/>
              <w:spacing w:after="0"/>
              <w:rPr>
                <w:sz w:val="20"/>
                <w:szCs w:val="20"/>
                <w:color w:val="auto"/>
              </w:rPr>
            </w:pPr>
            <w:r>
              <w:rPr>
                <w:rFonts w:ascii="Arial" w:cs="Arial" w:eastAsia="Arial" w:hAnsi="Arial"/>
                <w:sz w:val="16"/>
                <w:szCs w:val="16"/>
                <w:b w:val="1"/>
                <w:bCs w:val="1"/>
                <w:color w:val="005CB9"/>
                <w:w w:val="98"/>
              </w:rPr>
              <w:t> 1</w:t>
            </w:r>
          </w:p>
        </w:tc>
        <w:tc>
          <w:tcPr>
            <w:tcW w:w="0" w:type="dxa"/>
            <w:vAlign w:val="bottom"/>
          </w:tcPr>
          <w:p>
            <w:pPr>
              <w:spacing w:after="0"/>
              <w:rPr>
                <w:sz w:val="1"/>
                <w:szCs w:val="1"/>
                <w:color w:val="auto"/>
              </w:rPr>
            </w:pPr>
          </w:p>
        </w:tc>
      </w:tr>
      <w:tr>
        <w:trPr>
          <w:trHeight w:val="208"/>
        </w:trPr>
        <w:tc>
          <w:tcPr>
            <w:tcW w:w="2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42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2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shd w:val="clear" w:color="auto" w:fill="005CB9"/>
          </w:tcPr>
          <w:p>
            <w:pPr>
              <w:spacing w:after="0"/>
              <w:rPr>
                <w:sz w:val="8"/>
                <w:szCs w:val="8"/>
                <w:color w:val="auto"/>
              </w:rPr>
            </w:pPr>
          </w:p>
        </w:tc>
        <w:tc>
          <w:tcPr>
            <w:tcW w:w="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4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shd w:val="clear" w:color="auto" w:fill="005CB9"/>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4286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BOARD OF DIRECTORS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Nominee Information</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005CB9"/>
        </w:rPr>
        <w:t>for terms expiring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176530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Shellye L. Archambeau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36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45940" cy="1036955"/>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Executive Officer, MetricStream,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177165</wp:posOffset>
            </wp:positionV>
            <wp:extent cx="34201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26" w:lineRule="exact"/>
        <w:rPr>
          <w:sz w:val="20"/>
          <w:szCs w:val="20"/>
          <w:color w:val="auto"/>
        </w:rPr>
      </w:pPr>
    </w:p>
    <w:p>
      <w:pPr>
        <w:ind w:left="1680" w:right="160"/>
        <w:spacing w:after="0" w:line="254" w:lineRule="auto"/>
        <w:rPr>
          <w:sz w:val="20"/>
          <w:szCs w:val="20"/>
          <w:color w:val="auto"/>
        </w:rPr>
      </w:pPr>
      <w:r>
        <w:rPr>
          <w:rFonts w:ascii="Arial" w:cs="Arial" w:eastAsia="Arial" w:hAnsi="Arial"/>
          <w:sz w:val="16"/>
          <w:szCs w:val="16"/>
          <w:color w:val="auto"/>
        </w:rPr>
        <w:t>Ms. Archambeau is the former Chief Executive Officer of MetricStream, Inc., a global provider of governance, risk, compliance and quality management solutions to organizations across diverse industries. She served</w:t>
      </w:r>
    </w:p>
    <w:p>
      <w:pPr>
        <w:spacing w:after="0" w:line="3"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in this role from the time she joined MetricStream in 2002 until 2018. Prior to joining MetricStream, Ms. Archambeau served as Chief Marketing Officer and Executive Vice President of Sales for Loudcloud, Inc., a provider of Internet infrastructure services; Chief Marketing Officer of NorthPoint Communications, a provider of local data network services; and President of Blockbuster, Inc.’s e-commerce division, where she launched the entertainment retailer’s first online presence. Before she joined Blockbuster, Ms. Archambeau held domestic and international executive positions during a 15-year career at IBM Corporation. Ms. Archambeau has served as director of Okta, Inc., a provider of identity management solutions, since 2018, and Verizon Communications, Inc., since 2013. She has previously served as a director of Nordstrom, Inc., a leading fashion retailer.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 Nominating and Governance (Chair)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 Okta,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 Verizon Communications,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660"/>
        <w:spacing w:after="0" w:line="315"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 Software, technology and e-commerce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 Cybersecurity experience</w:t>
      </w:r>
    </w:p>
    <w:p>
      <w:pPr>
        <w:spacing w:after="0" w:line="1" w:lineRule="exact"/>
        <w:rPr>
          <w:sz w:val="20"/>
          <w:szCs w:val="20"/>
          <w:color w:val="auto"/>
        </w:rPr>
      </w:pPr>
    </w:p>
    <w:p>
      <w:pPr>
        <w:ind w:left="1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 Developing and marketing emerging technology</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software applications and solutions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 Innovation, digital media and communications</w:t>
      </w:r>
    </w:p>
    <w:p>
      <w:pPr>
        <w:spacing w:after="0" w:line="58" w:lineRule="exact"/>
        <w:rPr>
          <w:sz w:val="20"/>
          <w:szCs w:val="20"/>
          <w:color w:val="auto"/>
        </w:rPr>
      </w:pPr>
    </w:p>
    <w:p>
      <w:pPr>
        <w:ind w:left="160" w:right="5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 Building and scaling consumer and B2B</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businesses in the technology industry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 Entrepreneurial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pacing w:after="0" w:line="200" w:lineRule="exact"/>
        <w:rPr>
          <w:sz w:val="20"/>
          <w:szCs w:val="20"/>
          <w:color w:val="auto"/>
        </w:rPr>
      </w:pPr>
    </w:p>
    <w:p>
      <w:pPr>
        <w:sectPr>
          <w:pgSz w:w="11900" w:h="16838" w:orient="portrait"/>
          <w:cols w:equalWidth="0" w:num="2">
            <w:col w:w="6920" w:space="480"/>
            <w:col w:w="3560"/>
          </w:cols>
          <w:pgMar w:left="320" w:top="482" w:right="6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2</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6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-205105</wp:posOffset>
            </wp:positionV>
            <wp:extent cx="42862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60"/>
          </w:cols>
          <w:pgMar w:left="320" w:top="482" w:right="61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Amy Woods Brinkley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-252095</wp:posOffset>
            </wp:positionV>
            <wp:extent cx="3420110" cy="4972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0110" cy="497205"/>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Founder, AWB Consulting,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219710</wp:posOffset>
            </wp:positionV>
            <wp:extent cx="34201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1680"/>
        <w:spacing w:after="0" w:line="257" w:lineRule="auto"/>
        <w:rPr>
          <w:sz w:val="20"/>
          <w:szCs w:val="20"/>
          <w:color w:val="auto"/>
        </w:rPr>
      </w:pPr>
      <w:r>
        <w:rPr>
          <w:rFonts w:ascii="Arial" w:cs="Arial" w:eastAsia="Arial" w:hAnsi="Arial"/>
          <w:sz w:val="16"/>
          <w:szCs w:val="16"/>
          <w:color w:val="auto"/>
        </w:rPr>
        <w:t>Ms. Brinkley is the founder, owner and manager of AWB Consulting, LLC, an executive advising and risk management consulting firm. Ms. Brinkley served as Chief Risk Officer for Bank of America Corporation from</w:t>
      </w:r>
    </w:p>
    <w:p>
      <w:pPr>
        <w:spacing w:after="0" w:line="2"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2002 until her retirement in 2009, after more than 30 years with the company. Prior to 2002, she served as President of Bank of America’s Consumer Products division and was responsible for the credit card, mortgage, consumer finance, telephone, and e-commerce businesses. During her employment at Bank of America, Ms. Brinkley also held the positions of Executive Vice President and Chief Marketing Officer overseeing the company’s Olympic sponsorship and its national rebranding and name change. Ms. Brinkley has served as director of TD Bank Group, since 2010. Ms. Brinkley also serves as a director of TD Bank Group’s subsidiaries: TD Group US Holdings, LLC, TD Bank US Holding Company, TD Bank, NA, and TD Bank, USA. In addition, she served as a director of Carter’s Inc., a branded marketer in North America of apparel and related products exclusively for babies and young children, from 2010 to 2021. She also served as a Commissioner for Atrium Health, a non-profit hospital network from 2001 to 2019 and as a Trustee for the Princeton Theological Seminary from 2002 to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850265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68</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58" w:lineRule="exact"/>
        <w:rPr>
          <w:sz w:val="20"/>
          <w:szCs w:val="20"/>
          <w:color w:val="auto"/>
        </w:rPr>
      </w:pPr>
    </w:p>
    <w:p>
      <w:pPr>
        <w:ind w:right="1560"/>
        <w:spacing w:after="0" w:line="392"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 Nominating and Governance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 Executive (Chair)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 TD Bank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820" w:hanging="171"/>
        <w:spacing w:after="0" w:line="26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14" w:lineRule="exact"/>
        <w:rPr>
          <w:sz w:val="20"/>
          <w:szCs w:val="20"/>
          <w:color w:val="auto"/>
        </w:rPr>
      </w:pPr>
    </w:p>
    <w:p>
      <w:pPr>
        <w:ind w:left="160" w:right="20" w:hanging="171"/>
        <w:spacing w:after="0" w:line="256"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 Financial reporting rules and regulations and audit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procedures</w:t>
      </w:r>
    </w:p>
    <w:p>
      <w:pPr>
        <w:spacing w:after="0" w:line="1" w:lineRule="exact"/>
        <w:rPr>
          <w:sz w:val="20"/>
          <w:szCs w:val="20"/>
          <w:color w:val="auto"/>
        </w:rPr>
      </w:pPr>
    </w:p>
    <w:p>
      <w:pPr>
        <w:ind w:left="160" w:right="120" w:hanging="171"/>
        <w:spacing w:after="0" w:line="25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 Broad-based knowledge of banking and financial</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services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 Marketing and e-commerce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 Corporate governance</w:t>
      </w:r>
    </w:p>
    <w:p>
      <w:pPr>
        <w:spacing w:after="0" w:line="18" w:lineRule="exact"/>
        <w:rPr>
          <w:sz w:val="20"/>
          <w:szCs w:val="20"/>
          <w:color w:val="auto"/>
        </w:rPr>
      </w:pPr>
    </w:p>
    <w:p>
      <w:pPr>
        <w:ind w:right="1180"/>
        <w:spacing w:after="0" w:line="377"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 Public company board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 Talent and team development</w:t>
      </w:r>
    </w:p>
    <w:p>
      <w:pPr>
        <w:spacing w:after="0" w:line="200" w:lineRule="exact"/>
        <w:rPr>
          <w:sz w:val="20"/>
          <w:szCs w:val="20"/>
          <w:color w:val="auto"/>
        </w:rPr>
      </w:pPr>
    </w:p>
    <w:p>
      <w:pPr>
        <w:sectPr>
          <w:pgSz w:w="11900" w:h="16838" w:orient="portrait"/>
          <w:cols w:equalWidth="0" w:num="2">
            <w:col w:w="6940" w:space="460"/>
            <w:col w:w="3740"/>
          </w:cols>
          <w:pgMar w:left="320" w:top="482" w:right="439" w:bottom="1440" w:gutter="0" w:footer="0" w:header="0"/>
          <w:type w:val="continuous"/>
        </w:sectPr>
      </w:pPr>
    </w:p>
    <w:p>
      <w:pPr>
        <w:spacing w:after="0" w:line="246"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Irene M. Esteves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Chief Financial Officer, Time Warner Cable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202565</wp:posOffset>
            </wp:positionV>
            <wp:extent cx="3420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both"/>
        <w:ind w:left="1680" w:right="40"/>
        <w:spacing w:after="0" w:line="257" w:lineRule="auto"/>
        <w:rPr>
          <w:sz w:val="20"/>
          <w:szCs w:val="20"/>
          <w:color w:val="auto"/>
        </w:rPr>
      </w:pPr>
      <w:r>
        <w:rPr>
          <w:rFonts w:ascii="Arial" w:cs="Arial" w:eastAsia="Arial" w:hAnsi="Arial"/>
          <w:sz w:val="16"/>
          <w:szCs w:val="16"/>
          <w:color w:val="auto"/>
        </w:rPr>
        <w:t>Ms. Esteves most recently served as Executive Vice President and Chief Financial Officer of Time Warner Cable Inc. from July 2011 to May 2013. She previously served as Executive Vice President and Chief Financial</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Officer of XL Group plc and prior to that position, Ms. Esteves was Executive Vice President and Chief Financial Officer of Regions Financial Corporation. Ms. Esteves has served as a director of KKR Real Estate Finance Trust Inc. since 2018 and Spirit AeroSystems Holdings, Inc. since 2015. In the last five years, Ms. Esteves also served as director of Aramark, and R.R. Donnelly &amp; Sons Company.</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Audit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Nominating and Governance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KKR Real Estate Finance Trust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Spirit AeroSystems Holdings,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120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 Finance and accounting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 Multi-industry perspective</w:t>
      </w:r>
    </w:p>
    <w:p>
      <w:pPr>
        <w:spacing w:after="0" w:line="1" w:lineRule="exact"/>
        <w:rPr>
          <w:sz w:val="20"/>
          <w:szCs w:val="20"/>
          <w:color w:val="auto"/>
        </w:rPr>
      </w:pPr>
    </w:p>
    <w:p>
      <w:pPr>
        <w:ind w:right="162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 Global business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 Mergers and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right="1180"/>
        <w:spacing w:after="0" w:line="394"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 Public company board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 Talent and team development</w:t>
      </w:r>
    </w:p>
    <w:p>
      <w:pPr>
        <w:spacing w:after="0" w:line="53" w:lineRule="exact"/>
        <w:rPr>
          <w:sz w:val="20"/>
          <w:szCs w:val="20"/>
          <w:color w:val="auto"/>
        </w:rPr>
      </w:pPr>
    </w:p>
    <w:p>
      <w:pPr>
        <w:sectPr>
          <w:pgSz w:w="11900" w:h="16838" w:orient="portrait"/>
          <w:cols w:equalWidth="0" w:num="2">
            <w:col w:w="6940" w:space="460"/>
            <w:col w:w="3740"/>
          </w:cols>
          <w:pgMar w:left="320" w:top="482" w:right="439" w:bottom="1440" w:gutter="0" w:footer="0" w:header="0"/>
          <w:type w:val="continuous"/>
        </w:sectPr>
      </w:pPr>
    </w:p>
    <w:tbl>
      <w:tblPr>
        <w:tblLayout w:type="fixed"/>
        <w:tblInd w:w="6060" w:type="dxa"/>
        <w:tblCellMar>
          <w:top w:w="0" w:type="dxa"/>
          <w:left w:w="0" w:type="dxa"/>
          <w:bottom w:w="0" w:type="dxa"/>
          <w:right w:w="0" w:type="dxa"/>
        </w:tblCellMar>
      </w:tblPr>
      <w:tr>
        <w:trPr>
          <w:trHeight w:val="243"/>
        </w:trPr>
        <w:tc>
          <w:tcPr>
            <w:tcW w:w="46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20" w:type="dxa"/>
            <w:vAlign w:val="bottom"/>
            <w:vMerge w:val="restart"/>
          </w:tcPr>
          <w:p>
            <w:pPr>
              <w:ind w:left="80"/>
              <w:spacing w:after="0"/>
              <w:rPr>
                <w:sz w:val="20"/>
                <w:szCs w:val="20"/>
                <w:color w:val="auto"/>
              </w:rPr>
            </w:pPr>
            <w:r>
              <w:rPr>
                <w:rFonts w:ascii="Arial" w:cs="Arial" w:eastAsia="Arial" w:hAnsi="Arial"/>
                <w:sz w:val="16"/>
                <w:szCs w:val="16"/>
                <w:b w:val="1"/>
                <w:bCs w:val="1"/>
                <w:color w:val="005CB9"/>
                <w:w w:val="98"/>
              </w:rPr>
              <w:t> 3</w:t>
            </w: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6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42862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 Neil Hunn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-286385</wp:posOffset>
            </wp:positionV>
            <wp:extent cx="4345940" cy="1028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President and Chief Executive Officer, Roper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160020</wp:posOffset>
            </wp:positionV>
            <wp:extent cx="34201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53" w:lineRule="exact"/>
        <w:rPr>
          <w:sz w:val="20"/>
          <w:szCs w:val="20"/>
          <w:color w:val="auto"/>
        </w:rPr>
      </w:pPr>
    </w:p>
    <w:p>
      <w:pPr>
        <w:ind w:left="1680" w:right="60"/>
        <w:spacing w:after="0" w:line="257" w:lineRule="auto"/>
        <w:rPr>
          <w:sz w:val="20"/>
          <w:szCs w:val="20"/>
          <w:color w:val="auto"/>
        </w:rPr>
      </w:pPr>
      <w:r>
        <w:rPr>
          <w:rFonts w:ascii="Arial" w:cs="Arial" w:eastAsia="Arial" w:hAnsi="Arial"/>
          <w:sz w:val="16"/>
          <w:szCs w:val="16"/>
          <w:color w:val="auto"/>
        </w:rPr>
        <w:t>Prior to being named President and Chief Executive Officer in August 2018, Mr. Hunn served as Executive Vice President and Chief Operating Officer from 2017</w:t>
      </w:r>
    </w:p>
    <w:p>
      <w:pPr>
        <w:spacing w:after="0" w:line="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to 2018. Mr. Hunn also served as Group Vice President of Roper’s medical segment from 2011 to 2018 and helped drive significant growth in the Company’s medical technology and application software businesses. In addition to his operating responsibilities at Roper, Mr. Hunn led the execution of the majority of the company’s capital deployment since joining Roper. Prior to joining Roper, Mr. Hunn served 10 years at MedAssets, Inc. an Atlanta- based SaaS company, during which time he served in a variety of roles including as Executive Vice President and Chief Financial Officer and as President of its revenue cycle technology businesses. He successfully led MedAssets’ initial public offering and the execution of several M&amp;A transactions. Mr. Hunn also held roles at CMGI, Inc. an incubator of Internet businesses, and Parthenon Group, a strategy consulting firm. Mr. Hunn has been a director of Deere &amp; Company, a global leader in the delivery of agricultural, construction, and forestry equipment,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429895</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2018</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 Deere &amp; Company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80" w:hanging="171"/>
        <w:spacing w:after="0" w:line="271"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jc w:val="both"/>
        <w:ind w:right="900"/>
        <w:spacing w:after="0" w:line="263"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 Deep understanding of organization</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 Software and technology expertise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 Strategic focus and planning</w:t>
      </w:r>
    </w:p>
    <w:p>
      <w:pPr>
        <w:ind w:right="400"/>
        <w:spacing w:after="0" w:line="281"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industry and operational experience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 Mergers and acquisitions, capital markets</w:t>
      </w:r>
    </w:p>
    <w:p>
      <w:pPr>
        <w:spacing w:after="0" w:line="1" w:lineRule="exact"/>
        <w:rPr>
          <w:sz w:val="20"/>
          <w:szCs w:val="20"/>
          <w:color w:val="auto"/>
        </w:rPr>
      </w:pPr>
    </w:p>
    <w:p>
      <w:pPr>
        <w:ind w:left="160" w:hanging="171"/>
        <w:spacing w:after="0" w:line="26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business challenges and opportunities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 Healthcare experience</w:t>
      </w:r>
    </w:p>
    <w:p>
      <w:pPr>
        <w:spacing w:after="0" w:line="42" w:lineRule="exact"/>
        <w:rPr>
          <w:sz w:val="20"/>
          <w:szCs w:val="20"/>
          <w:color w:val="auto"/>
        </w:rPr>
      </w:pPr>
    </w:p>
    <w:p>
      <w:pPr>
        <w:ind w:left="160" w:right="240" w:hanging="171"/>
        <w:spacing w:after="0" w:line="30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 Provides key leadership and guidance for the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Company’s growth</w:t>
      </w:r>
    </w:p>
    <w:p>
      <w:pPr>
        <w:spacing w:after="0" w:line="341" w:lineRule="exact"/>
        <w:rPr>
          <w:sz w:val="20"/>
          <w:szCs w:val="20"/>
          <w:color w:val="auto"/>
        </w:rPr>
      </w:pPr>
    </w:p>
    <w:p>
      <w:pPr>
        <w:sectPr>
          <w:pgSz w:w="11900" w:h="16838" w:orient="portrait"/>
          <w:cols w:equalWidth="0" w:num="2">
            <w:col w:w="6920" w:space="480"/>
            <w:col w:w="3600"/>
          </w:cols>
          <w:pgMar w:left="320" w:top="48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Robert 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-286385</wp:posOffset>
            </wp:positionV>
            <wp:extent cx="4345940" cy="1028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Chairman, Spirit AeroSystems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228600</wp:posOffset>
            </wp:positionV>
            <wp:extent cx="34201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left="1680"/>
        <w:spacing w:after="0" w:line="257" w:lineRule="auto"/>
        <w:rPr>
          <w:sz w:val="20"/>
          <w:szCs w:val="20"/>
          <w:color w:val="auto"/>
        </w:rPr>
      </w:pPr>
      <w:r>
        <w:rPr>
          <w:rFonts w:ascii="Arial" w:cs="Arial" w:eastAsia="Arial" w:hAnsi="Arial"/>
          <w:sz w:val="16"/>
          <w:szCs w:val="16"/>
          <w:color w:val="auto"/>
        </w:rPr>
        <w:t>Mr. Johnson was Chief Executive Officer of Dubai Aerospace Enterprise Ltd., a global aerospace engineering and services company, from August 2006 to December 2008. Mr. Johnson also served as Chairman of</w:t>
      </w:r>
    </w:p>
    <w:p>
      <w:pPr>
        <w:spacing w:after="0" w:line="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Honeywell Aerospace, a leading global supplier of aircraft engines, equipment, systems and services, from January 2005 to January 2006, and as its President and Chief Executive Officer from 1999 to 2005. Mr. Johnson similarly served as President and Chief Executive Officer for Honeywell Aerospace’s predecessor, AlliedSignal, Inc. an aerospace, automotive and engineering company. He also held management positions with AAR Corporation, a provider of aviation and expeditionary services to the global commercial, government and defense aviation industries, and GE Aviation, an aircraft engine supplier. Mr. Johnson has served as Chairman of the Board for Spirit AeroSystems Holdings, Inc., a global leader in aerostructures design and manufacturing, since 2006 and as a director of Spirit Airlines, Inc., since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4</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6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-205105</wp:posOffset>
            </wp:positionV>
            <wp:extent cx="4286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76</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 Nominating and Governance</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 Spirit AeroSystems Holdings,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 Spirit Airlines, Inc.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left="160" w:right="20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 Manufacturing, supply chain, engineering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production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ind w:left="160" w:right="52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and operations</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 Extensive business acumen</w:t>
      </w:r>
    </w:p>
    <w:p>
      <w:pPr>
        <w:spacing w:after="0" w:line="58" w:lineRule="exact"/>
        <w:rPr>
          <w:sz w:val="20"/>
          <w:szCs w:val="20"/>
          <w:color w:val="auto"/>
        </w:rPr>
      </w:pPr>
    </w:p>
    <w:p>
      <w:pPr>
        <w:ind w:left="160" w:right="300" w:hanging="171"/>
        <w:spacing w:after="0" w:line="269"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 including</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governance and executive compensation expertise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 Talent and team development</w:t>
      </w:r>
    </w:p>
    <w:p>
      <w:pPr>
        <w:sectPr>
          <w:pgSz w:w="11900" w:h="16838" w:orient="portrait"/>
          <w:cols w:equalWidth="0" w:num="2">
            <w:col w:w="6920" w:space="480"/>
            <w:col w:w="3600"/>
          </w:cols>
          <w:pgMar w:left="320" w:top="482" w:right="5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Thomas P. Joyce,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jc w:val="right"/>
        <w:ind w:right="100"/>
        <w:spacing w:after="0"/>
        <w:rPr>
          <w:sz w:val="20"/>
          <w:szCs w:val="20"/>
          <w:color w:val="auto"/>
        </w:rPr>
      </w:pPr>
      <w:r>
        <w:rPr>
          <w:rFonts w:ascii="Arial" w:cs="Arial" w:eastAsia="Arial" w:hAnsi="Arial"/>
          <w:sz w:val="15"/>
          <w:szCs w:val="15"/>
          <w:b w:val="1"/>
          <w:bCs w:val="1"/>
          <w:color w:val="auto"/>
        </w:rPr>
        <w:t>Retired President and Chief Executive Officer, Danaher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185420</wp:posOffset>
            </wp:positionV>
            <wp:extent cx="34201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53" w:lineRule="exact"/>
        <w:rPr>
          <w:sz w:val="20"/>
          <w:szCs w:val="20"/>
          <w:color w:val="auto"/>
        </w:rPr>
      </w:pPr>
    </w:p>
    <w:p>
      <w:pPr>
        <w:ind w:left="1680" w:right="100"/>
        <w:spacing w:after="0" w:line="257" w:lineRule="auto"/>
        <w:rPr>
          <w:sz w:val="20"/>
          <w:szCs w:val="20"/>
          <w:color w:val="auto"/>
        </w:rPr>
      </w:pPr>
      <w:r>
        <w:rPr>
          <w:rFonts w:ascii="Arial" w:cs="Arial" w:eastAsia="Arial" w:hAnsi="Arial"/>
          <w:sz w:val="16"/>
          <w:szCs w:val="16"/>
          <w:color w:val="auto"/>
        </w:rPr>
        <w:t>Mr. Joyce served as Danaher Corporation’s President and Chief Executive Officer from September 2014 to September 2020. He also served as a senior advisor to</w:t>
      </w:r>
    </w:p>
    <w:p>
      <w:pPr>
        <w:spacing w:after="0" w:line="2" w:lineRule="exact"/>
        <w:rPr>
          <w:sz w:val="20"/>
          <w:szCs w:val="20"/>
          <w:color w:val="auto"/>
        </w:rPr>
      </w:pPr>
    </w:p>
    <w:p>
      <w:pPr>
        <w:jc w:val="both"/>
        <w:ind w:left="120" w:right="160"/>
        <w:spacing w:after="0" w:line="254" w:lineRule="auto"/>
        <w:rPr>
          <w:sz w:val="20"/>
          <w:szCs w:val="20"/>
          <w:color w:val="auto"/>
        </w:rPr>
      </w:pPr>
      <w:r>
        <w:rPr>
          <w:rFonts w:ascii="Arial" w:cs="Arial" w:eastAsia="Arial" w:hAnsi="Arial"/>
          <w:sz w:val="16"/>
          <w:szCs w:val="16"/>
          <w:color w:val="auto"/>
        </w:rPr>
        <w:t>Danaher from September 2020 to February 2021. Mr. Joyce joined Danaher in 1989 and served in leadership positions in a variety of different functions and businesses before his promotion to President and Chief Executive Officer. Mr. Joyce also served as a director of Danaher from 2014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1461135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Audit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Compensation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 Multi-industry perspective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 Finance and accounting expertise</w:t>
      </w:r>
    </w:p>
    <w:p>
      <w:pPr>
        <w:spacing w:after="0" w:line="58" w:lineRule="exact"/>
        <w:rPr>
          <w:sz w:val="20"/>
          <w:szCs w:val="20"/>
          <w:color w:val="auto"/>
        </w:rPr>
      </w:pPr>
    </w:p>
    <w:p>
      <w:pPr>
        <w:ind w:left="160" w:right="3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manufacturing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operations 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 Business strategy expertise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left="160" w:right="140" w:hanging="171"/>
        <w:spacing w:after="0" w:line="30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global challenges and opportunities</w:t>
      </w:r>
    </w:p>
    <w:p>
      <w:pPr>
        <w:spacing w:after="0" w:line="200" w:lineRule="exact"/>
        <w:rPr>
          <w:sz w:val="20"/>
          <w:szCs w:val="20"/>
          <w:color w:val="auto"/>
        </w:rPr>
      </w:pPr>
    </w:p>
    <w:p>
      <w:pPr>
        <w:sectPr>
          <w:pgSz w:w="11900" w:h="16838" w:orient="portrait"/>
          <w:cols w:equalWidth="0" w:num="2">
            <w:col w:w="6680" w:space="720"/>
            <w:col w:w="3740"/>
          </w:cols>
          <w:pgMar w:left="320" w:top="482" w:right="43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John F.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71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45940" cy="107188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Former Executive Vice President and Chief Financial Officer, Adobe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236855</wp:posOffset>
            </wp:positionV>
            <wp:extent cx="34201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680" w:right="120"/>
        <w:spacing w:after="0" w:line="257" w:lineRule="auto"/>
        <w:rPr>
          <w:sz w:val="20"/>
          <w:szCs w:val="20"/>
          <w:color w:val="auto"/>
        </w:rPr>
      </w:pPr>
      <w:r>
        <w:rPr>
          <w:rFonts w:ascii="Arial" w:cs="Arial" w:eastAsia="Arial" w:hAnsi="Arial"/>
          <w:sz w:val="16"/>
          <w:szCs w:val="16"/>
          <w:color w:val="auto"/>
        </w:rPr>
        <w:t>Mr. Murphy served as the Executive Vice President and Chief Financial Officer of Adobe Inc., a multinational computer software company, from April 2018 until</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55</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Audit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LegalZoom.com, Inc.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Pure Storage, Inc.</w:t>
      </w:r>
    </w:p>
    <w:p>
      <w:pPr>
        <w:spacing w:after="0" w:line="97" w:lineRule="exact"/>
        <w:rPr>
          <w:sz w:val="20"/>
          <w:szCs w:val="20"/>
          <w:color w:val="auto"/>
        </w:rPr>
      </w:pPr>
    </w:p>
    <w:p>
      <w:pPr>
        <w:sectPr>
          <w:pgSz w:w="11900" w:h="16838" w:orient="portrait"/>
          <w:cols w:equalWidth="0" w:num="2">
            <w:col w:w="6900" w:space="500"/>
            <w:col w:w="3740"/>
          </w:cols>
          <w:pgMar w:left="320" w:top="482" w:right="439" w:bottom="1440" w:gutter="0" w:footer="0" w:header="0"/>
          <w:type w:val="continuous"/>
        </w:sectPr>
      </w:pPr>
    </w:p>
    <w:p>
      <w:pPr>
        <w:ind w:left="120"/>
        <w:spacing w:after="0" w:line="248" w:lineRule="auto"/>
        <w:rPr>
          <w:sz w:val="20"/>
          <w:szCs w:val="20"/>
          <w:color w:val="auto"/>
        </w:rPr>
      </w:pPr>
      <w:r>
        <w:rPr>
          <w:rFonts w:ascii="Arial" w:cs="Arial" w:eastAsia="Arial" w:hAnsi="Arial"/>
          <w:sz w:val="16"/>
          <w:szCs w:val="16"/>
          <w:color w:val="auto"/>
        </w:rPr>
        <w:t>October 2021, and served as Adobe’s Senior Vice President, Chief Accounting Officer and Corporate Controller from March 2017 until April 2018. Prior to joining Adobe, Mr. Murphy served as Senior Vice President, Chief Accounting Officer and Corporate Controller of Qualcomm Incorporated from September 2014 to March 2017. He previously served as Senior Vice President, Controller and Chief Accounting Officer of DIRECTV Inc. from November 2007 to August 2014, and Vice President and General Auditor of DIRECTV from October 2004 to November 2007. Prior to joining DIRECTV he worked at several global companies, including Experian, Nestle, and Atlantic Richfield (ARCO), in a variety of finance and accounting roles. Mr. Murphy also serves as a director of Pure Storage, Inc., a provider of advanced data storage technology and services, and LegalZoom.com, Inc., a leading online platform for business formation and related services in the United States.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76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120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 Finance and accounting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 Multi-industry perspective</w:t>
      </w:r>
    </w:p>
    <w:p>
      <w:pPr>
        <w:spacing w:after="0" w:line="1" w:lineRule="exact"/>
        <w:rPr>
          <w:sz w:val="20"/>
          <w:szCs w:val="20"/>
          <w:color w:val="auto"/>
        </w:rPr>
      </w:pPr>
    </w:p>
    <w:p>
      <w:pPr>
        <w:ind w:right="162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 Global business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 Mergers and acquisitions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58" w:lineRule="exact"/>
        <w:rPr>
          <w:sz w:val="20"/>
          <w:szCs w:val="20"/>
          <w:color w:val="auto"/>
        </w:rPr>
      </w:pPr>
    </w:p>
    <w:p>
      <w:pPr>
        <w:ind w:right="1000"/>
        <w:spacing w:after="0" w:line="336"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 Software and technology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 Cybersecurity experience</w:t>
      </w:r>
    </w:p>
    <w:p>
      <w:pPr>
        <w:spacing w:after="0" w:line="1" w:lineRule="exact"/>
        <w:rPr>
          <w:sz w:val="20"/>
          <w:szCs w:val="20"/>
          <w:color w:val="auto"/>
        </w:rPr>
      </w:pPr>
    </w:p>
    <w:p>
      <w:pPr>
        <w:ind w:right="1180"/>
        <w:spacing w:after="0" w:line="394"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 Public company board experience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 Talent and team development</w:t>
      </w:r>
    </w:p>
    <w:p>
      <w:pPr>
        <w:spacing w:after="0" w:line="200" w:lineRule="exact"/>
        <w:rPr>
          <w:sz w:val="20"/>
          <w:szCs w:val="20"/>
          <w:color w:val="auto"/>
        </w:rPr>
      </w:pPr>
    </w:p>
    <w:p>
      <w:pPr>
        <w:sectPr>
          <w:pgSz w:w="11900" w:h="16838" w:orient="portrait"/>
          <w:cols w:equalWidth="0" w:num="2">
            <w:col w:w="6940" w:space="460"/>
            <w:col w:w="3740"/>
          </w:cols>
          <w:pgMar w:left="320" w:top="482" w:right="439" w:bottom="1440" w:gutter="0" w:footer="0" w:header="0"/>
          <w:type w:val="continuous"/>
        </w:sectPr>
      </w:pPr>
    </w:p>
    <w:p>
      <w:pPr>
        <w:spacing w:after="0" w:line="96" w:lineRule="exact"/>
        <w:rPr>
          <w:sz w:val="20"/>
          <w:szCs w:val="20"/>
          <w:color w:val="auto"/>
        </w:rPr>
      </w:pPr>
    </w:p>
    <w:tbl>
      <w:tblPr>
        <w:tblLayout w:type="fixed"/>
        <w:tblInd w:w="6060" w:type="dxa"/>
        <w:tblCellMar>
          <w:top w:w="0" w:type="dxa"/>
          <w:left w:w="0" w:type="dxa"/>
          <w:bottom w:w="0" w:type="dxa"/>
          <w:right w:w="0" w:type="dxa"/>
        </w:tblCellMar>
      </w:tblPr>
      <w:tr>
        <w:trPr>
          <w:trHeight w:val="243"/>
        </w:trPr>
        <w:tc>
          <w:tcPr>
            <w:tcW w:w="46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20" w:type="dxa"/>
            <w:vAlign w:val="bottom"/>
            <w:vMerge w:val="restart"/>
          </w:tcPr>
          <w:p>
            <w:pPr>
              <w:ind w:left="80"/>
              <w:spacing w:after="0"/>
              <w:rPr>
                <w:sz w:val="20"/>
                <w:szCs w:val="20"/>
                <w:color w:val="auto"/>
              </w:rPr>
            </w:pPr>
            <w:r>
              <w:rPr>
                <w:rFonts w:ascii="Arial" w:cs="Arial" w:eastAsia="Arial" w:hAnsi="Arial"/>
                <w:sz w:val="16"/>
                <w:szCs w:val="16"/>
                <w:b w:val="1"/>
                <w:bCs w:val="1"/>
                <w:color w:val="005CB9"/>
                <w:w w:val="98"/>
              </w:rPr>
              <w:t> 5</w:t>
            </w: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6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42862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Laura G.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-277495</wp:posOffset>
            </wp:positionV>
            <wp:extent cx="4345940" cy="1037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5940" cy="103759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Retired Head of Executive Compensation Practice, Alston &amp; Bird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151130</wp:posOffset>
            </wp:positionV>
            <wp:extent cx="34201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12" w:lineRule="exact"/>
        <w:rPr>
          <w:sz w:val="20"/>
          <w:szCs w:val="20"/>
          <w:color w:val="auto"/>
        </w:rPr>
      </w:pPr>
    </w:p>
    <w:p>
      <w:pPr>
        <w:ind w:left="1680" w:right="40"/>
        <w:spacing w:after="0" w:line="257" w:lineRule="auto"/>
        <w:rPr>
          <w:sz w:val="20"/>
          <w:szCs w:val="20"/>
          <w:color w:val="auto"/>
        </w:rPr>
      </w:pPr>
      <w:r>
        <w:rPr>
          <w:rFonts w:ascii="Arial" w:cs="Arial" w:eastAsia="Arial" w:hAnsi="Arial"/>
          <w:sz w:val="16"/>
          <w:szCs w:val="16"/>
          <w:color w:val="auto"/>
        </w:rPr>
        <w:t>Ms. Thatcher retired in December 2013 after 33 years of legal practice at Alston &amp; Bird LLP, where she developed and led the firm’s executive compensation</w:t>
      </w:r>
    </w:p>
    <w:p>
      <w:pPr>
        <w:spacing w:after="0" w:line="2" w:lineRule="exact"/>
        <w:rPr>
          <w:sz w:val="20"/>
          <w:szCs w:val="20"/>
          <w:color w:val="auto"/>
        </w:rPr>
      </w:pPr>
    </w:p>
    <w:p>
      <w:pPr>
        <w:ind w:left="120"/>
        <w:spacing w:after="0" w:line="248" w:lineRule="auto"/>
        <w:rPr>
          <w:sz w:val="20"/>
          <w:szCs w:val="20"/>
          <w:color w:val="auto"/>
        </w:rPr>
      </w:pPr>
      <w:r>
        <w:rPr>
          <w:rFonts w:ascii="Arial" w:cs="Arial" w:eastAsia="Arial" w:hAnsi="Arial"/>
          <w:sz w:val="16"/>
          <w:szCs w:val="16"/>
          <w:color w:val="auto"/>
        </w:rPr>
        <w:t>practice for 18 years and served as special executive compensation counsel to many U.S. and international publicly traded companies. Ms. Thatcher co- authored the Compensation Committee Handbook, 3rd edition (John Wiley &amp; Sons, 2008), which serves as a guidebook for executive compensation strategies and practices, addressing a full range of functional issues facing compensation committees of public companies, including organizing, planning, compliance, and sound corporate governance. Ms. Thatcher served on the Board of Directors of Batson-Cook Company, a regional commercial construction and development company, from 1994 to 2007. She also served on the Board of Directors of The Atlanta Legal Aid Society, Inc., from 2008 to 2014, and was a Past Chair of the Advisory Board of the Certified Equity Professional Institute (CEPI) of Santa Clara University and was on the Board of Review for a special project sponsored by CEPI that provided universally accepted industry guidance regarding areas of risk and appropriate controls in equity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215900</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68</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 (Chair)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right="1020"/>
        <w:spacing w:after="0" w:line="289"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 Executive compensation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 Organizational development</w:t>
      </w:r>
    </w:p>
    <w:p>
      <w:pPr>
        <w:ind w:right="80"/>
        <w:spacing w:after="0" w:line="263"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 Senior leadership and management experience</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 xml:space="preserve">   Corporate governance</w:t>
      </w: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 Talent and team development</w:t>
      </w:r>
    </w:p>
    <w:p>
      <w:pPr>
        <w:spacing w:after="0" w:line="1215" w:lineRule="exact"/>
        <w:rPr>
          <w:sz w:val="20"/>
          <w:szCs w:val="20"/>
          <w:color w:val="auto"/>
        </w:rPr>
      </w:pPr>
    </w:p>
    <w:p>
      <w:pPr>
        <w:sectPr>
          <w:pgSz w:w="11900" w:h="16838" w:orient="portrait"/>
          <w:cols w:equalWidth="0" w:num="2">
            <w:col w:w="6940" w:space="460"/>
            <w:col w:w="3600"/>
          </w:cols>
          <w:pgMar w:left="320" w:top="482" w:right="579" w:bottom="1440" w:gutter="0" w:footer="0" w:header="0"/>
          <w:type w:val="continuous"/>
        </w:sectPr>
      </w:pPr>
    </w:p>
    <w:p>
      <w:pPr>
        <w:spacing w:after="0" w:line="399"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Richard F. Wallman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-243205</wp:posOffset>
            </wp:positionV>
            <wp:extent cx="4345940" cy="1028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right="320"/>
        <w:spacing w:after="0" w:line="278" w:lineRule="auto"/>
        <w:rPr>
          <w:sz w:val="20"/>
          <w:szCs w:val="20"/>
          <w:color w:val="auto"/>
        </w:rPr>
      </w:pPr>
      <w:r>
        <w:rPr>
          <w:rFonts w:ascii="Arial" w:cs="Arial" w:eastAsia="Arial" w:hAnsi="Arial"/>
          <w:sz w:val="15"/>
          <w:szCs w:val="15"/>
          <w:b w:val="1"/>
          <w:bCs w:val="1"/>
          <w:color w:val="auto"/>
        </w:rPr>
        <w:t>Retired Chief Financial Officer and Senior Vice President, 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67310</wp:posOffset>
            </wp:positionV>
            <wp:extent cx="34201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126" w:lineRule="exact"/>
        <w:rPr>
          <w:sz w:val="20"/>
          <w:szCs w:val="20"/>
          <w:color w:val="auto"/>
        </w:rPr>
      </w:pPr>
    </w:p>
    <w:p>
      <w:pPr>
        <w:ind w:left="1680" w:right="540"/>
        <w:spacing w:after="0" w:line="257" w:lineRule="auto"/>
        <w:rPr>
          <w:sz w:val="20"/>
          <w:szCs w:val="20"/>
          <w:color w:val="auto"/>
        </w:rPr>
      </w:pPr>
      <w:r>
        <w:rPr>
          <w:rFonts w:ascii="Arial" w:cs="Arial" w:eastAsia="Arial" w:hAnsi="Arial"/>
          <w:sz w:val="16"/>
          <w:szCs w:val="16"/>
          <w:color w:val="auto"/>
        </w:rPr>
        <w:t>Mr. Wallman served as the Chief Financial Officer and Senior Vice President of Honeywell International Inc., a diversified industrial technology and manufacturing</w:t>
      </w:r>
    </w:p>
    <w:p>
      <w:pPr>
        <w:spacing w:after="0" w:line="2"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company, and its predecessor AlliedSignal, Inc., from 1995 until his retirement in 2003. Mr. Wallman has also served in senior financial positions with IBM Corporation and Chrysler Corporation. Mr. Wallman has served as a director of CECO Environmental Corp., a global air quality and fluid handling company, since 2021, and Charles River Laboratories International, Inc., a provider of laboratory services for the pharmaceutical, medical device and biotechnology industries, since 2011. In the last five years, Mr. Wallman served as a director of Wright Medical Group N.V., a global medical device company, Boart Longyear Ltd., a global mineral exploration company, Extended Stay America, Inc., a hospitality and lodging company, and SmileDirectClub, Inc., an oral care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6</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6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-205105</wp:posOffset>
            </wp:positionV>
            <wp:extent cx="42862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2007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73</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 Audit (Chair)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 CECO Environmental Corp.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 Charles River Laboratories International, Inc.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ind w:left="160" w:right="680" w:hanging="171"/>
        <w:spacing w:after="0" w:line="264"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leadership and management</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ind w:right="1060"/>
        <w:spacing w:after="0" w:line="277" w:lineRule="auto"/>
        <w:rPr>
          <w:sz w:val="20"/>
          <w:szCs w:val="20"/>
          <w:color w:val="auto"/>
        </w:rPr>
      </w:pPr>
      <w:r>
        <w:rPr>
          <w:rFonts w:ascii="Times New Roman" w:cs="Times New Roman" w:eastAsia="Times New Roman" w:hAnsi="Times New Roman"/>
          <w:sz w:val="15"/>
          <w:szCs w:val="15"/>
          <w:color w:val="005CB9"/>
        </w:rPr>
        <w:t>·</w:t>
      </w:r>
      <w:r>
        <w:rPr>
          <w:rFonts w:ascii="Arial" w:cs="Arial" w:eastAsia="Arial" w:hAnsi="Arial"/>
          <w:sz w:val="15"/>
          <w:szCs w:val="15"/>
          <w:color w:val="000000"/>
        </w:rPr>
        <w:t xml:space="preserve">   Finance and accounting expertise</w:t>
      </w:r>
      <w:r>
        <w:rPr>
          <w:rFonts w:ascii="Times New Roman" w:cs="Times New Roman" w:eastAsia="Times New Roman" w:hAnsi="Times New Roman"/>
          <w:sz w:val="15"/>
          <w:szCs w:val="15"/>
          <w:color w:val="005CB9"/>
        </w:rPr>
        <w:t xml:space="preserve"> ·</w:t>
      </w:r>
      <w:r>
        <w:rPr>
          <w:rFonts w:ascii="Arial" w:cs="Arial" w:eastAsia="Arial" w:hAnsi="Arial"/>
          <w:sz w:val="15"/>
          <w:szCs w:val="15"/>
          <w:color w:val="000000"/>
        </w:rPr>
        <w:t xml:space="preserve">   Multi-industry perspective</w:t>
      </w:r>
    </w:p>
    <w:p>
      <w:pPr>
        <w:spacing w:after="0" w:line="1" w:lineRule="exact"/>
        <w:rPr>
          <w:sz w:val="20"/>
          <w:szCs w:val="20"/>
          <w:color w:val="auto"/>
        </w:rPr>
      </w:pPr>
    </w:p>
    <w:p>
      <w:pPr>
        <w:ind w:left="160" w:right="240" w:hanging="171"/>
        <w:spacing w:after="0" w:line="27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business, industry, manufacturing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operations 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and acquisitions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 Risk management and controls</w:t>
      </w:r>
    </w:p>
    <w:p>
      <w:pPr>
        <w:spacing w:after="0" w:line="18" w:lineRule="exact"/>
        <w:rPr>
          <w:sz w:val="20"/>
          <w:szCs w:val="20"/>
          <w:color w:val="auto"/>
        </w:rPr>
      </w:pPr>
    </w:p>
    <w:p>
      <w:pPr>
        <w:ind w:left="160" w:hanging="171"/>
        <w:spacing w:after="0" w:line="256"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 Management development and understanding of</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global challenges and opportunities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 Public company board experience</w:t>
      </w:r>
    </w:p>
    <w:p>
      <w:pPr>
        <w:sectPr>
          <w:pgSz w:w="11900" w:h="16838" w:orient="portrait"/>
          <w:cols w:equalWidth="0" w:num="2">
            <w:col w:w="6960" w:space="440"/>
            <w:col w:w="3600"/>
          </w:cols>
          <w:pgMar w:left="320" w:top="482" w:right="5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005CB9"/>
        </w:rPr>
        <w:t xml:space="preserve">BOARD OF DIRECTORS </w:t>
      </w:r>
      <w:r>
        <w:rPr>
          <w:rFonts w:ascii="Arial" w:cs="Arial" w:eastAsia="Arial" w:hAnsi="Arial"/>
          <w:sz w:val="17"/>
          <w:szCs w:val="17"/>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301" w:lineRule="exact"/>
        <w:rPr>
          <w:sz w:val="20"/>
          <w:szCs w:val="20"/>
          <w:color w:val="auto"/>
        </w:rPr>
      </w:pPr>
    </w:p>
    <w:p>
      <w:pPr>
        <w:ind w:left="1680"/>
        <w:spacing w:after="0"/>
        <w:rPr>
          <w:sz w:val="20"/>
          <w:szCs w:val="20"/>
          <w:color w:val="auto"/>
        </w:rPr>
      </w:pPr>
      <w:r>
        <w:rPr>
          <w:rFonts w:ascii="Arial" w:cs="Arial" w:eastAsia="Arial" w:hAnsi="Arial"/>
          <w:sz w:val="25"/>
          <w:szCs w:val="25"/>
          <w:b w:val="1"/>
          <w:bCs w:val="1"/>
          <w:color w:val="005CB9"/>
        </w:rPr>
        <w:t>Christopher 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-269240</wp:posOffset>
            </wp:positionV>
            <wp:extent cx="4345940" cy="1028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45940" cy="1028700"/>
                    </a:xfrm>
                    <a:prstGeom prst="rect">
                      <a:avLst/>
                    </a:prstGeom>
                    <a:noFill/>
                  </pic:spPr>
                </pic:pic>
              </a:graphicData>
            </a:graphic>
          </wp:anchor>
        </w:drawing>
      </w:r>
    </w:p>
    <w:p>
      <w:pPr>
        <w:spacing w:after="0" w:line="76" w:lineRule="exact"/>
        <w:rPr>
          <w:sz w:val="20"/>
          <w:szCs w:val="20"/>
          <w:color w:val="auto"/>
        </w:rPr>
      </w:pPr>
    </w:p>
    <w:p>
      <w:pPr>
        <w:ind w:left="1680"/>
        <w:spacing w:after="0"/>
        <w:rPr>
          <w:sz w:val="20"/>
          <w:szCs w:val="20"/>
          <w:color w:val="auto"/>
        </w:rPr>
      </w:pPr>
      <w:r>
        <w:rPr>
          <w:rFonts w:ascii="Arial" w:cs="Arial" w:eastAsia="Arial" w:hAnsi="Arial"/>
          <w:sz w:val="15"/>
          <w:szCs w:val="15"/>
          <w:b w:val="1"/>
          <w:bCs w:val="1"/>
          <w:color w:val="auto"/>
        </w:rPr>
        <w:t>Director, Merifin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133985</wp:posOffset>
            </wp:positionV>
            <wp:extent cx="34201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31" w:lineRule="exact"/>
        <w:rPr>
          <w:sz w:val="20"/>
          <w:szCs w:val="20"/>
          <w:color w:val="auto"/>
        </w:rPr>
      </w:pPr>
    </w:p>
    <w:p>
      <w:pPr>
        <w:ind w:left="1680" w:right="560"/>
        <w:spacing w:after="0" w:line="266" w:lineRule="auto"/>
        <w:rPr>
          <w:sz w:val="20"/>
          <w:szCs w:val="20"/>
          <w:color w:val="auto"/>
        </w:rPr>
      </w:pPr>
      <w:r>
        <w:rPr>
          <w:rFonts w:ascii="Arial" w:cs="Arial" w:eastAsia="Arial" w:hAnsi="Arial"/>
          <w:sz w:val="16"/>
          <w:szCs w:val="16"/>
          <w:color w:val="auto"/>
        </w:rPr>
        <w:t>Mr. Wright is a board member of Merifin Capital, a single family investment company based in Europe. Until 2003 he was a Group Management Board</w:t>
      </w:r>
    </w:p>
    <w:p>
      <w:pPr>
        <w:spacing w:after="0" w:line="50"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Member of Dresdner Kleinwort, part of Allianz SE, and was CEO of its global alternative assets division working from NYC/Frankfurt/London. He has sat on the boards of publicly listed companies in Europe and the USA, and of private companies in Brazil, South Africa, India and China. Until 2023, he was Chairman of Kestrel Partners, a UK public equities asset management company focused on B2B software investing. He is currently a director of GP Investments Ltd., a listed European company and a former director of Spice Private Equity A.G. He previously served as a director of Yatra Ltd. (Euronext) from 2010 to 2018. He is Hon. Fellow, Corpus Christi College, University of Oxford, sitting also on its Endowment Board, and is a director of the Sutton Trust, an educational charity, among other pro bono activities.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 1991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Age 66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 Audit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 Compensation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Public Directorships: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 GP Investments Limited (Luxembourg)</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Qualifications &amp; Expertise: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 Executive and management experience</w:t>
      </w:r>
    </w:p>
    <w:p>
      <w:pPr>
        <w:spacing w:after="0" w:line="58" w:lineRule="exact"/>
        <w:rPr>
          <w:sz w:val="20"/>
          <w:szCs w:val="20"/>
          <w:color w:val="auto"/>
        </w:rPr>
      </w:pPr>
    </w:p>
    <w:p>
      <w:pPr>
        <w:ind w:left="160" w:right="68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 Global public and private company board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experience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 Finance and accounting expertise</w:t>
      </w:r>
    </w:p>
    <w:p>
      <w:pPr>
        <w:spacing w:after="0" w:line="58" w:lineRule="exact"/>
        <w:rPr>
          <w:sz w:val="20"/>
          <w:szCs w:val="20"/>
          <w:color w:val="auto"/>
        </w:rPr>
      </w:pPr>
    </w:p>
    <w:p>
      <w:pPr>
        <w:ind w:left="160" w:right="72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 Mergers, acquisitions, and private equity</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investing/fund management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 In-depth knowledge of the Company</w:t>
      </w:r>
    </w:p>
    <w:p>
      <w:pPr>
        <w:spacing w:after="0" w:line="58" w:lineRule="exact"/>
        <w:rPr>
          <w:sz w:val="20"/>
          <w:szCs w:val="20"/>
          <w:color w:val="auto"/>
        </w:rPr>
      </w:pPr>
    </w:p>
    <w:p>
      <w:pPr>
        <w:ind w:left="160" w:right="340" w:hanging="171"/>
        <w:spacing w:after="0" w:line="280"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 Broad experience in technology, software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healthcare sectors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 Cybersecurity expertise</w:t>
      </w:r>
    </w:p>
    <w:p>
      <w:pPr>
        <w:spacing w:after="0" w:line="58" w:lineRule="exact"/>
        <w:rPr>
          <w:sz w:val="20"/>
          <w:szCs w:val="20"/>
          <w:color w:val="auto"/>
        </w:rPr>
      </w:pPr>
    </w:p>
    <w:p>
      <w:pPr>
        <w:ind w:left="160" w:right="420" w:hanging="171"/>
        <w:spacing w:after="0" w:line="302" w:lineRule="auto"/>
        <w:rPr>
          <w:sz w:val="20"/>
          <w:szCs w:val="20"/>
          <w:color w:val="auto"/>
        </w:rPr>
      </w:pPr>
      <w:r>
        <w:rPr>
          <w:rFonts w:ascii="Times New Roman" w:cs="Times New Roman" w:eastAsia="Times New Roman" w:hAnsi="Times New Roman"/>
          <w:sz w:val="16"/>
          <w:szCs w:val="16"/>
          <w:color w:val="005CB9"/>
        </w:rPr>
        <w:t>·</w:t>
      </w:r>
      <w:r>
        <w:rPr>
          <w:rFonts w:ascii="Arial" w:cs="Arial" w:eastAsia="Arial" w:hAnsi="Arial"/>
          <w:sz w:val="16"/>
          <w:szCs w:val="16"/>
          <w:color w:val="000000"/>
        </w:rPr>
        <w:t xml:space="preserve">   Understanding of global challenges, risk and</w:t>
      </w:r>
      <w:r>
        <w:rPr>
          <w:rFonts w:ascii="Times New Roman" w:cs="Times New Roman" w:eastAsia="Times New Roman" w:hAnsi="Times New Roman"/>
          <w:sz w:val="16"/>
          <w:szCs w:val="16"/>
          <w:color w:val="005CB9"/>
        </w:rPr>
        <w:t xml:space="preserve"> </w:t>
      </w:r>
      <w:r>
        <w:rPr>
          <w:rFonts w:ascii="Arial" w:cs="Arial" w:eastAsia="Arial" w:hAnsi="Arial"/>
          <w:sz w:val="16"/>
          <w:szCs w:val="16"/>
          <w:color w:val="000000"/>
        </w:rPr>
        <w:t>opportunities</w:t>
      </w:r>
    </w:p>
    <w:p>
      <w:pPr>
        <w:spacing w:after="0" w:line="200" w:lineRule="exact"/>
        <w:rPr>
          <w:sz w:val="20"/>
          <w:szCs w:val="20"/>
          <w:color w:val="auto"/>
        </w:rPr>
      </w:pPr>
    </w:p>
    <w:p>
      <w:pPr>
        <w:sectPr>
          <w:pgSz w:w="11900" w:h="16838" w:orient="portrait"/>
          <w:cols w:equalWidth="0" w:num="2">
            <w:col w:w="6960" w:space="440"/>
            <w:col w:w="3740"/>
          </w:cols>
          <w:pgMar w:left="320" w:top="482" w:right="439" w:bottom="1440" w:gutter="0" w:footer="0" w:header="0"/>
          <w:type w:val="continuous"/>
        </w:sectPr>
      </w:pPr>
    </w:p>
    <w:p>
      <w:pPr>
        <w:spacing w:after="0" w:line="335" w:lineRule="exact"/>
        <w:rPr>
          <w:sz w:val="20"/>
          <w:szCs w:val="20"/>
          <w:color w:val="auto"/>
        </w:rPr>
      </w:pPr>
    </w:p>
    <w:tbl>
      <w:tblPr>
        <w:tblLayout w:type="fixed"/>
        <w:tblInd w:w="6060" w:type="dxa"/>
        <w:tblCellMar>
          <w:top w:w="0" w:type="dxa"/>
          <w:left w:w="0" w:type="dxa"/>
          <w:bottom w:w="0" w:type="dxa"/>
          <w:right w:w="0" w:type="dxa"/>
        </w:tblCellMar>
      </w:tblPr>
      <w:tr>
        <w:trPr>
          <w:trHeight w:val="243"/>
        </w:trPr>
        <w:tc>
          <w:tcPr>
            <w:tcW w:w="46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220" w:type="dxa"/>
            <w:vAlign w:val="bottom"/>
            <w:vMerge w:val="restart"/>
          </w:tcPr>
          <w:p>
            <w:pPr>
              <w:ind w:left="80"/>
              <w:spacing w:after="0"/>
              <w:rPr>
                <w:sz w:val="20"/>
                <w:szCs w:val="20"/>
                <w:color w:val="auto"/>
              </w:rPr>
            </w:pPr>
            <w:r>
              <w:rPr>
                <w:rFonts w:ascii="Arial" w:cs="Arial" w:eastAsia="Arial" w:hAnsi="Arial"/>
                <w:sz w:val="16"/>
                <w:szCs w:val="16"/>
                <w:b w:val="1"/>
                <w:bCs w:val="1"/>
                <w:color w:val="005CB9"/>
                <w:w w:val="98"/>
              </w:rPr>
              <w:t> 7</w:t>
            </w:r>
          </w:p>
        </w:tc>
        <w:tc>
          <w:tcPr>
            <w:tcW w:w="0" w:type="dxa"/>
            <w:vAlign w:val="bottom"/>
          </w:tcPr>
          <w:p>
            <w:pPr>
              <w:spacing w:after="0"/>
              <w:rPr>
                <w:sz w:val="1"/>
                <w:szCs w:val="1"/>
                <w:color w:val="auto"/>
              </w:rPr>
            </w:pPr>
          </w:p>
        </w:tc>
      </w:tr>
      <w:tr>
        <w:trPr>
          <w:trHeight w:val="60"/>
        </w:trPr>
        <w:tc>
          <w:tcPr>
            <w:tcW w:w="46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6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4286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CORPORATE GOVERNANCE</w:t>
      </w: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Corporate Governance Guidelines</w:t>
      </w:r>
    </w:p>
    <w:p>
      <w:pPr>
        <w:spacing w:after="0" w:line="100" w:lineRule="exact"/>
        <w:rPr>
          <w:sz w:val="20"/>
          <w:szCs w:val="20"/>
          <w:color w:val="auto"/>
        </w:rPr>
      </w:pPr>
    </w:p>
    <w:p>
      <w:pPr>
        <w:ind w:left="120" w:right="160"/>
        <w:spacing w:after="0" w:line="241" w:lineRule="auto"/>
        <w:rPr>
          <w:sz w:val="20"/>
          <w:szCs w:val="20"/>
          <w:color w:val="auto"/>
        </w:rPr>
      </w:pPr>
      <w:r>
        <w:rPr>
          <w:rFonts w:ascii="Arial" w:cs="Arial" w:eastAsia="Arial" w:hAnsi="Arial"/>
          <w:sz w:val="17"/>
          <w:szCs w:val="17"/>
          <w:color w:val="auto"/>
        </w:rPr>
        <w:t>Our Board is committed to maintaining high standards of ethical business conduct and sound corporate governance practices and policies. Our Corporate Governance Guidelines reflect our Board of Directors’ commitment to monitoring the effectiveness of the Board and its committees in exercising their responsibilities.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Code of Conduct</w:t>
      </w:r>
    </w:p>
    <w:p>
      <w:pPr>
        <w:spacing w:after="0" w:line="10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Code of Conduct (the “Code of Conduct”) addresses the professional, honest and transparent conduct of our directors, officers and employees. The Code of Conduct also addresses conflicts of interest, disclosure processes, compliance with laws, rules, and regulations (including insider trading laws), corporate opportunities, confidentiality, fair dealing, and protection and proper use of Company assets. The Code of Conduct encourages the reporting of any illegal or unethical behavior. Any amendments to, or waivers of, the Code of Conduct will be disclosed on our website promptly following the date of such amendment or waiver as required by law. Copies of the Code of Conduct may be obtained in print without charge upon written request by any stockholder to the Company’s office at 6496 University Parkway, Sarasota, Florida 34240.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Director Independence</w:t>
      </w:r>
    </w:p>
    <w:p>
      <w:pPr>
        <w:spacing w:after="0" w:line="10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Corporate Governance Guidelines require that a majority of our directors qualify as “independent,” as defined by the listing standards of Nasdaq. As required by these director independence standards, our Board reviewed and analyzed the independence of each director earlier this year to determine whether any particular relationship or transaction involving any director, or any of that director’s affiliates or immediate family members, was inconsistent with a determination that the director is independent for purposes of serving on our Board of Directors and its committees. During this review, our Board examined transactions and relationships between directors or their affiliates and immediate family members and Roper and/or Roper’s management. As a result of this review our Board affirmatively determined that all directors are independent, except for Mr. Hunn, and that each member of the Audit, Compensation, and Nominating and Governance Committees is independent under applicable Nasdaq and Securities and Exchange Commission (“SEC”) rules for purposes of serving on such committees.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005CB9"/>
                <w:w w:val="71"/>
              </w:rPr>
              <w:t>8</w:t>
            </w:r>
          </w:p>
        </w:tc>
        <w:tc>
          <w:tcPr>
            <w:tcW w:w="200" w:type="dxa"/>
            <w:vAlign w:val="bottom"/>
            <w:tcBorders>
              <w:right w:val="single" w:sz="8" w:color="005CB9"/>
            </w:tcBorders>
          </w:tcPr>
          <w:p>
            <w:pPr>
              <w:ind w:left="2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6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120" w:type="dxa"/>
            <w:vAlign w:val="bottom"/>
            <w:vMerge w:val="continue"/>
          </w:tcPr>
          <w:p>
            <w:pPr>
              <w:spacing w:after="0"/>
              <w:rPr>
                <w:sz w:val="5"/>
                <w:szCs w:val="5"/>
                <w:color w:val="auto"/>
              </w:rPr>
            </w:pPr>
          </w:p>
        </w:tc>
        <w:tc>
          <w:tcPr>
            <w:tcW w:w="20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20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-205105</wp:posOffset>
            </wp:positionV>
            <wp:extent cx="42862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Nominating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-1156335</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0"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The Nominating and Governance Committee, acting under its charter, determines the desired skills, abilities, judgment, diversity (including gender, race and ethnicity as well as background and experience) and other criteria deemed appropriate for service as a director and is responsible for recommending new director candidates and renomination of incumbent directors based on those criteria, which include but is not limited to:</w:t>
      </w:r>
    </w:p>
    <w:p>
      <w:pPr>
        <w:spacing w:after="0" w:line="88" w:lineRule="exact"/>
        <w:rPr>
          <w:sz w:val="20"/>
          <w:szCs w:val="20"/>
          <w:color w:val="auto"/>
        </w:rPr>
      </w:pPr>
    </w:p>
    <w:p>
      <w:pPr>
        <w:ind w:left="380" w:hanging="224"/>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high personal and professional ethics;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integrity and values;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knowledge of our business environment;</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sound judgment and analytical ability;</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skills and experience in the context of the needs of our Board;</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breadth of business experience and diversity of perspective; and</w:t>
      </w:r>
    </w:p>
    <w:p>
      <w:pPr>
        <w:spacing w:after="0" w:line="115" w:lineRule="exact"/>
        <w:rPr>
          <w:rFonts w:ascii="Arial" w:cs="Arial" w:eastAsia="Arial" w:hAnsi="Arial"/>
          <w:sz w:val="17"/>
          <w:szCs w:val="17"/>
          <w:color w:val="auto"/>
        </w:rPr>
      </w:pPr>
    </w:p>
    <w:p>
      <w:pPr>
        <w:ind w:left="380" w:right="580" w:hanging="224"/>
        <w:spacing w:after="0" w:line="267"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the candidate meets the applicable independence requirements under Nasdaq and SEC rules.</w:t>
      </w:r>
    </w:p>
    <w:p>
      <w:pPr>
        <w:spacing w:after="0" w:line="15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Our Board’s process for identifying and evaluating potential director nominees includes soliciting recommendations from our directors and engaging a third party to assist in identifying potential director nominees when a Board position becomes available. Our Board ensures that diverse candidates are included in the pool of candidates from which it considers possible new director candidates and will continue to ensure ethnically, racially and/or gender diverse candidates are identified and interviewed during the search process.</w:t>
      </w:r>
    </w:p>
    <w:p>
      <w:pPr>
        <w:spacing w:after="0" w:line="18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Neither the Board of Directors nor the Nominating and Governance Committee has a specific policy regarding consideration of shareholder director nominees. Shareholder nominees submitted pursuant to the requirements set forth in the By-laws will be considered under the same criteria that are applied to other candidates. A shareholder of record who nominates a director candidate must provide a notice along with the additional information and materials required by our By-laws. See “Information Regarding the 2025 Annual Meeting of Shareholders” for additional information regarding nominating director candidates.</w:t>
      </w:r>
    </w:p>
    <w:p>
      <w:pPr>
        <w:sectPr>
          <w:pgSz w:w="11900" w:h="16838" w:orient="portrait"/>
          <w:cols w:equalWidth="0" w:num="2">
            <w:col w:w="5360" w:space="380"/>
            <w:col w:w="536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005CB9"/>
        </w:rPr>
        <w:t>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69951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137795</wp:posOffset>
            </wp:positionV>
            <wp:extent cx="93980" cy="548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54864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326390</wp:posOffset>
            </wp:positionV>
            <wp:extent cx="94615" cy="3600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3600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343535</wp:posOffset>
            </wp:positionV>
            <wp:extent cx="93980" cy="342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34290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454660</wp:posOffset>
            </wp:positionV>
            <wp:extent cx="94615" cy="2317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4615" cy="23177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309245</wp:posOffset>
            </wp:positionV>
            <wp:extent cx="93980" cy="3771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3771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429260</wp:posOffset>
            </wp:positionV>
            <wp:extent cx="94615" cy="2571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4615" cy="25717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360680</wp:posOffset>
            </wp:positionV>
            <wp:extent cx="94615" cy="3257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615" cy="3257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300355</wp:posOffset>
            </wp:positionV>
            <wp:extent cx="93980" cy="3860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38608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309245</wp:posOffset>
            </wp:positionV>
            <wp:extent cx="93980" cy="377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3771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394970</wp:posOffset>
            </wp:positionV>
            <wp:extent cx="93980" cy="2914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6700" w:type="dxa"/>
            <w:vAlign w:val="bottom"/>
            <w:tcBorders>
              <w:top w:val="single" w:sz="8" w:color="005CB9"/>
              <w:bottom w:val="single" w:sz="8" w:color="005CB9"/>
            </w:tcBorders>
          </w:tcPr>
          <w:p>
            <w:pPr>
              <w:spacing w:after="0"/>
              <w:rPr>
                <w:sz w:val="20"/>
                <w:szCs w:val="20"/>
                <w:color w:val="auto"/>
              </w:rPr>
            </w:pPr>
            <w:r>
              <w:rPr>
                <w:rFonts w:ascii="Arial" w:cs="Arial" w:eastAsia="Arial" w:hAnsi="Arial"/>
                <w:sz w:val="13"/>
                <w:szCs w:val="13"/>
                <w:b w:val="1"/>
                <w:bCs w:val="1"/>
                <w:color w:val="005CB9"/>
              </w:rPr>
              <w:t>  Executive Leadership Experience</w:t>
            </w:r>
          </w:p>
        </w:tc>
        <w:tc>
          <w:tcPr>
            <w:tcW w:w="160" w:type="dxa"/>
            <w:vAlign w:val="bottom"/>
            <w:tcBorders>
              <w:top w:val="single" w:sz="8" w:color="005CB9"/>
              <w:bottom w:val="single" w:sz="8" w:color="005CB9"/>
            </w:tcBorders>
          </w:tcPr>
          <w:p>
            <w:pPr>
              <w:spacing w:after="0"/>
              <w:rPr>
                <w:sz w:val="24"/>
                <w:szCs w:val="24"/>
                <w:color w:val="auto"/>
              </w:rPr>
            </w:pPr>
          </w:p>
        </w:tc>
        <w:tc>
          <w:tcPr>
            <w:tcW w:w="840" w:type="dxa"/>
            <w:vAlign w:val="bottom"/>
            <w:tcBorders>
              <w:top w:val="single" w:sz="8" w:color="005CB9"/>
              <w:bottom w:val="single" w:sz="8" w:color="005CB9"/>
            </w:tcBorders>
          </w:tcPr>
          <w:p>
            <w:pPr>
              <w:spacing w:after="0"/>
              <w:rPr>
                <w:sz w:val="24"/>
                <w:szCs w:val="24"/>
                <w:color w:val="auto"/>
              </w:rPr>
            </w:pPr>
          </w:p>
        </w:tc>
        <w:tc>
          <w:tcPr>
            <w:tcW w:w="3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top w:val="single" w:sz="8" w:color="005CB9"/>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top w:val="single" w:sz="8" w:color="005CB9"/>
              <w:bottom w:val="single" w:sz="8" w:color="005CB9"/>
            </w:tcBorders>
            <w:shd w:val="clear" w:color="auto" w:fill="EAEAEA"/>
          </w:tcPr>
          <w:p>
            <w:pPr>
              <w:spacing w:after="0"/>
              <w:rPr>
                <w:sz w:val="24"/>
                <w:szCs w:val="24"/>
                <w:color w:val="auto"/>
              </w:rPr>
            </w:pPr>
          </w:p>
        </w:tc>
        <w:tc>
          <w:tcPr>
            <w:tcW w:w="26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0" w:type="dxa"/>
            <w:vAlign w:val="bottom"/>
            <w:tcBorders>
              <w:top w:val="single" w:sz="8" w:color="005CB9"/>
              <w:bottom w:val="single" w:sz="8" w:color="005CB9"/>
            </w:tcBorders>
          </w:tcPr>
          <w:p>
            <w:pPr>
              <w:spacing w:after="0"/>
              <w:rPr>
                <w:sz w:val="24"/>
                <w:szCs w:val="24"/>
                <w:color w:val="auto"/>
              </w:rPr>
            </w:pPr>
          </w:p>
        </w:tc>
        <w:tc>
          <w:tcPr>
            <w:tcW w:w="140" w:type="dxa"/>
            <w:vAlign w:val="bottom"/>
            <w:tcBorders>
              <w:top w:val="single" w:sz="8" w:color="005CB9"/>
              <w:bottom w:val="single" w:sz="8" w:color="005CB9"/>
            </w:tcBorders>
          </w:tcPr>
          <w:p>
            <w:pPr>
              <w:spacing w:after="0"/>
              <w:rPr>
                <w:sz w:val="24"/>
                <w:szCs w:val="24"/>
                <w:color w:val="auto"/>
              </w:rPr>
            </w:pPr>
          </w:p>
        </w:tc>
        <w:tc>
          <w:tcPr>
            <w:tcW w:w="280" w:type="dxa"/>
            <w:vAlign w:val="bottom"/>
            <w:tcBorders>
              <w:top w:val="single" w:sz="8" w:color="005CB9"/>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top w:val="single" w:sz="8" w:color="005CB9"/>
              <w:left w:val="single" w:sz="8" w:color="EAEAEA"/>
              <w:bottom w:val="single" w:sz="8" w:color="005CB9"/>
            </w:tcBorders>
          </w:tcPr>
          <w:p>
            <w:pPr>
              <w:spacing w:after="0"/>
              <w:rPr>
                <w:sz w:val="24"/>
                <w:szCs w:val="24"/>
                <w:color w:val="auto"/>
              </w:rPr>
            </w:pPr>
          </w:p>
        </w:tc>
        <w:tc>
          <w:tcPr>
            <w:tcW w:w="60" w:type="dxa"/>
            <w:vAlign w:val="bottom"/>
            <w:tcBorders>
              <w:top w:val="single" w:sz="8" w:color="005CB9"/>
              <w:bottom w:val="single" w:sz="8" w:color="005CB9"/>
            </w:tcBorders>
          </w:tcPr>
          <w:p>
            <w:pPr>
              <w:spacing w:after="0"/>
              <w:rPr>
                <w:sz w:val="24"/>
                <w:szCs w:val="24"/>
                <w:color w:val="auto"/>
              </w:rPr>
            </w:pPr>
          </w:p>
        </w:tc>
        <w:tc>
          <w:tcPr>
            <w:tcW w:w="220" w:type="dxa"/>
            <w:vAlign w:val="bottom"/>
            <w:tcBorders>
              <w:top w:val="single" w:sz="8" w:color="005CB9"/>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Financial and Accounting Expertise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Corporate Governance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spacing w:after="0"/>
              <w:rPr>
                <w:sz w:val="24"/>
                <w:szCs w:val="24"/>
                <w:color w:val="auto"/>
              </w:rPr>
            </w:pP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gridSpan w:val="2"/>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Decentralized Operating Model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spacing w:after="0"/>
              <w:rPr>
                <w:sz w:val="24"/>
                <w:szCs w:val="24"/>
                <w:color w:val="auto"/>
              </w:rPr>
            </w:pP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spacing w:after="0"/>
              <w:rPr>
                <w:sz w:val="24"/>
                <w:szCs w:val="24"/>
                <w:color w:val="auto"/>
              </w:rPr>
            </w:pP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Software/Technology Industry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gridSpan w:val="2"/>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Cybersecurity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spacing w:after="0"/>
              <w:rPr>
                <w:sz w:val="24"/>
                <w:szCs w:val="24"/>
                <w:color w:val="auto"/>
              </w:rPr>
            </w:pP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Healthcare Industry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spacing w:after="0"/>
              <w:rPr>
                <w:sz w:val="24"/>
                <w:szCs w:val="24"/>
                <w:color w:val="auto"/>
              </w:rPr>
            </w:pP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spacing w:after="0"/>
              <w:rPr>
                <w:sz w:val="24"/>
                <w:szCs w:val="24"/>
                <w:color w:val="auto"/>
              </w:rPr>
            </w:pP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Capital Deployment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Organizational Development/Talent Management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gridSpan w:val="2"/>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Risk Management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gridSpan w:val="2"/>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Strategic Planning Experience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6700" w:type="dxa"/>
            <w:vAlign w:val="bottom"/>
          </w:tcPr>
          <w:p>
            <w:pPr>
              <w:ind w:left="4380"/>
              <w:spacing w:after="0"/>
              <w:rPr>
                <w:sz w:val="20"/>
                <w:szCs w:val="20"/>
                <w:color w:val="auto"/>
              </w:rPr>
            </w:pPr>
            <w:r>
              <w:rPr>
                <w:rFonts w:ascii="Arial" w:cs="Arial" w:eastAsia="Arial" w:hAnsi="Arial"/>
                <w:sz w:val="18"/>
                <w:szCs w:val="18"/>
                <w:b w:val="1"/>
                <w:bCs w:val="1"/>
                <w:color w:val="005CB9"/>
              </w:rPr>
              <w:t>Background and Diversity</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700" w:type="dxa"/>
            <w:vAlign w:val="bottom"/>
            <w:tcBorders>
              <w:bottom w:val="single" w:sz="8" w:color="005CB9"/>
            </w:tcBorders>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1160" w:type="dxa"/>
            <w:vAlign w:val="bottom"/>
            <w:tcBorders>
              <w:bottom w:val="single" w:sz="8" w:color="005CB9"/>
            </w:tcBorders>
            <w:gridSpan w:val="2"/>
          </w:tcPr>
          <w:p>
            <w:pPr>
              <w:spacing w:after="0"/>
              <w:rPr>
                <w:sz w:val="3"/>
                <w:szCs w:val="3"/>
                <w:color w:val="auto"/>
              </w:rPr>
            </w:pPr>
          </w:p>
        </w:tc>
        <w:tc>
          <w:tcPr>
            <w:tcW w:w="340" w:type="dxa"/>
            <w:vAlign w:val="bottom"/>
            <w:tcBorders>
              <w:bottom w:val="single" w:sz="8" w:color="005CB9"/>
            </w:tcBorders>
          </w:tcPr>
          <w:p>
            <w:pPr>
              <w:spacing w:after="0"/>
              <w:rPr>
                <w:sz w:val="3"/>
                <w:szCs w:val="3"/>
                <w:color w:val="auto"/>
              </w:rPr>
            </w:pPr>
          </w:p>
        </w:tc>
        <w:tc>
          <w:tcPr>
            <w:tcW w:w="320" w:type="dxa"/>
            <w:vAlign w:val="bottom"/>
            <w:tcBorders>
              <w:bottom w:val="single" w:sz="8" w:color="005CB9"/>
            </w:tcBorders>
          </w:tcPr>
          <w:p>
            <w:pPr>
              <w:spacing w:after="0"/>
              <w:rPr>
                <w:sz w:val="3"/>
                <w:szCs w:val="3"/>
                <w:color w:val="auto"/>
              </w:rPr>
            </w:pPr>
          </w:p>
        </w:tc>
        <w:tc>
          <w:tcPr>
            <w:tcW w:w="340" w:type="dxa"/>
            <w:vAlign w:val="bottom"/>
            <w:tcBorders>
              <w:bottom w:val="single" w:sz="8" w:color="005CB9"/>
            </w:tcBorders>
          </w:tcPr>
          <w:p>
            <w:pPr>
              <w:spacing w:after="0"/>
              <w:rPr>
                <w:sz w:val="3"/>
                <w:szCs w:val="3"/>
                <w:color w:val="auto"/>
              </w:rPr>
            </w:pPr>
          </w:p>
        </w:tc>
        <w:tc>
          <w:tcPr>
            <w:tcW w:w="300" w:type="dxa"/>
            <w:vAlign w:val="bottom"/>
            <w:tcBorders>
              <w:bottom w:val="single" w:sz="8" w:color="005CB9"/>
            </w:tcBorders>
          </w:tcPr>
          <w:p>
            <w:pPr>
              <w:spacing w:after="0"/>
              <w:rPr>
                <w:sz w:val="3"/>
                <w:szCs w:val="3"/>
                <w:color w:val="auto"/>
              </w:rPr>
            </w:pPr>
          </w:p>
        </w:tc>
        <w:tc>
          <w:tcPr>
            <w:tcW w:w="320" w:type="dxa"/>
            <w:vAlign w:val="bottom"/>
            <w:tcBorders>
              <w:bottom w:val="single" w:sz="8" w:color="005CB9"/>
            </w:tcBorders>
          </w:tcPr>
          <w:p>
            <w:pPr>
              <w:spacing w:after="0"/>
              <w:rPr>
                <w:sz w:val="3"/>
                <w:szCs w:val="3"/>
                <w:color w:val="auto"/>
              </w:rPr>
            </w:pPr>
          </w:p>
        </w:tc>
        <w:tc>
          <w:tcPr>
            <w:tcW w:w="80" w:type="dxa"/>
            <w:vAlign w:val="bottom"/>
            <w:tcBorders>
              <w:bottom w:val="single" w:sz="8" w:color="005CB9"/>
            </w:tcBorders>
          </w:tcPr>
          <w:p>
            <w:pPr>
              <w:spacing w:after="0"/>
              <w:rPr>
                <w:sz w:val="3"/>
                <w:szCs w:val="3"/>
                <w:color w:val="auto"/>
              </w:rPr>
            </w:pPr>
          </w:p>
        </w:tc>
        <w:tc>
          <w:tcPr>
            <w:tcW w:w="260" w:type="dxa"/>
            <w:vAlign w:val="bottom"/>
            <w:tcBorders>
              <w:bottom w:val="single" w:sz="8" w:color="005CB9"/>
            </w:tcBorders>
          </w:tcPr>
          <w:p>
            <w:pPr>
              <w:spacing w:after="0"/>
              <w:rPr>
                <w:sz w:val="3"/>
                <w:szCs w:val="3"/>
                <w:color w:val="auto"/>
              </w:rPr>
            </w:pPr>
          </w:p>
        </w:tc>
        <w:tc>
          <w:tcPr>
            <w:tcW w:w="200" w:type="dxa"/>
            <w:vAlign w:val="bottom"/>
            <w:tcBorders>
              <w:bottom w:val="single" w:sz="8" w:color="005CB9"/>
            </w:tcBorders>
          </w:tcPr>
          <w:p>
            <w:pPr>
              <w:spacing w:after="0"/>
              <w:rPr>
                <w:sz w:val="3"/>
                <w:szCs w:val="3"/>
                <w:color w:val="auto"/>
              </w:rPr>
            </w:pPr>
          </w:p>
        </w:tc>
        <w:tc>
          <w:tcPr>
            <w:tcW w:w="140" w:type="dxa"/>
            <w:vAlign w:val="bottom"/>
            <w:tcBorders>
              <w:bottom w:val="single" w:sz="8" w:color="005CB9"/>
            </w:tcBorders>
          </w:tcPr>
          <w:p>
            <w:pPr>
              <w:spacing w:after="0"/>
              <w:rPr>
                <w:sz w:val="3"/>
                <w:szCs w:val="3"/>
                <w:color w:val="auto"/>
              </w:rPr>
            </w:pPr>
          </w:p>
        </w:tc>
        <w:tc>
          <w:tcPr>
            <w:tcW w:w="280" w:type="dxa"/>
            <w:vAlign w:val="bottom"/>
            <w:tcBorders>
              <w:bottom w:val="single" w:sz="8" w:color="005CB9"/>
            </w:tcBorders>
          </w:tcPr>
          <w:p>
            <w:pPr>
              <w:spacing w:after="0"/>
              <w:rPr>
                <w:sz w:val="3"/>
                <w:szCs w:val="3"/>
                <w:color w:val="auto"/>
              </w:rPr>
            </w:pPr>
          </w:p>
        </w:tc>
        <w:tc>
          <w:tcPr>
            <w:tcW w:w="140" w:type="dxa"/>
            <w:vAlign w:val="bottom"/>
            <w:tcBorders>
              <w:bottom w:val="single" w:sz="8" w:color="005CB9"/>
            </w:tcBorders>
          </w:tcPr>
          <w:p>
            <w:pPr>
              <w:spacing w:after="0"/>
              <w:rPr>
                <w:sz w:val="3"/>
                <w:szCs w:val="3"/>
                <w:color w:val="auto"/>
              </w:rPr>
            </w:pPr>
          </w:p>
        </w:tc>
        <w:tc>
          <w:tcPr>
            <w:tcW w:w="60" w:type="dxa"/>
            <w:vAlign w:val="bottom"/>
            <w:tcBorders>
              <w:bottom w:val="single" w:sz="8" w:color="005CB9"/>
            </w:tcBorders>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Years on the Board</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ind w:left="10"/>
              <w:spacing w:after="0"/>
              <w:rPr>
                <w:sz w:val="20"/>
                <w:szCs w:val="20"/>
                <w:color w:val="auto"/>
              </w:rPr>
            </w:pPr>
            <w:r>
              <w:rPr>
                <w:rFonts w:ascii="Arial" w:cs="Arial" w:eastAsia="Arial" w:hAnsi="Arial"/>
                <w:sz w:val="18"/>
                <w:szCs w:val="18"/>
                <w:b w:val="1"/>
                <w:bCs w:val="1"/>
                <w:color w:val="005CB9"/>
                <w:w w:val="99"/>
              </w:rPr>
              <w:t>6</w:t>
            </w:r>
          </w:p>
        </w:tc>
        <w:tc>
          <w:tcPr>
            <w:tcW w:w="3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9</w:t>
            </w:r>
          </w:p>
        </w:tc>
        <w:tc>
          <w:tcPr>
            <w:tcW w:w="3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3</w:t>
            </w:r>
          </w:p>
        </w:tc>
        <w:tc>
          <w:tcPr>
            <w:tcW w:w="340" w:type="dxa"/>
            <w:vAlign w:val="bottom"/>
            <w:tcBorders>
              <w:bottom w:val="single" w:sz="8" w:color="005CB9"/>
              <w:right w:val="single" w:sz="8" w:color="EAEAEA"/>
            </w:tcBorders>
          </w:tcPr>
          <w:p>
            <w:pPr>
              <w:jc w:val="center"/>
              <w:spacing w:after="0"/>
              <w:rPr>
                <w:sz w:val="20"/>
                <w:szCs w:val="20"/>
                <w:color w:val="auto"/>
              </w:rPr>
            </w:pPr>
            <w:r>
              <w:rPr>
                <w:rFonts w:ascii="Arial" w:cs="Arial" w:eastAsia="Arial" w:hAnsi="Arial"/>
                <w:sz w:val="18"/>
                <w:szCs w:val="18"/>
                <w:b w:val="1"/>
                <w:bCs w:val="1"/>
                <w:color w:val="005CB9"/>
                <w:w w:val="99"/>
              </w:rPr>
              <w:t>6</w:t>
            </w:r>
          </w:p>
        </w:tc>
        <w:tc>
          <w:tcPr>
            <w:tcW w:w="30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19</w:t>
            </w:r>
          </w:p>
        </w:tc>
        <w:tc>
          <w:tcPr>
            <w:tcW w:w="320" w:type="dxa"/>
            <w:vAlign w:val="bottom"/>
            <w:tcBorders>
              <w:bottom w:val="single" w:sz="8" w:color="005CB9"/>
            </w:tcBorders>
          </w:tcPr>
          <w:p>
            <w:pPr>
              <w:jc w:val="center"/>
              <w:ind w:left="10"/>
              <w:spacing w:after="0"/>
              <w:rPr>
                <w:sz w:val="20"/>
                <w:szCs w:val="20"/>
                <w:color w:val="auto"/>
              </w:rPr>
            </w:pPr>
            <w:r>
              <w:rPr>
                <w:rFonts w:ascii="Arial" w:cs="Arial" w:eastAsia="Arial" w:hAnsi="Arial"/>
                <w:sz w:val="18"/>
                <w:szCs w:val="18"/>
                <w:b w:val="1"/>
                <w:bCs w:val="1"/>
                <w:color w:val="005CB9"/>
                <w:w w:val="99"/>
              </w:rPr>
              <w:t>3</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0</w:t>
            </w:r>
          </w:p>
        </w:tc>
        <w:tc>
          <w:tcPr>
            <w:tcW w:w="340" w:type="dxa"/>
            <w:vAlign w:val="bottom"/>
            <w:tcBorders>
              <w:bottom w:val="single" w:sz="8" w:color="005CB9"/>
            </w:tcBorders>
            <w:gridSpan w:val="2"/>
          </w:tcPr>
          <w:p>
            <w:pPr>
              <w:jc w:val="center"/>
              <w:spacing w:after="0"/>
              <w:rPr>
                <w:sz w:val="20"/>
                <w:szCs w:val="20"/>
                <w:color w:val="auto"/>
              </w:rPr>
            </w:pPr>
            <w:r>
              <w:rPr>
                <w:rFonts w:ascii="Arial" w:cs="Arial" w:eastAsia="Arial" w:hAnsi="Arial"/>
                <w:sz w:val="18"/>
                <w:szCs w:val="18"/>
                <w:b w:val="1"/>
                <w:bCs w:val="1"/>
                <w:color w:val="005CB9"/>
                <w:w w:val="99"/>
              </w:rPr>
              <w:t>9</w:t>
            </w:r>
          </w:p>
        </w:tc>
        <w:tc>
          <w:tcPr>
            <w:tcW w:w="28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17</w:t>
            </w:r>
          </w:p>
        </w:tc>
        <w:tc>
          <w:tcPr>
            <w:tcW w:w="140" w:type="dxa"/>
            <w:vAlign w:val="bottom"/>
            <w:tcBorders>
              <w:left w:val="single" w:sz="8" w:color="EAEAEA"/>
              <w:bottom w:val="single" w:sz="8" w:color="005CB9"/>
            </w:tcBorders>
          </w:tcPr>
          <w:p>
            <w:pPr>
              <w:spacing w:after="0"/>
              <w:rPr>
                <w:sz w:val="24"/>
                <w:szCs w:val="24"/>
                <w:color w:val="auto"/>
              </w:rPr>
            </w:pPr>
          </w:p>
        </w:tc>
        <w:tc>
          <w:tcPr>
            <w:tcW w:w="280" w:type="dxa"/>
            <w:vAlign w:val="bottom"/>
            <w:tcBorders>
              <w:bottom w:val="single" w:sz="8" w:color="005CB9"/>
            </w:tcBorders>
            <w:gridSpan w:val="2"/>
          </w:tcPr>
          <w:p>
            <w:pPr>
              <w:jc w:val="center"/>
              <w:spacing w:after="0"/>
              <w:rPr>
                <w:sz w:val="20"/>
                <w:szCs w:val="20"/>
                <w:color w:val="auto"/>
              </w:rPr>
            </w:pPr>
            <w:r>
              <w:rPr>
                <w:rFonts w:ascii="Arial" w:cs="Arial" w:eastAsia="Arial" w:hAnsi="Arial"/>
                <w:sz w:val="18"/>
                <w:szCs w:val="18"/>
                <w:b w:val="1"/>
                <w:bCs w:val="1"/>
                <w:color w:val="005CB9"/>
                <w:w w:val="99"/>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Age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61</w:t>
            </w:r>
          </w:p>
        </w:tc>
        <w:tc>
          <w:tcPr>
            <w:tcW w:w="3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68</w:t>
            </w:r>
          </w:p>
        </w:tc>
        <w:tc>
          <w:tcPr>
            <w:tcW w:w="32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65</w:t>
            </w:r>
          </w:p>
        </w:tc>
        <w:tc>
          <w:tcPr>
            <w:tcW w:w="340" w:type="dxa"/>
            <w:vAlign w:val="bottom"/>
            <w:tcBorders>
              <w:bottom w:val="single" w:sz="8" w:color="005CB9"/>
              <w:right w:val="single" w:sz="8" w:color="EAEAEA"/>
            </w:tcBorders>
          </w:tcPr>
          <w:p>
            <w:pPr>
              <w:jc w:val="center"/>
              <w:spacing w:after="0"/>
              <w:rPr>
                <w:sz w:val="20"/>
                <w:szCs w:val="20"/>
                <w:color w:val="auto"/>
              </w:rPr>
            </w:pPr>
            <w:r>
              <w:rPr>
                <w:rFonts w:ascii="Arial" w:cs="Arial" w:eastAsia="Arial" w:hAnsi="Arial"/>
                <w:sz w:val="18"/>
                <w:szCs w:val="18"/>
                <w:b w:val="1"/>
                <w:bCs w:val="1"/>
                <w:color w:val="005CB9"/>
                <w:w w:val="99"/>
              </w:rPr>
              <w:t>52</w:t>
            </w:r>
          </w:p>
        </w:tc>
        <w:tc>
          <w:tcPr>
            <w:tcW w:w="30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76</w:t>
            </w:r>
          </w:p>
        </w:tc>
        <w:tc>
          <w:tcPr>
            <w:tcW w:w="32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63</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55</w:t>
            </w:r>
          </w:p>
        </w:tc>
        <w:tc>
          <w:tcPr>
            <w:tcW w:w="340" w:type="dxa"/>
            <w:vAlign w:val="bottom"/>
            <w:tcBorders>
              <w:bottom w:val="single" w:sz="8" w:color="005CB9"/>
            </w:tcBorders>
            <w:gridSpan w:val="2"/>
          </w:tcPr>
          <w:p>
            <w:pPr>
              <w:jc w:val="center"/>
              <w:spacing w:after="0"/>
              <w:rPr>
                <w:sz w:val="20"/>
                <w:szCs w:val="20"/>
                <w:color w:val="auto"/>
              </w:rPr>
            </w:pPr>
            <w:r>
              <w:rPr>
                <w:rFonts w:ascii="Arial" w:cs="Arial" w:eastAsia="Arial" w:hAnsi="Arial"/>
                <w:sz w:val="18"/>
                <w:szCs w:val="18"/>
                <w:b w:val="1"/>
                <w:bCs w:val="1"/>
                <w:color w:val="005CB9"/>
                <w:w w:val="99"/>
              </w:rPr>
              <w:t>68</w:t>
            </w:r>
          </w:p>
        </w:tc>
        <w:tc>
          <w:tcPr>
            <w:tcW w:w="280" w:type="dxa"/>
            <w:vAlign w:val="bottom"/>
            <w:tcBorders>
              <w:bottom w:val="single" w:sz="8" w:color="005CB9"/>
            </w:tcBorders>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73</w:t>
            </w:r>
          </w:p>
        </w:tc>
        <w:tc>
          <w:tcPr>
            <w:tcW w:w="140" w:type="dxa"/>
            <w:vAlign w:val="bottom"/>
            <w:tcBorders>
              <w:left w:val="single" w:sz="8" w:color="EAEAEA"/>
              <w:bottom w:val="single" w:sz="8" w:color="005CB9"/>
            </w:tcBorders>
          </w:tcPr>
          <w:p>
            <w:pPr>
              <w:spacing w:after="0"/>
              <w:rPr>
                <w:sz w:val="24"/>
                <w:szCs w:val="24"/>
                <w:color w:val="auto"/>
              </w:rPr>
            </w:pPr>
          </w:p>
        </w:tc>
        <w:tc>
          <w:tcPr>
            <w:tcW w:w="280" w:type="dxa"/>
            <w:vAlign w:val="bottom"/>
            <w:tcBorders>
              <w:bottom w:val="single" w:sz="8" w:color="005CB9"/>
            </w:tcBorders>
            <w:gridSpan w:val="2"/>
          </w:tcPr>
          <w:p>
            <w:pPr>
              <w:jc w:val="center"/>
              <w:spacing w:after="0"/>
              <w:rPr>
                <w:sz w:val="20"/>
                <w:szCs w:val="20"/>
                <w:color w:val="auto"/>
              </w:rPr>
            </w:pPr>
            <w:r>
              <w:rPr>
                <w:rFonts w:ascii="Arial" w:cs="Arial" w:eastAsia="Arial" w:hAnsi="Arial"/>
                <w:sz w:val="18"/>
                <w:szCs w:val="18"/>
                <w:b w:val="1"/>
                <w:bCs w:val="1"/>
                <w:color w:val="005CB9"/>
                <w:w w:val="99"/>
              </w:rPr>
              <w:t>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Pr>
          <w:p>
            <w:pPr>
              <w:spacing w:after="0"/>
              <w:rPr>
                <w:sz w:val="20"/>
                <w:szCs w:val="20"/>
                <w:color w:val="auto"/>
              </w:rPr>
            </w:pPr>
            <w:r>
              <w:rPr>
                <w:rFonts w:ascii="Arial" w:cs="Arial" w:eastAsia="Arial" w:hAnsi="Arial"/>
                <w:sz w:val="13"/>
                <w:szCs w:val="13"/>
                <w:b w:val="1"/>
                <w:bCs w:val="1"/>
                <w:color w:val="005CB9"/>
              </w:rPr>
              <w:t>  Gender</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shd w:val="clear" w:color="auto" w:fill="EAEAEA"/>
          </w:tcPr>
          <w:p>
            <w:pPr>
              <w:ind w:left="140"/>
              <w:spacing w:after="0"/>
              <w:rPr>
                <w:sz w:val="20"/>
                <w:szCs w:val="20"/>
                <w:color w:val="auto"/>
              </w:rPr>
            </w:pPr>
            <w:r>
              <w:rPr>
                <w:rFonts w:ascii="Arial" w:cs="Arial" w:eastAsia="Arial" w:hAnsi="Arial"/>
                <w:sz w:val="18"/>
                <w:szCs w:val="18"/>
                <w:b w:val="1"/>
                <w:bCs w:val="1"/>
                <w:color w:val="005CB9"/>
              </w:rPr>
              <w:t>F</w:t>
            </w:r>
          </w:p>
        </w:tc>
        <w:tc>
          <w:tcPr>
            <w:tcW w:w="340" w:type="dxa"/>
            <w:vAlign w:val="bottom"/>
          </w:tcPr>
          <w:p>
            <w:pPr>
              <w:ind w:left="140"/>
              <w:spacing w:after="0"/>
              <w:rPr>
                <w:sz w:val="20"/>
                <w:szCs w:val="20"/>
                <w:color w:val="auto"/>
              </w:rPr>
            </w:pPr>
            <w:r>
              <w:rPr>
                <w:rFonts w:ascii="Arial" w:cs="Arial" w:eastAsia="Arial" w:hAnsi="Arial"/>
                <w:sz w:val="18"/>
                <w:szCs w:val="18"/>
                <w:b w:val="1"/>
                <w:bCs w:val="1"/>
                <w:color w:val="005CB9"/>
              </w:rPr>
              <w:t>F</w:t>
            </w:r>
          </w:p>
        </w:tc>
        <w:tc>
          <w:tcPr>
            <w:tcW w:w="320" w:type="dxa"/>
            <w:vAlign w:val="bottom"/>
            <w:shd w:val="clear" w:color="auto" w:fill="EAEAEA"/>
          </w:tcPr>
          <w:p>
            <w:pPr>
              <w:ind w:left="140"/>
              <w:spacing w:after="0"/>
              <w:rPr>
                <w:sz w:val="20"/>
                <w:szCs w:val="20"/>
                <w:color w:val="auto"/>
              </w:rPr>
            </w:pPr>
            <w:r>
              <w:rPr>
                <w:rFonts w:ascii="Arial" w:cs="Arial" w:eastAsia="Arial" w:hAnsi="Arial"/>
                <w:sz w:val="18"/>
                <w:szCs w:val="18"/>
                <w:b w:val="1"/>
                <w:bCs w:val="1"/>
                <w:color w:val="005CB9"/>
              </w:rPr>
              <w:t>F</w:t>
            </w:r>
          </w:p>
        </w:tc>
        <w:tc>
          <w:tcPr>
            <w:tcW w:w="340" w:type="dxa"/>
            <w:vAlign w:val="bottom"/>
            <w:tcBorders>
              <w:right w:val="single" w:sz="8" w:color="EAEAEA"/>
            </w:tcBorders>
          </w:tcPr>
          <w:p>
            <w:pPr>
              <w:ind w:left="120"/>
              <w:spacing w:after="0"/>
              <w:rPr>
                <w:sz w:val="20"/>
                <w:szCs w:val="20"/>
                <w:color w:val="auto"/>
              </w:rPr>
            </w:pPr>
            <w:r>
              <w:rPr>
                <w:rFonts w:ascii="Arial" w:cs="Arial" w:eastAsia="Arial" w:hAnsi="Arial"/>
                <w:sz w:val="18"/>
                <w:szCs w:val="18"/>
                <w:b w:val="1"/>
                <w:bCs w:val="1"/>
                <w:color w:val="005CB9"/>
              </w:rPr>
              <w:t>M</w:t>
            </w:r>
          </w:p>
        </w:tc>
        <w:tc>
          <w:tcPr>
            <w:tcW w:w="300" w:type="dxa"/>
            <w:vAlign w:val="bottom"/>
            <w:shd w:val="clear" w:color="auto" w:fill="EAEAEA"/>
          </w:tcPr>
          <w:p>
            <w:pPr>
              <w:ind w:left="100"/>
              <w:spacing w:after="0"/>
              <w:rPr>
                <w:sz w:val="20"/>
                <w:szCs w:val="20"/>
                <w:color w:val="auto"/>
              </w:rPr>
            </w:pPr>
            <w:r>
              <w:rPr>
                <w:rFonts w:ascii="Arial" w:cs="Arial" w:eastAsia="Arial" w:hAnsi="Arial"/>
                <w:sz w:val="18"/>
                <w:szCs w:val="18"/>
                <w:b w:val="1"/>
                <w:bCs w:val="1"/>
                <w:color w:val="005CB9"/>
              </w:rPr>
              <w:t>M</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005CB9"/>
              </w:rPr>
              <w:t>M</w:t>
            </w:r>
          </w:p>
        </w:tc>
        <w:tc>
          <w:tcPr>
            <w:tcW w:w="80" w:type="dxa"/>
            <w:vAlign w:val="bottom"/>
            <w:shd w:val="clear" w:color="auto" w:fill="EAEAEA"/>
          </w:tcPr>
          <w:p>
            <w:pPr>
              <w:spacing w:after="0"/>
              <w:rPr>
                <w:sz w:val="24"/>
                <w:szCs w:val="24"/>
                <w:color w:val="auto"/>
              </w:rPr>
            </w:pPr>
          </w:p>
        </w:tc>
        <w:tc>
          <w:tcPr>
            <w:tcW w:w="260" w:type="dxa"/>
            <w:vAlign w:val="bottom"/>
            <w:shd w:val="clear" w:color="auto" w:fill="EAEAEA"/>
          </w:tcPr>
          <w:p>
            <w:pPr>
              <w:ind w:left="60"/>
              <w:spacing w:after="0"/>
              <w:rPr>
                <w:sz w:val="20"/>
                <w:szCs w:val="20"/>
                <w:color w:val="auto"/>
              </w:rPr>
            </w:pPr>
            <w:r>
              <w:rPr>
                <w:rFonts w:ascii="Arial" w:cs="Arial" w:eastAsia="Arial" w:hAnsi="Arial"/>
                <w:sz w:val="18"/>
                <w:szCs w:val="18"/>
                <w:b w:val="1"/>
                <w:bCs w:val="1"/>
                <w:color w:val="005CB9"/>
              </w:rPr>
              <w:t>M</w:t>
            </w:r>
          </w:p>
        </w:tc>
        <w:tc>
          <w:tcPr>
            <w:tcW w:w="340" w:type="dxa"/>
            <w:vAlign w:val="bottom"/>
            <w:gridSpan w:val="2"/>
          </w:tcPr>
          <w:p>
            <w:pPr>
              <w:ind w:left="160"/>
              <w:spacing w:after="0"/>
              <w:rPr>
                <w:sz w:val="20"/>
                <w:szCs w:val="20"/>
                <w:color w:val="auto"/>
              </w:rPr>
            </w:pPr>
            <w:r>
              <w:rPr>
                <w:rFonts w:ascii="Arial" w:cs="Arial" w:eastAsia="Arial" w:hAnsi="Arial"/>
                <w:sz w:val="18"/>
                <w:szCs w:val="18"/>
                <w:b w:val="1"/>
                <w:bCs w:val="1"/>
                <w:color w:val="005CB9"/>
              </w:rPr>
              <w:t>F</w:t>
            </w:r>
          </w:p>
        </w:tc>
        <w:tc>
          <w:tcPr>
            <w:tcW w:w="280" w:type="dxa"/>
            <w:vAlign w:val="bottom"/>
            <w:shd w:val="clear" w:color="auto" w:fill="EAEAEA"/>
          </w:tcPr>
          <w:p>
            <w:pPr>
              <w:ind w:left="140"/>
              <w:spacing w:after="0"/>
              <w:rPr>
                <w:sz w:val="20"/>
                <w:szCs w:val="20"/>
                <w:color w:val="auto"/>
              </w:rPr>
            </w:pPr>
            <w:r>
              <w:rPr>
                <w:rFonts w:ascii="Arial" w:cs="Arial" w:eastAsia="Arial" w:hAnsi="Arial"/>
                <w:sz w:val="17"/>
                <w:szCs w:val="17"/>
                <w:b w:val="1"/>
                <w:bCs w:val="1"/>
                <w:color w:val="005CB9"/>
                <w:w w:val="70"/>
              </w:rPr>
              <w:t>M</w:t>
            </w:r>
          </w:p>
        </w:tc>
        <w:tc>
          <w:tcPr>
            <w:tcW w:w="140" w:type="dxa"/>
            <w:vAlign w:val="bottom"/>
            <w:tcBorders>
              <w:left w:val="single" w:sz="8" w:color="EAEAEA"/>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spacing w:after="0"/>
              <w:rPr>
                <w:sz w:val="20"/>
                <w:szCs w:val="20"/>
                <w:color w:val="auto"/>
              </w:rPr>
            </w:pPr>
            <w:r>
              <w:rPr>
                <w:rFonts w:ascii="Arial" w:cs="Arial" w:eastAsia="Arial" w:hAnsi="Arial"/>
                <w:sz w:val="18"/>
                <w:szCs w:val="18"/>
                <w:b w:val="1"/>
                <w:bCs w:val="1"/>
                <w:color w:val="005CB9"/>
              </w:rPr>
              <w:t>M</w:t>
            </w:r>
          </w:p>
        </w:tc>
        <w:tc>
          <w:tcPr>
            <w:tcW w:w="0" w:type="dxa"/>
            <w:vAlign w:val="bottom"/>
          </w:tcPr>
          <w:p>
            <w:pPr>
              <w:spacing w:after="0"/>
              <w:rPr>
                <w:sz w:val="1"/>
                <w:szCs w:val="1"/>
                <w:color w:val="auto"/>
              </w:rPr>
            </w:pPr>
          </w:p>
        </w:tc>
      </w:tr>
      <w:tr>
        <w:trPr>
          <w:trHeight w:val="283"/>
        </w:trPr>
        <w:tc>
          <w:tcPr>
            <w:tcW w:w="6700" w:type="dxa"/>
            <w:vAlign w:val="bottom"/>
            <w:tcBorders>
              <w:top w:val="single" w:sz="8" w:color="005CB9"/>
              <w:bottom w:val="single" w:sz="8" w:color="005CB9"/>
            </w:tcBorders>
          </w:tcPr>
          <w:p>
            <w:pPr>
              <w:spacing w:after="0"/>
              <w:rPr>
                <w:sz w:val="20"/>
                <w:szCs w:val="20"/>
                <w:color w:val="auto"/>
              </w:rPr>
            </w:pPr>
            <w:r>
              <w:rPr>
                <w:rFonts w:ascii="Arial" w:cs="Arial" w:eastAsia="Arial" w:hAnsi="Arial"/>
                <w:sz w:val="13"/>
                <w:szCs w:val="13"/>
                <w:b w:val="1"/>
                <w:bCs w:val="1"/>
                <w:color w:val="005CB9"/>
              </w:rPr>
              <w:t>  African American/Black</w:t>
            </w:r>
          </w:p>
        </w:tc>
        <w:tc>
          <w:tcPr>
            <w:tcW w:w="160" w:type="dxa"/>
            <w:vAlign w:val="bottom"/>
            <w:tcBorders>
              <w:top w:val="single" w:sz="8" w:color="005CB9"/>
              <w:bottom w:val="single" w:sz="8" w:color="005CB9"/>
            </w:tcBorders>
          </w:tcPr>
          <w:p>
            <w:pPr>
              <w:spacing w:after="0"/>
              <w:rPr>
                <w:sz w:val="24"/>
                <w:szCs w:val="24"/>
                <w:color w:val="auto"/>
              </w:rPr>
            </w:pPr>
          </w:p>
        </w:tc>
        <w:tc>
          <w:tcPr>
            <w:tcW w:w="840" w:type="dxa"/>
            <w:vAlign w:val="bottom"/>
            <w:tcBorders>
              <w:top w:val="single" w:sz="8" w:color="005CB9"/>
              <w:bottom w:val="single" w:sz="8" w:color="005CB9"/>
            </w:tcBorders>
          </w:tcPr>
          <w:p>
            <w:pPr>
              <w:spacing w:after="0"/>
              <w:rPr>
                <w:sz w:val="24"/>
                <w:szCs w:val="24"/>
                <w:color w:val="auto"/>
              </w:rPr>
            </w:pPr>
          </w:p>
        </w:tc>
        <w:tc>
          <w:tcPr>
            <w:tcW w:w="320" w:type="dxa"/>
            <w:vAlign w:val="bottom"/>
            <w:tcBorders>
              <w:top w:val="single" w:sz="8" w:color="005CB9"/>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top w:val="single" w:sz="8" w:color="005CB9"/>
              <w:bottom w:val="single" w:sz="8" w:color="005CB9"/>
            </w:tcBorders>
          </w:tcPr>
          <w:p>
            <w:pPr>
              <w:spacing w:after="0"/>
              <w:rPr>
                <w:sz w:val="24"/>
                <w:szCs w:val="24"/>
                <w:color w:val="auto"/>
              </w:rPr>
            </w:pPr>
          </w:p>
        </w:tc>
        <w:tc>
          <w:tcPr>
            <w:tcW w:w="320" w:type="dxa"/>
            <w:vAlign w:val="bottom"/>
            <w:tcBorders>
              <w:top w:val="single" w:sz="8" w:color="005CB9"/>
              <w:bottom w:val="single" w:sz="8" w:color="005CB9"/>
            </w:tcBorders>
            <w:shd w:val="clear" w:color="auto" w:fill="EAEAEA"/>
          </w:tcPr>
          <w:p>
            <w:pPr>
              <w:spacing w:after="0"/>
              <w:rPr>
                <w:sz w:val="24"/>
                <w:szCs w:val="24"/>
                <w:color w:val="auto"/>
              </w:rPr>
            </w:pPr>
          </w:p>
        </w:tc>
        <w:tc>
          <w:tcPr>
            <w:tcW w:w="340" w:type="dxa"/>
            <w:vAlign w:val="bottom"/>
            <w:tcBorders>
              <w:top w:val="single" w:sz="8" w:color="005CB9"/>
              <w:bottom w:val="single" w:sz="8" w:color="005CB9"/>
              <w:right w:val="single" w:sz="8" w:color="EAEAEA"/>
            </w:tcBorders>
          </w:tcPr>
          <w:p>
            <w:pPr>
              <w:spacing w:after="0"/>
              <w:rPr>
                <w:sz w:val="24"/>
                <w:szCs w:val="24"/>
                <w:color w:val="auto"/>
              </w:rPr>
            </w:pPr>
          </w:p>
        </w:tc>
        <w:tc>
          <w:tcPr>
            <w:tcW w:w="300" w:type="dxa"/>
            <w:vAlign w:val="bottom"/>
            <w:tcBorders>
              <w:top w:val="single" w:sz="8" w:color="005CB9"/>
              <w:bottom w:val="single" w:sz="8" w:color="005CB9"/>
            </w:tcBorders>
            <w:shd w:val="clear" w:color="auto" w:fill="EAEAEA"/>
          </w:tcPr>
          <w:p>
            <w:pPr>
              <w:spacing w:after="0"/>
              <w:rPr>
                <w:sz w:val="24"/>
                <w:szCs w:val="24"/>
                <w:color w:val="auto"/>
              </w:rPr>
            </w:pPr>
          </w:p>
        </w:tc>
        <w:tc>
          <w:tcPr>
            <w:tcW w:w="320" w:type="dxa"/>
            <w:vAlign w:val="bottom"/>
            <w:tcBorders>
              <w:top w:val="single" w:sz="8" w:color="005CB9"/>
              <w:bottom w:val="single" w:sz="8" w:color="005CB9"/>
            </w:tcBorders>
          </w:tcPr>
          <w:p>
            <w:pPr>
              <w:spacing w:after="0"/>
              <w:rPr>
                <w:sz w:val="24"/>
                <w:szCs w:val="24"/>
                <w:color w:val="auto"/>
              </w:rPr>
            </w:pPr>
          </w:p>
        </w:tc>
        <w:tc>
          <w:tcPr>
            <w:tcW w:w="80" w:type="dxa"/>
            <w:vAlign w:val="bottom"/>
            <w:tcBorders>
              <w:top w:val="single" w:sz="8" w:color="005CB9"/>
              <w:bottom w:val="single" w:sz="8" w:color="005CB9"/>
            </w:tcBorders>
            <w:shd w:val="clear" w:color="auto" w:fill="EAEAEA"/>
          </w:tcPr>
          <w:p>
            <w:pPr>
              <w:spacing w:after="0"/>
              <w:rPr>
                <w:sz w:val="24"/>
                <w:szCs w:val="24"/>
                <w:color w:val="auto"/>
              </w:rPr>
            </w:pPr>
          </w:p>
        </w:tc>
        <w:tc>
          <w:tcPr>
            <w:tcW w:w="260" w:type="dxa"/>
            <w:vAlign w:val="bottom"/>
            <w:tcBorders>
              <w:top w:val="single" w:sz="8" w:color="005CB9"/>
              <w:bottom w:val="single" w:sz="8" w:color="005CB9"/>
            </w:tcBorders>
            <w:shd w:val="clear" w:color="auto" w:fill="EAEAEA"/>
          </w:tcPr>
          <w:p>
            <w:pPr>
              <w:spacing w:after="0"/>
              <w:rPr>
                <w:sz w:val="24"/>
                <w:szCs w:val="24"/>
                <w:color w:val="auto"/>
              </w:rPr>
            </w:pPr>
          </w:p>
        </w:tc>
        <w:tc>
          <w:tcPr>
            <w:tcW w:w="200" w:type="dxa"/>
            <w:vAlign w:val="bottom"/>
            <w:tcBorders>
              <w:top w:val="single" w:sz="8" w:color="005CB9"/>
              <w:bottom w:val="single" w:sz="8" w:color="005CB9"/>
            </w:tcBorders>
          </w:tcPr>
          <w:p>
            <w:pPr>
              <w:spacing w:after="0"/>
              <w:rPr>
                <w:sz w:val="24"/>
                <w:szCs w:val="24"/>
                <w:color w:val="auto"/>
              </w:rPr>
            </w:pPr>
          </w:p>
        </w:tc>
        <w:tc>
          <w:tcPr>
            <w:tcW w:w="140" w:type="dxa"/>
            <w:vAlign w:val="bottom"/>
            <w:tcBorders>
              <w:top w:val="single" w:sz="8" w:color="005CB9"/>
              <w:bottom w:val="single" w:sz="8" w:color="005CB9"/>
            </w:tcBorders>
          </w:tcPr>
          <w:p>
            <w:pPr>
              <w:spacing w:after="0"/>
              <w:rPr>
                <w:sz w:val="24"/>
                <w:szCs w:val="24"/>
                <w:color w:val="auto"/>
              </w:rPr>
            </w:pPr>
          </w:p>
        </w:tc>
        <w:tc>
          <w:tcPr>
            <w:tcW w:w="280" w:type="dxa"/>
            <w:vAlign w:val="bottom"/>
            <w:tcBorders>
              <w:top w:val="single" w:sz="8" w:color="005CB9"/>
              <w:bottom w:val="single" w:sz="8" w:color="005CB9"/>
            </w:tcBorders>
            <w:shd w:val="clear" w:color="auto" w:fill="EAEAEA"/>
          </w:tcPr>
          <w:p>
            <w:pPr>
              <w:spacing w:after="0"/>
              <w:rPr>
                <w:sz w:val="24"/>
                <w:szCs w:val="24"/>
                <w:color w:val="auto"/>
              </w:rPr>
            </w:pPr>
          </w:p>
        </w:tc>
        <w:tc>
          <w:tcPr>
            <w:tcW w:w="140" w:type="dxa"/>
            <w:vAlign w:val="bottom"/>
            <w:tcBorders>
              <w:top w:val="single" w:sz="8" w:color="005CB9"/>
              <w:left w:val="single" w:sz="8" w:color="EAEAEA"/>
              <w:bottom w:val="single" w:sz="8" w:color="005CB9"/>
            </w:tcBorders>
          </w:tcPr>
          <w:p>
            <w:pPr>
              <w:spacing w:after="0"/>
              <w:rPr>
                <w:sz w:val="24"/>
                <w:szCs w:val="24"/>
                <w:color w:val="auto"/>
              </w:rPr>
            </w:pPr>
          </w:p>
        </w:tc>
        <w:tc>
          <w:tcPr>
            <w:tcW w:w="60" w:type="dxa"/>
            <w:vAlign w:val="bottom"/>
            <w:tcBorders>
              <w:top w:val="single" w:sz="8" w:color="005CB9"/>
              <w:bottom w:val="single" w:sz="8" w:color="005CB9"/>
            </w:tcBorders>
          </w:tcPr>
          <w:p>
            <w:pPr>
              <w:spacing w:after="0"/>
              <w:rPr>
                <w:sz w:val="24"/>
                <w:szCs w:val="24"/>
                <w:color w:val="auto"/>
              </w:rPr>
            </w:pPr>
          </w:p>
        </w:tc>
        <w:tc>
          <w:tcPr>
            <w:tcW w:w="220" w:type="dxa"/>
            <w:vAlign w:val="bottom"/>
            <w:tcBorders>
              <w:top w:val="single" w:sz="8" w:color="005CB9"/>
              <w:bottom w:val="single" w:sz="8" w:color="005CB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Hispanic/Latinx</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right w:val="single" w:sz="8" w:color="EAEAEA"/>
            </w:tcBorders>
          </w:tcPr>
          <w:p>
            <w:pPr>
              <w:spacing w:after="0"/>
              <w:rPr>
                <w:sz w:val="24"/>
                <w:szCs w:val="24"/>
                <w:color w:val="auto"/>
              </w:rPr>
            </w:pPr>
          </w:p>
        </w:tc>
        <w:tc>
          <w:tcPr>
            <w:tcW w:w="300" w:type="dxa"/>
            <w:vAlign w:val="bottom"/>
            <w:tcBorders>
              <w:bottom w:val="single" w:sz="8" w:color="005CB9"/>
            </w:tcBorders>
            <w:shd w:val="clear" w:color="auto" w:fill="EAEAEA"/>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spacing w:after="0"/>
              <w:rPr>
                <w:sz w:val="24"/>
                <w:szCs w:val="24"/>
                <w:color w:val="auto"/>
              </w:rPr>
            </w:pPr>
          </w:p>
        </w:tc>
        <w:tc>
          <w:tcPr>
            <w:tcW w:w="20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shd w:val="clear" w:color="auto" w:fill="EAEAEA"/>
          </w:tcPr>
          <w:p>
            <w:pPr>
              <w:spacing w:after="0"/>
              <w:rPr>
                <w:sz w:val="24"/>
                <w:szCs w:val="24"/>
                <w:color w:val="auto"/>
              </w:rPr>
            </w:pP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White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shd w:val="clear" w:color="auto" w:fill="EAEAEA"/>
          </w:tcPr>
          <w:p>
            <w:pPr>
              <w:spacing w:after="0"/>
              <w:rPr>
                <w:sz w:val="24"/>
                <w:szCs w:val="24"/>
                <w:color w:val="auto"/>
              </w:rPr>
            </w:pPr>
          </w:p>
        </w:tc>
        <w:tc>
          <w:tcPr>
            <w:tcW w:w="340" w:type="dxa"/>
            <w:vAlign w:val="bottom"/>
            <w:tcBorders>
              <w:bottom w:val="single" w:sz="8" w:color="005CB9"/>
              <w:right w:val="single" w:sz="8" w:color="EAEAEA"/>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0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340" w:type="dxa"/>
            <w:vAlign w:val="bottom"/>
            <w:tcBorders>
              <w:bottom w:val="single" w:sz="8" w:color="005CB9"/>
            </w:tcBorders>
            <w:gridSpan w:val="2"/>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80" w:type="dxa"/>
            <w:vAlign w:val="bottom"/>
            <w:tcBorders>
              <w:bottom w:val="single" w:sz="8" w:color="005CB9"/>
            </w:tcBorders>
            <w:shd w:val="clear" w:color="auto" w:fill="EAEAEA"/>
          </w:tcPr>
          <w:p>
            <w:pPr>
              <w:jc w:val="center"/>
              <w:ind w:left="50"/>
              <w:spacing w:after="0" w:line="181" w:lineRule="exact"/>
              <w:rPr>
                <w:sz w:val="20"/>
                <w:szCs w:val="20"/>
                <w:color w:val="auto"/>
              </w:rPr>
            </w:pPr>
            <w:r>
              <w:rPr>
                <w:rFonts w:ascii="MS PGothic" w:cs="MS PGothic" w:eastAsia="MS PGothic" w:hAnsi="MS PGothic"/>
                <w:sz w:val="18"/>
                <w:szCs w:val="18"/>
                <w:color w:val="005CB9"/>
              </w:rPr>
              <w:t>∎</w:t>
            </w:r>
          </w:p>
        </w:tc>
        <w:tc>
          <w:tcPr>
            <w:tcW w:w="140" w:type="dxa"/>
            <w:vAlign w:val="bottom"/>
            <w:tcBorders>
              <w:left w:val="single" w:sz="8" w:color="EAEAEA"/>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jc w:val="center"/>
              <w:spacing w:after="0" w:line="181" w:lineRule="exact"/>
              <w:rPr>
                <w:sz w:val="20"/>
                <w:szCs w:val="20"/>
                <w:color w:val="auto"/>
              </w:rPr>
            </w:pPr>
            <w:r>
              <w:rPr>
                <w:rFonts w:ascii="MS PGothic" w:cs="MS PGothic" w:eastAsia="MS PGothic" w:hAnsi="MS PGothic"/>
                <w:sz w:val="18"/>
                <w:szCs w:val="18"/>
                <w:color w:val="005CB9"/>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020" w:type="dxa"/>
            <w:vAlign w:val="bottom"/>
            <w:gridSpan w:val="4"/>
          </w:tcPr>
          <w:p>
            <w:pPr>
              <w:ind w:left="3640"/>
              <w:spacing w:after="0"/>
              <w:rPr>
                <w:sz w:val="20"/>
                <w:szCs w:val="20"/>
                <w:color w:val="auto"/>
              </w:rPr>
            </w:pPr>
            <w:r>
              <w:rPr>
                <w:rFonts w:ascii="Arial" w:cs="Arial" w:eastAsia="Arial" w:hAnsi="Arial"/>
                <w:sz w:val="18"/>
                <w:szCs w:val="18"/>
                <w:b w:val="1"/>
                <w:bCs w:val="1"/>
                <w:color w:val="005CB9"/>
              </w:rPr>
              <w:t>Board Diversity Matrix (as of April 26, 2024)</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6700" w:type="dxa"/>
            <w:vAlign w:val="bottom"/>
            <w:tcBorders>
              <w:bottom w:val="single" w:sz="8" w:color="005CB9"/>
            </w:tcBorders>
          </w:tcPr>
          <w:p>
            <w:pPr>
              <w:spacing w:after="0"/>
              <w:rPr>
                <w:sz w:val="3"/>
                <w:szCs w:val="3"/>
                <w:color w:val="auto"/>
              </w:rPr>
            </w:pPr>
          </w:p>
        </w:tc>
        <w:tc>
          <w:tcPr>
            <w:tcW w:w="160" w:type="dxa"/>
            <w:vAlign w:val="bottom"/>
            <w:tcBorders>
              <w:bottom w:val="single" w:sz="8" w:color="005CB9"/>
            </w:tcBorders>
          </w:tcPr>
          <w:p>
            <w:pPr>
              <w:spacing w:after="0"/>
              <w:rPr>
                <w:sz w:val="3"/>
                <w:szCs w:val="3"/>
                <w:color w:val="auto"/>
              </w:rPr>
            </w:pPr>
          </w:p>
        </w:tc>
        <w:tc>
          <w:tcPr>
            <w:tcW w:w="840" w:type="dxa"/>
            <w:vAlign w:val="bottom"/>
            <w:tcBorders>
              <w:bottom w:val="single" w:sz="8" w:color="005CB9"/>
            </w:tcBorders>
          </w:tcPr>
          <w:p>
            <w:pPr>
              <w:spacing w:after="0"/>
              <w:rPr>
                <w:sz w:val="3"/>
                <w:szCs w:val="3"/>
                <w:color w:val="auto"/>
              </w:rPr>
            </w:pPr>
          </w:p>
        </w:tc>
        <w:tc>
          <w:tcPr>
            <w:tcW w:w="320" w:type="dxa"/>
            <w:vAlign w:val="bottom"/>
            <w:tcBorders>
              <w:bottom w:val="single" w:sz="8" w:color="005CB9"/>
            </w:tcBorders>
          </w:tcPr>
          <w:p>
            <w:pPr>
              <w:spacing w:after="0"/>
              <w:rPr>
                <w:sz w:val="3"/>
                <w:szCs w:val="3"/>
                <w:color w:val="auto"/>
              </w:rPr>
            </w:pPr>
          </w:p>
        </w:tc>
        <w:tc>
          <w:tcPr>
            <w:tcW w:w="340" w:type="dxa"/>
            <w:vAlign w:val="bottom"/>
            <w:tcBorders>
              <w:bottom w:val="single" w:sz="8" w:color="005CB9"/>
            </w:tcBorders>
          </w:tcPr>
          <w:p>
            <w:pPr>
              <w:spacing w:after="0"/>
              <w:rPr>
                <w:sz w:val="3"/>
                <w:szCs w:val="3"/>
                <w:color w:val="auto"/>
              </w:rPr>
            </w:pPr>
          </w:p>
        </w:tc>
        <w:tc>
          <w:tcPr>
            <w:tcW w:w="320" w:type="dxa"/>
            <w:vAlign w:val="bottom"/>
            <w:tcBorders>
              <w:bottom w:val="single" w:sz="8" w:color="005CB9"/>
            </w:tcBorders>
          </w:tcPr>
          <w:p>
            <w:pPr>
              <w:spacing w:after="0"/>
              <w:rPr>
                <w:sz w:val="3"/>
                <w:szCs w:val="3"/>
                <w:color w:val="auto"/>
              </w:rPr>
            </w:pPr>
          </w:p>
        </w:tc>
        <w:tc>
          <w:tcPr>
            <w:tcW w:w="340" w:type="dxa"/>
            <w:vAlign w:val="bottom"/>
            <w:tcBorders>
              <w:bottom w:val="single" w:sz="8" w:color="005CB9"/>
            </w:tcBorders>
          </w:tcPr>
          <w:p>
            <w:pPr>
              <w:spacing w:after="0"/>
              <w:rPr>
                <w:sz w:val="3"/>
                <w:szCs w:val="3"/>
                <w:color w:val="auto"/>
              </w:rPr>
            </w:pPr>
          </w:p>
        </w:tc>
        <w:tc>
          <w:tcPr>
            <w:tcW w:w="300" w:type="dxa"/>
            <w:vAlign w:val="bottom"/>
            <w:tcBorders>
              <w:bottom w:val="single" w:sz="8" w:color="005CB9"/>
            </w:tcBorders>
          </w:tcPr>
          <w:p>
            <w:pPr>
              <w:spacing w:after="0"/>
              <w:rPr>
                <w:sz w:val="3"/>
                <w:szCs w:val="3"/>
                <w:color w:val="auto"/>
              </w:rPr>
            </w:pPr>
          </w:p>
        </w:tc>
        <w:tc>
          <w:tcPr>
            <w:tcW w:w="660" w:type="dxa"/>
            <w:vAlign w:val="bottom"/>
            <w:tcBorders>
              <w:bottom w:val="single" w:sz="8" w:color="005CB9"/>
            </w:tcBorders>
            <w:gridSpan w:val="3"/>
          </w:tcPr>
          <w:p>
            <w:pPr>
              <w:spacing w:after="0"/>
              <w:rPr>
                <w:sz w:val="3"/>
                <w:szCs w:val="3"/>
                <w:color w:val="auto"/>
              </w:rPr>
            </w:pPr>
          </w:p>
        </w:tc>
        <w:tc>
          <w:tcPr>
            <w:tcW w:w="200" w:type="dxa"/>
            <w:vAlign w:val="bottom"/>
            <w:tcBorders>
              <w:bottom w:val="single" w:sz="8" w:color="005CB9"/>
            </w:tcBorders>
          </w:tcPr>
          <w:p>
            <w:pPr>
              <w:spacing w:after="0"/>
              <w:rPr>
                <w:sz w:val="3"/>
                <w:szCs w:val="3"/>
                <w:color w:val="auto"/>
              </w:rPr>
            </w:pPr>
          </w:p>
        </w:tc>
        <w:tc>
          <w:tcPr>
            <w:tcW w:w="140" w:type="dxa"/>
            <w:vAlign w:val="bottom"/>
            <w:tcBorders>
              <w:bottom w:val="single" w:sz="8" w:color="005CB9"/>
            </w:tcBorders>
          </w:tcPr>
          <w:p>
            <w:pPr>
              <w:spacing w:after="0"/>
              <w:rPr>
                <w:sz w:val="3"/>
                <w:szCs w:val="3"/>
                <w:color w:val="auto"/>
              </w:rPr>
            </w:pPr>
          </w:p>
        </w:tc>
        <w:tc>
          <w:tcPr>
            <w:tcW w:w="480" w:type="dxa"/>
            <w:vAlign w:val="bottom"/>
            <w:tcBorders>
              <w:bottom w:val="single" w:sz="8" w:color="005CB9"/>
            </w:tcBorders>
            <w:gridSpan w:val="3"/>
          </w:tcPr>
          <w:p>
            <w:pPr>
              <w:spacing w:after="0"/>
              <w:rPr>
                <w:sz w:val="3"/>
                <w:szCs w:val="3"/>
                <w:color w:val="auto"/>
              </w:rPr>
            </w:pPr>
          </w:p>
        </w:tc>
        <w:tc>
          <w:tcPr>
            <w:tcW w:w="220" w:type="dxa"/>
            <w:vAlign w:val="bottom"/>
            <w:tcBorders>
              <w:bottom w:val="single" w:sz="8" w:color="005CB9"/>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700" w:type="dxa"/>
            <w:vAlign w:val="bottom"/>
          </w:tcPr>
          <w:p>
            <w:pPr>
              <w:spacing w:after="0"/>
              <w:rPr>
                <w:sz w:val="20"/>
                <w:szCs w:val="20"/>
                <w:color w:val="auto"/>
              </w:rPr>
            </w:pPr>
            <w:r>
              <w:rPr>
                <w:rFonts w:ascii="Arial" w:cs="Arial" w:eastAsia="Arial" w:hAnsi="Arial"/>
                <w:sz w:val="13"/>
                <w:szCs w:val="13"/>
                <w:b w:val="1"/>
                <w:bCs w:val="1"/>
                <w:color w:val="005CB9"/>
              </w:rPr>
              <w:t> Total Number of Directors = 10</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shd w:val="clear" w:color="auto" w:fill="EAEAEA"/>
          </w:tcPr>
          <w:p>
            <w:pPr>
              <w:spacing w:after="0"/>
              <w:rPr>
                <w:sz w:val="23"/>
                <w:szCs w:val="23"/>
                <w:color w:val="auto"/>
              </w:rPr>
            </w:pPr>
          </w:p>
        </w:tc>
        <w:tc>
          <w:tcPr>
            <w:tcW w:w="660" w:type="dxa"/>
            <w:vAlign w:val="bottom"/>
            <w:gridSpan w:val="3"/>
            <w:shd w:val="clear" w:color="auto" w:fill="EAEAEA"/>
          </w:tcPr>
          <w:p>
            <w:pPr>
              <w:jc w:val="center"/>
              <w:spacing w:after="0"/>
              <w:rPr>
                <w:sz w:val="20"/>
                <w:szCs w:val="20"/>
                <w:color w:val="auto"/>
              </w:rPr>
            </w:pPr>
            <w:r>
              <w:rPr>
                <w:rFonts w:ascii="Arial" w:cs="Arial" w:eastAsia="Arial" w:hAnsi="Arial"/>
                <w:sz w:val="18"/>
                <w:szCs w:val="18"/>
                <w:b w:val="1"/>
                <w:bCs w:val="1"/>
                <w:color w:val="005CB9"/>
                <w:w w:val="99"/>
              </w:rPr>
              <w:t>Female</w:t>
            </w:r>
          </w:p>
        </w:tc>
        <w:tc>
          <w:tcPr>
            <w:tcW w:w="200" w:type="dxa"/>
            <w:vAlign w:val="bottom"/>
            <w:shd w:val="clear" w:color="auto" w:fill="EAEAEA"/>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005CB9"/>
                <w:w w:val="99"/>
              </w:rPr>
              <w:t>Male</w:t>
            </w:r>
          </w:p>
        </w:tc>
        <w:tc>
          <w:tcPr>
            <w:tcW w:w="0" w:type="dxa"/>
            <w:vAlign w:val="bottom"/>
          </w:tcPr>
          <w:p>
            <w:pPr>
              <w:spacing w:after="0"/>
              <w:rPr>
                <w:sz w:val="1"/>
                <w:szCs w:val="1"/>
                <w:color w:val="auto"/>
              </w:rPr>
            </w:pPr>
          </w:p>
        </w:tc>
      </w:tr>
      <w:tr>
        <w:trPr>
          <w:trHeight w:val="284"/>
        </w:trPr>
        <w:tc>
          <w:tcPr>
            <w:tcW w:w="6700" w:type="dxa"/>
            <w:vAlign w:val="bottom"/>
            <w:tcBorders>
              <w:top w:val="single" w:sz="8" w:color="005CB9"/>
            </w:tcBorders>
          </w:tcPr>
          <w:p>
            <w:pPr>
              <w:spacing w:after="0"/>
              <w:rPr>
                <w:sz w:val="20"/>
                <w:szCs w:val="20"/>
                <w:color w:val="auto"/>
              </w:rPr>
            </w:pPr>
            <w:r>
              <w:rPr>
                <w:rFonts w:ascii="Arial" w:cs="Arial" w:eastAsia="Arial" w:hAnsi="Arial"/>
                <w:sz w:val="13"/>
                <w:szCs w:val="13"/>
                <w:b w:val="1"/>
                <w:bCs w:val="1"/>
                <w:color w:val="005CB9"/>
              </w:rPr>
              <w:t> Part I: Gender Identity</w:t>
            </w:r>
          </w:p>
        </w:tc>
        <w:tc>
          <w:tcPr>
            <w:tcW w:w="160" w:type="dxa"/>
            <w:vAlign w:val="bottom"/>
            <w:tcBorders>
              <w:top w:val="single" w:sz="8" w:color="005CB9"/>
            </w:tcBorders>
          </w:tcPr>
          <w:p>
            <w:pPr>
              <w:spacing w:after="0"/>
              <w:rPr>
                <w:sz w:val="24"/>
                <w:szCs w:val="24"/>
                <w:color w:val="auto"/>
              </w:rPr>
            </w:pPr>
          </w:p>
        </w:tc>
        <w:tc>
          <w:tcPr>
            <w:tcW w:w="840" w:type="dxa"/>
            <w:vAlign w:val="bottom"/>
            <w:tcBorders>
              <w:top w:val="single" w:sz="8" w:color="005CB9"/>
            </w:tcBorders>
          </w:tcPr>
          <w:p>
            <w:pPr>
              <w:spacing w:after="0"/>
              <w:rPr>
                <w:sz w:val="24"/>
                <w:szCs w:val="24"/>
                <w:color w:val="auto"/>
              </w:rPr>
            </w:pPr>
          </w:p>
        </w:tc>
        <w:tc>
          <w:tcPr>
            <w:tcW w:w="320" w:type="dxa"/>
            <w:vAlign w:val="bottom"/>
            <w:tcBorders>
              <w:top w:val="single" w:sz="8" w:color="005CB9"/>
            </w:tcBorders>
          </w:tcPr>
          <w:p>
            <w:pPr>
              <w:spacing w:after="0"/>
              <w:rPr>
                <w:sz w:val="24"/>
                <w:szCs w:val="24"/>
                <w:color w:val="auto"/>
              </w:rPr>
            </w:pPr>
          </w:p>
        </w:tc>
        <w:tc>
          <w:tcPr>
            <w:tcW w:w="340" w:type="dxa"/>
            <w:vAlign w:val="bottom"/>
            <w:tcBorders>
              <w:top w:val="single" w:sz="8" w:color="005CB9"/>
            </w:tcBorders>
          </w:tcPr>
          <w:p>
            <w:pPr>
              <w:spacing w:after="0"/>
              <w:rPr>
                <w:sz w:val="24"/>
                <w:szCs w:val="24"/>
                <w:color w:val="auto"/>
              </w:rPr>
            </w:pPr>
          </w:p>
        </w:tc>
        <w:tc>
          <w:tcPr>
            <w:tcW w:w="320" w:type="dxa"/>
            <w:vAlign w:val="bottom"/>
            <w:tcBorders>
              <w:top w:val="single" w:sz="8" w:color="005CB9"/>
            </w:tcBorders>
          </w:tcPr>
          <w:p>
            <w:pPr>
              <w:spacing w:after="0"/>
              <w:rPr>
                <w:sz w:val="24"/>
                <w:szCs w:val="24"/>
                <w:color w:val="auto"/>
              </w:rPr>
            </w:pPr>
          </w:p>
        </w:tc>
        <w:tc>
          <w:tcPr>
            <w:tcW w:w="340" w:type="dxa"/>
            <w:vAlign w:val="bottom"/>
            <w:tcBorders>
              <w:top w:val="single" w:sz="8" w:color="005CB9"/>
            </w:tcBorders>
          </w:tcPr>
          <w:p>
            <w:pPr>
              <w:spacing w:after="0"/>
              <w:rPr>
                <w:sz w:val="24"/>
                <w:szCs w:val="24"/>
                <w:color w:val="auto"/>
              </w:rPr>
            </w:pPr>
          </w:p>
        </w:tc>
        <w:tc>
          <w:tcPr>
            <w:tcW w:w="300" w:type="dxa"/>
            <w:vAlign w:val="bottom"/>
            <w:tcBorders>
              <w:top w:val="single" w:sz="8" w:color="005CB9"/>
              <w:bottom w:val="single" w:sz="8" w:color="EAEAEA"/>
            </w:tcBorders>
            <w:shd w:val="clear" w:color="auto" w:fill="EAEAEA"/>
          </w:tcPr>
          <w:p>
            <w:pPr>
              <w:spacing w:after="0"/>
              <w:rPr>
                <w:sz w:val="24"/>
                <w:szCs w:val="24"/>
                <w:color w:val="auto"/>
              </w:rPr>
            </w:pPr>
          </w:p>
        </w:tc>
        <w:tc>
          <w:tcPr>
            <w:tcW w:w="320" w:type="dxa"/>
            <w:vAlign w:val="bottom"/>
            <w:tcBorders>
              <w:top w:val="single" w:sz="8" w:color="005CB9"/>
              <w:bottom w:val="single" w:sz="8" w:color="EAEAEA"/>
            </w:tcBorders>
            <w:shd w:val="clear" w:color="auto" w:fill="EAEAEA"/>
          </w:tcPr>
          <w:p>
            <w:pPr>
              <w:spacing w:after="0"/>
              <w:rPr>
                <w:sz w:val="24"/>
                <w:szCs w:val="24"/>
                <w:color w:val="auto"/>
              </w:rPr>
            </w:pPr>
          </w:p>
        </w:tc>
        <w:tc>
          <w:tcPr>
            <w:tcW w:w="80" w:type="dxa"/>
            <w:vAlign w:val="bottom"/>
            <w:tcBorders>
              <w:top w:val="single" w:sz="8" w:color="005CB9"/>
              <w:bottom w:val="single" w:sz="8" w:color="EAEAEA"/>
            </w:tcBorders>
            <w:shd w:val="clear" w:color="auto" w:fill="EAEAEA"/>
          </w:tcPr>
          <w:p>
            <w:pPr>
              <w:spacing w:after="0"/>
              <w:rPr>
                <w:sz w:val="24"/>
                <w:szCs w:val="24"/>
                <w:color w:val="auto"/>
              </w:rPr>
            </w:pPr>
          </w:p>
        </w:tc>
        <w:tc>
          <w:tcPr>
            <w:tcW w:w="260" w:type="dxa"/>
            <w:vAlign w:val="bottom"/>
            <w:tcBorders>
              <w:top w:val="single" w:sz="8" w:color="005CB9"/>
              <w:bottom w:val="single" w:sz="8" w:color="EAEAEA"/>
            </w:tcBorders>
            <w:shd w:val="clear" w:color="auto" w:fill="EAEAEA"/>
          </w:tcPr>
          <w:p>
            <w:pPr>
              <w:spacing w:after="0"/>
              <w:rPr>
                <w:sz w:val="24"/>
                <w:szCs w:val="24"/>
                <w:color w:val="auto"/>
              </w:rPr>
            </w:pPr>
          </w:p>
        </w:tc>
        <w:tc>
          <w:tcPr>
            <w:tcW w:w="200" w:type="dxa"/>
            <w:vAlign w:val="bottom"/>
            <w:tcBorders>
              <w:top w:val="single" w:sz="8" w:color="005CB9"/>
              <w:bottom w:val="single" w:sz="8" w:color="EAEAEA"/>
            </w:tcBorders>
            <w:shd w:val="clear" w:color="auto" w:fill="EAEAEA"/>
          </w:tcPr>
          <w:p>
            <w:pPr>
              <w:spacing w:after="0"/>
              <w:rPr>
                <w:sz w:val="24"/>
                <w:szCs w:val="24"/>
                <w:color w:val="auto"/>
              </w:rPr>
            </w:pPr>
          </w:p>
        </w:tc>
        <w:tc>
          <w:tcPr>
            <w:tcW w:w="140" w:type="dxa"/>
            <w:vAlign w:val="bottom"/>
            <w:tcBorders>
              <w:top w:val="single" w:sz="8" w:color="005CB9"/>
            </w:tcBorders>
          </w:tcPr>
          <w:p>
            <w:pPr>
              <w:spacing w:after="0"/>
              <w:rPr>
                <w:sz w:val="24"/>
                <w:szCs w:val="24"/>
                <w:color w:val="auto"/>
              </w:rPr>
            </w:pPr>
          </w:p>
        </w:tc>
        <w:tc>
          <w:tcPr>
            <w:tcW w:w="280" w:type="dxa"/>
            <w:vAlign w:val="bottom"/>
            <w:tcBorders>
              <w:top w:val="single" w:sz="8" w:color="005CB9"/>
            </w:tcBorders>
          </w:tcPr>
          <w:p>
            <w:pPr>
              <w:spacing w:after="0"/>
              <w:rPr>
                <w:sz w:val="24"/>
                <w:szCs w:val="24"/>
                <w:color w:val="auto"/>
              </w:rPr>
            </w:pPr>
          </w:p>
        </w:tc>
        <w:tc>
          <w:tcPr>
            <w:tcW w:w="140" w:type="dxa"/>
            <w:vAlign w:val="bottom"/>
            <w:tcBorders>
              <w:top w:val="single" w:sz="8" w:color="005CB9"/>
            </w:tcBorders>
          </w:tcPr>
          <w:p>
            <w:pPr>
              <w:spacing w:after="0"/>
              <w:rPr>
                <w:sz w:val="24"/>
                <w:szCs w:val="24"/>
                <w:color w:val="auto"/>
              </w:rPr>
            </w:pPr>
          </w:p>
        </w:tc>
        <w:tc>
          <w:tcPr>
            <w:tcW w:w="60" w:type="dxa"/>
            <w:vAlign w:val="bottom"/>
            <w:tcBorders>
              <w:top w:val="single" w:sz="8" w:color="005CB9"/>
            </w:tcBorders>
          </w:tcPr>
          <w:p>
            <w:pPr>
              <w:spacing w:after="0"/>
              <w:rPr>
                <w:sz w:val="24"/>
                <w:szCs w:val="24"/>
                <w:color w:val="auto"/>
              </w:rPr>
            </w:pPr>
          </w:p>
        </w:tc>
        <w:tc>
          <w:tcPr>
            <w:tcW w:w="220" w:type="dxa"/>
            <w:vAlign w:val="bottom"/>
            <w:tcBorders>
              <w:top w:val="single" w:sz="8" w:color="005CB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Borders>
              <w:top w:val="single" w:sz="8" w:color="005CB9"/>
              <w:bottom w:val="single" w:sz="8" w:color="005CB9"/>
            </w:tcBorders>
          </w:tcPr>
          <w:p>
            <w:pPr>
              <w:spacing w:after="0"/>
              <w:rPr>
                <w:sz w:val="20"/>
                <w:szCs w:val="20"/>
                <w:color w:val="auto"/>
              </w:rPr>
            </w:pPr>
            <w:r>
              <w:rPr>
                <w:rFonts w:ascii="Arial" w:cs="Arial" w:eastAsia="Arial" w:hAnsi="Arial"/>
                <w:sz w:val="13"/>
                <w:szCs w:val="13"/>
                <w:b w:val="1"/>
                <w:bCs w:val="1"/>
                <w:color w:val="005CB9"/>
              </w:rPr>
              <w:t> Directors</w:t>
            </w:r>
          </w:p>
        </w:tc>
        <w:tc>
          <w:tcPr>
            <w:tcW w:w="160" w:type="dxa"/>
            <w:vAlign w:val="bottom"/>
            <w:tcBorders>
              <w:top w:val="single" w:sz="8" w:color="005CB9"/>
              <w:bottom w:val="single" w:sz="8" w:color="005CB9"/>
            </w:tcBorders>
          </w:tcPr>
          <w:p>
            <w:pPr>
              <w:spacing w:after="0"/>
              <w:rPr>
                <w:sz w:val="23"/>
                <w:szCs w:val="23"/>
                <w:color w:val="auto"/>
              </w:rPr>
            </w:pPr>
          </w:p>
        </w:tc>
        <w:tc>
          <w:tcPr>
            <w:tcW w:w="840" w:type="dxa"/>
            <w:vAlign w:val="bottom"/>
            <w:tcBorders>
              <w:top w:val="single" w:sz="8" w:color="005CB9"/>
              <w:bottom w:val="single" w:sz="8" w:color="005CB9"/>
            </w:tcBorders>
          </w:tcPr>
          <w:p>
            <w:pPr>
              <w:spacing w:after="0"/>
              <w:rPr>
                <w:sz w:val="23"/>
                <w:szCs w:val="23"/>
                <w:color w:val="auto"/>
              </w:rPr>
            </w:pPr>
          </w:p>
        </w:tc>
        <w:tc>
          <w:tcPr>
            <w:tcW w:w="320" w:type="dxa"/>
            <w:vAlign w:val="bottom"/>
            <w:tcBorders>
              <w:top w:val="single" w:sz="8" w:color="005CB9"/>
              <w:bottom w:val="single" w:sz="8" w:color="005CB9"/>
            </w:tcBorders>
          </w:tcPr>
          <w:p>
            <w:pPr>
              <w:spacing w:after="0"/>
              <w:rPr>
                <w:sz w:val="23"/>
                <w:szCs w:val="23"/>
                <w:color w:val="auto"/>
              </w:rPr>
            </w:pPr>
          </w:p>
        </w:tc>
        <w:tc>
          <w:tcPr>
            <w:tcW w:w="340" w:type="dxa"/>
            <w:vAlign w:val="bottom"/>
            <w:tcBorders>
              <w:top w:val="single" w:sz="8" w:color="005CB9"/>
              <w:bottom w:val="single" w:sz="8" w:color="005CB9"/>
            </w:tcBorders>
          </w:tcPr>
          <w:p>
            <w:pPr>
              <w:spacing w:after="0"/>
              <w:rPr>
                <w:sz w:val="23"/>
                <w:szCs w:val="23"/>
                <w:color w:val="auto"/>
              </w:rPr>
            </w:pPr>
          </w:p>
        </w:tc>
        <w:tc>
          <w:tcPr>
            <w:tcW w:w="320" w:type="dxa"/>
            <w:vAlign w:val="bottom"/>
            <w:tcBorders>
              <w:top w:val="single" w:sz="8" w:color="005CB9"/>
              <w:bottom w:val="single" w:sz="8" w:color="005CB9"/>
            </w:tcBorders>
          </w:tcPr>
          <w:p>
            <w:pPr>
              <w:spacing w:after="0"/>
              <w:rPr>
                <w:sz w:val="23"/>
                <w:szCs w:val="23"/>
                <w:color w:val="auto"/>
              </w:rPr>
            </w:pPr>
          </w:p>
        </w:tc>
        <w:tc>
          <w:tcPr>
            <w:tcW w:w="340" w:type="dxa"/>
            <w:vAlign w:val="bottom"/>
            <w:tcBorders>
              <w:top w:val="single" w:sz="8" w:color="005CB9"/>
              <w:bottom w:val="single" w:sz="8" w:color="005CB9"/>
            </w:tcBorders>
          </w:tcPr>
          <w:p>
            <w:pPr>
              <w:spacing w:after="0"/>
              <w:rPr>
                <w:sz w:val="23"/>
                <w:szCs w:val="23"/>
                <w:color w:val="auto"/>
              </w:rPr>
            </w:pPr>
          </w:p>
        </w:tc>
        <w:tc>
          <w:tcPr>
            <w:tcW w:w="300" w:type="dxa"/>
            <w:vAlign w:val="bottom"/>
            <w:tcBorders>
              <w:top w:val="single" w:sz="8" w:color="005CB9"/>
              <w:bottom w:val="single" w:sz="8" w:color="005CB9"/>
            </w:tcBorders>
            <w:shd w:val="clear" w:color="auto" w:fill="EAEAEA"/>
          </w:tcPr>
          <w:p>
            <w:pPr>
              <w:spacing w:after="0"/>
              <w:rPr>
                <w:sz w:val="23"/>
                <w:szCs w:val="23"/>
                <w:color w:val="auto"/>
              </w:rPr>
            </w:pPr>
          </w:p>
        </w:tc>
        <w:tc>
          <w:tcPr>
            <w:tcW w:w="400" w:type="dxa"/>
            <w:vAlign w:val="bottom"/>
            <w:tcBorders>
              <w:top w:val="single" w:sz="8" w:color="005CB9"/>
              <w:bottom w:val="single" w:sz="8" w:color="005CB9"/>
            </w:tcBorders>
            <w:gridSpan w:val="2"/>
            <w:shd w:val="clear" w:color="auto" w:fill="EAEAEA"/>
          </w:tcPr>
          <w:p>
            <w:pPr>
              <w:jc w:val="center"/>
              <w:ind w:left="170"/>
              <w:spacing w:after="0"/>
              <w:rPr>
                <w:sz w:val="20"/>
                <w:szCs w:val="20"/>
                <w:color w:val="auto"/>
              </w:rPr>
            </w:pPr>
            <w:r>
              <w:rPr>
                <w:rFonts w:ascii="Arial" w:cs="Arial" w:eastAsia="Arial" w:hAnsi="Arial"/>
                <w:sz w:val="18"/>
                <w:szCs w:val="18"/>
                <w:b w:val="1"/>
                <w:bCs w:val="1"/>
                <w:color w:val="005CB9"/>
                <w:w w:val="99"/>
              </w:rPr>
              <w:t>4</w:t>
            </w:r>
          </w:p>
        </w:tc>
        <w:tc>
          <w:tcPr>
            <w:tcW w:w="260" w:type="dxa"/>
            <w:vAlign w:val="bottom"/>
            <w:tcBorders>
              <w:top w:val="single" w:sz="8" w:color="005CB9"/>
              <w:bottom w:val="single" w:sz="8" w:color="005CB9"/>
            </w:tcBorders>
            <w:shd w:val="clear" w:color="auto" w:fill="EAEAEA"/>
          </w:tcPr>
          <w:p>
            <w:pPr>
              <w:spacing w:after="0"/>
              <w:rPr>
                <w:sz w:val="23"/>
                <w:szCs w:val="23"/>
                <w:color w:val="auto"/>
              </w:rPr>
            </w:pPr>
          </w:p>
        </w:tc>
        <w:tc>
          <w:tcPr>
            <w:tcW w:w="200" w:type="dxa"/>
            <w:vAlign w:val="bottom"/>
            <w:tcBorders>
              <w:top w:val="single" w:sz="8" w:color="005CB9"/>
              <w:bottom w:val="single" w:sz="8" w:color="005CB9"/>
            </w:tcBorders>
            <w:shd w:val="clear" w:color="auto" w:fill="EAEAEA"/>
          </w:tcPr>
          <w:p>
            <w:pPr>
              <w:spacing w:after="0"/>
              <w:rPr>
                <w:sz w:val="23"/>
                <w:szCs w:val="23"/>
                <w:color w:val="auto"/>
              </w:rPr>
            </w:pPr>
          </w:p>
        </w:tc>
        <w:tc>
          <w:tcPr>
            <w:tcW w:w="140" w:type="dxa"/>
            <w:vAlign w:val="bottom"/>
            <w:tcBorders>
              <w:top w:val="single" w:sz="8" w:color="005CB9"/>
              <w:bottom w:val="single" w:sz="8" w:color="005CB9"/>
            </w:tcBorders>
          </w:tcPr>
          <w:p>
            <w:pPr>
              <w:spacing w:after="0"/>
              <w:rPr>
                <w:sz w:val="23"/>
                <w:szCs w:val="23"/>
                <w:color w:val="auto"/>
              </w:rPr>
            </w:pPr>
          </w:p>
        </w:tc>
        <w:tc>
          <w:tcPr>
            <w:tcW w:w="280" w:type="dxa"/>
            <w:vAlign w:val="bottom"/>
            <w:tcBorders>
              <w:top w:val="single" w:sz="8" w:color="005CB9"/>
              <w:bottom w:val="single" w:sz="8" w:color="005CB9"/>
            </w:tcBorders>
          </w:tcPr>
          <w:p>
            <w:pPr>
              <w:spacing w:after="0"/>
              <w:rPr>
                <w:sz w:val="23"/>
                <w:szCs w:val="23"/>
                <w:color w:val="auto"/>
              </w:rPr>
            </w:pPr>
          </w:p>
        </w:tc>
        <w:tc>
          <w:tcPr>
            <w:tcW w:w="140" w:type="dxa"/>
            <w:vAlign w:val="bottom"/>
            <w:tcBorders>
              <w:top w:val="single" w:sz="8" w:color="005CB9"/>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w:t>
            </w:r>
          </w:p>
        </w:tc>
        <w:tc>
          <w:tcPr>
            <w:tcW w:w="60" w:type="dxa"/>
            <w:vAlign w:val="bottom"/>
            <w:tcBorders>
              <w:top w:val="single" w:sz="8" w:color="005CB9"/>
              <w:bottom w:val="single" w:sz="8" w:color="005CB9"/>
            </w:tcBorders>
          </w:tcPr>
          <w:p>
            <w:pPr>
              <w:spacing w:after="0"/>
              <w:rPr>
                <w:sz w:val="23"/>
                <w:szCs w:val="23"/>
                <w:color w:val="auto"/>
              </w:rPr>
            </w:pPr>
          </w:p>
        </w:tc>
        <w:tc>
          <w:tcPr>
            <w:tcW w:w="220" w:type="dxa"/>
            <w:vAlign w:val="bottom"/>
            <w:tcBorders>
              <w:top w:val="single" w:sz="8" w:color="005CB9"/>
              <w:bottom w:val="single" w:sz="8" w:color="005CB9"/>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700" w:type="dxa"/>
            <w:vAlign w:val="bottom"/>
          </w:tcPr>
          <w:p>
            <w:pPr>
              <w:spacing w:after="0"/>
              <w:rPr>
                <w:sz w:val="20"/>
                <w:szCs w:val="20"/>
                <w:color w:val="auto"/>
              </w:rPr>
            </w:pPr>
            <w:r>
              <w:rPr>
                <w:rFonts w:ascii="Arial" w:cs="Arial" w:eastAsia="Arial" w:hAnsi="Arial"/>
                <w:sz w:val="13"/>
                <w:szCs w:val="13"/>
                <w:b w:val="1"/>
                <w:bCs w:val="1"/>
                <w:color w:val="005CB9"/>
              </w:rPr>
              <w:t> Part II: Demographic Background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Borders>
              <w:bottom w:val="single" w:sz="8" w:color="EAEAEA"/>
            </w:tcBorders>
            <w:shd w:val="clear" w:color="auto" w:fill="EAEAEA"/>
          </w:tcPr>
          <w:p>
            <w:pPr>
              <w:spacing w:after="0"/>
              <w:rPr>
                <w:sz w:val="24"/>
                <w:szCs w:val="24"/>
                <w:color w:val="auto"/>
              </w:rPr>
            </w:pPr>
          </w:p>
        </w:tc>
        <w:tc>
          <w:tcPr>
            <w:tcW w:w="320" w:type="dxa"/>
            <w:vAlign w:val="bottom"/>
            <w:tcBorders>
              <w:bottom w:val="single" w:sz="8" w:color="EAEAEA"/>
            </w:tcBorders>
            <w:shd w:val="clear" w:color="auto" w:fill="EAEAEA"/>
          </w:tcPr>
          <w:p>
            <w:pPr>
              <w:spacing w:after="0"/>
              <w:rPr>
                <w:sz w:val="24"/>
                <w:szCs w:val="24"/>
                <w:color w:val="auto"/>
              </w:rPr>
            </w:pPr>
          </w:p>
        </w:tc>
        <w:tc>
          <w:tcPr>
            <w:tcW w:w="80" w:type="dxa"/>
            <w:vAlign w:val="bottom"/>
            <w:tcBorders>
              <w:bottom w:val="single" w:sz="8" w:color="EAEAEA"/>
            </w:tcBorders>
            <w:shd w:val="clear" w:color="auto" w:fill="EAEAEA"/>
          </w:tcPr>
          <w:p>
            <w:pPr>
              <w:spacing w:after="0"/>
              <w:rPr>
                <w:sz w:val="24"/>
                <w:szCs w:val="24"/>
                <w:color w:val="auto"/>
              </w:rPr>
            </w:pPr>
          </w:p>
        </w:tc>
        <w:tc>
          <w:tcPr>
            <w:tcW w:w="260" w:type="dxa"/>
            <w:vAlign w:val="bottom"/>
            <w:tcBorders>
              <w:bottom w:val="single" w:sz="8" w:color="EAEAEA"/>
            </w:tcBorders>
            <w:shd w:val="clear" w:color="auto" w:fill="EAEAEA"/>
          </w:tcPr>
          <w:p>
            <w:pPr>
              <w:spacing w:after="0"/>
              <w:rPr>
                <w:sz w:val="24"/>
                <w:szCs w:val="24"/>
                <w:color w:val="auto"/>
              </w:rPr>
            </w:pPr>
          </w:p>
        </w:tc>
        <w:tc>
          <w:tcPr>
            <w:tcW w:w="200" w:type="dxa"/>
            <w:vAlign w:val="bottom"/>
            <w:tcBorders>
              <w:bottom w:val="single" w:sz="8" w:color="EAEAEA"/>
            </w:tcBorders>
            <w:shd w:val="clear" w:color="auto" w:fill="EAEAEA"/>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00" w:type="dxa"/>
            <w:vAlign w:val="bottom"/>
            <w:tcBorders>
              <w:top w:val="single" w:sz="8" w:color="005CB9"/>
              <w:bottom w:val="single" w:sz="8" w:color="005CB9"/>
            </w:tcBorders>
          </w:tcPr>
          <w:p>
            <w:pPr>
              <w:spacing w:after="0"/>
              <w:rPr>
                <w:sz w:val="20"/>
                <w:szCs w:val="20"/>
                <w:color w:val="auto"/>
              </w:rPr>
            </w:pPr>
            <w:r>
              <w:rPr>
                <w:rFonts w:ascii="Arial" w:cs="Arial" w:eastAsia="Arial" w:hAnsi="Arial"/>
                <w:sz w:val="13"/>
                <w:szCs w:val="13"/>
                <w:b w:val="1"/>
                <w:bCs w:val="1"/>
                <w:color w:val="005CB9"/>
              </w:rPr>
              <w:t> African American or Black</w:t>
            </w:r>
          </w:p>
        </w:tc>
        <w:tc>
          <w:tcPr>
            <w:tcW w:w="160" w:type="dxa"/>
            <w:vAlign w:val="bottom"/>
            <w:tcBorders>
              <w:top w:val="single" w:sz="8" w:color="005CB9"/>
              <w:bottom w:val="single" w:sz="8" w:color="005CB9"/>
            </w:tcBorders>
          </w:tcPr>
          <w:p>
            <w:pPr>
              <w:spacing w:after="0"/>
              <w:rPr>
                <w:sz w:val="23"/>
                <w:szCs w:val="23"/>
                <w:color w:val="auto"/>
              </w:rPr>
            </w:pPr>
          </w:p>
        </w:tc>
        <w:tc>
          <w:tcPr>
            <w:tcW w:w="840" w:type="dxa"/>
            <w:vAlign w:val="bottom"/>
            <w:tcBorders>
              <w:top w:val="single" w:sz="8" w:color="005CB9"/>
              <w:bottom w:val="single" w:sz="8" w:color="005CB9"/>
            </w:tcBorders>
          </w:tcPr>
          <w:p>
            <w:pPr>
              <w:spacing w:after="0"/>
              <w:rPr>
                <w:sz w:val="23"/>
                <w:szCs w:val="23"/>
                <w:color w:val="auto"/>
              </w:rPr>
            </w:pPr>
          </w:p>
        </w:tc>
        <w:tc>
          <w:tcPr>
            <w:tcW w:w="320" w:type="dxa"/>
            <w:vAlign w:val="bottom"/>
            <w:tcBorders>
              <w:top w:val="single" w:sz="8" w:color="005CB9"/>
              <w:bottom w:val="single" w:sz="8" w:color="005CB9"/>
            </w:tcBorders>
          </w:tcPr>
          <w:p>
            <w:pPr>
              <w:spacing w:after="0"/>
              <w:rPr>
                <w:sz w:val="23"/>
                <w:szCs w:val="23"/>
                <w:color w:val="auto"/>
              </w:rPr>
            </w:pPr>
          </w:p>
        </w:tc>
        <w:tc>
          <w:tcPr>
            <w:tcW w:w="340" w:type="dxa"/>
            <w:vAlign w:val="bottom"/>
            <w:tcBorders>
              <w:top w:val="single" w:sz="8" w:color="005CB9"/>
              <w:bottom w:val="single" w:sz="8" w:color="005CB9"/>
            </w:tcBorders>
          </w:tcPr>
          <w:p>
            <w:pPr>
              <w:spacing w:after="0"/>
              <w:rPr>
                <w:sz w:val="23"/>
                <w:szCs w:val="23"/>
                <w:color w:val="auto"/>
              </w:rPr>
            </w:pPr>
          </w:p>
        </w:tc>
        <w:tc>
          <w:tcPr>
            <w:tcW w:w="320" w:type="dxa"/>
            <w:vAlign w:val="bottom"/>
            <w:tcBorders>
              <w:top w:val="single" w:sz="8" w:color="005CB9"/>
              <w:bottom w:val="single" w:sz="8" w:color="005CB9"/>
            </w:tcBorders>
          </w:tcPr>
          <w:p>
            <w:pPr>
              <w:spacing w:after="0"/>
              <w:rPr>
                <w:sz w:val="23"/>
                <w:szCs w:val="23"/>
                <w:color w:val="auto"/>
              </w:rPr>
            </w:pPr>
          </w:p>
        </w:tc>
        <w:tc>
          <w:tcPr>
            <w:tcW w:w="340" w:type="dxa"/>
            <w:vAlign w:val="bottom"/>
            <w:tcBorders>
              <w:top w:val="single" w:sz="8" w:color="005CB9"/>
              <w:bottom w:val="single" w:sz="8" w:color="005CB9"/>
            </w:tcBorders>
          </w:tcPr>
          <w:p>
            <w:pPr>
              <w:spacing w:after="0"/>
              <w:rPr>
                <w:sz w:val="23"/>
                <w:szCs w:val="23"/>
                <w:color w:val="auto"/>
              </w:rPr>
            </w:pPr>
          </w:p>
        </w:tc>
        <w:tc>
          <w:tcPr>
            <w:tcW w:w="300" w:type="dxa"/>
            <w:vAlign w:val="bottom"/>
            <w:tcBorders>
              <w:top w:val="single" w:sz="8" w:color="005CB9"/>
              <w:bottom w:val="single" w:sz="8" w:color="005CB9"/>
            </w:tcBorders>
            <w:shd w:val="clear" w:color="auto" w:fill="EAEAEA"/>
          </w:tcPr>
          <w:p>
            <w:pPr>
              <w:spacing w:after="0"/>
              <w:rPr>
                <w:sz w:val="23"/>
                <w:szCs w:val="23"/>
                <w:color w:val="auto"/>
              </w:rPr>
            </w:pPr>
          </w:p>
        </w:tc>
        <w:tc>
          <w:tcPr>
            <w:tcW w:w="400" w:type="dxa"/>
            <w:vAlign w:val="bottom"/>
            <w:tcBorders>
              <w:top w:val="single" w:sz="8" w:color="005CB9"/>
              <w:bottom w:val="single" w:sz="8" w:color="005CB9"/>
            </w:tcBorders>
            <w:gridSpan w:val="2"/>
            <w:shd w:val="clear" w:color="auto" w:fill="EAEAEA"/>
          </w:tcPr>
          <w:p>
            <w:pPr>
              <w:jc w:val="center"/>
              <w:ind w:left="170"/>
              <w:spacing w:after="0"/>
              <w:rPr>
                <w:sz w:val="20"/>
                <w:szCs w:val="20"/>
                <w:color w:val="auto"/>
              </w:rPr>
            </w:pPr>
            <w:r>
              <w:rPr>
                <w:rFonts w:ascii="Arial" w:cs="Arial" w:eastAsia="Arial" w:hAnsi="Arial"/>
                <w:sz w:val="18"/>
                <w:szCs w:val="18"/>
                <w:b w:val="1"/>
                <w:bCs w:val="1"/>
                <w:color w:val="005CB9"/>
                <w:w w:val="99"/>
              </w:rPr>
              <w:t>1</w:t>
            </w:r>
          </w:p>
        </w:tc>
        <w:tc>
          <w:tcPr>
            <w:tcW w:w="260" w:type="dxa"/>
            <w:vAlign w:val="bottom"/>
            <w:tcBorders>
              <w:top w:val="single" w:sz="8" w:color="005CB9"/>
              <w:bottom w:val="single" w:sz="8" w:color="005CB9"/>
            </w:tcBorders>
            <w:shd w:val="clear" w:color="auto" w:fill="EAEAEA"/>
          </w:tcPr>
          <w:p>
            <w:pPr>
              <w:spacing w:after="0"/>
              <w:rPr>
                <w:sz w:val="23"/>
                <w:szCs w:val="23"/>
                <w:color w:val="auto"/>
              </w:rPr>
            </w:pPr>
          </w:p>
        </w:tc>
        <w:tc>
          <w:tcPr>
            <w:tcW w:w="200" w:type="dxa"/>
            <w:vAlign w:val="bottom"/>
            <w:tcBorders>
              <w:top w:val="single" w:sz="8" w:color="005CB9"/>
              <w:bottom w:val="single" w:sz="8" w:color="005CB9"/>
            </w:tcBorders>
            <w:shd w:val="clear" w:color="auto" w:fill="EAEAEA"/>
          </w:tcPr>
          <w:p>
            <w:pPr>
              <w:spacing w:after="0"/>
              <w:rPr>
                <w:sz w:val="23"/>
                <w:szCs w:val="23"/>
                <w:color w:val="auto"/>
              </w:rPr>
            </w:pPr>
          </w:p>
        </w:tc>
        <w:tc>
          <w:tcPr>
            <w:tcW w:w="140" w:type="dxa"/>
            <w:vAlign w:val="bottom"/>
            <w:tcBorders>
              <w:top w:val="single" w:sz="8" w:color="005CB9"/>
              <w:bottom w:val="single" w:sz="8" w:color="005CB9"/>
            </w:tcBorders>
          </w:tcPr>
          <w:p>
            <w:pPr>
              <w:spacing w:after="0"/>
              <w:rPr>
                <w:sz w:val="23"/>
                <w:szCs w:val="23"/>
                <w:color w:val="auto"/>
              </w:rPr>
            </w:pPr>
          </w:p>
        </w:tc>
        <w:tc>
          <w:tcPr>
            <w:tcW w:w="280" w:type="dxa"/>
            <w:vAlign w:val="bottom"/>
            <w:tcBorders>
              <w:top w:val="single" w:sz="8" w:color="005CB9"/>
              <w:bottom w:val="single" w:sz="8" w:color="005CB9"/>
            </w:tcBorders>
          </w:tcPr>
          <w:p>
            <w:pPr>
              <w:spacing w:after="0"/>
              <w:rPr>
                <w:sz w:val="23"/>
                <w:szCs w:val="23"/>
                <w:color w:val="auto"/>
              </w:rPr>
            </w:pPr>
          </w:p>
        </w:tc>
        <w:tc>
          <w:tcPr>
            <w:tcW w:w="140" w:type="dxa"/>
            <w:vAlign w:val="bottom"/>
            <w:tcBorders>
              <w:top w:val="single" w:sz="8" w:color="005CB9"/>
              <w:bottom w:val="single" w:sz="8" w:color="005CB9"/>
            </w:tcBorders>
          </w:tcPr>
          <w:p>
            <w:pPr>
              <w:spacing w:after="0"/>
              <w:rPr>
                <w:sz w:val="23"/>
                <w:szCs w:val="23"/>
                <w:color w:val="auto"/>
              </w:rPr>
            </w:pPr>
          </w:p>
        </w:tc>
        <w:tc>
          <w:tcPr>
            <w:tcW w:w="60" w:type="dxa"/>
            <w:vAlign w:val="bottom"/>
            <w:tcBorders>
              <w:top w:val="single" w:sz="8" w:color="005CB9"/>
              <w:bottom w:val="single" w:sz="8" w:color="005CB9"/>
            </w:tcBorders>
          </w:tcPr>
          <w:p>
            <w:pPr>
              <w:spacing w:after="0"/>
              <w:rPr>
                <w:sz w:val="23"/>
                <w:szCs w:val="23"/>
                <w:color w:val="auto"/>
              </w:rPr>
            </w:pPr>
          </w:p>
        </w:tc>
        <w:tc>
          <w:tcPr>
            <w:tcW w:w="220" w:type="dxa"/>
            <w:vAlign w:val="bottom"/>
            <w:tcBorders>
              <w:top w:val="single" w:sz="8" w:color="005CB9"/>
              <w:bottom w:val="single" w:sz="8" w:color="005CB9"/>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 Hispanic or Latinx</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gridSpan w:val="2"/>
            <w:shd w:val="clear" w:color="auto" w:fill="EAEAEA"/>
          </w:tcPr>
          <w:p>
            <w:pPr>
              <w:jc w:val="center"/>
              <w:ind w:left="170"/>
              <w:spacing w:after="0"/>
              <w:rPr>
                <w:sz w:val="20"/>
                <w:szCs w:val="20"/>
                <w:color w:val="auto"/>
              </w:rPr>
            </w:pPr>
            <w:r>
              <w:rPr>
                <w:rFonts w:ascii="Arial" w:cs="Arial" w:eastAsia="Arial" w:hAnsi="Arial"/>
                <w:sz w:val="18"/>
                <w:szCs w:val="18"/>
                <w:b w:val="1"/>
                <w:bCs w:val="1"/>
                <w:color w:val="005CB9"/>
                <w:w w:val="99"/>
              </w:rPr>
              <w:t>1</w:t>
            </w:r>
          </w:p>
        </w:tc>
        <w:tc>
          <w:tcPr>
            <w:tcW w:w="260" w:type="dxa"/>
            <w:vAlign w:val="bottom"/>
            <w:tcBorders>
              <w:bottom w:val="single" w:sz="8" w:color="005CB9"/>
            </w:tcBorders>
            <w:shd w:val="clear" w:color="auto" w:fill="EAEAEA"/>
          </w:tcPr>
          <w:p>
            <w:pPr>
              <w:spacing w:after="0"/>
              <w:rPr>
                <w:sz w:val="24"/>
                <w:szCs w:val="24"/>
                <w:color w:val="auto"/>
              </w:rPr>
            </w:pPr>
          </w:p>
        </w:tc>
        <w:tc>
          <w:tcPr>
            <w:tcW w:w="200" w:type="dxa"/>
            <w:vAlign w:val="bottom"/>
            <w:tcBorders>
              <w:bottom w:val="single" w:sz="8" w:color="005CB9"/>
            </w:tcBorders>
            <w:shd w:val="clear" w:color="auto" w:fill="EAEAEA"/>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 White</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00" w:type="dxa"/>
            <w:vAlign w:val="bottom"/>
            <w:tcBorders>
              <w:bottom w:val="single" w:sz="8" w:color="005CB9"/>
            </w:tcBorders>
            <w:shd w:val="clear" w:color="auto" w:fill="EAEAEA"/>
          </w:tcPr>
          <w:p>
            <w:pPr>
              <w:spacing w:after="0"/>
              <w:rPr>
                <w:sz w:val="24"/>
                <w:szCs w:val="24"/>
                <w:color w:val="auto"/>
              </w:rPr>
            </w:pPr>
          </w:p>
        </w:tc>
        <w:tc>
          <w:tcPr>
            <w:tcW w:w="400" w:type="dxa"/>
            <w:vAlign w:val="bottom"/>
            <w:tcBorders>
              <w:bottom w:val="single" w:sz="8" w:color="005CB9"/>
            </w:tcBorders>
            <w:gridSpan w:val="2"/>
            <w:shd w:val="clear" w:color="auto" w:fill="EAEAEA"/>
          </w:tcPr>
          <w:p>
            <w:pPr>
              <w:jc w:val="center"/>
              <w:ind w:left="170"/>
              <w:spacing w:after="0"/>
              <w:rPr>
                <w:sz w:val="20"/>
                <w:szCs w:val="20"/>
                <w:color w:val="auto"/>
              </w:rPr>
            </w:pPr>
            <w:r>
              <w:rPr>
                <w:rFonts w:ascii="Arial" w:cs="Arial" w:eastAsia="Arial" w:hAnsi="Arial"/>
                <w:sz w:val="18"/>
                <w:szCs w:val="18"/>
                <w:b w:val="1"/>
                <w:bCs w:val="1"/>
                <w:color w:val="005CB9"/>
                <w:w w:val="99"/>
              </w:rPr>
              <w:t>2</w:t>
            </w:r>
          </w:p>
        </w:tc>
        <w:tc>
          <w:tcPr>
            <w:tcW w:w="260" w:type="dxa"/>
            <w:vAlign w:val="bottom"/>
            <w:tcBorders>
              <w:bottom w:val="single" w:sz="8" w:color="005CB9"/>
            </w:tcBorders>
            <w:shd w:val="clear" w:color="auto" w:fill="EAEAEA"/>
          </w:tcPr>
          <w:p>
            <w:pPr>
              <w:spacing w:after="0"/>
              <w:rPr>
                <w:sz w:val="24"/>
                <w:szCs w:val="24"/>
                <w:color w:val="auto"/>
              </w:rPr>
            </w:pPr>
          </w:p>
        </w:tc>
        <w:tc>
          <w:tcPr>
            <w:tcW w:w="200" w:type="dxa"/>
            <w:vAlign w:val="bottom"/>
            <w:tcBorders>
              <w:bottom w:val="single" w:sz="8" w:color="005CB9"/>
            </w:tcBorders>
            <w:shd w:val="clear" w:color="auto" w:fill="EAEAEA"/>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6</w:t>
            </w: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700" w:type="dxa"/>
            <w:vAlign w:val="bottom"/>
            <w:tcBorders>
              <w:bottom w:val="single" w:sz="8" w:color="005CB9"/>
            </w:tcBorders>
          </w:tcPr>
          <w:p>
            <w:pPr>
              <w:spacing w:after="0"/>
              <w:rPr>
                <w:sz w:val="20"/>
                <w:szCs w:val="20"/>
                <w:color w:val="auto"/>
              </w:rPr>
            </w:pPr>
            <w:r>
              <w:rPr>
                <w:rFonts w:ascii="Arial" w:cs="Arial" w:eastAsia="Arial" w:hAnsi="Arial"/>
                <w:sz w:val="13"/>
                <w:szCs w:val="13"/>
                <w:b w:val="1"/>
                <w:bCs w:val="1"/>
                <w:color w:val="005CB9"/>
              </w:rPr>
              <w:t> LGBTQ+</w:t>
            </w:r>
          </w:p>
        </w:tc>
        <w:tc>
          <w:tcPr>
            <w:tcW w:w="160" w:type="dxa"/>
            <w:vAlign w:val="bottom"/>
            <w:tcBorders>
              <w:bottom w:val="single" w:sz="8" w:color="005CB9"/>
            </w:tcBorders>
          </w:tcPr>
          <w:p>
            <w:pPr>
              <w:spacing w:after="0"/>
              <w:rPr>
                <w:sz w:val="24"/>
                <w:szCs w:val="24"/>
                <w:color w:val="auto"/>
              </w:rPr>
            </w:pPr>
          </w:p>
        </w:tc>
        <w:tc>
          <w:tcPr>
            <w:tcW w:w="8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20" w:type="dxa"/>
            <w:vAlign w:val="bottom"/>
            <w:tcBorders>
              <w:bottom w:val="single" w:sz="8" w:color="005CB9"/>
            </w:tcBorders>
          </w:tcPr>
          <w:p>
            <w:pPr>
              <w:spacing w:after="0"/>
              <w:rPr>
                <w:sz w:val="24"/>
                <w:szCs w:val="24"/>
                <w:color w:val="auto"/>
              </w:rPr>
            </w:pPr>
          </w:p>
        </w:tc>
        <w:tc>
          <w:tcPr>
            <w:tcW w:w="340" w:type="dxa"/>
            <w:vAlign w:val="bottom"/>
            <w:tcBorders>
              <w:bottom w:val="single" w:sz="8" w:color="005CB9"/>
            </w:tcBorders>
          </w:tcPr>
          <w:p>
            <w:pPr>
              <w:spacing w:after="0"/>
              <w:rPr>
                <w:sz w:val="24"/>
                <w:szCs w:val="24"/>
                <w:color w:val="auto"/>
              </w:rPr>
            </w:pPr>
          </w:p>
        </w:tc>
        <w:tc>
          <w:tcPr>
            <w:tcW w:w="300" w:type="dxa"/>
            <w:vAlign w:val="bottom"/>
            <w:tcBorders>
              <w:bottom w:val="single" w:sz="8" w:color="005CB9"/>
            </w:tcBorders>
            <w:shd w:val="clear" w:color="auto" w:fill="EAEAEA"/>
          </w:tcPr>
          <w:p>
            <w:pPr>
              <w:spacing w:after="0"/>
              <w:rPr>
                <w:sz w:val="24"/>
                <w:szCs w:val="24"/>
                <w:color w:val="auto"/>
              </w:rPr>
            </w:pPr>
          </w:p>
        </w:tc>
        <w:tc>
          <w:tcPr>
            <w:tcW w:w="320" w:type="dxa"/>
            <w:vAlign w:val="bottom"/>
            <w:tcBorders>
              <w:bottom w:val="single" w:sz="8" w:color="005CB9"/>
            </w:tcBorders>
            <w:shd w:val="clear" w:color="auto" w:fill="EAEAEA"/>
          </w:tcPr>
          <w:p>
            <w:pPr>
              <w:spacing w:after="0"/>
              <w:rPr>
                <w:sz w:val="24"/>
                <w:szCs w:val="24"/>
                <w:color w:val="auto"/>
              </w:rPr>
            </w:pPr>
          </w:p>
        </w:tc>
        <w:tc>
          <w:tcPr>
            <w:tcW w:w="80" w:type="dxa"/>
            <w:vAlign w:val="bottom"/>
            <w:tcBorders>
              <w:bottom w:val="single" w:sz="8" w:color="005CB9"/>
            </w:tcBorders>
            <w:shd w:val="clear" w:color="auto" w:fill="EAEAEA"/>
          </w:tcPr>
          <w:p>
            <w:pPr>
              <w:spacing w:after="0"/>
              <w:rPr>
                <w:sz w:val="24"/>
                <w:szCs w:val="24"/>
                <w:color w:val="auto"/>
              </w:rPr>
            </w:pPr>
          </w:p>
        </w:tc>
        <w:tc>
          <w:tcPr>
            <w:tcW w:w="260" w:type="dxa"/>
            <w:vAlign w:val="bottom"/>
            <w:tcBorders>
              <w:bottom w:val="single" w:sz="8" w:color="005CB9"/>
            </w:tcBorders>
            <w:shd w:val="clear" w:color="auto" w:fill="EAEAEA"/>
          </w:tcPr>
          <w:p>
            <w:pPr>
              <w:spacing w:after="0"/>
              <w:rPr>
                <w:sz w:val="24"/>
                <w:szCs w:val="24"/>
                <w:color w:val="auto"/>
              </w:rPr>
            </w:pPr>
          </w:p>
        </w:tc>
        <w:tc>
          <w:tcPr>
            <w:tcW w:w="200" w:type="dxa"/>
            <w:vAlign w:val="bottom"/>
            <w:tcBorders>
              <w:bottom w:val="single" w:sz="8" w:color="005CB9"/>
            </w:tcBorders>
            <w:shd w:val="clear" w:color="auto" w:fill="EAEAEA"/>
          </w:tcPr>
          <w:p>
            <w:pPr>
              <w:spacing w:after="0"/>
              <w:rPr>
                <w:sz w:val="24"/>
                <w:szCs w:val="24"/>
                <w:color w:val="auto"/>
              </w:rPr>
            </w:pPr>
          </w:p>
        </w:tc>
        <w:tc>
          <w:tcPr>
            <w:tcW w:w="140" w:type="dxa"/>
            <w:vAlign w:val="bottom"/>
            <w:tcBorders>
              <w:bottom w:val="single" w:sz="8" w:color="005CB9"/>
            </w:tcBorders>
          </w:tcPr>
          <w:p>
            <w:pPr>
              <w:spacing w:after="0"/>
              <w:rPr>
                <w:sz w:val="24"/>
                <w:szCs w:val="24"/>
                <w:color w:val="auto"/>
              </w:rPr>
            </w:pPr>
          </w:p>
        </w:tc>
        <w:tc>
          <w:tcPr>
            <w:tcW w:w="280" w:type="dxa"/>
            <w:vAlign w:val="bottom"/>
            <w:tcBorders>
              <w:bottom w:val="single" w:sz="8" w:color="005CB9"/>
            </w:tcBorders>
          </w:tcPr>
          <w:p>
            <w:pPr>
              <w:spacing w:after="0"/>
              <w:rPr>
                <w:sz w:val="24"/>
                <w:szCs w:val="24"/>
                <w:color w:val="auto"/>
              </w:rPr>
            </w:pPr>
          </w:p>
        </w:tc>
        <w:tc>
          <w:tcPr>
            <w:tcW w:w="140" w:type="dxa"/>
            <w:vAlign w:val="bottom"/>
            <w:tcBorders>
              <w:bottom w:val="single" w:sz="8" w:color="005CB9"/>
            </w:tcBorders>
          </w:tcPr>
          <w:p>
            <w:pPr>
              <w:jc w:val="center"/>
              <w:spacing w:after="0"/>
              <w:rPr>
                <w:sz w:val="20"/>
                <w:szCs w:val="20"/>
                <w:color w:val="auto"/>
              </w:rPr>
            </w:pPr>
            <w:r>
              <w:rPr>
                <w:rFonts w:ascii="Arial" w:cs="Arial" w:eastAsia="Arial" w:hAnsi="Arial"/>
                <w:sz w:val="18"/>
                <w:szCs w:val="18"/>
                <w:b w:val="1"/>
                <w:bCs w:val="1"/>
                <w:color w:val="005CB9"/>
                <w:w w:val="99"/>
              </w:rPr>
              <w:t>1</w:t>
            </w:r>
          </w:p>
        </w:tc>
        <w:tc>
          <w:tcPr>
            <w:tcW w:w="60" w:type="dxa"/>
            <w:vAlign w:val="bottom"/>
            <w:tcBorders>
              <w:bottom w:val="single" w:sz="8" w:color="005CB9"/>
            </w:tcBorders>
          </w:tcPr>
          <w:p>
            <w:pPr>
              <w:spacing w:after="0"/>
              <w:rPr>
                <w:sz w:val="24"/>
                <w:szCs w:val="24"/>
                <w:color w:val="auto"/>
              </w:rPr>
            </w:pPr>
          </w:p>
        </w:tc>
        <w:tc>
          <w:tcPr>
            <w:tcW w:w="220" w:type="dxa"/>
            <w:vAlign w:val="bottom"/>
            <w:tcBorders>
              <w:bottom w:val="single" w:sz="8" w:color="005CB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700" w:type="dxa"/>
            <w:vAlign w:val="bottom"/>
            <w:vMerge w:val="restart"/>
          </w:tcPr>
          <w:p>
            <w:pPr>
              <w:ind w:left="5940"/>
              <w:spacing w:after="0"/>
              <w:rPr>
                <w:sz w:val="20"/>
                <w:szCs w:val="20"/>
                <w:color w:val="auto"/>
              </w:rPr>
            </w:pPr>
            <w:r>
              <w:rPr>
                <w:rFonts w:ascii="Arial" w:cs="Arial" w:eastAsia="Arial" w:hAnsi="Arial"/>
                <w:sz w:val="16"/>
                <w:szCs w:val="16"/>
                <w:b w:val="1"/>
                <w:bCs w:val="1"/>
                <w:color w:val="005CB9"/>
              </w:rPr>
              <w:t xml:space="preserve">  </w:t>
            </w:r>
          </w:p>
        </w:tc>
        <w:tc>
          <w:tcPr>
            <w:tcW w:w="160" w:type="dxa"/>
            <w:vAlign w:val="bottom"/>
            <w:vMerge w:val="restart"/>
          </w:tcPr>
          <w:p>
            <w:pPr>
              <w:ind w:left="60"/>
              <w:spacing w:after="0"/>
              <w:rPr>
                <w:sz w:val="20"/>
                <w:szCs w:val="20"/>
                <w:color w:val="auto"/>
              </w:rPr>
            </w:pPr>
            <w:r>
              <w:rPr>
                <w:rFonts w:ascii="Arial" w:cs="Arial" w:eastAsia="Arial" w:hAnsi="Arial"/>
                <w:sz w:val="11"/>
                <w:szCs w:val="11"/>
                <w:b w:val="1"/>
                <w:bCs w:val="1"/>
                <w:color w:val="005CB9"/>
                <w:w w:val="72"/>
              </w:rPr>
              <w:t> </w:t>
            </w:r>
          </w:p>
        </w:tc>
        <w:tc>
          <w:tcPr>
            <w:tcW w:w="3740" w:type="dxa"/>
            <w:vAlign w:val="bottom"/>
            <w:gridSpan w:val="12"/>
            <w:vMerge w:val="restart"/>
          </w:tcPr>
          <w:p>
            <w:pPr>
              <w:ind w:left="60"/>
              <w:spacing w:after="0"/>
              <w:rPr>
                <w:sz w:val="20"/>
                <w:szCs w:val="20"/>
                <w:color w:val="auto"/>
              </w:rPr>
            </w:pPr>
            <w:r>
              <w:rPr>
                <w:rFonts w:ascii="Arial" w:cs="Arial" w:eastAsia="Arial" w:hAnsi="Arial"/>
                <w:sz w:val="16"/>
                <w:szCs w:val="16"/>
                <w:b w:val="1"/>
                <w:bCs w:val="1"/>
                <w:color w:val="005CB9"/>
              </w:rPr>
              <w:t>Roper Technologies, Inc. 2024 Proxy Statement</w:t>
            </w:r>
          </w:p>
        </w:tc>
        <w:tc>
          <w:tcPr>
            <w:tcW w:w="140" w:type="dxa"/>
            <w:vAlign w:val="bottom"/>
            <w:vMerge w:val="restart"/>
          </w:tcPr>
          <w:p>
            <w:pPr>
              <w:jc w:val="center"/>
              <w:spacing w:after="0"/>
              <w:rPr>
                <w:sz w:val="20"/>
                <w:szCs w:val="20"/>
                <w:color w:val="auto"/>
              </w:rPr>
            </w:pPr>
            <w:r>
              <w:rPr>
                <w:rFonts w:ascii="Arial" w:cs="Arial" w:eastAsia="Arial" w:hAnsi="Arial"/>
                <w:sz w:val="5"/>
                <w:szCs w:val="5"/>
                <w:b w:val="1"/>
                <w:bCs w:val="1"/>
                <w:color w:val="005CB9"/>
                <w:w w:val="79"/>
              </w:rPr>
              <w:t> </w:t>
            </w:r>
          </w:p>
        </w:tc>
        <w:tc>
          <w:tcPr>
            <w:tcW w:w="60" w:type="dxa"/>
            <w:vAlign w:val="bottom"/>
          </w:tcPr>
          <w:p>
            <w:pPr>
              <w:spacing w:after="0"/>
              <w:rPr>
                <w:sz w:val="12"/>
                <w:szCs w:val="12"/>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005CB9"/>
              </w:rPr>
              <w:t> 9</w:t>
            </w:r>
          </w:p>
        </w:tc>
        <w:tc>
          <w:tcPr>
            <w:tcW w:w="0" w:type="dxa"/>
            <w:vAlign w:val="bottom"/>
          </w:tcPr>
          <w:p>
            <w:pPr>
              <w:spacing w:after="0"/>
              <w:rPr>
                <w:sz w:val="1"/>
                <w:szCs w:val="1"/>
                <w:color w:val="auto"/>
              </w:rPr>
            </w:pPr>
          </w:p>
        </w:tc>
      </w:tr>
      <w:tr>
        <w:trPr>
          <w:trHeight w:val="208"/>
        </w:trPr>
        <w:tc>
          <w:tcPr>
            <w:tcW w:w="67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3740" w:type="dxa"/>
            <w:vAlign w:val="bottom"/>
            <w:gridSpan w:val="1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0" w:type="dxa"/>
            <w:vAlign w:val="bottom"/>
            <w:tcBorders>
              <w:right w:val="single" w:sz="8" w:color="005CB9"/>
            </w:tcBorders>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67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740" w:type="dxa"/>
            <w:vAlign w:val="bottom"/>
            <w:gridSpan w:val="12"/>
            <w:vMerge w:val="continue"/>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right w:val="single" w:sz="8" w:color="005CB9"/>
            </w:tcBorders>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6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right w:val="single" w:sz="8" w:color="005CB9"/>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-205105</wp:posOffset>
            </wp:positionV>
            <wp:extent cx="42862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CORPORATE GOVERNANCE </w:t>
      </w:r>
      <w:r>
        <w:rPr>
          <w:rFonts w:ascii="Arial" w:cs="Arial" w:eastAsia="Arial" w:hAnsi="Arial"/>
          <w:sz w:val="18"/>
          <w:szCs w:val="18"/>
          <w:i w:val="1"/>
          <w:iCs w:val="1"/>
          <w:color w:val="005CB9"/>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Limitations on Outside Board Service</w:t>
      </w:r>
    </w:p>
    <w:p>
      <w:pPr>
        <w:spacing w:after="0" w:line="10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Following the Annual Meeting, the Board intends to amend the Company’s Corporate Governance Guidelines to limit the number of other public company boards on which a Company director may serve. The amendment will specify that directors may serve on the board of directors of other public companies but are required to limit such service to boards of no more than three public companies in addition to the Company’s Board. Additionally, directors who also serve as the Chief Executive Officer of a public company are expected to serve on no more than one other public company board of directors in addition to the Company’s Board.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Proxy Access</w:t>
      </w:r>
    </w:p>
    <w:p>
      <w:pPr>
        <w:spacing w:after="0" w:line="10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Our By-laws enable a shareholder, or a group of up to twenty shareholders, owning 3% or more of the Company’s outstanding common stock continuously for at least three years to nominate and include in our proxy materials up to the greater of two directors or 20% of the number of our directors then in office, provided that the shareholders and the nominees satisfy the requirements set forth in the By-laws.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Review and Approval of Related Person Transactions</w:t>
      </w:r>
    </w:p>
    <w:p>
      <w:pPr>
        <w:spacing w:after="0" w:line="100"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Audit Committee is responsible for reviewing and approving, as appropriate, all transactions with related persons. Although we have not adopted written procedures for reviewing related person transactions, we will review any relationship or transaction in which the Company and our directors, executive officers or their immediate family members are participants to determine whether such persons have a direct or indirect material interest. There were no related person transactions during 2023.</w:t>
      </w:r>
    </w:p>
    <w:p>
      <w:pPr>
        <w:spacing w:after="0" w:line="28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Shareholder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-2442210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-2439035</wp:posOffset>
            </wp:positionH>
            <wp:positionV relativeFrom="paragraph">
              <wp:posOffset>-1661795</wp:posOffset>
            </wp:positionV>
            <wp:extent cx="4740275" cy="14312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740275" cy="1431290"/>
                    </a:xfrm>
                    <a:prstGeom prst="rect">
                      <a:avLst/>
                    </a:prstGeom>
                    <a:noFill/>
                  </pic:spPr>
                </pic:pic>
              </a:graphicData>
            </a:graphic>
          </wp:anchor>
        </w:drawing>
      </w:r>
    </w:p>
    <w:p>
      <w:pPr>
        <w:spacing w:after="0" w:line="80"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color w:val="auto"/>
        </w:rPr>
        <w:t>Shareholders or other interested parties may send written communications to our Board of Directors or non-management Board members in care of the Corporate Secretary to the address set forth below.</w:t>
      </w:r>
    </w:p>
    <w:p>
      <w:pPr>
        <w:spacing w:after="0" w:line="6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This process is also set forth on our website at </w:t>
      </w:r>
      <w:r>
        <w:rPr>
          <w:rFonts w:ascii="Arial" w:cs="Arial" w:eastAsia="Arial" w:hAnsi="Arial"/>
          <w:sz w:val="17"/>
          <w:szCs w:val="17"/>
          <w:i w:val="1"/>
          <w:iCs w:val="1"/>
          <w:color w:val="auto"/>
        </w:rPr>
        <w:t>www.ropertech.com</w:t>
      </w:r>
      <w:r>
        <w:rPr>
          <w:rFonts w:ascii="Arial" w:cs="Arial" w:eastAsia="Arial" w:hAnsi="Arial"/>
          <w:sz w:val="17"/>
          <w:szCs w:val="17"/>
          <w:color w:val="auto"/>
        </w:rPr>
        <w:t>. All communications will be kept confidential and promptly forwarded to the appropriate director. Items unrelated to a director’s duties and responsibilities as a Board member may be excluded by the Corporate Secretary, including, without limitation: solicitations and advertisements; junk mail; product-related communications; job referral materials such as resumes; surveys; and material that is determined to be illegal or otherwise inappropriate. The director to whom such information is addressed is informed that the information has been removed, and that it will be made available to such director upon request.</w:t>
      </w:r>
    </w:p>
    <w:p>
      <w:pPr>
        <w:spacing w:after="0" w:line="73"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 xml:space="preserve">Our Corporate Governance Guidelines, Code of Conduct, Director Independence Standards, and By-laws are available on our website at </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Requests for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documents or of the full text of the By-law provision regarding director candidate nominations and communications to our Board of Directors or non-management Board members should be addressed to:</w:t>
      </w:r>
    </w:p>
    <w:p>
      <w:pPr>
        <w:spacing w:after="0" w:line="74" w:lineRule="exact"/>
        <w:rPr>
          <w:sz w:val="20"/>
          <w:szCs w:val="20"/>
          <w:color w:val="auto"/>
        </w:rPr>
      </w:pPr>
    </w:p>
    <w:p>
      <w:pPr>
        <w:ind w:left="680"/>
        <w:spacing w:after="0"/>
        <w:rPr>
          <w:sz w:val="20"/>
          <w:szCs w:val="20"/>
          <w:color w:val="auto"/>
        </w:rPr>
      </w:pPr>
      <w:r>
        <w:rPr>
          <w:rFonts w:ascii="Arial" w:cs="Arial" w:eastAsia="Arial" w:hAnsi="Arial"/>
          <w:sz w:val="17"/>
          <w:szCs w:val="17"/>
          <w:color w:val="auto"/>
        </w:rPr>
        <w:t>Roper Technologies, Inc.</w:t>
      </w:r>
    </w:p>
    <w:p>
      <w:pPr>
        <w:spacing w:after="0" w:line="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6496 University Parkway</w:t>
      </w:r>
    </w:p>
    <w:p>
      <w:pPr>
        <w:ind w:left="680"/>
        <w:spacing w:after="0" w:line="232" w:lineRule="auto"/>
        <w:rPr>
          <w:sz w:val="20"/>
          <w:szCs w:val="20"/>
          <w:color w:val="auto"/>
        </w:rPr>
      </w:pPr>
      <w:r>
        <w:rPr>
          <w:rFonts w:ascii="Arial" w:cs="Arial" w:eastAsia="Arial" w:hAnsi="Arial"/>
          <w:sz w:val="17"/>
          <w:szCs w:val="17"/>
          <w:color w:val="auto"/>
        </w:rPr>
        <w:t>Sarasota, Florida 34240</w:t>
      </w:r>
    </w:p>
    <w:p>
      <w:pPr>
        <w:ind w:left="680"/>
        <w:spacing w:after="0"/>
        <w:rPr>
          <w:sz w:val="20"/>
          <w:szCs w:val="20"/>
          <w:color w:val="auto"/>
        </w:rPr>
      </w:pPr>
      <w:r>
        <w:rPr>
          <w:rFonts w:ascii="Arial" w:cs="Arial" w:eastAsia="Arial" w:hAnsi="Arial"/>
          <w:sz w:val="17"/>
          <w:szCs w:val="17"/>
          <w:color w:val="auto"/>
        </w:rPr>
        <w:t>Attention: Corporate Secretary</w:t>
      </w:r>
    </w:p>
    <w:p>
      <w:pPr>
        <w:sectPr>
          <w:pgSz w:w="11900" w:h="16838" w:orient="portrait"/>
          <w:cols w:equalWidth="0" w:num="2">
            <w:col w:w="5280" w:space="460"/>
            <w:col w:w="536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005CB9"/>
        </w:rPr>
        <w:t>ENVIRONMENTAL, SOCIAL, AND GOVERNANCE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endeavor to conduct our business in an ethically and socially responsible manner. We also recognize the importance of these topics with our current and potential future shareholders, customers, and employees. In April 2024, we published our third ESG report. The report builds upon our prior disclosures, and for the first time, includes our Scope 3 emissions.</w:t>
      </w:r>
    </w:p>
    <w:p>
      <w:pPr>
        <w:spacing w:after="0" w:line="182"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Although Roper’s operating and governance structure is highly decentralized, our goal is to provide an environment and governance system that enables each business to further improve over time. This includes not only our financial performance, but our performance in other areas such as climate change, human rights and diversity, equity, and inclusion. Our businesses are expected to improve each year in these areas, and we afford our leaders latitude to develop programs to drive the expected performance improvement in ESG and meet the needs of their respective stakeholders.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ESG Strategy and Roadmap</w:t>
      </w:r>
    </w:p>
    <w:p>
      <w:pPr>
        <w:spacing w:after="0" w:line="100"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Our strategic, collaborative approach to identifying and addressing our most impactful ESG areas has enabled us to continue to make progress in better understanding how we, together with our operating businesses, can make the most significant, positive impact.</w:t>
      </w:r>
    </w:p>
    <w:p>
      <w:pPr>
        <w:spacing w:after="0" w:line="177"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We have developed an ESG Roadmap to help us identify our priorities, engage our businesses, and articulate the next steps in building our program. As part of our ESG Roadmap, we: (i) collected and disclosed our Scope 3 emissions; and (ii) made a commitment to the Science Based Target initiative (SBTi) to set a near-term science-based emission reduction target. We also continue to enhance our disclosures to the CDP to reflect the evolution and development of our ESG program.</w:t>
      </w:r>
    </w:p>
    <w:p>
      <w:pPr>
        <w:spacing w:after="0" w:line="184"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Given the highly decentralized operating model of our company, and the diversity in size and industry of our operating businesses, we envision making progress by empowering each of our businesses to focus on the unique needs of their respective stakeholders while providing a common structure for strategic and collaborative development.</w:t>
      </w:r>
    </w:p>
    <w:p>
      <w:pPr>
        <w:spacing w:after="0" w:line="182" w:lineRule="exact"/>
        <w:rPr>
          <w:sz w:val="20"/>
          <w:szCs w:val="20"/>
          <w:color w:val="auto"/>
        </w:rPr>
      </w:pPr>
    </w:p>
    <w:p>
      <w:pPr>
        <w:ind w:left="120" w:right="120"/>
        <w:spacing w:after="0" w:line="244" w:lineRule="auto"/>
        <w:rPr>
          <w:sz w:val="20"/>
          <w:szCs w:val="20"/>
          <w:color w:val="auto"/>
        </w:rPr>
      </w:pPr>
      <w:r>
        <w:rPr>
          <w:rFonts w:ascii="Arial" w:cs="Arial" w:eastAsia="Arial" w:hAnsi="Arial"/>
          <w:sz w:val="17"/>
          <w:szCs w:val="17"/>
          <w:color w:val="auto"/>
        </w:rPr>
        <w:t>Our Chief ESG Officer oversees our ESG program and each of our businesses has appointed an ESG Coordinator to support continued progress along our ESG Roadmap. The coordinators serve an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role as we sustain the momentum generated from our collective ESG effort. Our ESG governance structure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132080</wp:posOffset>
            </wp:positionV>
            <wp:extent cx="2640330" cy="15005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4033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Approach to ESG</w:t>
      </w:r>
    </w:p>
    <w:p>
      <w:pPr>
        <w:spacing w:after="0" w:line="10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In developing our ESG strategy, our priority was to align with existing Roper operating principles. Our method of management recognizes the diversity of our businesses and allows and encourages their respective strengths and areas of opportunity to develop organically.</w:t>
      </w:r>
    </w:p>
    <w:p>
      <w:pPr>
        <w:spacing w:after="0" w:line="177"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We intend to maintain our unique operational approach and allow our businesses to operate under our decentralized governance structure (and determine the methods for improving performance), while we provide encouragement, support, and assistance on ESG matters. To aid this effort, we engaged a third-party sustainability consultant to supplement the efforts of Roper’s ESG team and to provide technical expertise with respect to greenhouse gas reporting.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ESG Material Aspects</w:t>
      </w:r>
    </w:p>
    <w:p>
      <w:pPr>
        <w:spacing w:after="0" w:line="100"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In 2023, we updated our materiality assessment by referencing benchmarking analyses, investor and management interview insights, policy gap analyses, and engagement with our businesses.</w:t>
      </w:r>
    </w:p>
    <w:p>
      <w:pPr>
        <w:spacing w:after="0" w:line="175"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Our material ESG topics will guide us in enhancing the transparency of our ESG disclosures across our businesses. We will also be able to better meet the increasing investor interest in ESG data and information, allowing us to enhance our status as a superior long-term investment. Our material ESG topics are:</w:t>
      </w:r>
    </w:p>
    <w:p>
      <w:pPr>
        <w:spacing w:after="0" w:line="85" w:lineRule="exact"/>
        <w:rPr>
          <w:sz w:val="20"/>
          <w:szCs w:val="20"/>
          <w:color w:val="auto"/>
        </w:rPr>
      </w:pPr>
    </w:p>
    <w:p>
      <w:pPr>
        <w:ind w:left="380" w:hanging="224"/>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Data Privacy and Cybersecurity</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Energy and Emissions</w:t>
      </w:r>
    </w:p>
    <w:p>
      <w:pPr>
        <w:spacing w:after="0" w:line="115" w:lineRule="exact"/>
        <w:rPr>
          <w:rFonts w:ascii="Arial" w:cs="Arial" w:eastAsia="Arial" w:hAnsi="Arial"/>
          <w:sz w:val="17"/>
          <w:szCs w:val="17"/>
          <w:color w:val="auto"/>
        </w:rPr>
      </w:pPr>
    </w:p>
    <w:p>
      <w:pPr>
        <w:ind w:left="380" w:right="260" w:hanging="224"/>
        <w:spacing w:after="0" w:line="267" w:lineRule="auto"/>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Enhancing Customer Experience and Customer Environmental Impact</w:t>
      </w:r>
    </w:p>
    <w:p>
      <w:pPr>
        <w:spacing w:after="0" w:line="262"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11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-205105</wp:posOffset>
            </wp:positionV>
            <wp:extent cx="42862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ESG </w:t>
      </w:r>
      <w:r>
        <w:rPr>
          <w:rFonts w:ascii="Arial" w:cs="Arial" w:eastAsia="Arial" w:hAnsi="Arial"/>
          <w:sz w:val="18"/>
          <w:szCs w:val="18"/>
          <w:i w:val="1"/>
          <w:iCs w:val="1"/>
          <w:color w:val="005CB9"/>
        </w:rPr>
        <w:t>(CONTINUED)</w:t>
      </w:r>
    </w:p>
    <w:p>
      <w:pPr>
        <w:spacing w:after="0" w:line="195" w:lineRule="exact"/>
        <w:rPr>
          <w:sz w:val="20"/>
          <w:szCs w:val="20"/>
          <w:color w:val="auto"/>
        </w:rPr>
      </w:pPr>
    </w:p>
    <w:p>
      <w:pPr>
        <w:ind w:left="500" w:hanging="22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Strategic Talent: Attraction, Development, and Retention</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Diversity, Equity, Inclusion, and Belonging</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Corporate Governance</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Ethics and Compliance</w:t>
      </w:r>
    </w:p>
    <w:p>
      <w:pPr>
        <w:spacing w:after="0" w:line="115" w:lineRule="exact"/>
        <w:rPr>
          <w:rFonts w:ascii="Arial" w:cs="Arial" w:eastAsia="Arial" w:hAnsi="Arial"/>
          <w:sz w:val="17"/>
          <w:szCs w:val="17"/>
          <w:color w:val="auto"/>
        </w:rPr>
      </w:pPr>
    </w:p>
    <w:p>
      <w:pPr>
        <w:ind w:left="500" w:hanging="222"/>
        <w:spacing w:after="0"/>
        <w:tabs>
          <w:tab w:leader="none" w:pos="5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Human Rights</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The ESG Road Ahead</w:t>
      </w:r>
    </w:p>
    <w:p>
      <w:pPr>
        <w:spacing w:after="0" w:line="100"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Though we have progressed through the beginning stages of our ESG efforts, we understand that we still have work ahead of us. However, we remain confident in our ability to continue to drive improvement across the enterprise and meet the expectations of our stakeholders as our program matures.</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In 2024, we plan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-923925</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5" w:lineRule="exact"/>
        <w:rPr>
          <w:sz w:val="20"/>
          <w:szCs w:val="20"/>
          <w:color w:val="auto"/>
        </w:rPr>
      </w:pPr>
    </w:p>
    <w:p>
      <w:pPr>
        <w:ind w:left="380" w:hanging="224"/>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Continue our engagement with stakeholders</w:t>
      </w:r>
    </w:p>
    <w:p>
      <w:pPr>
        <w:spacing w:after="0" w:line="115" w:lineRule="exact"/>
        <w:rPr>
          <w:rFonts w:ascii="Arial" w:cs="Arial" w:eastAsia="Arial" w:hAnsi="Arial"/>
          <w:sz w:val="17"/>
          <w:szCs w:val="17"/>
          <w:color w:val="auto"/>
        </w:rPr>
      </w:pPr>
    </w:p>
    <w:p>
      <w:pPr>
        <w:ind w:left="380" w:hanging="224"/>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Refine and improve our data collection efforts</w:t>
      </w:r>
    </w:p>
    <w:p>
      <w:pPr>
        <w:spacing w:after="0" w:line="115" w:lineRule="exact"/>
        <w:rPr>
          <w:rFonts w:ascii="Arial" w:cs="Arial" w:eastAsia="Arial" w:hAnsi="Arial"/>
          <w:sz w:val="17"/>
          <w:szCs w:val="17"/>
          <w:color w:val="auto"/>
        </w:rPr>
      </w:pPr>
    </w:p>
    <w:p>
      <w:pPr>
        <w:ind w:left="380" w:hanging="224"/>
        <w:spacing w:after="0" w:line="267"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Commence the process with the SBTi to set a near-term science-based emission reduction target</w:t>
      </w:r>
    </w:p>
    <w:p>
      <w:pPr>
        <w:spacing w:after="0" w:line="64" w:lineRule="exact"/>
        <w:rPr>
          <w:rFonts w:ascii="Arial" w:cs="Arial" w:eastAsia="Arial" w:hAnsi="Arial"/>
          <w:sz w:val="17"/>
          <w:szCs w:val="17"/>
          <w:color w:val="auto"/>
        </w:rPr>
      </w:pPr>
    </w:p>
    <w:p>
      <w:pPr>
        <w:ind w:left="380" w:hanging="224"/>
        <w:spacing w:after="0"/>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Assist operating businesses with their individual ESG efforts</w:t>
      </w:r>
    </w:p>
    <w:p>
      <w:pPr>
        <w:spacing w:after="0" w:line="21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For more information on Roper’s approach to ESG and our programs, see our 2023 ESG Report available on our website. The information contained on, or available through, our website is not incorporated by reference in this Proxy Statement.</w:t>
      </w:r>
    </w:p>
    <w:p>
      <w:pPr>
        <w:sectPr>
          <w:pgSz w:w="11900" w:h="16838" w:orient="portrait"/>
          <w:cols w:equalWidth="0" w:num="2">
            <w:col w:w="5280" w:space="460"/>
            <w:col w:w="5300"/>
          </w:cols>
          <w:pgMar w:left="320" w:top="482" w:right="5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8"/>
          <w:szCs w:val="28"/>
          <w:color w:val="005CB9"/>
        </w:rPr>
        <w:t>BOARD COMMITTEES AND MEETINGS</w:t>
      </w:r>
    </w:p>
    <w:p>
      <w:pPr>
        <w:spacing w:after="0" w:line="200" w:lineRule="exact"/>
        <w:rPr>
          <w:sz w:val="20"/>
          <w:szCs w:val="20"/>
          <w:color w:val="auto"/>
        </w:rPr>
      </w:pPr>
    </w:p>
    <w:p>
      <w:pPr>
        <w:spacing w:after="0" w:line="244"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Our Board of Directors held seven meetings in 2023. All directors on the Board during 2023 attended more than 75 percent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Board and committee meetings to which they were assigned.</w:t>
      </w:r>
    </w:p>
    <w:p>
      <w:pPr>
        <w:spacing w:after="0" w:line="86" w:lineRule="exact"/>
        <w:rPr>
          <w:sz w:val="20"/>
          <w:szCs w:val="20"/>
          <w:color w:val="auto"/>
        </w:rPr>
      </w:pPr>
    </w:p>
    <w:p>
      <w:pPr>
        <w:ind w:left="120" w:right="220"/>
        <w:spacing w:after="0" w:line="244" w:lineRule="auto"/>
        <w:rPr>
          <w:sz w:val="20"/>
          <w:szCs w:val="20"/>
          <w:color w:val="auto"/>
        </w:rPr>
      </w:pPr>
      <w:r>
        <w:rPr>
          <w:rFonts w:ascii="Arial" w:cs="Arial" w:eastAsia="Arial" w:hAnsi="Arial"/>
          <w:sz w:val="17"/>
          <w:szCs w:val="17"/>
          <w:color w:val="auto"/>
        </w:rPr>
        <w:t>Our Board has not implemented a formal policy regarding director attendance at the Annual Meeting of Shareholders, but encourages all directors to attend. All of our directors attended the 2023 Annual Meeting of Shareholders.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Board Leadership Structure</w:t>
      </w:r>
    </w:p>
    <w:p>
      <w:pPr>
        <w:spacing w:after="0" w:line="100"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color w:val="auto"/>
        </w:rPr>
        <w:t>Ms. Brinkley became the Independent Board Chair in June 2021. Ms. Brinkley’s in-depth knowledge of our Company and deep expertise in risk management allows her to effectively identify strategic priorities, lead Board discussions, and oversee the execution of our Company’s strategy and business plans. The non-management directors meet in executive session as frequently as they wish, but at least five times a year. The Independent Chair of the Board presides over these executive sessions.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Effective Board Processes</w:t>
      </w:r>
    </w:p>
    <w:p>
      <w:pPr>
        <w:spacing w:after="0" w:line="10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a result of our Board structure and processes, our directors are actively involved in overseeing the strategy, business, and affairs of our Company, including our transformation to a diversified technology company. Our Board meetings typically extend over several days, with directors monitoring the existing portfolio of businesses and analyzing and carefully examining with management the different ways Roper can invest for future growth, both internally and through acquisitions. Between scheduled Board meetings, our directors continue their discussions with management and each other, enabling our Company to draw from their knowledge and expertise. Our directors are involved in our corporate strategy and must keep abreast of the issues encountered by our diverse global business operations.</w:t>
      </w:r>
    </w:p>
    <w:p>
      <w:pPr>
        <w:spacing w:after="0" w:line="77"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The Board, including its Nominating and Governance Committee, has an effective Board recruitment and evaluation process that facilitates bringing together a group of directors who complement each other and collectively provide oversight of management in ways that include challenging and discussing different perspectives.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Executive Succession Planning</w:t>
      </w:r>
    </w:p>
    <w:p>
      <w:pPr>
        <w:spacing w:after="0" w:line="100" w:lineRule="exact"/>
        <w:rPr>
          <w:sz w:val="20"/>
          <w:szCs w:val="20"/>
          <w:color w:val="auto"/>
        </w:rPr>
      </w:pPr>
    </w:p>
    <w:p>
      <w:pPr>
        <w:ind w:left="120" w:right="60"/>
        <w:spacing w:after="0" w:line="249" w:lineRule="auto"/>
        <w:rPr>
          <w:sz w:val="20"/>
          <w:szCs w:val="20"/>
          <w:color w:val="auto"/>
        </w:rPr>
      </w:pPr>
      <w:r>
        <w:rPr>
          <w:rFonts w:ascii="Arial" w:cs="Arial" w:eastAsia="Arial" w:hAnsi="Arial"/>
          <w:sz w:val="17"/>
          <w:szCs w:val="17"/>
          <w:color w:val="auto"/>
        </w:rPr>
        <w:t>Our Board recognizes the importance of effective leadership to our Company’s success and is actively engaged and involved, on a continual basis, in succession planning on both a long-and short-term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 w:right="60"/>
        <w:spacing w:after="0" w:line="244" w:lineRule="auto"/>
        <w:rPr>
          <w:sz w:val="20"/>
          <w:szCs w:val="20"/>
          <w:color w:val="auto"/>
        </w:rPr>
      </w:pPr>
      <w:r>
        <w:rPr>
          <w:rFonts w:ascii="Arial" w:cs="Arial" w:eastAsia="Arial" w:hAnsi="Arial"/>
          <w:sz w:val="17"/>
          <w:szCs w:val="17"/>
          <w:color w:val="auto"/>
        </w:rPr>
        <w:t>basis. Our Company’s operating unit executives, who have responsibility for their respective businesses, but no “enterprise-wide” responsibilities, provide a broad and deep talent resource that is key to our executive 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-1527175</wp:posOffset>
            </wp:positionV>
            <wp:extent cx="717486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60"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Risk Oversight</w:t>
      </w:r>
    </w:p>
    <w:p>
      <w:pPr>
        <w:spacing w:after="0" w:line="100" w:lineRule="exact"/>
        <w:rPr>
          <w:sz w:val="20"/>
          <w:szCs w:val="20"/>
          <w:color w:val="auto"/>
        </w:rPr>
      </w:pPr>
    </w:p>
    <w:p>
      <w:pPr>
        <w:ind w:left="6" w:right="40"/>
        <w:spacing w:after="0" w:line="236" w:lineRule="auto"/>
        <w:rPr>
          <w:sz w:val="20"/>
          <w:szCs w:val="20"/>
          <w:color w:val="auto"/>
        </w:rPr>
      </w:pPr>
      <w:r>
        <w:rPr>
          <w:rFonts w:ascii="Arial" w:cs="Arial" w:eastAsia="Arial" w:hAnsi="Arial"/>
          <w:sz w:val="17"/>
          <w:szCs w:val="17"/>
          <w:color w:val="auto"/>
        </w:rPr>
        <w:t>Our Board has overall responsibility for the oversight of risk management at our Company, which it generally carries out through Board committees. However, several categories of risk management, such as cybersecurity and data privacy, are overseen by our full Board. Our General Counsel informs each committee and the Board of relevant legal and compliance issues, and each committee also has access to our Company’s outside counsel or any other outside advisor when they deem it advisable. Each of these committees along with our management team, which is responsible for the implementation of the process to identify, manage and monitor risks, keeps the entire Board regularly apprised of the different risks associated with our Company.</w:t>
      </w:r>
    </w:p>
    <w:p>
      <w:pPr>
        <w:spacing w:after="0" w:line="86" w:lineRule="exact"/>
        <w:rPr>
          <w:sz w:val="20"/>
          <w:szCs w:val="20"/>
          <w:color w:val="auto"/>
        </w:rPr>
      </w:pPr>
    </w:p>
    <w:p>
      <w:pPr>
        <w:ind w:left="206" w:right="140" w:hanging="206"/>
        <w:spacing w:after="0" w:line="236" w:lineRule="auto"/>
        <w:tabs>
          <w:tab w:leader="none" w:pos="20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Audit Committee oversees financial risk, including such factors as liquidity, credit, currency exchange, interest rates and market conditions, through review and discussion with management, and monitors our Company’s risk management practices. It meets regularly with our independent auditors together with our Chief Compliance Officer, and our Vice President of Financial Audit Services, both of whom report directly to the Audit Committee. In addition to financial risk, the Audit Committee also reviews and discusses other risks that relate to our business activities and operations.</w:t>
      </w:r>
    </w:p>
    <w:p>
      <w:pPr>
        <w:spacing w:after="0" w:line="89" w:lineRule="exact"/>
        <w:rPr>
          <w:rFonts w:ascii="Arial" w:cs="Arial" w:eastAsia="Arial" w:hAnsi="Arial"/>
          <w:sz w:val="17"/>
          <w:szCs w:val="17"/>
          <w:color w:val="auto"/>
        </w:rPr>
      </w:pPr>
    </w:p>
    <w:p>
      <w:pPr>
        <w:ind w:left="206" w:right="100" w:hanging="206"/>
        <w:spacing w:after="0" w:line="244" w:lineRule="auto"/>
        <w:tabs>
          <w:tab w:leader="none" w:pos="20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Compensation Committee, in overseeing risk associated with compensation programs and practices, has directly retained its own independent compensation consultant, and meets periodically with management to discuss current issues.</w:t>
      </w:r>
    </w:p>
    <w:p>
      <w:pPr>
        <w:spacing w:after="0" w:line="82" w:lineRule="exact"/>
        <w:rPr>
          <w:rFonts w:ascii="Arial" w:cs="Arial" w:eastAsia="Arial" w:hAnsi="Arial"/>
          <w:sz w:val="17"/>
          <w:szCs w:val="17"/>
          <w:color w:val="auto"/>
        </w:rPr>
      </w:pPr>
    </w:p>
    <w:p>
      <w:pPr>
        <w:ind w:left="206" w:right="120" w:hanging="206"/>
        <w:spacing w:after="0" w:line="249" w:lineRule="auto"/>
        <w:tabs>
          <w:tab w:leader="none" w:pos="20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Nominating and Governance Committee monitors the compliance of our corporate governance practices and policies with applicable requirements and evolving developments.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005CB9"/>
        </w:rPr>
        <w:t>Cybersecurity and Data Privacy</w:t>
      </w:r>
    </w:p>
    <w:p>
      <w:pPr>
        <w:spacing w:after="0" w:line="100" w:lineRule="exact"/>
        <w:rPr>
          <w:sz w:val="20"/>
          <w:szCs w:val="20"/>
          <w:color w:val="auto"/>
        </w:rPr>
      </w:pPr>
    </w:p>
    <w:p>
      <w:pPr>
        <w:ind w:left="6" w:right="100"/>
        <w:spacing w:after="0" w:line="239" w:lineRule="auto"/>
        <w:rPr>
          <w:sz w:val="20"/>
          <w:szCs w:val="20"/>
          <w:color w:val="auto"/>
        </w:rPr>
      </w:pPr>
      <w:r>
        <w:rPr>
          <w:rFonts w:ascii="Arial" w:cs="Arial" w:eastAsia="Arial" w:hAnsi="Arial"/>
          <w:sz w:val="17"/>
          <w:szCs w:val="17"/>
          <w:color w:val="auto"/>
        </w:rPr>
        <w:t>Our Board of Directors has not delegated responsibility for cybersecurity matters or data privacy matters to a committee. Rather, the Board believes that due to the importance and continually evolving nature of cybersecurity threats and data privacy obligations, all members of the Board should participate in the oversight of the topics. As a result,</w:t>
      </w:r>
    </w:p>
    <w:p>
      <w:pPr>
        <w:spacing w:after="0" w:line="285" w:lineRule="exact"/>
        <w:rPr>
          <w:sz w:val="20"/>
          <w:szCs w:val="20"/>
          <w:color w:val="auto"/>
        </w:rPr>
      </w:pPr>
    </w:p>
    <w:tbl>
      <w:tblPr>
        <w:tblLayout w:type="fixed"/>
        <w:tblInd w:w="26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13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-205105</wp:posOffset>
            </wp:positionV>
            <wp:extent cx="42862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20" w:space="314"/>
            <w:col w:w="5406"/>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195"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the Board is briefed on cybersecurity matters and data privacy matters at each regularly scheduled Board meeting by management. Roper’s Vice President of Financial Audit Services also periodically briefs the Audit Committee on cybersecurity matters and related risks.</w:t>
      </w:r>
    </w:p>
    <w:p>
      <w:pPr>
        <w:spacing w:after="0" w:line="6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Roper has also established a Cyber Disclosure Committee chaired by the Vice President of Cybersecurity to track and evaluate cybersecurity incidents and to assess their potential impact on the organization. This process builds upon Roper’s Cybersecurity Incident Response Plan (“CSIRP”) and provides a framework for Roper management to monitor potentially material cyber incidents. The Cyber Disclosure Committee reports its activities and findings, as appropriate, to the Chief Executive Officer, Chief Financial Officer, Principal Accounting Officer, and General Counsel, and, if appropriate, to the Board of Directors.</w:t>
      </w:r>
    </w:p>
    <w:p>
      <w:pPr>
        <w:spacing w:after="0" w:line="76"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Roper maintains a global Cybersecurity Program that outlines required cybersecurity controls for all Roper businesses. Given the decentralized nature of Roper’s operating model, day-to-day management and implementation of the Cybersecurity Program and deployment of the program’s cybersecurity controls are managed locally by each of Roper’s 28 business units. In addition, because Roper’s businesses generally operate independently and maintain separate infrastructure and systems, the risk of an enterprise-wide cybersecurity incident is somewhat reduced.</w:t>
      </w:r>
    </w:p>
    <w:p>
      <w:pPr>
        <w:spacing w:after="0" w:line="7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While cybersecurity technologies and implementation may differ based on the needs and risk profile of each individual business, Roper has also implemented cyber tools and managed services to centrally monitor certain aspects of the Cybersecurity Program. The Cybersecurity Program is supervised by Roper’s Vice President of Cybersecurity, who has related experience including cybersecurity, IT, Cloud, and Security Compliance.</w:t>
      </w:r>
    </w:p>
    <w:p>
      <w:pPr>
        <w:spacing w:after="0" w:line="74"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color w:val="auto"/>
        </w:rPr>
        <w:t>Roper deploys cybersecurity practices and tools across all of its businesses to protect data, maintain resilient operations, and limit the impact of cybercrime. We deploy a Managed Detection and Response (“MDR”) solution across all of our business units and</w:t>
      </w:r>
    </w:p>
    <w:p>
      <w:pPr>
        <w:spacing w:after="0" w:line="200" w:lineRule="exact"/>
        <w:rPr>
          <w:sz w:val="20"/>
          <w:szCs w:val="20"/>
          <w:color w:val="auto"/>
        </w:rPr>
      </w:pP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our corporate infrastructure that is designed to address the detection, response, and remediation effectiveness of cybersecurity threats. This solution is intended to provide real-time visibility of the endpoint footprint across the enterprise, including patch management and vulnerabilities, device encryption, and cybersecurity threats and detections.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-1541145</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4"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Roper performs cybersecurity risk assessments to assess compliance with mandated cybersecurity controls and to assess the likelihood and impact of specific cyberattacks. Cybersecurity risk assessments are periodically performed to assess the internal compliance with cybersecurity strategy and implementation of cybersecurity controls. Areas identified for enhancement and improvement are monitored and tracked to remediation by the Roper Cyber team, including the Vice President of Cybersecurity.</w:t>
      </w:r>
    </w:p>
    <w:p>
      <w:pPr>
        <w:spacing w:after="0" w:line="76"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We maintain a centralized incident response process with a forensic partner on retainer. In addition, we have cybersecurity insurance policies in place. Roper maintains a CSIRP, which requires each Roper business to designate a Cybersecurity Incident Response Team (CSIRT) that is responsible for receiving, reviewing, and responding to cybersecurity incident reports and activities. Cybersecurity incidents are required to be promptly reported to Roper, and such incidents and their resolution are then closely monitored by Roper’s cybersecurity team. We work on security awareness with our employees throughout the year with cybersecurity training and simulated phishing campaigns to better identify and report unusual behavior and to mitigate the likelihood and impact of possible incidents.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Board Committees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Our Board has four standing committees: Audit, Compensation,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Nominating and Governance, and Executive. All four committees</w:t>
      </w:r>
    </w:p>
    <w:p>
      <w:pPr>
        <w:spacing w:after="0" w:line="232" w:lineRule="auto"/>
        <w:rPr>
          <w:sz w:val="20"/>
          <w:szCs w:val="20"/>
          <w:color w:val="auto"/>
        </w:rPr>
      </w:pPr>
      <w:r>
        <w:rPr>
          <w:rFonts w:ascii="Arial" w:cs="Arial" w:eastAsia="Arial" w:hAnsi="Arial"/>
          <w:sz w:val="17"/>
          <w:szCs w:val="17"/>
          <w:color w:val="auto"/>
        </w:rPr>
        <w:t>operate under written charters, copies of which can be obtained upon</w:t>
      </w:r>
    </w:p>
    <w:p>
      <w:pPr>
        <w:spacing w:after="0" w:line="232" w:lineRule="auto"/>
        <w:rPr>
          <w:sz w:val="20"/>
          <w:szCs w:val="20"/>
          <w:color w:val="auto"/>
        </w:rPr>
      </w:pPr>
      <w:r>
        <w:rPr>
          <w:rFonts w:ascii="Arial" w:cs="Arial" w:eastAsia="Arial" w:hAnsi="Arial"/>
          <w:sz w:val="17"/>
          <w:szCs w:val="17"/>
          <w:color w:val="auto"/>
        </w:rPr>
        <w:t>request from the Corporate Secretary or viewed on Roper’s website</w:t>
      </w:r>
    </w:p>
    <w:p>
      <w:pPr>
        <w:spacing w:after="0" w:line="232"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www.ropertech.com/governance-documents</w:t>
      </w:r>
      <w:r>
        <w:rPr>
          <w:rFonts w:ascii="Arial" w:cs="Arial" w:eastAsia="Arial" w:hAnsi="Arial"/>
          <w:sz w:val="17"/>
          <w:szCs w:val="17"/>
          <w:color w:val="auto"/>
        </w:rPr>
        <w:t>). Each committee reviews</w:t>
      </w:r>
    </w:p>
    <w:p>
      <w:pPr>
        <w:spacing w:after="0" w:line="232" w:lineRule="auto"/>
        <w:rPr>
          <w:sz w:val="20"/>
          <w:szCs w:val="20"/>
          <w:color w:val="auto"/>
        </w:rPr>
      </w:pPr>
      <w:r>
        <w:rPr>
          <w:rFonts w:ascii="Arial" w:cs="Arial" w:eastAsia="Arial" w:hAnsi="Arial"/>
          <w:sz w:val="17"/>
          <w:szCs w:val="17"/>
          <w:color w:val="auto"/>
        </w:rPr>
        <w:t>its charter annually and reports its activities to the full Board on a</w:t>
      </w:r>
    </w:p>
    <w:p>
      <w:pPr>
        <w:spacing w:after="0"/>
        <w:rPr>
          <w:sz w:val="20"/>
          <w:szCs w:val="20"/>
          <w:color w:val="auto"/>
        </w:rPr>
      </w:pPr>
      <w:r>
        <w:rPr>
          <w:rFonts w:ascii="Arial" w:cs="Arial" w:eastAsia="Arial" w:hAnsi="Arial"/>
          <w:sz w:val="17"/>
          <w:szCs w:val="17"/>
          <w:color w:val="auto"/>
        </w:rPr>
        <w:t>regular basis.</w:t>
      </w:r>
    </w:p>
    <w:p>
      <w:pPr>
        <w:sectPr>
          <w:pgSz w:w="11900" w:h="16838" w:orient="portrait"/>
          <w:cols w:equalWidth="0" w:num="2">
            <w:col w:w="5380" w:space="360"/>
            <w:col w:w="5380"/>
          </w:cols>
          <w:pgMar w:left="320" w:top="482"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current committee memberships are set forth below.</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500" w:type="dxa"/>
            <w:vAlign w:val="bottom"/>
            <w:shd w:val="clear" w:color="auto" w:fill="005CB9"/>
          </w:tcPr>
          <w:p>
            <w:pPr>
              <w:spacing w:after="0"/>
              <w:rPr>
                <w:sz w:val="19"/>
                <w:szCs w:val="19"/>
                <w:color w:val="auto"/>
              </w:rPr>
            </w:pPr>
          </w:p>
        </w:tc>
        <w:tc>
          <w:tcPr>
            <w:tcW w:w="780" w:type="dxa"/>
            <w:vAlign w:val="bottom"/>
            <w:shd w:val="clear" w:color="auto" w:fill="005CB9"/>
          </w:tcPr>
          <w:p>
            <w:pPr>
              <w:spacing w:after="0"/>
              <w:rPr>
                <w:sz w:val="19"/>
                <w:szCs w:val="19"/>
                <w:color w:val="auto"/>
              </w:rPr>
            </w:pPr>
          </w:p>
        </w:tc>
        <w:tc>
          <w:tcPr>
            <w:tcW w:w="1280" w:type="dxa"/>
            <w:vAlign w:val="bottom"/>
            <w:shd w:val="clear" w:color="auto" w:fill="005CB9"/>
          </w:tcPr>
          <w:p>
            <w:pPr>
              <w:spacing w:after="0"/>
              <w:rPr>
                <w:sz w:val="19"/>
                <w:szCs w:val="19"/>
                <w:color w:val="auto"/>
              </w:rPr>
            </w:pPr>
          </w:p>
        </w:tc>
        <w:tc>
          <w:tcPr>
            <w:tcW w:w="14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Nominating and</w:t>
            </w:r>
          </w:p>
        </w:tc>
        <w:tc>
          <w:tcPr>
            <w:tcW w:w="1000" w:type="dxa"/>
            <w:vAlign w:val="bottom"/>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500" w:type="dxa"/>
            <w:vAlign w:val="bottom"/>
            <w:tcBorders>
              <w:bottom w:val="single" w:sz="8" w:color="005CB9"/>
            </w:tcBorders>
            <w:shd w:val="clear" w:color="auto" w:fill="005CB9"/>
          </w:tcPr>
          <w:p>
            <w:pPr>
              <w:spacing w:after="0"/>
              <w:rPr>
                <w:sz w:val="20"/>
                <w:szCs w:val="20"/>
                <w:color w:val="auto"/>
              </w:rPr>
            </w:pPr>
            <w:r>
              <w:rPr>
                <w:rFonts w:ascii="Arial" w:cs="Arial" w:eastAsia="Arial" w:hAnsi="Arial"/>
                <w:sz w:val="14"/>
                <w:szCs w:val="14"/>
                <w:color w:val="FFFFFF"/>
              </w:rPr>
              <w:t> Director</w:t>
            </w:r>
          </w:p>
        </w:tc>
        <w:tc>
          <w:tcPr>
            <w:tcW w:w="78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Audit</w:t>
            </w:r>
          </w:p>
        </w:tc>
        <w:tc>
          <w:tcPr>
            <w:tcW w:w="128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Compensation</w:t>
            </w:r>
          </w:p>
        </w:tc>
        <w:tc>
          <w:tcPr>
            <w:tcW w:w="146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Governance</w:t>
            </w:r>
          </w:p>
        </w:tc>
        <w:tc>
          <w:tcPr>
            <w:tcW w:w="1000" w:type="dxa"/>
            <w:vAlign w:val="bottom"/>
            <w:tcBorders>
              <w:bottom w:val="single" w:sz="8" w:color="005CB9"/>
            </w:tcBorders>
            <w:shd w:val="clear" w:color="auto" w:fill="005CB9"/>
          </w:tcPr>
          <w:p>
            <w:pPr>
              <w:jc w:val="center"/>
              <w:spacing w:after="0"/>
              <w:rPr>
                <w:sz w:val="20"/>
                <w:szCs w:val="20"/>
                <w:color w:val="auto"/>
              </w:rPr>
            </w:pPr>
            <w:r>
              <w:rPr>
                <w:rFonts w:ascii="Arial" w:cs="Arial" w:eastAsia="Arial" w:hAnsi="Arial"/>
                <w:sz w:val="14"/>
                <w:szCs w:val="14"/>
                <w:color w:val="FFFFFF"/>
              </w:rPr>
              <w:t> Executive</w:t>
            </w:r>
          </w:p>
        </w:tc>
        <w:tc>
          <w:tcPr>
            <w:tcW w:w="0" w:type="dxa"/>
            <w:vAlign w:val="bottom"/>
          </w:tcPr>
          <w:p>
            <w:pPr>
              <w:spacing w:after="0"/>
              <w:rPr>
                <w:sz w:val="1"/>
                <w:szCs w:val="1"/>
                <w:color w:val="auto"/>
              </w:rPr>
            </w:pPr>
          </w:p>
        </w:tc>
      </w:tr>
      <w:tr>
        <w:trPr>
          <w:trHeight w:val="145"/>
        </w:trPr>
        <w:tc>
          <w:tcPr>
            <w:tcW w:w="6500" w:type="dxa"/>
            <w:vAlign w:val="bottom"/>
            <w:vMerge w:val="restart"/>
          </w:tcPr>
          <w:p>
            <w:pPr>
              <w:ind w:left="60"/>
              <w:spacing w:after="0"/>
              <w:rPr>
                <w:sz w:val="20"/>
                <w:szCs w:val="20"/>
                <w:color w:val="auto"/>
              </w:rPr>
            </w:pPr>
            <w:r>
              <w:rPr>
                <w:rFonts w:ascii="Arial" w:cs="Arial" w:eastAsia="Arial" w:hAnsi="Arial"/>
                <w:sz w:val="17"/>
                <w:szCs w:val="17"/>
                <w:color w:val="auto"/>
              </w:rPr>
              <w:t>Shellye L. Archambeau</w:t>
            </w:r>
          </w:p>
        </w:tc>
        <w:tc>
          <w:tcPr>
            <w:tcW w:w="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Arial" w:cs="Arial" w:eastAsia="Arial" w:hAnsi="Arial"/>
                <w:sz w:val="17"/>
                <w:szCs w:val="17"/>
                <w:b w:val="1"/>
                <w:bCs w:val="1"/>
                <w:color w:val="005CB9"/>
              </w:rPr>
              <w:t>Chair</w:t>
            </w:r>
          </w:p>
        </w:tc>
        <w:tc>
          <w:tcPr>
            <w:tcW w:w="1000" w:type="dxa"/>
            <w:vAlign w:val="bottom"/>
          </w:tcPr>
          <w:p>
            <w:pPr>
              <w:jc w:val="center"/>
              <w:spacing w:after="0" w:line="145" w:lineRule="exact"/>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88"/>
        </w:trPr>
        <w:tc>
          <w:tcPr>
            <w:tcW w:w="65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460" w:type="dxa"/>
            <w:vAlign w:val="bottom"/>
            <w:vMerge w:val="continue"/>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6500" w:type="dxa"/>
            <w:vAlign w:val="bottom"/>
            <w:tcBorders>
              <w:bottom w:val="single" w:sz="8" w:color="005CB9"/>
            </w:tcBorders>
          </w:tcPr>
          <w:p>
            <w:pPr>
              <w:spacing w:after="0"/>
              <w:rPr>
                <w:sz w:val="5"/>
                <w:szCs w:val="5"/>
                <w:color w:val="auto"/>
              </w:rPr>
            </w:pPr>
          </w:p>
        </w:tc>
        <w:tc>
          <w:tcPr>
            <w:tcW w:w="780" w:type="dxa"/>
            <w:vAlign w:val="bottom"/>
            <w:tcBorders>
              <w:bottom w:val="single" w:sz="8" w:color="005CB9"/>
            </w:tcBorders>
          </w:tcPr>
          <w:p>
            <w:pPr>
              <w:spacing w:after="0"/>
              <w:rPr>
                <w:sz w:val="5"/>
                <w:szCs w:val="5"/>
                <w:color w:val="auto"/>
              </w:rPr>
            </w:pPr>
          </w:p>
        </w:tc>
        <w:tc>
          <w:tcPr>
            <w:tcW w:w="1280" w:type="dxa"/>
            <w:vAlign w:val="bottom"/>
            <w:tcBorders>
              <w:bottom w:val="single" w:sz="8" w:color="005CB9"/>
            </w:tcBorders>
          </w:tcPr>
          <w:p>
            <w:pPr>
              <w:spacing w:after="0"/>
              <w:rPr>
                <w:sz w:val="5"/>
                <w:szCs w:val="5"/>
                <w:color w:val="auto"/>
              </w:rPr>
            </w:pPr>
          </w:p>
        </w:tc>
        <w:tc>
          <w:tcPr>
            <w:tcW w:w="1460" w:type="dxa"/>
            <w:vAlign w:val="bottom"/>
            <w:tcBorders>
              <w:bottom w:val="single" w:sz="8" w:color="005CB9"/>
            </w:tcBorders>
          </w:tcPr>
          <w:p>
            <w:pPr>
              <w:spacing w:after="0"/>
              <w:rPr>
                <w:sz w:val="5"/>
                <w:szCs w:val="5"/>
                <w:color w:val="auto"/>
              </w:rPr>
            </w:pPr>
          </w:p>
        </w:tc>
        <w:tc>
          <w:tcPr>
            <w:tcW w:w="1000" w:type="dxa"/>
            <w:vAlign w:val="bottom"/>
            <w:tcBorders>
              <w:bottom w:val="single" w:sz="8" w:color="005CB9"/>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6500" w:type="dxa"/>
            <w:vAlign w:val="bottom"/>
          </w:tcPr>
          <w:p>
            <w:pPr>
              <w:ind w:left="60"/>
              <w:spacing w:after="0"/>
              <w:rPr>
                <w:sz w:val="20"/>
                <w:szCs w:val="20"/>
                <w:color w:val="auto"/>
              </w:rPr>
            </w:pPr>
            <w:r>
              <w:rPr>
                <w:rFonts w:ascii="Arial" w:cs="Arial" w:eastAsia="Arial" w:hAnsi="Arial"/>
                <w:sz w:val="17"/>
                <w:szCs w:val="17"/>
                <w:color w:val="auto"/>
              </w:rPr>
              <w:t>Amy Woods Brinkley</w:t>
            </w:r>
          </w:p>
        </w:tc>
        <w:tc>
          <w:tcPr>
            <w:tcW w:w="7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60" w:type="dxa"/>
            <w:vAlign w:val="bottom"/>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1000" w:type="dxa"/>
            <w:vAlign w:val="bottom"/>
          </w:tcPr>
          <w:p>
            <w:pPr>
              <w:jc w:val="center"/>
              <w:spacing w:after="0"/>
              <w:rPr>
                <w:sz w:val="20"/>
                <w:szCs w:val="20"/>
                <w:color w:val="auto"/>
              </w:rPr>
            </w:pPr>
            <w:r>
              <w:rPr>
                <w:rFonts w:ascii="Arial" w:cs="Arial" w:eastAsia="Arial" w:hAnsi="Arial"/>
                <w:sz w:val="17"/>
                <w:szCs w:val="17"/>
                <w:b w:val="1"/>
                <w:bCs w:val="1"/>
                <w:color w:val="005CB9"/>
              </w:rPr>
              <w:t>Chair</w:t>
            </w:r>
          </w:p>
        </w:tc>
        <w:tc>
          <w:tcPr>
            <w:tcW w:w="0" w:type="dxa"/>
            <w:vAlign w:val="bottom"/>
          </w:tcPr>
          <w:p>
            <w:pPr>
              <w:spacing w:after="0"/>
              <w:rPr>
                <w:sz w:val="1"/>
                <w:szCs w:val="1"/>
                <w:color w:val="auto"/>
              </w:rPr>
            </w:pPr>
          </w:p>
        </w:tc>
      </w:tr>
      <w:tr>
        <w:trPr>
          <w:trHeight w:val="98"/>
        </w:trPr>
        <w:tc>
          <w:tcPr>
            <w:tcW w:w="6500" w:type="dxa"/>
            <w:vAlign w:val="bottom"/>
            <w:tcBorders>
              <w:bottom w:val="single" w:sz="8" w:color="005CB9"/>
            </w:tcBorders>
          </w:tcPr>
          <w:p>
            <w:pPr>
              <w:spacing w:after="0"/>
              <w:rPr>
                <w:sz w:val="8"/>
                <w:szCs w:val="8"/>
                <w:color w:val="auto"/>
              </w:rPr>
            </w:pPr>
          </w:p>
        </w:tc>
        <w:tc>
          <w:tcPr>
            <w:tcW w:w="780" w:type="dxa"/>
            <w:vAlign w:val="bottom"/>
            <w:tcBorders>
              <w:bottom w:val="single" w:sz="8" w:color="005CB9"/>
            </w:tcBorders>
          </w:tcPr>
          <w:p>
            <w:pPr>
              <w:spacing w:after="0"/>
              <w:rPr>
                <w:sz w:val="8"/>
                <w:szCs w:val="8"/>
                <w:color w:val="auto"/>
              </w:rPr>
            </w:pPr>
          </w:p>
        </w:tc>
        <w:tc>
          <w:tcPr>
            <w:tcW w:w="1280" w:type="dxa"/>
            <w:vAlign w:val="bottom"/>
            <w:tcBorders>
              <w:bottom w:val="single" w:sz="8" w:color="005CB9"/>
            </w:tcBorders>
          </w:tcPr>
          <w:p>
            <w:pPr>
              <w:spacing w:after="0"/>
              <w:rPr>
                <w:sz w:val="8"/>
                <w:szCs w:val="8"/>
                <w:color w:val="auto"/>
              </w:rPr>
            </w:pPr>
          </w:p>
        </w:tc>
        <w:tc>
          <w:tcPr>
            <w:tcW w:w="1460" w:type="dxa"/>
            <w:vAlign w:val="bottom"/>
            <w:tcBorders>
              <w:bottom w:val="single" w:sz="8" w:color="005CB9"/>
            </w:tcBorders>
          </w:tcPr>
          <w:p>
            <w:pPr>
              <w:spacing w:after="0"/>
              <w:rPr>
                <w:sz w:val="8"/>
                <w:szCs w:val="8"/>
                <w:color w:val="auto"/>
              </w:rPr>
            </w:pPr>
          </w:p>
        </w:tc>
        <w:tc>
          <w:tcPr>
            <w:tcW w:w="1000" w:type="dxa"/>
            <w:vAlign w:val="bottom"/>
            <w:tcBorders>
              <w:bottom w:val="single" w:sz="8" w:color="005CB9"/>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60"/>
              <w:spacing w:after="0"/>
              <w:rPr>
                <w:sz w:val="20"/>
                <w:szCs w:val="20"/>
                <w:color w:val="auto"/>
              </w:rPr>
            </w:pPr>
            <w:r>
              <w:rPr>
                <w:rFonts w:ascii="Arial" w:cs="Arial" w:eastAsia="Arial" w:hAnsi="Arial"/>
                <w:sz w:val="17"/>
                <w:szCs w:val="17"/>
                <w:color w:val="auto"/>
              </w:rPr>
              <w:t>Irene M. Esteves</w:t>
            </w:r>
          </w:p>
        </w:tc>
        <w:tc>
          <w:tcPr>
            <w:tcW w:w="7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28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500" w:type="dxa"/>
            <w:vAlign w:val="bottom"/>
            <w:tcBorders>
              <w:bottom w:val="single" w:sz="8" w:color="005CB9"/>
            </w:tcBorders>
          </w:tcPr>
          <w:p>
            <w:pPr>
              <w:spacing w:after="0"/>
              <w:rPr>
                <w:sz w:val="9"/>
                <w:szCs w:val="9"/>
                <w:color w:val="auto"/>
              </w:rPr>
            </w:pPr>
          </w:p>
        </w:tc>
        <w:tc>
          <w:tcPr>
            <w:tcW w:w="780" w:type="dxa"/>
            <w:vAlign w:val="bottom"/>
            <w:tcBorders>
              <w:bottom w:val="single" w:sz="8" w:color="005CB9"/>
            </w:tcBorders>
          </w:tcPr>
          <w:p>
            <w:pPr>
              <w:spacing w:after="0"/>
              <w:rPr>
                <w:sz w:val="9"/>
                <w:szCs w:val="9"/>
                <w:color w:val="auto"/>
              </w:rPr>
            </w:pPr>
          </w:p>
        </w:tc>
        <w:tc>
          <w:tcPr>
            <w:tcW w:w="1280" w:type="dxa"/>
            <w:vAlign w:val="bottom"/>
            <w:tcBorders>
              <w:bottom w:val="single" w:sz="8" w:color="005CB9"/>
            </w:tcBorders>
          </w:tcPr>
          <w:p>
            <w:pPr>
              <w:spacing w:after="0"/>
              <w:rPr>
                <w:sz w:val="9"/>
                <w:szCs w:val="9"/>
                <w:color w:val="auto"/>
              </w:rPr>
            </w:pPr>
          </w:p>
        </w:tc>
        <w:tc>
          <w:tcPr>
            <w:tcW w:w="1460" w:type="dxa"/>
            <w:vAlign w:val="bottom"/>
            <w:tcBorders>
              <w:bottom w:val="single" w:sz="8" w:color="005CB9"/>
            </w:tcBorders>
          </w:tcPr>
          <w:p>
            <w:pPr>
              <w:spacing w:after="0"/>
              <w:rPr>
                <w:sz w:val="9"/>
                <w:szCs w:val="9"/>
                <w:color w:val="auto"/>
              </w:rPr>
            </w:pPr>
          </w:p>
        </w:tc>
        <w:tc>
          <w:tcPr>
            <w:tcW w:w="1000" w:type="dxa"/>
            <w:vAlign w:val="bottom"/>
            <w:tcBorders>
              <w:bottom w:val="single" w:sz="8" w:color="005CB9"/>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60"/>
              <w:spacing w:after="0"/>
              <w:rPr>
                <w:sz w:val="20"/>
                <w:szCs w:val="20"/>
                <w:color w:val="auto"/>
              </w:rPr>
            </w:pPr>
            <w:r>
              <w:rPr>
                <w:rFonts w:ascii="Arial" w:cs="Arial" w:eastAsia="Arial" w:hAnsi="Arial"/>
                <w:sz w:val="17"/>
                <w:szCs w:val="17"/>
                <w:color w:val="auto"/>
              </w:rPr>
              <w:t>Robert D. Johnson</w:t>
            </w:r>
          </w:p>
        </w:tc>
        <w:tc>
          <w:tcPr>
            <w:tcW w:w="78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60" w:type="dxa"/>
            <w:vAlign w:val="bottom"/>
          </w:tcPr>
          <w:p>
            <w:pPr>
              <w:jc w:val="center"/>
              <w:spacing w:after="0"/>
              <w:rPr>
                <w:sz w:val="20"/>
                <w:szCs w:val="20"/>
                <w:color w:val="auto"/>
              </w:rPr>
            </w:pPr>
            <w:r>
              <w:rPr>
                <w:rFonts w:ascii="Wingdings" w:cs="Wingdings" w:eastAsia="Wingdings" w:hAnsi="Wingdings"/>
                <w:sz w:val="14"/>
                <w:szCs w:val="14"/>
                <w:b w:val="1"/>
                <w:bCs w:val="1"/>
                <w:color w:val="005CB9"/>
                <w:w w:val="95"/>
              </w:rPr>
              <w:t>l</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500" w:type="dxa"/>
            <w:vAlign w:val="bottom"/>
            <w:tcBorders>
              <w:bottom w:val="single" w:sz="8" w:color="005CB9"/>
            </w:tcBorders>
          </w:tcPr>
          <w:p>
            <w:pPr>
              <w:spacing w:after="0"/>
              <w:rPr>
                <w:sz w:val="9"/>
                <w:szCs w:val="9"/>
                <w:color w:val="auto"/>
              </w:rPr>
            </w:pPr>
          </w:p>
        </w:tc>
        <w:tc>
          <w:tcPr>
            <w:tcW w:w="780" w:type="dxa"/>
            <w:vAlign w:val="bottom"/>
            <w:tcBorders>
              <w:bottom w:val="single" w:sz="8" w:color="005CB9"/>
            </w:tcBorders>
          </w:tcPr>
          <w:p>
            <w:pPr>
              <w:spacing w:after="0"/>
              <w:rPr>
                <w:sz w:val="9"/>
                <w:szCs w:val="9"/>
                <w:color w:val="auto"/>
              </w:rPr>
            </w:pPr>
          </w:p>
        </w:tc>
        <w:tc>
          <w:tcPr>
            <w:tcW w:w="1280" w:type="dxa"/>
            <w:vAlign w:val="bottom"/>
            <w:tcBorders>
              <w:bottom w:val="single" w:sz="8" w:color="005CB9"/>
            </w:tcBorders>
          </w:tcPr>
          <w:p>
            <w:pPr>
              <w:spacing w:after="0"/>
              <w:rPr>
                <w:sz w:val="9"/>
                <w:szCs w:val="9"/>
                <w:color w:val="auto"/>
              </w:rPr>
            </w:pPr>
          </w:p>
        </w:tc>
        <w:tc>
          <w:tcPr>
            <w:tcW w:w="1460" w:type="dxa"/>
            <w:vAlign w:val="bottom"/>
            <w:tcBorders>
              <w:bottom w:val="single" w:sz="8" w:color="005CB9"/>
            </w:tcBorders>
          </w:tcPr>
          <w:p>
            <w:pPr>
              <w:spacing w:after="0"/>
              <w:rPr>
                <w:sz w:val="9"/>
                <w:szCs w:val="9"/>
                <w:color w:val="auto"/>
              </w:rPr>
            </w:pPr>
          </w:p>
        </w:tc>
        <w:tc>
          <w:tcPr>
            <w:tcW w:w="1000" w:type="dxa"/>
            <w:vAlign w:val="bottom"/>
            <w:tcBorders>
              <w:bottom w:val="single" w:sz="8" w:color="005CB9"/>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60"/>
              <w:spacing w:after="0"/>
              <w:rPr>
                <w:sz w:val="20"/>
                <w:szCs w:val="20"/>
                <w:color w:val="auto"/>
              </w:rPr>
            </w:pPr>
            <w:r>
              <w:rPr>
                <w:rFonts w:ascii="Arial" w:cs="Arial" w:eastAsia="Arial" w:hAnsi="Arial"/>
                <w:sz w:val="17"/>
                <w:szCs w:val="17"/>
                <w:color w:val="auto"/>
              </w:rPr>
              <w:t>Thomas P. Joyce, Jr.</w:t>
            </w:r>
          </w:p>
        </w:tc>
        <w:tc>
          <w:tcPr>
            <w:tcW w:w="7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2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500" w:type="dxa"/>
            <w:vAlign w:val="bottom"/>
            <w:tcBorders>
              <w:bottom w:val="single" w:sz="8" w:color="005CB9"/>
            </w:tcBorders>
          </w:tcPr>
          <w:p>
            <w:pPr>
              <w:spacing w:after="0"/>
              <w:rPr>
                <w:sz w:val="9"/>
                <w:szCs w:val="9"/>
                <w:color w:val="auto"/>
              </w:rPr>
            </w:pPr>
          </w:p>
        </w:tc>
        <w:tc>
          <w:tcPr>
            <w:tcW w:w="780" w:type="dxa"/>
            <w:vAlign w:val="bottom"/>
            <w:tcBorders>
              <w:bottom w:val="single" w:sz="8" w:color="005CB9"/>
            </w:tcBorders>
          </w:tcPr>
          <w:p>
            <w:pPr>
              <w:spacing w:after="0"/>
              <w:rPr>
                <w:sz w:val="9"/>
                <w:szCs w:val="9"/>
                <w:color w:val="auto"/>
              </w:rPr>
            </w:pPr>
          </w:p>
        </w:tc>
        <w:tc>
          <w:tcPr>
            <w:tcW w:w="1280" w:type="dxa"/>
            <w:vAlign w:val="bottom"/>
            <w:tcBorders>
              <w:bottom w:val="single" w:sz="8" w:color="005CB9"/>
            </w:tcBorders>
          </w:tcPr>
          <w:p>
            <w:pPr>
              <w:spacing w:after="0"/>
              <w:rPr>
                <w:sz w:val="9"/>
                <w:szCs w:val="9"/>
                <w:color w:val="auto"/>
              </w:rPr>
            </w:pPr>
          </w:p>
        </w:tc>
        <w:tc>
          <w:tcPr>
            <w:tcW w:w="1460" w:type="dxa"/>
            <w:vAlign w:val="bottom"/>
            <w:tcBorders>
              <w:bottom w:val="single" w:sz="8" w:color="005CB9"/>
            </w:tcBorders>
          </w:tcPr>
          <w:p>
            <w:pPr>
              <w:spacing w:after="0"/>
              <w:rPr>
                <w:sz w:val="9"/>
                <w:szCs w:val="9"/>
                <w:color w:val="auto"/>
              </w:rPr>
            </w:pPr>
          </w:p>
        </w:tc>
        <w:tc>
          <w:tcPr>
            <w:tcW w:w="1000" w:type="dxa"/>
            <w:vAlign w:val="bottom"/>
            <w:tcBorders>
              <w:bottom w:val="single" w:sz="8" w:color="005CB9"/>
            </w:tcBorders>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60"/>
              <w:spacing w:after="0"/>
              <w:rPr>
                <w:sz w:val="20"/>
                <w:szCs w:val="20"/>
                <w:color w:val="auto"/>
              </w:rPr>
            </w:pPr>
            <w:r>
              <w:rPr>
                <w:rFonts w:ascii="Arial" w:cs="Arial" w:eastAsia="Arial" w:hAnsi="Arial"/>
                <w:sz w:val="17"/>
                <w:szCs w:val="17"/>
                <w:color w:val="auto"/>
              </w:rPr>
              <w:t>John F. Murphy</w:t>
            </w:r>
          </w:p>
        </w:tc>
        <w:tc>
          <w:tcPr>
            <w:tcW w:w="7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2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500" w:type="dxa"/>
            <w:vAlign w:val="bottom"/>
            <w:tcBorders>
              <w:bottom w:val="single" w:sz="8" w:color="005CB9"/>
            </w:tcBorders>
          </w:tcPr>
          <w:p>
            <w:pPr>
              <w:spacing w:after="0"/>
              <w:rPr>
                <w:sz w:val="9"/>
                <w:szCs w:val="9"/>
                <w:color w:val="auto"/>
              </w:rPr>
            </w:pPr>
          </w:p>
        </w:tc>
        <w:tc>
          <w:tcPr>
            <w:tcW w:w="780" w:type="dxa"/>
            <w:vAlign w:val="bottom"/>
            <w:tcBorders>
              <w:bottom w:val="single" w:sz="8" w:color="005CB9"/>
            </w:tcBorders>
          </w:tcPr>
          <w:p>
            <w:pPr>
              <w:spacing w:after="0"/>
              <w:rPr>
                <w:sz w:val="9"/>
                <w:szCs w:val="9"/>
                <w:color w:val="auto"/>
              </w:rPr>
            </w:pPr>
          </w:p>
        </w:tc>
        <w:tc>
          <w:tcPr>
            <w:tcW w:w="1280" w:type="dxa"/>
            <w:vAlign w:val="bottom"/>
            <w:tcBorders>
              <w:bottom w:val="single" w:sz="8" w:color="005CB9"/>
            </w:tcBorders>
          </w:tcPr>
          <w:p>
            <w:pPr>
              <w:spacing w:after="0"/>
              <w:rPr>
                <w:sz w:val="9"/>
                <w:szCs w:val="9"/>
                <w:color w:val="auto"/>
              </w:rPr>
            </w:pPr>
          </w:p>
        </w:tc>
        <w:tc>
          <w:tcPr>
            <w:tcW w:w="1460" w:type="dxa"/>
            <w:vAlign w:val="bottom"/>
            <w:tcBorders>
              <w:bottom w:val="single" w:sz="8" w:color="005CB9"/>
            </w:tcBorders>
          </w:tcPr>
          <w:p>
            <w:pPr>
              <w:spacing w:after="0"/>
              <w:rPr>
                <w:sz w:val="9"/>
                <w:szCs w:val="9"/>
                <w:color w:val="auto"/>
              </w:rPr>
            </w:pPr>
          </w:p>
        </w:tc>
        <w:tc>
          <w:tcPr>
            <w:tcW w:w="1000" w:type="dxa"/>
            <w:vAlign w:val="bottom"/>
            <w:tcBorders>
              <w:bottom w:val="single" w:sz="8" w:color="005CB9"/>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6500" w:type="dxa"/>
            <w:vAlign w:val="bottom"/>
          </w:tcPr>
          <w:p>
            <w:pPr>
              <w:ind w:left="60"/>
              <w:spacing w:after="0"/>
              <w:rPr>
                <w:sz w:val="20"/>
                <w:szCs w:val="20"/>
                <w:color w:val="auto"/>
              </w:rPr>
            </w:pPr>
            <w:r>
              <w:rPr>
                <w:rFonts w:ascii="Arial" w:cs="Arial" w:eastAsia="Arial" w:hAnsi="Arial"/>
                <w:sz w:val="17"/>
                <w:szCs w:val="17"/>
                <w:color w:val="auto"/>
              </w:rPr>
              <w:t>Laura G. Thatcher</w:t>
            </w:r>
          </w:p>
        </w:tc>
        <w:tc>
          <w:tcPr>
            <w:tcW w:w="78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7"/>
                <w:szCs w:val="17"/>
                <w:b w:val="1"/>
                <w:bCs w:val="1"/>
                <w:color w:val="005CB9"/>
              </w:rPr>
              <w:t>Chair</w:t>
            </w:r>
          </w:p>
        </w:tc>
        <w:tc>
          <w:tcPr>
            <w:tcW w:w="14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98"/>
        </w:trPr>
        <w:tc>
          <w:tcPr>
            <w:tcW w:w="6500" w:type="dxa"/>
            <w:vAlign w:val="bottom"/>
            <w:tcBorders>
              <w:bottom w:val="single" w:sz="8" w:color="005CB9"/>
            </w:tcBorders>
          </w:tcPr>
          <w:p>
            <w:pPr>
              <w:spacing w:after="0"/>
              <w:rPr>
                <w:sz w:val="8"/>
                <w:szCs w:val="8"/>
                <w:color w:val="auto"/>
              </w:rPr>
            </w:pPr>
          </w:p>
        </w:tc>
        <w:tc>
          <w:tcPr>
            <w:tcW w:w="780" w:type="dxa"/>
            <w:vAlign w:val="bottom"/>
            <w:tcBorders>
              <w:bottom w:val="single" w:sz="8" w:color="005CB9"/>
            </w:tcBorders>
          </w:tcPr>
          <w:p>
            <w:pPr>
              <w:spacing w:after="0"/>
              <w:rPr>
                <w:sz w:val="8"/>
                <w:szCs w:val="8"/>
                <w:color w:val="auto"/>
              </w:rPr>
            </w:pPr>
          </w:p>
        </w:tc>
        <w:tc>
          <w:tcPr>
            <w:tcW w:w="1280" w:type="dxa"/>
            <w:vAlign w:val="bottom"/>
            <w:tcBorders>
              <w:bottom w:val="single" w:sz="8" w:color="005CB9"/>
            </w:tcBorders>
          </w:tcPr>
          <w:p>
            <w:pPr>
              <w:spacing w:after="0"/>
              <w:rPr>
                <w:sz w:val="8"/>
                <w:szCs w:val="8"/>
                <w:color w:val="auto"/>
              </w:rPr>
            </w:pPr>
          </w:p>
        </w:tc>
        <w:tc>
          <w:tcPr>
            <w:tcW w:w="1460" w:type="dxa"/>
            <w:vAlign w:val="bottom"/>
            <w:tcBorders>
              <w:bottom w:val="single" w:sz="8" w:color="005CB9"/>
            </w:tcBorders>
          </w:tcPr>
          <w:p>
            <w:pPr>
              <w:spacing w:after="0"/>
              <w:rPr>
                <w:sz w:val="8"/>
                <w:szCs w:val="8"/>
                <w:color w:val="auto"/>
              </w:rPr>
            </w:pPr>
          </w:p>
        </w:tc>
        <w:tc>
          <w:tcPr>
            <w:tcW w:w="1000" w:type="dxa"/>
            <w:vAlign w:val="bottom"/>
            <w:tcBorders>
              <w:bottom w:val="single" w:sz="8" w:color="005CB9"/>
            </w:tcBorders>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6500" w:type="dxa"/>
            <w:vAlign w:val="bottom"/>
          </w:tcPr>
          <w:p>
            <w:pPr>
              <w:ind w:left="60"/>
              <w:spacing w:after="0"/>
              <w:rPr>
                <w:sz w:val="20"/>
                <w:szCs w:val="20"/>
                <w:color w:val="auto"/>
              </w:rPr>
            </w:pPr>
            <w:r>
              <w:rPr>
                <w:rFonts w:ascii="Arial" w:cs="Arial" w:eastAsia="Arial" w:hAnsi="Arial"/>
                <w:sz w:val="17"/>
                <w:szCs w:val="17"/>
                <w:color w:val="auto"/>
              </w:rPr>
              <w:t>Richard F. Wallman</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005CB9"/>
              </w:rPr>
              <w:t>Chair</w:t>
            </w:r>
          </w:p>
        </w:tc>
        <w:tc>
          <w:tcPr>
            <w:tcW w:w="12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0" w:type="dxa"/>
            <w:vAlign w:val="bottom"/>
          </w:tcPr>
          <w:p>
            <w:pPr>
              <w:spacing w:after="0"/>
              <w:rPr>
                <w:sz w:val="1"/>
                <w:szCs w:val="1"/>
                <w:color w:val="auto"/>
              </w:rPr>
            </w:pPr>
          </w:p>
        </w:tc>
      </w:tr>
      <w:tr>
        <w:trPr>
          <w:trHeight w:val="98"/>
        </w:trPr>
        <w:tc>
          <w:tcPr>
            <w:tcW w:w="6500" w:type="dxa"/>
            <w:vAlign w:val="bottom"/>
            <w:tcBorders>
              <w:bottom w:val="single" w:sz="8" w:color="005CB9"/>
            </w:tcBorders>
          </w:tcPr>
          <w:p>
            <w:pPr>
              <w:spacing w:after="0"/>
              <w:rPr>
                <w:sz w:val="8"/>
                <w:szCs w:val="8"/>
                <w:color w:val="auto"/>
              </w:rPr>
            </w:pPr>
          </w:p>
        </w:tc>
        <w:tc>
          <w:tcPr>
            <w:tcW w:w="780" w:type="dxa"/>
            <w:vAlign w:val="bottom"/>
            <w:tcBorders>
              <w:bottom w:val="single" w:sz="8" w:color="005CB9"/>
            </w:tcBorders>
          </w:tcPr>
          <w:p>
            <w:pPr>
              <w:spacing w:after="0"/>
              <w:rPr>
                <w:sz w:val="8"/>
                <w:szCs w:val="8"/>
                <w:color w:val="auto"/>
              </w:rPr>
            </w:pPr>
          </w:p>
        </w:tc>
        <w:tc>
          <w:tcPr>
            <w:tcW w:w="1280" w:type="dxa"/>
            <w:vAlign w:val="bottom"/>
            <w:tcBorders>
              <w:bottom w:val="single" w:sz="8" w:color="005CB9"/>
            </w:tcBorders>
          </w:tcPr>
          <w:p>
            <w:pPr>
              <w:spacing w:after="0"/>
              <w:rPr>
                <w:sz w:val="8"/>
                <w:szCs w:val="8"/>
                <w:color w:val="auto"/>
              </w:rPr>
            </w:pPr>
          </w:p>
        </w:tc>
        <w:tc>
          <w:tcPr>
            <w:tcW w:w="1460" w:type="dxa"/>
            <w:vAlign w:val="bottom"/>
            <w:tcBorders>
              <w:bottom w:val="single" w:sz="8" w:color="005CB9"/>
            </w:tcBorders>
          </w:tcPr>
          <w:p>
            <w:pPr>
              <w:spacing w:after="0"/>
              <w:rPr>
                <w:sz w:val="8"/>
                <w:szCs w:val="8"/>
                <w:color w:val="auto"/>
              </w:rPr>
            </w:pPr>
          </w:p>
        </w:tc>
        <w:tc>
          <w:tcPr>
            <w:tcW w:w="1000" w:type="dxa"/>
            <w:vAlign w:val="bottom"/>
            <w:tcBorders>
              <w:bottom w:val="single" w:sz="8" w:color="005CB9"/>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500" w:type="dxa"/>
            <w:vAlign w:val="bottom"/>
          </w:tcPr>
          <w:p>
            <w:pPr>
              <w:ind w:left="60"/>
              <w:spacing w:after="0"/>
              <w:rPr>
                <w:sz w:val="20"/>
                <w:szCs w:val="20"/>
                <w:color w:val="auto"/>
              </w:rPr>
            </w:pPr>
            <w:r>
              <w:rPr>
                <w:rFonts w:ascii="Arial" w:cs="Arial" w:eastAsia="Arial" w:hAnsi="Arial"/>
                <w:sz w:val="17"/>
                <w:szCs w:val="17"/>
                <w:color w:val="auto"/>
              </w:rPr>
              <w:t>Christopher Wright</w:t>
            </w:r>
          </w:p>
        </w:tc>
        <w:tc>
          <w:tcPr>
            <w:tcW w:w="7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280" w:type="dxa"/>
            <w:vAlign w:val="bottom"/>
          </w:tcPr>
          <w:p>
            <w:pPr>
              <w:jc w:val="center"/>
              <w:spacing w:after="0"/>
              <w:rPr>
                <w:sz w:val="20"/>
                <w:szCs w:val="20"/>
                <w:color w:val="auto"/>
              </w:rPr>
            </w:pPr>
            <w:r>
              <w:rPr>
                <w:rFonts w:ascii="Wingdings" w:cs="Wingdings" w:eastAsia="Wingdings" w:hAnsi="Wingdings"/>
                <w:sz w:val="14"/>
                <w:szCs w:val="14"/>
                <w:b w:val="1"/>
                <w:bCs w:val="1"/>
                <w:color w:val="005CB9"/>
              </w:rPr>
              <w:t>l</w:t>
            </w:r>
          </w:p>
        </w:tc>
        <w:tc>
          <w:tcPr>
            <w:tcW w:w="1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6500" w:type="dxa"/>
            <w:vAlign w:val="bottom"/>
            <w:tcBorders>
              <w:bottom w:val="single" w:sz="8" w:color="005CB9"/>
            </w:tcBorders>
          </w:tcPr>
          <w:p>
            <w:pPr>
              <w:spacing w:after="0"/>
              <w:rPr>
                <w:sz w:val="9"/>
                <w:szCs w:val="9"/>
                <w:color w:val="auto"/>
              </w:rPr>
            </w:pPr>
          </w:p>
        </w:tc>
        <w:tc>
          <w:tcPr>
            <w:tcW w:w="780" w:type="dxa"/>
            <w:vAlign w:val="bottom"/>
            <w:tcBorders>
              <w:bottom w:val="single" w:sz="8" w:color="005CB9"/>
            </w:tcBorders>
          </w:tcPr>
          <w:p>
            <w:pPr>
              <w:spacing w:after="0"/>
              <w:rPr>
                <w:sz w:val="9"/>
                <w:szCs w:val="9"/>
                <w:color w:val="auto"/>
              </w:rPr>
            </w:pPr>
          </w:p>
        </w:tc>
        <w:tc>
          <w:tcPr>
            <w:tcW w:w="1280" w:type="dxa"/>
            <w:vAlign w:val="bottom"/>
            <w:tcBorders>
              <w:bottom w:val="single" w:sz="8" w:color="005CB9"/>
            </w:tcBorders>
          </w:tcPr>
          <w:p>
            <w:pPr>
              <w:spacing w:after="0"/>
              <w:rPr>
                <w:sz w:val="9"/>
                <w:szCs w:val="9"/>
                <w:color w:val="auto"/>
              </w:rPr>
            </w:pPr>
          </w:p>
        </w:tc>
        <w:tc>
          <w:tcPr>
            <w:tcW w:w="1460" w:type="dxa"/>
            <w:vAlign w:val="bottom"/>
            <w:tcBorders>
              <w:bottom w:val="single" w:sz="8" w:color="005CB9"/>
            </w:tcBorders>
          </w:tcPr>
          <w:p>
            <w:pPr>
              <w:spacing w:after="0"/>
              <w:rPr>
                <w:sz w:val="9"/>
                <w:szCs w:val="9"/>
                <w:color w:val="auto"/>
              </w:rPr>
            </w:pPr>
          </w:p>
        </w:tc>
        <w:tc>
          <w:tcPr>
            <w:tcW w:w="1000" w:type="dxa"/>
            <w:vAlign w:val="bottom"/>
            <w:tcBorders>
              <w:bottom w:val="single" w:sz="8" w:color="005CB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 xml:space="preserve">Audit Committee: </w:t>
      </w:r>
      <w:r>
        <w:rPr>
          <w:rFonts w:ascii="Arial" w:cs="Arial" w:eastAsia="Arial" w:hAnsi="Arial"/>
          <w:sz w:val="18"/>
          <w:szCs w:val="18"/>
          <w:b w:val="1"/>
          <w:bCs w:val="1"/>
          <w:color w:val="005CB9"/>
        </w:rPr>
        <w:t>13 Meetings Held in 2023</w:t>
      </w:r>
    </w:p>
    <w:p>
      <w:pPr>
        <w:spacing w:after="0" w:line="10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Audit Committee assists our Board in its oversight of the quality and integrity of our financial statements, our structure for compliance with legal and regulatory requirements, and the performance of our internal audit functions. The Board has determined that based upon their extensive background and expertise, Ms. Esteves and Messrs. Joyce, Murphy, Wallman and Wright meet the criteria of an “audit committee financial expert” under SEC rules. The Board has determined that all Audit Committee members meet the heightened independence standards under Nasdaq and SEC rules applicable to audit committees and satisfy the Nasdaq standard of financial literacy, having accounting and related financial management expertise.</w:t>
      </w:r>
    </w:p>
    <w:p>
      <w:pPr>
        <w:spacing w:after="0" w:line="73"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color w:val="auto"/>
        </w:rPr>
        <w:t>Pursuant to its charter, the Audit Committee has the authority and responsibility to:</w:t>
      </w:r>
    </w:p>
    <w:p>
      <w:pPr>
        <w:spacing w:after="0" w:line="65" w:lineRule="exact"/>
        <w:rPr>
          <w:sz w:val="20"/>
          <w:szCs w:val="20"/>
          <w:color w:val="auto"/>
        </w:rPr>
      </w:pPr>
    </w:p>
    <w:p>
      <w:pPr>
        <w:ind w:left="320" w:right="100" w:hanging="204"/>
        <w:spacing w:after="0" w:line="241"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appoint, compensate, retain and oversee the independent registered public accounting firm engaged by us; approve all audit engagement fees and terms, as well as pre-approve all non-audit engagements; and ensure that the independent auditors remain independent and objective;</w:t>
      </w:r>
    </w:p>
    <w:p>
      <w:pPr>
        <w:spacing w:after="0" w:line="85" w:lineRule="exact"/>
        <w:rPr>
          <w:rFonts w:ascii="Arial" w:cs="Arial" w:eastAsia="Arial" w:hAnsi="Arial"/>
          <w:sz w:val="17"/>
          <w:szCs w:val="17"/>
          <w:color w:val="auto"/>
        </w:rPr>
      </w:pPr>
    </w:p>
    <w:p>
      <w:pPr>
        <w:jc w:val="both"/>
        <w:ind w:left="320" w:right="180" w:hanging="204"/>
        <w:spacing w:after="0" w:line="244"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 the appointment and replacement of the Vice President of Financial Audit Services, who provides the Audit Committee with significant reports to management and management’s responses thereto;</w:t>
      </w:r>
    </w:p>
    <w:p>
      <w:pPr>
        <w:spacing w:after="0" w:line="82" w:lineRule="exact"/>
        <w:rPr>
          <w:rFonts w:ascii="Arial" w:cs="Arial" w:eastAsia="Arial" w:hAnsi="Arial"/>
          <w:sz w:val="17"/>
          <w:szCs w:val="17"/>
          <w:color w:val="auto"/>
        </w:rPr>
      </w:pPr>
    </w:p>
    <w:p>
      <w:pPr>
        <w:ind w:left="320" w:right="120" w:hanging="204"/>
        <w:spacing w:after="0" w:line="249"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consider any reports or communications submitted by the independent auditors relating to our financial statements, policies, processes or determinations;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06" w:right="280" w:hanging="206"/>
        <w:spacing w:after="0" w:line="244" w:lineRule="auto"/>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meet with management, the independent auditors and others to discuss matters relating to the scope and results of any audit, the financial statements, and changes to any auditing or accounting principles, policies, controls procedures or practices;</w:t>
      </w:r>
    </w:p>
    <w:p>
      <w:pPr>
        <w:spacing w:after="0" w:line="82" w:lineRule="exact"/>
        <w:rPr>
          <w:rFonts w:ascii="Arial" w:cs="Arial" w:eastAsia="Arial" w:hAnsi="Arial"/>
          <w:sz w:val="17"/>
          <w:szCs w:val="17"/>
          <w:color w:val="auto"/>
        </w:rPr>
      </w:pPr>
    </w:p>
    <w:p>
      <w:pPr>
        <w:ind w:left="206" w:right="100" w:hanging="206"/>
        <w:spacing w:after="0" w:line="238" w:lineRule="auto"/>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 any major issues regarding accounting principles and financial statement presentations, including significant changes in the selection or application of accounting principles, and major issues as to the adequacy of our internal controls, analyses regarding significant financial reporting issues and judgments made in connection with the preparation of the financial statements, and the effects of regulatory and accounting initiatives;</w:t>
      </w:r>
    </w:p>
    <w:p>
      <w:pPr>
        <w:spacing w:after="0" w:line="87" w:lineRule="exact"/>
        <w:rPr>
          <w:rFonts w:ascii="Arial" w:cs="Arial" w:eastAsia="Arial" w:hAnsi="Arial"/>
          <w:sz w:val="17"/>
          <w:szCs w:val="17"/>
          <w:color w:val="auto"/>
        </w:rPr>
      </w:pPr>
    </w:p>
    <w:p>
      <w:pPr>
        <w:ind w:left="206" w:right="600" w:hanging="206"/>
        <w:spacing w:after="0" w:line="267" w:lineRule="auto"/>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 significant risks and exposures and the steps taken to monitor and minimize such risks;</w:t>
      </w:r>
    </w:p>
    <w:p>
      <w:pPr>
        <w:spacing w:after="0" w:line="64" w:lineRule="exact"/>
        <w:rPr>
          <w:rFonts w:ascii="Arial" w:cs="Arial" w:eastAsia="Arial" w:hAnsi="Arial"/>
          <w:sz w:val="17"/>
          <w:szCs w:val="17"/>
          <w:color w:val="auto"/>
        </w:rPr>
      </w:pPr>
    </w:p>
    <w:p>
      <w:pPr>
        <w:ind w:left="206" w:right="180" w:hanging="206"/>
        <w:spacing w:after="0" w:line="241" w:lineRule="auto"/>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procedures for the receipt, investigation and resolution of complaints received by Roper regarding accounting, internal accounting controls or auditing matters, and for the confidential, anonymous submission by employees of concerns regarding questionable accounting or auditing matters; and</w:t>
      </w:r>
    </w:p>
    <w:p>
      <w:pPr>
        <w:spacing w:after="0" w:line="85" w:lineRule="exact"/>
        <w:rPr>
          <w:rFonts w:ascii="Arial" w:cs="Arial" w:eastAsia="Arial" w:hAnsi="Arial"/>
          <w:sz w:val="17"/>
          <w:szCs w:val="17"/>
          <w:color w:val="auto"/>
        </w:rPr>
      </w:pPr>
    </w:p>
    <w:p>
      <w:pPr>
        <w:ind w:left="206" w:right="40" w:hanging="206"/>
        <w:spacing w:after="0" w:line="267" w:lineRule="auto"/>
        <w:tabs>
          <w:tab w:leader="none" w:pos="206" w:val="left"/>
        </w:tabs>
        <w:numPr>
          <w:ilvl w:val="0"/>
          <w:numId w:val="18"/>
        </w:numPr>
        <w:rPr>
          <w:rFonts w:ascii="Arial" w:cs="Arial" w:eastAsia="Arial" w:hAnsi="Arial"/>
          <w:sz w:val="17"/>
          <w:szCs w:val="17"/>
          <w:color w:val="auto"/>
        </w:rPr>
      </w:pPr>
      <w:r>
        <w:rPr>
          <w:rFonts w:ascii="Arial" w:cs="Arial" w:eastAsia="Arial" w:hAnsi="Arial"/>
          <w:sz w:val="17"/>
          <w:szCs w:val="17"/>
          <w:color w:val="auto"/>
        </w:rPr>
        <w:t>prepare reports and disclosures required to be included in this Proxy Statement, including the “Audit Committee Report” below.</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 xml:space="preserve">Compensation Committee: </w:t>
      </w:r>
      <w:r>
        <w:rPr>
          <w:rFonts w:ascii="Arial" w:cs="Arial" w:eastAsia="Arial" w:hAnsi="Arial"/>
          <w:sz w:val="18"/>
          <w:szCs w:val="18"/>
          <w:b w:val="1"/>
          <w:bCs w:val="1"/>
          <w:color w:val="005CB9"/>
        </w:rPr>
        <w:t>5 Meetings Held in 2023</w:t>
      </w:r>
    </w:p>
    <w:p>
      <w:pPr>
        <w:spacing w:after="0" w:line="100" w:lineRule="exact"/>
        <w:rPr>
          <w:sz w:val="20"/>
          <w:szCs w:val="20"/>
          <w:color w:val="auto"/>
        </w:rPr>
      </w:pPr>
    </w:p>
    <w:p>
      <w:pPr>
        <w:jc w:val="both"/>
        <w:ind w:left="6" w:right="380"/>
        <w:spacing w:after="0" w:line="249" w:lineRule="auto"/>
        <w:rPr>
          <w:sz w:val="20"/>
          <w:szCs w:val="20"/>
          <w:color w:val="auto"/>
        </w:rPr>
      </w:pPr>
      <w:r>
        <w:rPr>
          <w:rFonts w:ascii="Arial" w:cs="Arial" w:eastAsia="Arial" w:hAnsi="Arial"/>
          <w:sz w:val="17"/>
          <w:szCs w:val="17"/>
          <w:color w:val="auto"/>
        </w:rPr>
        <w:t>The Compensation Committee administers our executive incentive compensation programs and determines annual salary levels and incentive</w:t>
      </w:r>
    </w:p>
    <w:p>
      <w:pPr>
        <w:spacing w:after="0" w:line="200" w:lineRule="exact"/>
        <w:rPr>
          <w:sz w:val="20"/>
          <w:szCs w:val="20"/>
          <w:color w:val="auto"/>
        </w:rPr>
      </w:pPr>
    </w:p>
    <w:p>
      <w:pPr>
        <w:spacing w:after="0" w:line="226" w:lineRule="exact"/>
        <w:rPr>
          <w:sz w:val="20"/>
          <w:szCs w:val="20"/>
          <w:color w:val="auto"/>
        </w:rPr>
      </w:pPr>
    </w:p>
    <w:tbl>
      <w:tblPr>
        <w:tblLayout w:type="fixed"/>
        <w:tblInd w:w="26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15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-205105</wp:posOffset>
            </wp:positionV>
            <wp:extent cx="428625"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34"/>
            <w:col w:w="5406"/>
          </w:cols>
          <w:pgMar w:left="320" w:top="482" w:right="4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BOARD COMMITTEES AND MEETINGS </w:t>
      </w:r>
      <w:r>
        <w:rPr>
          <w:rFonts w:ascii="Arial" w:cs="Arial" w:eastAsia="Arial" w:hAnsi="Arial"/>
          <w:sz w:val="18"/>
          <w:szCs w:val="18"/>
          <w:i w:val="1"/>
          <w:iCs w:val="1"/>
          <w:color w:val="005CB9"/>
        </w:rPr>
        <w:t>(CONTINUED)</w:t>
      </w:r>
    </w:p>
    <w:p>
      <w:pPr>
        <w:spacing w:after="0" w:line="1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compensation awards for our executive officers. The Board has determined that all Compensation Committee members meet the heightened independence standards under Nasdaq and SEC rules applicable to compensation committees. The Compensation Committee also, at the direction of the Board, periodically reviews and determines the form and amounts of director compensation. The Compensation Committee may delegate its duties and responsibilities to a sub-committee of the Committee and has the authority to retain its own compensation consultants. Additional information regarding the Compensation Committee’s processes and procedures for the consideration and determination of executive compensation is set forth below in this Proxy Statement under “Compensation Discussion and Analysis.”</w:t>
      </w:r>
    </w:p>
    <w:p>
      <w:pPr>
        <w:spacing w:after="0" w:line="77" w:lineRule="exact"/>
        <w:rPr>
          <w:sz w:val="20"/>
          <w:szCs w:val="20"/>
          <w:color w:val="auto"/>
        </w:rPr>
      </w:pPr>
    </w:p>
    <w:p>
      <w:pPr>
        <w:ind w:left="120" w:right="640"/>
        <w:spacing w:after="0" w:line="267" w:lineRule="auto"/>
        <w:rPr>
          <w:sz w:val="20"/>
          <w:szCs w:val="20"/>
          <w:color w:val="auto"/>
        </w:rPr>
      </w:pPr>
      <w:r>
        <w:rPr>
          <w:rFonts w:ascii="Arial" w:cs="Arial" w:eastAsia="Arial" w:hAnsi="Arial"/>
          <w:sz w:val="17"/>
          <w:szCs w:val="17"/>
          <w:color w:val="auto"/>
        </w:rPr>
        <w:t>Pursuant to its charter, the Compensation Committee has the authority and responsibility to:</w:t>
      </w:r>
    </w:p>
    <w:p>
      <w:pPr>
        <w:spacing w:after="0" w:line="65" w:lineRule="exact"/>
        <w:rPr>
          <w:sz w:val="20"/>
          <w:szCs w:val="20"/>
          <w:color w:val="auto"/>
        </w:rPr>
      </w:pPr>
    </w:p>
    <w:p>
      <w:pPr>
        <w:ind w:left="320" w:right="40" w:hanging="204"/>
        <w:spacing w:after="0" w:line="244"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annually review and approve corporate goals and objectives relevant to our CEO’s compensation and based on that evaluation, determine and approve our CEO’s compensation, including salary, bonus, incentive and equity compensation;</w:t>
      </w:r>
    </w:p>
    <w:p>
      <w:pPr>
        <w:spacing w:after="0" w:line="82" w:lineRule="exact"/>
        <w:rPr>
          <w:rFonts w:ascii="Arial" w:cs="Arial" w:eastAsia="Arial" w:hAnsi="Arial"/>
          <w:sz w:val="17"/>
          <w:szCs w:val="17"/>
          <w:color w:val="auto"/>
        </w:rPr>
      </w:pPr>
    </w:p>
    <w:p>
      <w:pPr>
        <w:jc w:val="both"/>
        <w:ind w:left="320" w:hanging="204"/>
        <w:spacing w:after="0" w:line="24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annually review performance and approve compensation, including salary, bonus, incentive and equity compensation for our executive officers;</w:t>
      </w:r>
    </w:p>
    <w:p>
      <w:pPr>
        <w:spacing w:after="0" w:line="80" w:lineRule="exact"/>
        <w:rPr>
          <w:rFonts w:ascii="Arial" w:cs="Arial" w:eastAsia="Arial" w:hAnsi="Arial"/>
          <w:sz w:val="17"/>
          <w:szCs w:val="17"/>
          <w:color w:val="auto"/>
        </w:rPr>
      </w:pPr>
    </w:p>
    <w:p>
      <w:pPr>
        <w:ind w:left="320" w:right="20" w:hanging="204"/>
        <w:spacing w:after="0" w:line="24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grant awards and otherwise make determinations under our equity, incentive, retirement, and deferred compensation plans, to the extent provided in such plans;</w:t>
      </w:r>
    </w:p>
    <w:p>
      <w:pPr>
        <w:spacing w:after="0" w:line="80" w:lineRule="exact"/>
        <w:rPr>
          <w:rFonts w:ascii="Arial" w:cs="Arial" w:eastAsia="Arial" w:hAnsi="Arial"/>
          <w:sz w:val="17"/>
          <w:szCs w:val="17"/>
          <w:color w:val="auto"/>
        </w:rPr>
      </w:pPr>
    </w:p>
    <w:p>
      <w:pPr>
        <w:ind w:left="320" w:right="340" w:hanging="204"/>
        <w:spacing w:after="0" w:line="24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determine performance goals and certify whether performance goals have been satisfied for incentive plans containing performance criteria;</w:t>
      </w:r>
    </w:p>
    <w:p>
      <w:pPr>
        <w:spacing w:after="0" w:line="80" w:lineRule="exact"/>
        <w:rPr>
          <w:rFonts w:ascii="Arial" w:cs="Arial" w:eastAsia="Arial" w:hAnsi="Arial"/>
          <w:sz w:val="17"/>
          <w:szCs w:val="17"/>
          <w:color w:val="auto"/>
        </w:rPr>
      </w:pPr>
    </w:p>
    <w:p>
      <w:pPr>
        <w:ind w:left="320" w:right="480" w:hanging="204"/>
        <w:spacing w:after="0" w:line="24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periodically review and make recommendations to the Board concerning our equity, incentive, retirement, and deferred compensation plans;</w:t>
      </w:r>
    </w:p>
    <w:p>
      <w:pPr>
        <w:spacing w:after="0" w:line="80" w:lineRule="exact"/>
        <w:rPr>
          <w:rFonts w:ascii="Arial" w:cs="Arial" w:eastAsia="Arial" w:hAnsi="Arial"/>
          <w:sz w:val="17"/>
          <w:szCs w:val="17"/>
          <w:color w:val="auto"/>
        </w:rPr>
      </w:pPr>
    </w:p>
    <w:p>
      <w:pPr>
        <w:ind w:left="320" w:right="460" w:hanging="204"/>
        <w:spacing w:after="0" w:line="24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 risks associated with compensation and assess those reasonably likely to have a material adverse effect on the Company;</w:t>
      </w:r>
    </w:p>
    <w:p>
      <w:pPr>
        <w:spacing w:after="0" w:line="80"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periodically review and determine the form and amounts of director compensation; and</w:t>
      </w:r>
    </w:p>
    <w:p>
      <w:pPr>
        <w:spacing w:after="0" w:line="64" w:lineRule="exact"/>
        <w:rPr>
          <w:rFonts w:ascii="Arial" w:cs="Arial" w:eastAsia="Arial" w:hAnsi="Arial"/>
          <w:sz w:val="17"/>
          <w:szCs w:val="17"/>
          <w:color w:val="auto"/>
        </w:rPr>
      </w:pPr>
    </w:p>
    <w:p>
      <w:pPr>
        <w:ind w:left="320" w:right="300" w:hanging="204"/>
        <w:spacing w:after="0" w:line="249"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 and discuss with management the Compensation Discussion and Analysis disclosure regarding named executive officer compensation included in our annual Proxy Statement.</w:t>
      </w:r>
    </w:p>
    <w:p>
      <w:pPr>
        <w:spacing w:after="0" w:line="178" w:lineRule="exact"/>
        <w:rPr>
          <w:sz w:val="20"/>
          <w:szCs w:val="20"/>
          <w:color w:val="auto"/>
        </w:rPr>
      </w:pPr>
    </w:p>
    <w:p>
      <w:pPr>
        <w:ind w:left="120" w:right="140"/>
        <w:spacing w:after="0" w:line="281" w:lineRule="auto"/>
        <w:rPr>
          <w:sz w:val="20"/>
          <w:szCs w:val="20"/>
          <w:color w:val="auto"/>
        </w:rPr>
      </w:pPr>
      <w:r>
        <w:rPr>
          <w:rFonts w:ascii="Arial" w:cs="Arial" w:eastAsia="Arial" w:hAnsi="Arial"/>
          <w:sz w:val="18"/>
          <w:szCs w:val="18"/>
          <w:b w:val="1"/>
          <w:bCs w:val="1"/>
          <w:i w:val="1"/>
          <w:iCs w:val="1"/>
          <w:color w:val="005CB9"/>
        </w:rPr>
        <w:t>Nominating and Governance Committee</w:t>
      </w:r>
      <w:r>
        <w:rPr>
          <w:rFonts w:ascii="Arial" w:cs="Arial" w:eastAsia="Arial" w:hAnsi="Arial"/>
          <w:sz w:val="18"/>
          <w:szCs w:val="18"/>
          <w:b w:val="1"/>
          <w:bCs w:val="1"/>
          <w:color w:val="005CB9"/>
        </w:rPr>
        <w:t>: 5 Meetings Held in</w:t>
      </w:r>
      <w:r>
        <w:rPr>
          <w:rFonts w:ascii="Arial" w:cs="Arial" w:eastAsia="Arial" w:hAnsi="Arial"/>
          <w:sz w:val="18"/>
          <w:szCs w:val="18"/>
          <w:b w:val="1"/>
          <w:bCs w:val="1"/>
          <w:i w:val="1"/>
          <w:iCs w:val="1"/>
          <w:color w:val="005CB9"/>
        </w:rPr>
        <w:t xml:space="preserve"> </w:t>
      </w:r>
      <w:r>
        <w:rPr>
          <w:rFonts w:ascii="Arial" w:cs="Arial" w:eastAsia="Arial" w:hAnsi="Arial"/>
          <w:sz w:val="18"/>
          <w:szCs w:val="18"/>
          <w:b w:val="1"/>
          <w:bCs w:val="1"/>
          <w:color w:val="005CB9"/>
        </w:rPr>
        <w:t>2023</w:t>
      </w:r>
    </w:p>
    <w:p>
      <w:pPr>
        <w:spacing w:after="0" w:line="25" w:lineRule="exact"/>
        <w:rPr>
          <w:sz w:val="20"/>
          <w:szCs w:val="20"/>
          <w:color w:val="auto"/>
        </w:rPr>
      </w:pPr>
    </w:p>
    <w:p>
      <w:pPr>
        <w:ind w:left="120" w:right="320"/>
        <w:spacing w:after="0" w:line="267" w:lineRule="auto"/>
        <w:rPr>
          <w:sz w:val="20"/>
          <w:szCs w:val="20"/>
          <w:color w:val="auto"/>
        </w:rPr>
      </w:pPr>
      <w:r>
        <w:rPr>
          <w:rFonts w:ascii="Arial" w:cs="Arial" w:eastAsia="Arial" w:hAnsi="Arial"/>
          <w:sz w:val="17"/>
          <w:szCs w:val="17"/>
          <w:color w:val="auto"/>
        </w:rPr>
        <w:t>The Nominating and Governance Committee assists our Board in identifying individuals qualified to become</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 w:right="40"/>
        <w:spacing w:after="0" w:line="241" w:lineRule="auto"/>
        <w:rPr>
          <w:sz w:val="20"/>
          <w:szCs w:val="20"/>
          <w:color w:val="auto"/>
        </w:rPr>
      </w:pPr>
      <w:r>
        <w:rPr>
          <w:rFonts w:ascii="Arial" w:cs="Arial" w:eastAsia="Arial" w:hAnsi="Arial"/>
          <w:sz w:val="17"/>
          <w:szCs w:val="17"/>
          <w:color w:val="auto"/>
        </w:rPr>
        <w:t>directors, determining the size and composition of our Board and its committees, developing and implementing corporate governance guidelines, evaluating the qualifications and independence of directors on a periodic basis, and evaluating the overall effectiveness of our Board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-1423035</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2" w:lineRule="exact"/>
        <w:rPr>
          <w:sz w:val="20"/>
          <w:szCs w:val="20"/>
          <w:color w:val="auto"/>
        </w:rPr>
      </w:pPr>
    </w:p>
    <w:p>
      <w:pPr>
        <w:ind w:left="6" w:right="260"/>
        <w:spacing w:after="0" w:line="267" w:lineRule="auto"/>
        <w:rPr>
          <w:sz w:val="20"/>
          <w:szCs w:val="20"/>
          <w:color w:val="auto"/>
        </w:rPr>
      </w:pPr>
      <w:r>
        <w:rPr>
          <w:rFonts w:ascii="Arial" w:cs="Arial" w:eastAsia="Arial" w:hAnsi="Arial"/>
          <w:sz w:val="17"/>
          <w:szCs w:val="17"/>
          <w:color w:val="auto"/>
        </w:rPr>
        <w:t>Pursuant to its charter, the Nominating and Governance Committee has the authority and responsibility to:</w:t>
      </w:r>
    </w:p>
    <w:p>
      <w:pPr>
        <w:spacing w:after="0" w:line="65" w:lineRule="exact"/>
        <w:rPr>
          <w:sz w:val="20"/>
          <w:szCs w:val="20"/>
          <w:color w:val="auto"/>
        </w:rPr>
      </w:pPr>
    </w:p>
    <w:p>
      <w:pPr>
        <w:ind w:left="206" w:right="100" w:hanging="206"/>
        <w:spacing w:after="0" w:line="244"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evaluate a candidate’s qualification based on a variety of factors, including such candidate’s integrity, reputation, judgment, knowledge, and diversity (including gender and ethnicity as well as background and experience) as well as our Board’s needs;</w:t>
      </w:r>
    </w:p>
    <w:p>
      <w:pPr>
        <w:spacing w:after="0" w:line="82" w:lineRule="exact"/>
        <w:rPr>
          <w:rFonts w:ascii="Arial" w:cs="Arial" w:eastAsia="Arial" w:hAnsi="Arial"/>
          <w:sz w:val="17"/>
          <w:szCs w:val="17"/>
          <w:color w:val="auto"/>
        </w:rPr>
      </w:pPr>
    </w:p>
    <w:p>
      <w:pPr>
        <w:ind w:left="206" w:right="200" w:hanging="206"/>
        <w:spacing w:after="0" w:line="267"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recommend qualified individuals for Board membership, including individuals suggested by directors and/or shareholders;</w:t>
      </w:r>
    </w:p>
    <w:p>
      <w:pPr>
        <w:spacing w:after="0" w:line="64" w:lineRule="exact"/>
        <w:rPr>
          <w:rFonts w:ascii="Arial" w:cs="Arial" w:eastAsia="Arial" w:hAnsi="Arial"/>
          <w:sz w:val="17"/>
          <w:szCs w:val="17"/>
          <w:color w:val="auto"/>
        </w:rPr>
      </w:pPr>
    </w:p>
    <w:p>
      <w:pPr>
        <w:ind w:left="206" w:right="80" w:hanging="206"/>
        <w:spacing w:after="0" w:line="267"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periodically review the size and responsibilities of our Board and its committees and recommend changes to our Board;</w:t>
      </w:r>
    </w:p>
    <w:p>
      <w:pPr>
        <w:spacing w:after="0" w:line="64" w:lineRule="exact"/>
        <w:rPr>
          <w:rFonts w:ascii="Arial" w:cs="Arial" w:eastAsia="Arial" w:hAnsi="Arial"/>
          <w:sz w:val="17"/>
          <w:szCs w:val="17"/>
          <w:color w:val="auto"/>
        </w:rPr>
      </w:pPr>
    </w:p>
    <w:p>
      <w:pPr>
        <w:ind w:left="206" w:right="240" w:hanging="206"/>
        <w:spacing w:after="0" w:line="267"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annually review and recommend committee slates and additional committee members to our Board as needed;</w:t>
      </w:r>
    </w:p>
    <w:p>
      <w:pPr>
        <w:spacing w:after="0" w:line="64" w:lineRule="exact"/>
        <w:rPr>
          <w:rFonts w:ascii="Arial" w:cs="Arial" w:eastAsia="Arial" w:hAnsi="Arial"/>
          <w:sz w:val="17"/>
          <w:szCs w:val="17"/>
          <w:color w:val="auto"/>
        </w:rPr>
      </w:pPr>
    </w:p>
    <w:p>
      <w:pPr>
        <w:ind w:left="206" w:right="380" w:hanging="206"/>
        <w:spacing w:after="0" w:line="267"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periodically review the Company’s ESG strategy, initiatives and policies and receive updates on significant ESG activities;</w:t>
      </w:r>
    </w:p>
    <w:p>
      <w:pPr>
        <w:spacing w:after="0" w:line="64" w:lineRule="exact"/>
        <w:rPr>
          <w:rFonts w:ascii="Arial" w:cs="Arial" w:eastAsia="Arial" w:hAnsi="Arial"/>
          <w:sz w:val="17"/>
          <w:szCs w:val="17"/>
          <w:color w:val="auto"/>
        </w:rPr>
      </w:pPr>
    </w:p>
    <w:p>
      <w:pPr>
        <w:ind w:left="206" w:hanging="206"/>
        <w:spacing w:after="0" w:line="249"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 together with the full Board, the Company’s programs for the development and management of human capital, including programs for the promotion of diversity and inclusion;</w:t>
      </w:r>
    </w:p>
    <w:p>
      <w:pPr>
        <w:spacing w:after="0" w:line="80" w:lineRule="exact"/>
        <w:rPr>
          <w:rFonts w:ascii="Arial" w:cs="Arial" w:eastAsia="Arial" w:hAnsi="Arial"/>
          <w:sz w:val="17"/>
          <w:szCs w:val="17"/>
          <w:color w:val="auto"/>
        </w:rPr>
      </w:pPr>
    </w:p>
    <w:p>
      <w:pPr>
        <w:ind w:left="206" w:right="180" w:hanging="206"/>
        <w:spacing w:after="0" w:line="267"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annually review the Company’s Compliance Program and discuss potential revisions to the Company’s Code of Conduct;</w:t>
      </w:r>
    </w:p>
    <w:p>
      <w:pPr>
        <w:spacing w:after="0" w:line="64" w:lineRule="exact"/>
        <w:rPr>
          <w:rFonts w:ascii="Arial" w:cs="Arial" w:eastAsia="Arial" w:hAnsi="Arial"/>
          <w:sz w:val="17"/>
          <w:szCs w:val="17"/>
          <w:color w:val="auto"/>
        </w:rPr>
      </w:pPr>
    </w:p>
    <w:p>
      <w:pPr>
        <w:ind w:left="206" w:right="100" w:hanging="206"/>
        <w:spacing w:after="0" w:line="249"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 and recommend to our Board a set of corporate governance guidelines and periodically review such guidelines and propose changes to our Board; and</w:t>
      </w:r>
    </w:p>
    <w:p>
      <w:pPr>
        <w:spacing w:after="0" w:line="80" w:lineRule="exact"/>
        <w:rPr>
          <w:rFonts w:ascii="Arial" w:cs="Arial" w:eastAsia="Arial" w:hAnsi="Arial"/>
          <w:sz w:val="17"/>
          <w:szCs w:val="17"/>
          <w:color w:val="auto"/>
        </w:rPr>
      </w:pPr>
    </w:p>
    <w:p>
      <w:pPr>
        <w:ind w:left="206" w:right="320" w:hanging="206"/>
        <w:spacing w:after="0" w:line="249" w:lineRule="auto"/>
        <w:tabs>
          <w:tab w:leader="none" w:pos="20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develop and recommend to our Board an annual self-evaluation process for our Board and its committees and administer and oversee the evaluation process.</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 xml:space="preserve">Executive Committee: </w:t>
      </w:r>
      <w:r>
        <w:rPr>
          <w:rFonts w:ascii="Arial" w:cs="Arial" w:eastAsia="Arial" w:hAnsi="Arial"/>
          <w:sz w:val="18"/>
          <w:szCs w:val="18"/>
          <w:b w:val="1"/>
          <w:bCs w:val="1"/>
          <w:color w:val="005CB9"/>
        </w:rPr>
        <w:t>No Meetings Held in 2023</w:t>
      </w:r>
    </w:p>
    <w:p>
      <w:pPr>
        <w:spacing w:after="0" w:line="100" w:lineRule="exact"/>
        <w:rPr>
          <w:sz w:val="20"/>
          <w:szCs w:val="20"/>
          <w:color w:val="auto"/>
        </w:rPr>
      </w:pPr>
    </w:p>
    <w:p>
      <w:pPr>
        <w:ind w:left="6" w:right="200"/>
        <w:spacing w:after="0" w:line="267" w:lineRule="auto"/>
        <w:rPr>
          <w:sz w:val="20"/>
          <w:szCs w:val="20"/>
          <w:color w:val="auto"/>
        </w:rPr>
      </w:pPr>
      <w:r>
        <w:rPr>
          <w:rFonts w:ascii="Arial" w:cs="Arial" w:eastAsia="Arial" w:hAnsi="Arial"/>
          <w:sz w:val="17"/>
          <w:szCs w:val="17"/>
          <w:color w:val="auto"/>
        </w:rPr>
        <w:t>The Executive Committee has the authority to exercise all powers of the Board between regularly scheduled Board meetings.</w:t>
      </w:r>
    </w:p>
    <w:p>
      <w:pPr>
        <w:sectPr>
          <w:pgSz w:w="11900" w:h="16838" w:orient="portrait"/>
          <w:cols w:equalWidth="0" w:num="2">
            <w:col w:w="5380" w:space="354"/>
            <w:col w:w="5346"/>
          </w:cols>
          <w:pgMar w:left="320" w:top="482"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DIRECTOR COMPENSATION</w:t>
      </w:r>
    </w:p>
    <w:p>
      <w:pPr>
        <w:spacing w:after="0" w:line="33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Compensation for our non-employee directors is governed by our Director Compensation Plan, which is a sub-plan of our 2021 Incentive Plan. The Director Compensation Plan permits recognition of the Board’s instrumental contribution to Roper’s long-term success and creation of superior shareholder value. Over the past 15 years, our shareholders have earned a cumulative 1273.7% return – more than two times that of the S&amp;P 500’s 610.8% return. Compensation paid to our directors reflects the significant time commitment and effort associated with serving on our Board, including participation in a minimum of 15 days of Board meetings each year, in addition to numerous Committee meetings throughout the year. These time commitments, together with our focus on capital deployment for software and technology enabled product companies, and continual market developments present unique challenges to recruiting individuals capable of adding value to our high-growth, asset-light, diversified enterprise. Despite these challenges, in the past nine years, we have added six new independent directors to the Board bringing needed key skills, strengths and capabilities to the Board while increasing its level of gender and ethnic diversity. Going forward, the Board will continue to insist on the high standards of qualifications that are in place.</w:t>
      </w:r>
    </w:p>
    <w:p>
      <w:pPr>
        <w:spacing w:after="0" w:line="76"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color w:val="auto"/>
        </w:rPr>
        <w:t>Consistent with Roper’s long-standing “pay-for-performance” philosophy, the Director Compensation Plan ties director compensation directly to the Company’s stock performance, closely aligning the financial interests of our directors with those of our shareholders. Directors receive limited cash retainers and no perquisites (such as deferred compensation benefits), and instead receive a higher percentage of their compensation in shares of Company stock. The compensation paid under the Director Compensation Plan is summarized in the table below.</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 2023 Annual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-109220</wp:posOffset>
            </wp:positionV>
            <wp:extent cx="6995160"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 Economic value of $385,000 (based on the closing price of the Company’s stock on the date of grant)</w:t>
      </w:r>
    </w:p>
    <w:p>
      <w:pPr>
        <w:spacing w:after="0" w:line="1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820" w:type="dxa"/>
            <w:vAlign w:val="bottom"/>
          </w:tcPr>
          <w:p>
            <w:pPr>
              <w:ind w:left="80"/>
              <w:spacing w:after="0"/>
              <w:rPr>
                <w:sz w:val="20"/>
                <w:szCs w:val="20"/>
                <w:color w:val="auto"/>
              </w:rPr>
            </w:pPr>
            <w:r>
              <w:rPr>
                <w:rFonts w:ascii="Arial" w:cs="Arial" w:eastAsia="Arial" w:hAnsi="Arial"/>
                <w:sz w:val="17"/>
                <w:szCs w:val="17"/>
                <w:color w:val="auto"/>
              </w:rPr>
              <w:t>•    Award vests 50% on the six-month anniversary of the grant date and 50% on the day prior to the next Annual Meeting of</w:t>
            </w: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25"/>
        </w:trPr>
        <w:tc>
          <w:tcPr>
            <w:tcW w:w="9820" w:type="dxa"/>
            <w:vAlign w:val="bottom"/>
          </w:tcPr>
          <w:p>
            <w:pPr>
              <w:ind w:left="340"/>
              <w:spacing w:after="0"/>
              <w:rPr>
                <w:sz w:val="20"/>
                <w:szCs w:val="20"/>
                <w:color w:val="auto"/>
              </w:rPr>
            </w:pPr>
            <w:r>
              <w:rPr>
                <w:rFonts w:ascii="Arial" w:cs="Arial" w:eastAsia="Arial" w:hAnsi="Arial"/>
                <w:sz w:val="17"/>
                <w:szCs w:val="17"/>
                <w:color w:val="auto"/>
              </w:rPr>
              <w:t>Shareholders</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7"/>
              </w:rPr>
              <w:t>385,000</w:t>
            </w:r>
          </w:p>
        </w:tc>
      </w:tr>
      <w:tr>
        <w:trPr>
          <w:trHeight w:val="189"/>
        </w:trPr>
        <w:tc>
          <w:tcPr>
            <w:tcW w:w="9820" w:type="dxa"/>
            <w:vAlign w:val="bottom"/>
            <w:shd w:val="clear" w:color="auto" w:fill="E5EEF8"/>
          </w:tcPr>
          <w:p>
            <w:pPr>
              <w:spacing w:after="0" w:line="189" w:lineRule="exact"/>
              <w:rPr>
                <w:sz w:val="20"/>
                <w:szCs w:val="20"/>
                <w:color w:val="auto"/>
              </w:rPr>
            </w:pPr>
            <w:r>
              <w:rPr>
                <w:rFonts w:ascii="Arial" w:cs="Arial" w:eastAsia="Arial" w:hAnsi="Arial"/>
                <w:sz w:val="17"/>
                <w:szCs w:val="17"/>
                <w:b w:val="1"/>
                <w:bCs w:val="1"/>
                <w:i w:val="1"/>
                <w:iCs w:val="1"/>
                <w:color w:val="auto"/>
              </w:rPr>
              <w:t> 2023 Annual Cash Retainer</w:t>
            </w:r>
          </w:p>
        </w:tc>
        <w:tc>
          <w:tcPr>
            <w:tcW w:w="520" w:type="dxa"/>
            <w:vAlign w:val="bottom"/>
            <w:shd w:val="clear" w:color="auto" w:fill="E5EEF8"/>
          </w:tcPr>
          <w:p>
            <w:pPr>
              <w:spacing w:after="0"/>
              <w:rPr>
                <w:sz w:val="16"/>
                <w:szCs w:val="16"/>
                <w:color w:val="auto"/>
              </w:rPr>
            </w:pPr>
          </w:p>
        </w:tc>
        <w:tc>
          <w:tcPr>
            <w:tcW w:w="680" w:type="dxa"/>
            <w:vAlign w:val="bottom"/>
            <w:shd w:val="clear" w:color="auto" w:fill="E5EEF8"/>
          </w:tcPr>
          <w:p>
            <w:pPr>
              <w:spacing w:after="0"/>
              <w:rPr>
                <w:sz w:val="16"/>
                <w:szCs w:val="16"/>
                <w:color w:val="auto"/>
              </w:rPr>
            </w:pPr>
          </w:p>
        </w:tc>
      </w:tr>
      <w:tr>
        <w:trPr>
          <w:trHeight w:val="189"/>
        </w:trPr>
        <w:tc>
          <w:tcPr>
            <w:tcW w:w="9820" w:type="dxa"/>
            <w:vAlign w:val="bottom"/>
          </w:tcPr>
          <w:p>
            <w:pPr>
              <w:spacing w:after="0" w:line="189" w:lineRule="exact"/>
              <w:rPr>
                <w:sz w:val="20"/>
                <w:szCs w:val="20"/>
                <w:color w:val="auto"/>
              </w:rPr>
            </w:pPr>
            <w:r>
              <w:rPr>
                <w:rFonts w:ascii="Arial" w:cs="Arial" w:eastAsia="Arial" w:hAnsi="Arial"/>
                <w:sz w:val="17"/>
                <w:szCs w:val="17"/>
                <w:color w:val="auto"/>
              </w:rPr>
              <w:t> Cash Retainer</w:t>
            </w: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60,000</w:t>
            </w:r>
          </w:p>
        </w:tc>
      </w:tr>
      <w:tr>
        <w:trPr>
          <w:trHeight w:val="189"/>
        </w:trPr>
        <w:tc>
          <w:tcPr>
            <w:tcW w:w="9820" w:type="dxa"/>
            <w:vAlign w:val="bottom"/>
            <w:shd w:val="clear" w:color="auto" w:fill="E5EEF8"/>
          </w:tcPr>
          <w:p>
            <w:pPr>
              <w:spacing w:after="0" w:line="189" w:lineRule="exact"/>
              <w:rPr>
                <w:sz w:val="20"/>
                <w:szCs w:val="20"/>
                <w:color w:val="auto"/>
              </w:rPr>
            </w:pPr>
            <w:r>
              <w:rPr>
                <w:rFonts w:ascii="Arial" w:cs="Arial" w:eastAsia="Arial" w:hAnsi="Arial"/>
                <w:sz w:val="17"/>
                <w:szCs w:val="17"/>
                <w:b w:val="1"/>
                <w:bCs w:val="1"/>
                <w:i w:val="1"/>
                <w:iCs w:val="1"/>
                <w:color w:val="auto"/>
              </w:rPr>
              <w:t> 2023 Supplemental Annual Cash Retainers</w:t>
            </w:r>
          </w:p>
        </w:tc>
        <w:tc>
          <w:tcPr>
            <w:tcW w:w="520" w:type="dxa"/>
            <w:vAlign w:val="bottom"/>
            <w:shd w:val="clear" w:color="auto" w:fill="E5EEF8"/>
          </w:tcPr>
          <w:p>
            <w:pPr>
              <w:spacing w:after="0"/>
              <w:rPr>
                <w:sz w:val="16"/>
                <w:szCs w:val="16"/>
                <w:color w:val="auto"/>
              </w:rPr>
            </w:pPr>
          </w:p>
        </w:tc>
        <w:tc>
          <w:tcPr>
            <w:tcW w:w="680" w:type="dxa"/>
            <w:vAlign w:val="bottom"/>
            <w:shd w:val="clear" w:color="auto" w:fill="E5EEF8"/>
          </w:tcPr>
          <w:p>
            <w:pPr>
              <w:spacing w:after="0"/>
              <w:rPr>
                <w:sz w:val="16"/>
                <w:szCs w:val="16"/>
                <w:color w:val="auto"/>
              </w:rPr>
            </w:pPr>
          </w:p>
        </w:tc>
      </w:tr>
      <w:tr>
        <w:trPr>
          <w:trHeight w:val="167"/>
        </w:trPr>
        <w:tc>
          <w:tcPr>
            <w:tcW w:w="9820" w:type="dxa"/>
            <w:vAlign w:val="bottom"/>
          </w:tcPr>
          <w:p>
            <w:pPr>
              <w:spacing w:after="0" w:line="167" w:lineRule="exact"/>
              <w:rPr>
                <w:sz w:val="20"/>
                <w:szCs w:val="20"/>
                <w:color w:val="auto"/>
              </w:rPr>
            </w:pPr>
            <w:r>
              <w:rPr>
                <w:rFonts w:ascii="Arial" w:cs="Arial" w:eastAsia="Arial" w:hAnsi="Arial"/>
                <w:sz w:val="17"/>
                <w:szCs w:val="17"/>
                <w:color w:val="auto"/>
              </w:rPr>
              <w:t> Independent Chair</w:t>
            </w:r>
          </w:p>
        </w:tc>
        <w:tc>
          <w:tcPr>
            <w:tcW w:w="52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67" w:lineRule="exact"/>
              <w:rPr>
                <w:sz w:val="20"/>
                <w:szCs w:val="20"/>
                <w:color w:val="auto"/>
              </w:rPr>
            </w:pPr>
            <w:r>
              <w:rPr>
                <w:rFonts w:ascii="Arial" w:cs="Arial" w:eastAsia="Arial" w:hAnsi="Arial"/>
                <w:sz w:val="17"/>
                <w:szCs w:val="17"/>
                <w:color w:val="auto"/>
                <w:w w:val="97"/>
              </w:rPr>
              <w:t>125,000</w:t>
            </w:r>
          </w:p>
        </w:tc>
      </w:tr>
      <w:tr>
        <w:trPr>
          <w:trHeight w:val="189"/>
        </w:trPr>
        <w:tc>
          <w:tcPr>
            <w:tcW w:w="9820" w:type="dxa"/>
            <w:vAlign w:val="bottom"/>
          </w:tcPr>
          <w:p>
            <w:pPr>
              <w:spacing w:after="0" w:line="189" w:lineRule="exact"/>
              <w:rPr>
                <w:sz w:val="20"/>
                <w:szCs w:val="20"/>
                <w:color w:val="auto"/>
              </w:rPr>
            </w:pPr>
            <w:r>
              <w:rPr>
                <w:rFonts w:ascii="Arial" w:cs="Arial" w:eastAsia="Arial" w:hAnsi="Arial"/>
                <w:sz w:val="17"/>
                <w:szCs w:val="17"/>
                <w:color w:val="auto"/>
              </w:rPr>
              <w:t> Chair of Audit Committee</w:t>
            </w: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5,000</w:t>
            </w:r>
          </w:p>
        </w:tc>
      </w:tr>
      <w:tr>
        <w:trPr>
          <w:trHeight w:val="189"/>
        </w:trPr>
        <w:tc>
          <w:tcPr>
            <w:tcW w:w="9820" w:type="dxa"/>
            <w:vAlign w:val="bottom"/>
          </w:tcPr>
          <w:p>
            <w:pPr>
              <w:spacing w:after="0" w:line="189" w:lineRule="exact"/>
              <w:rPr>
                <w:sz w:val="20"/>
                <w:szCs w:val="20"/>
                <w:color w:val="auto"/>
              </w:rPr>
            </w:pPr>
            <w:r>
              <w:rPr>
                <w:rFonts w:ascii="Arial" w:cs="Arial" w:eastAsia="Arial" w:hAnsi="Arial"/>
                <w:sz w:val="17"/>
                <w:szCs w:val="17"/>
                <w:color w:val="auto"/>
              </w:rPr>
              <w:t> Chair of Compensation Committee</w:t>
            </w: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7"/>
                <w:szCs w:val="17"/>
                <w:color w:val="auto"/>
              </w:rPr>
              <w:t>5,000</w:t>
            </w:r>
          </w:p>
        </w:tc>
      </w:tr>
      <w:tr>
        <w:trPr>
          <w:trHeight w:val="225"/>
        </w:trPr>
        <w:tc>
          <w:tcPr>
            <w:tcW w:w="9820" w:type="dxa"/>
            <w:vAlign w:val="bottom"/>
          </w:tcPr>
          <w:p>
            <w:pPr>
              <w:spacing w:after="0"/>
              <w:rPr>
                <w:sz w:val="20"/>
                <w:szCs w:val="20"/>
                <w:color w:val="auto"/>
              </w:rPr>
            </w:pPr>
            <w:r>
              <w:rPr>
                <w:rFonts w:ascii="Arial" w:cs="Arial" w:eastAsia="Arial" w:hAnsi="Arial"/>
                <w:sz w:val="17"/>
                <w:szCs w:val="17"/>
                <w:color w:val="auto"/>
              </w:rPr>
              <w:t> Chair of Nominating and Governance Committee</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5,000</w:t>
            </w:r>
          </w:p>
        </w:tc>
      </w:tr>
    </w:tbl>
    <w:p>
      <w:pPr>
        <w:spacing w:after="0" w:line="72" w:lineRule="exact"/>
        <w:rPr>
          <w:sz w:val="20"/>
          <w:szCs w:val="20"/>
          <w:color w:val="auto"/>
        </w:rPr>
      </w:pPr>
    </w:p>
    <w:p>
      <w:pPr>
        <w:ind w:left="120" w:right="120"/>
        <w:spacing w:after="0" w:line="249" w:lineRule="auto"/>
        <w:rPr>
          <w:sz w:val="20"/>
          <w:szCs w:val="20"/>
          <w:color w:val="auto"/>
        </w:rPr>
      </w:pPr>
      <w:r>
        <w:rPr>
          <w:rFonts w:ascii="Arial" w:cs="Arial" w:eastAsia="Arial" w:hAnsi="Arial"/>
          <w:sz w:val="17"/>
          <w:szCs w:val="17"/>
          <w:color w:val="auto"/>
        </w:rPr>
        <w:t>We also reimburse our directors for reasonable travel expenses incurred in connection with attendance at Board, Committee and shareholder meetings and other Company business. In addition, the cash retainer and the number of equity awards granted are prorated for any new director appointed during the year based on the number of full months such director serves as a non-employee director during the year.</w:t>
      </w:r>
    </w:p>
    <w:p>
      <w:pPr>
        <w:spacing w:after="0" w:line="129"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17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DIRECTOR COMPENSATION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120" w:right="120"/>
        <w:spacing w:after="0" w:line="267" w:lineRule="auto"/>
        <w:rPr>
          <w:sz w:val="20"/>
          <w:szCs w:val="20"/>
          <w:color w:val="auto"/>
        </w:rPr>
      </w:pPr>
      <w:r>
        <w:rPr>
          <w:rFonts w:ascii="Arial" w:cs="Arial" w:eastAsia="Arial" w:hAnsi="Arial"/>
          <w:sz w:val="17"/>
          <w:szCs w:val="17"/>
          <w:color w:val="auto"/>
        </w:rPr>
        <w:t>Mr. Hunn is an employee of our Company and did not receive any compensation for his service as a director. His compensation is set forth in the “Executive Compensation” section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Director Compensation</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6040" w:type="dxa"/>
            <w:vAlign w:val="bottom"/>
            <w:shd w:val="clear" w:color="auto" w:fill="005CB9"/>
          </w:tcPr>
          <w:p>
            <w:pPr>
              <w:spacing w:after="0"/>
              <w:rPr>
                <w:sz w:val="19"/>
                <w:szCs w:val="19"/>
                <w:color w:val="auto"/>
              </w:rPr>
            </w:pPr>
          </w:p>
        </w:tc>
        <w:tc>
          <w:tcPr>
            <w:tcW w:w="22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Fees Earned or</w:t>
            </w:r>
          </w:p>
        </w:tc>
        <w:tc>
          <w:tcPr>
            <w:tcW w:w="1540" w:type="dxa"/>
            <w:vAlign w:val="bottom"/>
            <w:shd w:val="clear" w:color="auto" w:fill="005CB9"/>
          </w:tcPr>
          <w:p>
            <w:pPr>
              <w:ind w:left="420"/>
              <w:spacing w:after="0"/>
              <w:rPr>
                <w:sz w:val="20"/>
                <w:szCs w:val="20"/>
                <w:color w:val="auto"/>
              </w:rPr>
            </w:pPr>
            <w:r>
              <w:rPr>
                <w:rFonts w:ascii="Arial" w:cs="Arial" w:eastAsia="Arial" w:hAnsi="Arial"/>
                <w:sz w:val="14"/>
                <w:szCs w:val="14"/>
                <w:color w:val="FFFFFF"/>
              </w:rPr>
              <w:t>Stock</w:t>
            </w:r>
          </w:p>
        </w:tc>
        <w:tc>
          <w:tcPr>
            <w:tcW w:w="1080" w:type="dxa"/>
            <w:vAlign w:val="bottom"/>
            <w:vMerge w:val="restart"/>
            <w:shd w:val="clear" w:color="auto" w:fill="005CB9"/>
          </w:tcPr>
          <w:p>
            <w:pPr>
              <w:ind w:left="420"/>
              <w:spacing w:after="0"/>
              <w:rPr>
                <w:sz w:val="20"/>
                <w:szCs w:val="20"/>
                <w:color w:val="auto"/>
              </w:rPr>
            </w:pPr>
            <w:r>
              <w:rPr>
                <w:rFonts w:ascii="Arial" w:cs="Arial" w:eastAsia="Arial" w:hAnsi="Arial"/>
                <w:sz w:val="14"/>
                <w:szCs w:val="14"/>
                <w:color w:val="FFFFFF"/>
              </w:rPr>
              <w:t>Total</w:t>
            </w:r>
          </w:p>
        </w:tc>
        <w:tc>
          <w:tcPr>
            <w:tcW w:w="80" w:type="dxa"/>
            <w:vAlign w:val="bottom"/>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6040" w:type="dxa"/>
            <w:vAlign w:val="bottom"/>
            <w:shd w:val="clear" w:color="auto" w:fill="005CB9"/>
          </w:tcPr>
          <w:p>
            <w:pPr>
              <w:spacing w:after="0"/>
              <w:rPr>
                <w:sz w:val="12"/>
                <w:szCs w:val="12"/>
                <w:color w:val="auto"/>
              </w:rPr>
            </w:pPr>
          </w:p>
        </w:tc>
        <w:tc>
          <w:tcPr>
            <w:tcW w:w="2280" w:type="dxa"/>
            <w:vAlign w:val="bottom"/>
            <w:shd w:val="clear" w:color="auto" w:fill="005CB9"/>
          </w:tcPr>
          <w:p>
            <w:pPr>
              <w:jc w:val="center"/>
              <w:spacing w:after="0" w:line="149" w:lineRule="exact"/>
              <w:rPr>
                <w:sz w:val="20"/>
                <w:szCs w:val="20"/>
                <w:color w:val="auto"/>
              </w:rPr>
            </w:pPr>
            <w:r>
              <w:rPr>
                <w:rFonts w:ascii="Arial" w:cs="Arial" w:eastAsia="Arial" w:hAnsi="Arial"/>
                <w:sz w:val="14"/>
                <w:szCs w:val="14"/>
                <w:color w:val="FFFFFF"/>
              </w:rPr>
              <w:t>Paid in Cash</w:t>
            </w:r>
          </w:p>
        </w:tc>
        <w:tc>
          <w:tcPr>
            <w:tcW w:w="1540" w:type="dxa"/>
            <w:vAlign w:val="bottom"/>
            <w:shd w:val="clear" w:color="auto" w:fill="005CB9"/>
          </w:tcPr>
          <w:p>
            <w:pPr>
              <w:ind w:left="360"/>
              <w:spacing w:after="0" w:line="149" w:lineRule="exact"/>
              <w:rPr>
                <w:sz w:val="20"/>
                <w:szCs w:val="20"/>
                <w:color w:val="auto"/>
              </w:rPr>
            </w:pPr>
            <w:r>
              <w:rPr>
                <w:rFonts w:ascii="Arial" w:cs="Arial" w:eastAsia="Arial" w:hAnsi="Arial"/>
                <w:sz w:val="14"/>
                <w:szCs w:val="14"/>
                <w:color w:val="FFFFFF"/>
              </w:rPr>
              <w:t>Awards</w:t>
            </w:r>
          </w:p>
        </w:tc>
        <w:tc>
          <w:tcPr>
            <w:tcW w:w="1080" w:type="dxa"/>
            <w:vAlign w:val="bottom"/>
            <w:vMerge w:val="continue"/>
            <w:shd w:val="clear" w:color="auto" w:fill="005CB9"/>
          </w:tcPr>
          <w:p>
            <w:pPr>
              <w:spacing w:after="0"/>
              <w:rPr>
                <w:sz w:val="12"/>
                <w:szCs w:val="12"/>
                <w:color w:val="auto"/>
              </w:rPr>
            </w:pPr>
          </w:p>
        </w:tc>
        <w:tc>
          <w:tcPr>
            <w:tcW w:w="8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4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22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w:t>
            </w:r>
          </w:p>
        </w:tc>
        <w:tc>
          <w:tcPr>
            <w:tcW w:w="1540" w:type="dxa"/>
            <w:vAlign w:val="bottom"/>
            <w:shd w:val="clear" w:color="auto" w:fill="005CB9"/>
          </w:tcPr>
          <w:p>
            <w:pPr>
              <w:ind w:left="480"/>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p>
        </w:tc>
        <w:tc>
          <w:tcPr>
            <w:tcW w:w="1080" w:type="dxa"/>
            <w:vAlign w:val="bottom"/>
            <w:shd w:val="clear" w:color="auto" w:fill="005CB9"/>
          </w:tcPr>
          <w:p>
            <w:pPr>
              <w:ind w:left="500"/>
              <w:spacing w:after="0"/>
              <w:rPr>
                <w:sz w:val="20"/>
                <w:szCs w:val="20"/>
                <w:color w:val="auto"/>
              </w:rPr>
            </w:pPr>
            <w:r>
              <w:rPr>
                <w:rFonts w:ascii="Arial" w:cs="Arial" w:eastAsia="Arial" w:hAnsi="Arial"/>
                <w:sz w:val="14"/>
                <w:szCs w:val="14"/>
                <w:color w:val="FFFFFF"/>
              </w:rPr>
              <w:t>($)</w:t>
            </w:r>
          </w:p>
        </w:tc>
        <w:tc>
          <w:tcPr>
            <w:tcW w:w="80" w:type="dxa"/>
            <w:vAlign w:val="bottom"/>
            <w:shd w:val="clear" w:color="auto" w:fill="005CB9"/>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604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  Shellye L. Archambeau</w:t>
            </w:r>
          </w:p>
        </w:tc>
        <w:tc>
          <w:tcPr>
            <w:tcW w:w="228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65,000</w:t>
            </w:r>
          </w:p>
        </w:tc>
        <w:tc>
          <w:tcPr>
            <w:tcW w:w="1540" w:type="dxa"/>
            <w:vAlign w:val="bottom"/>
            <w:tcBorders>
              <w:bottom w:val="single" w:sz="8" w:color="CCDEF1"/>
            </w:tcBorders>
            <w:shd w:val="clear" w:color="auto" w:fill="CCDEF1"/>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tcBorders>
              <w:bottom w:val="single" w:sz="8" w:color="CCDEF1"/>
            </w:tcBorders>
            <w:gridSpan w:val="2"/>
            <w:shd w:val="clear" w:color="auto" w:fill="CCDEF1"/>
          </w:tcPr>
          <w:p>
            <w:pPr>
              <w:ind w:left="46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7"/>
                <w:szCs w:val="17"/>
                <w:color w:val="auto"/>
              </w:rPr>
              <w:t>  Amy Woods Brinkley</w:t>
            </w:r>
          </w:p>
        </w:tc>
        <w:tc>
          <w:tcPr>
            <w:tcW w:w="2280" w:type="dxa"/>
            <w:vAlign w:val="bottom"/>
          </w:tcPr>
          <w:p>
            <w:pPr>
              <w:jc w:val="right"/>
              <w:ind w:right="298"/>
              <w:spacing w:after="0"/>
              <w:rPr>
                <w:sz w:val="20"/>
                <w:szCs w:val="20"/>
                <w:color w:val="auto"/>
              </w:rPr>
            </w:pPr>
            <w:r>
              <w:rPr>
                <w:rFonts w:ascii="Arial" w:cs="Arial" w:eastAsia="Arial" w:hAnsi="Arial"/>
                <w:sz w:val="17"/>
                <w:szCs w:val="17"/>
                <w:color w:val="auto"/>
              </w:rPr>
              <w:t>185,000</w:t>
            </w:r>
          </w:p>
        </w:tc>
        <w:tc>
          <w:tcPr>
            <w:tcW w:w="1540" w:type="dxa"/>
            <w:vAlign w:val="bottom"/>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gridSpan w:val="2"/>
          </w:tcPr>
          <w:p>
            <w:pPr>
              <w:ind w:left="460"/>
              <w:spacing w:after="0"/>
              <w:rPr>
                <w:sz w:val="20"/>
                <w:szCs w:val="20"/>
                <w:color w:val="auto"/>
              </w:rPr>
            </w:pPr>
            <w:r>
              <w:rPr>
                <w:rFonts w:ascii="Arial" w:cs="Arial" w:eastAsia="Arial" w:hAnsi="Arial"/>
                <w:sz w:val="17"/>
                <w:szCs w:val="17"/>
                <w:color w:val="auto"/>
              </w:rPr>
              <w:t>570,000</w:t>
            </w:r>
          </w:p>
        </w:tc>
        <w:tc>
          <w:tcPr>
            <w:tcW w:w="0" w:type="dxa"/>
            <w:vAlign w:val="bottom"/>
          </w:tcPr>
          <w:p>
            <w:pPr>
              <w:spacing w:after="0"/>
              <w:rPr>
                <w:sz w:val="1"/>
                <w:szCs w:val="1"/>
                <w:color w:val="auto"/>
              </w:rPr>
            </w:pPr>
          </w:p>
        </w:tc>
      </w:tr>
      <w:tr>
        <w:trPr>
          <w:trHeight w:val="40"/>
        </w:trPr>
        <w:tc>
          <w:tcPr>
            <w:tcW w:w="60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604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  Irene M. Esteves</w:t>
            </w:r>
          </w:p>
        </w:tc>
        <w:tc>
          <w:tcPr>
            <w:tcW w:w="228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60,000</w:t>
            </w:r>
          </w:p>
        </w:tc>
        <w:tc>
          <w:tcPr>
            <w:tcW w:w="1540" w:type="dxa"/>
            <w:vAlign w:val="bottom"/>
            <w:tcBorders>
              <w:bottom w:val="single" w:sz="8" w:color="CCDEF1"/>
            </w:tcBorders>
            <w:shd w:val="clear" w:color="auto" w:fill="CCDEF1"/>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tcBorders>
              <w:bottom w:val="single" w:sz="8" w:color="CCDEF1"/>
            </w:tcBorders>
            <w:gridSpan w:val="2"/>
            <w:shd w:val="clear" w:color="auto" w:fill="CCDEF1"/>
          </w:tcPr>
          <w:p>
            <w:pPr>
              <w:ind w:left="460"/>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7"/>
                <w:szCs w:val="17"/>
                <w:color w:val="auto"/>
              </w:rPr>
              <w:t>  Robert D. Johnson</w:t>
            </w:r>
          </w:p>
        </w:tc>
        <w:tc>
          <w:tcPr>
            <w:tcW w:w="2280" w:type="dxa"/>
            <w:vAlign w:val="bottom"/>
          </w:tcPr>
          <w:p>
            <w:pPr>
              <w:jc w:val="right"/>
              <w:ind w:right="298"/>
              <w:spacing w:after="0"/>
              <w:rPr>
                <w:sz w:val="20"/>
                <w:szCs w:val="20"/>
                <w:color w:val="auto"/>
              </w:rPr>
            </w:pPr>
            <w:r>
              <w:rPr>
                <w:rFonts w:ascii="Arial" w:cs="Arial" w:eastAsia="Arial" w:hAnsi="Arial"/>
                <w:sz w:val="17"/>
                <w:szCs w:val="17"/>
                <w:color w:val="auto"/>
              </w:rPr>
              <w:t>60,000</w:t>
            </w:r>
          </w:p>
        </w:tc>
        <w:tc>
          <w:tcPr>
            <w:tcW w:w="1540" w:type="dxa"/>
            <w:vAlign w:val="bottom"/>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gridSpan w:val="2"/>
          </w:tcPr>
          <w:p>
            <w:pPr>
              <w:ind w:left="460"/>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40"/>
        </w:trPr>
        <w:tc>
          <w:tcPr>
            <w:tcW w:w="60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604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  Thomas P. Joyce, Jr.</w:t>
            </w:r>
          </w:p>
        </w:tc>
        <w:tc>
          <w:tcPr>
            <w:tcW w:w="228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60,000</w:t>
            </w:r>
          </w:p>
        </w:tc>
        <w:tc>
          <w:tcPr>
            <w:tcW w:w="1540" w:type="dxa"/>
            <w:vAlign w:val="bottom"/>
            <w:tcBorders>
              <w:bottom w:val="single" w:sz="8" w:color="CCDEF1"/>
            </w:tcBorders>
            <w:shd w:val="clear" w:color="auto" w:fill="CCDEF1"/>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tcBorders>
              <w:bottom w:val="single" w:sz="8" w:color="CCDEF1"/>
            </w:tcBorders>
            <w:gridSpan w:val="2"/>
            <w:shd w:val="clear" w:color="auto" w:fill="CCDEF1"/>
          </w:tcPr>
          <w:p>
            <w:pPr>
              <w:ind w:left="460"/>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r>
        <w:trPr>
          <w:trHeight w:val="270"/>
        </w:trPr>
        <w:tc>
          <w:tcPr>
            <w:tcW w:w="6040" w:type="dxa"/>
            <w:vAlign w:val="bottom"/>
          </w:tcPr>
          <w:p>
            <w:pPr>
              <w:spacing w:after="0"/>
              <w:rPr>
                <w:sz w:val="20"/>
                <w:szCs w:val="20"/>
                <w:color w:val="auto"/>
              </w:rPr>
            </w:pPr>
            <w:r>
              <w:rPr>
                <w:rFonts w:ascii="Arial" w:cs="Arial" w:eastAsia="Arial" w:hAnsi="Arial"/>
                <w:sz w:val="17"/>
                <w:szCs w:val="17"/>
                <w:color w:val="auto"/>
              </w:rPr>
              <w:t>  Laura G. Thatcher</w:t>
            </w:r>
          </w:p>
        </w:tc>
        <w:tc>
          <w:tcPr>
            <w:tcW w:w="2280" w:type="dxa"/>
            <w:vAlign w:val="bottom"/>
          </w:tcPr>
          <w:p>
            <w:pPr>
              <w:jc w:val="right"/>
              <w:ind w:right="298"/>
              <w:spacing w:after="0"/>
              <w:rPr>
                <w:sz w:val="20"/>
                <w:szCs w:val="20"/>
                <w:color w:val="auto"/>
              </w:rPr>
            </w:pPr>
            <w:r>
              <w:rPr>
                <w:rFonts w:ascii="Arial" w:cs="Arial" w:eastAsia="Arial" w:hAnsi="Arial"/>
                <w:sz w:val="17"/>
                <w:szCs w:val="17"/>
                <w:color w:val="auto"/>
              </w:rPr>
              <w:t>65,000</w:t>
            </w:r>
          </w:p>
        </w:tc>
        <w:tc>
          <w:tcPr>
            <w:tcW w:w="1540" w:type="dxa"/>
            <w:vAlign w:val="bottom"/>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gridSpan w:val="2"/>
          </w:tcPr>
          <w:p>
            <w:pPr>
              <w:ind w:left="46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40"/>
        </w:trPr>
        <w:tc>
          <w:tcPr>
            <w:tcW w:w="604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604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7"/>
                <w:szCs w:val="17"/>
                <w:color w:val="auto"/>
              </w:rPr>
              <w:t>  Richard F. Wallman</w:t>
            </w:r>
          </w:p>
        </w:tc>
        <w:tc>
          <w:tcPr>
            <w:tcW w:w="2280" w:type="dxa"/>
            <w:vAlign w:val="bottom"/>
            <w:tcBorders>
              <w:bottom w:val="single" w:sz="8" w:color="CCDEF1"/>
            </w:tcBorders>
            <w:shd w:val="clear" w:color="auto" w:fill="CCDEF1"/>
          </w:tcPr>
          <w:p>
            <w:pPr>
              <w:jc w:val="right"/>
              <w:ind w:right="298"/>
              <w:spacing w:after="0"/>
              <w:rPr>
                <w:sz w:val="20"/>
                <w:szCs w:val="20"/>
                <w:color w:val="auto"/>
              </w:rPr>
            </w:pPr>
            <w:r>
              <w:rPr>
                <w:rFonts w:ascii="Arial" w:cs="Arial" w:eastAsia="Arial" w:hAnsi="Arial"/>
                <w:sz w:val="17"/>
                <w:szCs w:val="17"/>
                <w:color w:val="auto"/>
              </w:rPr>
              <w:t>65,000</w:t>
            </w:r>
          </w:p>
        </w:tc>
        <w:tc>
          <w:tcPr>
            <w:tcW w:w="1540" w:type="dxa"/>
            <w:vAlign w:val="bottom"/>
            <w:tcBorders>
              <w:bottom w:val="single" w:sz="8" w:color="CCDEF1"/>
            </w:tcBorders>
            <w:shd w:val="clear" w:color="auto" w:fill="CCDEF1"/>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tcBorders>
              <w:bottom w:val="single" w:sz="8" w:color="CCDEF1"/>
            </w:tcBorders>
            <w:gridSpan w:val="2"/>
            <w:shd w:val="clear" w:color="auto" w:fill="CCDEF1"/>
          </w:tcPr>
          <w:p>
            <w:pPr>
              <w:ind w:left="460"/>
              <w:spacing w:after="0"/>
              <w:rPr>
                <w:sz w:val="20"/>
                <w:szCs w:val="20"/>
                <w:color w:val="auto"/>
              </w:rPr>
            </w:pPr>
            <w:r>
              <w:rPr>
                <w:rFonts w:ascii="Arial" w:cs="Arial" w:eastAsia="Arial" w:hAnsi="Arial"/>
                <w:sz w:val="17"/>
                <w:szCs w:val="17"/>
                <w:color w:val="auto"/>
              </w:rPr>
              <w:t>450,000</w:t>
            </w:r>
          </w:p>
        </w:tc>
        <w:tc>
          <w:tcPr>
            <w:tcW w:w="0" w:type="dxa"/>
            <w:vAlign w:val="bottom"/>
          </w:tcPr>
          <w:p>
            <w:pPr>
              <w:spacing w:after="0"/>
              <w:rPr>
                <w:sz w:val="1"/>
                <w:szCs w:val="1"/>
                <w:color w:val="auto"/>
              </w:rPr>
            </w:pPr>
          </w:p>
        </w:tc>
      </w:tr>
      <w:tr>
        <w:trPr>
          <w:trHeight w:val="225"/>
        </w:trPr>
        <w:tc>
          <w:tcPr>
            <w:tcW w:w="6040" w:type="dxa"/>
            <w:vAlign w:val="bottom"/>
          </w:tcPr>
          <w:p>
            <w:pPr>
              <w:spacing w:after="0"/>
              <w:rPr>
                <w:sz w:val="20"/>
                <w:szCs w:val="20"/>
                <w:color w:val="auto"/>
              </w:rPr>
            </w:pPr>
            <w:r>
              <w:rPr>
                <w:rFonts w:ascii="Arial" w:cs="Arial" w:eastAsia="Arial" w:hAnsi="Arial"/>
                <w:sz w:val="17"/>
                <w:szCs w:val="17"/>
                <w:color w:val="auto"/>
              </w:rPr>
              <w:t>  Christopher Wright</w:t>
            </w:r>
          </w:p>
        </w:tc>
        <w:tc>
          <w:tcPr>
            <w:tcW w:w="2280" w:type="dxa"/>
            <w:vAlign w:val="bottom"/>
          </w:tcPr>
          <w:p>
            <w:pPr>
              <w:jc w:val="right"/>
              <w:ind w:right="298"/>
              <w:spacing w:after="0"/>
              <w:rPr>
                <w:sz w:val="20"/>
                <w:szCs w:val="20"/>
                <w:color w:val="auto"/>
              </w:rPr>
            </w:pPr>
            <w:r>
              <w:rPr>
                <w:rFonts w:ascii="Arial" w:cs="Arial" w:eastAsia="Arial" w:hAnsi="Arial"/>
                <w:sz w:val="17"/>
                <w:szCs w:val="17"/>
                <w:color w:val="auto"/>
              </w:rPr>
              <w:t>60,000</w:t>
            </w:r>
          </w:p>
        </w:tc>
        <w:tc>
          <w:tcPr>
            <w:tcW w:w="1540" w:type="dxa"/>
            <w:vAlign w:val="bottom"/>
          </w:tcPr>
          <w:p>
            <w:pPr>
              <w:ind w:left="480"/>
              <w:spacing w:after="0"/>
              <w:rPr>
                <w:sz w:val="20"/>
                <w:szCs w:val="20"/>
                <w:color w:val="auto"/>
              </w:rPr>
            </w:pPr>
            <w:r>
              <w:rPr>
                <w:rFonts w:ascii="Arial" w:cs="Arial" w:eastAsia="Arial" w:hAnsi="Arial"/>
                <w:sz w:val="17"/>
                <w:szCs w:val="17"/>
                <w:color w:val="auto"/>
              </w:rPr>
              <w:t>385,000</w:t>
            </w:r>
          </w:p>
        </w:tc>
        <w:tc>
          <w:tcPr>
            <w:tcW w:w="1160" w:type="dxa"/>
            <w:vAlign w:val="bottom"/>
            <w:gridSpan w:val="2"/>
          </w:tcPr>
          <w:p>
            <w:pPr>
              <w:ind w:left="460"/>
              <w:spacing w:after="0"/>
              <w:rPr>
                <w:sz w:val="20"/>
                <w:szCs w:val="20"/>
                <w:color w:val="auto"/>
              </w:rPr>
            </w:pPr>
            <w:r>
              <w:rPr>
                <w:rFonts w:ascii="Arial" w:cs="Arial" w:eastAsia="Arial" w:hAnsi="Arial"/>
                <w:sz w:val="17"/>
                <w:szCs w:val="17"/>
                <w:color w:val="auto"/>
              </w:rPr>
              <w:t>445,000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540" w:right="20" w:hanging="424"/>
        <w:spacing w:after="0" w:line="214" w:lineRule="auto"/>
        <w:tabs>
          <w:tab w:leader="none" w:pos="540" w:val="left"/>
        </w:tabs>
        <w:numPr>
          <w:ilvl w:val="0"/>
          <w:numId w:val="21"/>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represent the grant date fair values for restricted stock or RSUs, as the case may be, granted to these directors during 2023, calculated in accordance with Financial Accounting Standards Board Accounting Standards Codification Topic 718 (“ASC Topic 718”). The restricted stock and RSUs generally vest in equal increments 50% six months from the date of grant and 50% on the day prior to the 2024 Annual Meeting.</w:t>
      </w:r>
    </w:p>
    <w:p>
      <w:pPr>
        <w:spacing w:after="0" w:line="68"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color w:val="auto"/>
        </w:rPr>
        <w:t>Our share ownership and retention guidelines for non-employee directors require each director to own shares of our common stock with a value of at least 10 times the annual cash base retainer, or $600,000 in value, within five years of becoming a director. Until the ownership requirements are met, non-employee directors are required to retain 60% of any shares they receive (on a net after-tax basis) under our Director Compensation Plan. Each of our directors is in compliance with these guidelines.</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18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BENEFICIAL OWNERSHIP</w:t>
      </w:r>
    </w:p>
    <w:p>
      <w:pPr>
        <w:spacing w:after="0" w:line="33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Beneficial ownership is determined in accordance with SEC rules. Under the rules, the number of shares beneficially owned by a person and the percentage of ownership held by that person includes shares of common stock that could be acquired upon exercise of an option within sixty days, although such shares are not deemed exercised and outstanding for computing the percentage of ownership held by any other person. Unless otherwise indicated in the footnotes below, the persons and entities named in the table have sole voting and investment power with respect to all shares beneficially owned, subject to community property laws where applicable.</w:t>
      </w:r>
    </w:p>
    <w:p>
      <w:pPr>
        <w:spacing w:after="0" w:line="180"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color w:val="auto"/>
        </w:rPr>
        <w:t>The following table shows the beneficial ownership of Roper common stock as of March 31, 2024 by (i) each of our director nominees, (ii) each named executive officer in the “2023 Summary Compensation Table,” (iii) all of our current directors and executive officers as a group, and (iv) all persons who we know are the beneficial owners of five percent or more of Roper common stock. Except as noted below, the address of each person in the table is c/o Roper Technologies, Inc., 6496 University Parkway, Sarasota, Florida 34240</w:t>
      </w:r>
      <w:r>
        <w:rPr>
          <w:rFonts w:ascii="Arial" w:cs="Arial" w:eastAsia="Arial" w:hAnsi="Arial"/>
          <w:sz w:val="17"/>
          <w:szCs w:val="17"/>
          <w:b w:val="1"/>
          <w:bCs w:val="1"/>
          <w:color w:val="auto"/>
        </w:rPr>
        <w:t>.</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60" w:type="dxa"/>
            <w:vAlign w:val="bottom"/>
            <w:shd w:val="clear" w:color="auto" w:fill="005CB9"/>
          </w:tcPr>
          <w:p>
            <w:pPr>
              <w:spacing w:after="0"/>
              <w:rPr>
                <w:sz w:val="19"/>
                <w:szCs w:val="19"/>
                <w:color w:val="auto"/>
              </w:rPr>
            </w:pPr>
          </w:p>
        </w:tc>
        <w:tc>
          <w:tcPr>
            <w:tcW w:w="6720" w:type="dxa"/>
            <w:vAlign w:val="bottom"/>
            <w:shd w:val="clear" w:color="auto" w:fill="005CB9"/>
          </w:tcPr>
          <w:p>
            <w:pPr>
              <w:spacing w:after="0"/>
              <w:rPr>
                <w:sz w:val="19"/>
                <w:szCs w:val="19"/>
                <w:color w:val="auto"/>
              </w:rPr>
            </w:pPr>
          </w:p>
        </w:tc>
        <w:tc>
          <w:tcPr>
            <w:tcW w:w="900" w:type="dxa"/>
            <w:vAlign w:val="bottom"/>
            <w:shd w:val="clear" w:color="auto" w:fill="005CB9"/>
          </w:tcPr>
          <w:p>
            <w:pPr>
              <w:ind w:left="860"/>
              <w:spacing w:after="0"/>
              <w:rPr>
                <w:sz w:val="20"/>
                <w:szCs w:val="20"/>
                <w:color w:val="auto"/>
              </w:rPr>
            </w:pPr>
            <w:r>
              <w:rPr>
                <w:rFonts w:ascii="Arial" w:cs="Arial" w:eastAsia="Arial" w:hAnsi="Arial"/>
                <w:sz w:val="2"/>
                <w:szCs w:val="2"/>
                <w:color w:val="FFFFFF"/>
                <w:w w:val="97"/>
              </w:rPr>
              <w:t> </w:t>
            </w:r>
          </w:p>
        </w:tc>
        <w:tc>
          <w:tcPr>
            <w:tcW w:w="1800" w:type="dxa"/>
            <w:vAlign w:val="bottom"/>
            <w:shd w:val="clear" w:color="auto" w:fill="005CB9"/>
          </w:tcPr>
          <w:p>
            <w:pPr>
              <w:jc w:val="right"/>
              <w:ind w:right="256"/>
              <w:spacing w:after="0"/>
              <w:rPr>
                <w:sz w:val="20"/>
                <w:szCs w:val="20"/>
                <w:color w:val="auto"/>
              </w:rPr>
            </w:pPr>
            <w:r>
              <w:rPr>
                <w:rFonts w:ascii="Arial" w:cs="Arial" w:eastAsia="Arial" w:hAnsi="Arial"/>
                <w:sz w:val="14"/>
                <w:szCs w:val="14"/>
                <w:color w:val="FFFFFF"/>
              </w:rPr>
              <w:t>Beneficial Ownership</w:t>
            </w:r>
          </w:p>
        </w:tc>
        <w:tc>
          <w:tcPr>
            <w:tcW w:w="1340" w:type="dxa"/>
            <w:vAlign w:val="bottom"/>
            <w:shd w:val="clear" w:color="auto" w:fill="005CB9"/>
          </w:tcPr>
          <w:p>
            <w:pPr>
              <w:ind w:left="200"/>
              <w:spacing w:after="0"/>
              <w:rPr>
                <w:sz w:val="20"/>
                <w:szCs w:val="20"/>
                <w:color w:val="auto"/>
              </w:rPr>
            </w:pPr>
            <w:r>
              <w:rPr>
                <w:rFonts w:ascii="Arial" w:cs="Arial" w:eastAsia="Arial" w:hAnsi="Arial"/>
                <w:sz w:val="14"/>
                <w:szCs w:val="14"/>
                <w:color w:val="FFFFFF"/>
              </w:rPr>
              <w:t>Percent</w:t>
            </w:r>
          </w:p>
        </w:tc>
      </w:tr>
      <w:tr>
        <w:trPr>
          <w:trHeight w:val="185"/>
        </w:trPr>
        <w:tc>
          <w:tcPr>
            <w:tcW w:w="6980" w:type="dxa"/>
            <w:vAlign w:val="bottom"/>
            <w:gridSpan w:val="2"/>
            <w:shd w:val="clear" w:color="auto" w:fill="005CB9"/>
          </w:tcPr>
          <w:p>
            <w:pPr>
              <w:spacing w:after="0"/>
              <w:rPr>
                <w:sz w:val="20"/>
                <w:szCs w:val="20"/>
                <w:color w:val="auto"/>
              </w:rPr>
            </w:pPr>
            <w:r>
              <w:rPr>
                <w:rFonts w:ascii="Arial" w:cs="Arial" w:eastAsia="Arial" w:hAnsi="Arial"/>
                <w:sz w:val="14"/>
                <w:szCs w:val="14"/>
                <w:color w:val="FFFFFF"/>
              </w:rPr>
              <w:t> Name of Beneficial Owner</w:t>
            </w:r>
          </w:p>
        </w:tc>
        <w:tc>
          <w:tcPr>
            <w:tcW w:w="900" w:type="dxa"/>
            <w:vAlign w:val="bottom"/>
            <w:shd w:val="clear" w:color="auto" w:fill="005CB9"/>
          </w:tcPr>
          <w:p>
            <w:pPr>
              <w:spacing w:after="0"/>
              <w:rPr>
                <w:sz w:val="16"/>
                <w:szCs w:val="16"/>
                <w:color w:val="auto"/>
              </w:rPr>
            </w:pPr>
          </w:p>
        </w:tc>
        <w:tc>
          <w:tcPr>
            <w:tcW w:w="1800" w:type="dxa"/>
            <w:vAlign w:val="bottom"/>
            <w:shd w:val="clear" w:color="auto" w:fill="005CB9"/>
          </w:tcPr>
          <w:p>
            <w:pPr>
              <w:jc w:val="right"/>
              <w:ind w:right="256"/>
              <w:spacing w:after="0"/>
              <w:rPr>
                <w:sz w:val="20"/>
                <w:szCs w:val="20"/>
                <w:color w:val="auto"/>
              </w:rPr>
            </w:pPr>
            <w:r>
              <w:rPr>
                <w:rFonts w:ascii="Arial" w:cs="Arial" w:eastAsia="Arial" w:hAnsi="Arial"/>
                <w:sz w:val="14"/>
                <w:szCs w:val="14"/>
                <w:color w:val="FFFFFF"/>
                <w:w w:val="92"/>
              </w:rPr>
              <w:t>   of Common Stock</w:t>
            </w:r>
            <w:r>
              <w:rPr>
                <w:rFonts w:ascii="Arial" w:cs="Arial" w:eastAsia="Arial" w:hAnsi="Arial"/>
                <w:sz w:val="14"/>
                <w:szCs w:val="14"/>
                <w:color w:val="FFFFFF"/>
                <w:w w:val="92"/>
                <w:vertAlign w:val="superscript"/>
              </w:rPr>
              <w:t>(1)(2)</w:t>
            </w:r>
          </w:p>
        </w:tc>
        <w:tc>
          <w:tcPr>
            <w:tcW w:w="1340" w:type="dxa"/>
            <w:vAlign w:val="bottom"/>
            <w:shd w:val="clear" w:color="auto" w:fill="005CB9"/>
          </w:tcPr>
          <w:p>
            <w:pPr>
              <w:ind w:left="180"/>
              <w:spacing w:after="0"/>
              <w:rPr>
                <w:sz w:val="20"/>
                <w:szCs w:val="20"/>
                <w:color w:val="auto"/>
              </w:rPr>
            </w:pPr>
            <w:r>
              <w:rPr>
                <w:rFonts w:ascii="Arial" w:cs="Arial" w:eastAsia="Arial" w:hAnsi="Arial"/>
                <w:sz w:val="14"/>
                <w:szCs w:val="14"/>
                <w:color w:val="FFFFFF"/>
              </w:rPr>
              <w:t>of Class </w:t>
            </w:r>
          </w:p>
        </w:tc>
      </w:tr>
      <w:tr>
        <w:trPr>
          <w:trHeight w:val="234"/>
        </w:trPr>
        <w:tc>
          <w:tcPr>
            <w:tcW w:w="698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 The Vanguard Group</w:t>
            </w:r>
          </w:p>
        </w:tc>
        <w:tc>
          <w:tcPr>
            <w:tcW w:w="900" w:type="dxa"/>
            <w:vAlign w:val="bottom"/>
            <w:shd w:val="clear" w:color="auto" w:fill="CCDEF1"/>
          </w:tcPr>
          <w:p>
            <w:pPr>
              <w:spacing w:after="0"/>
              <w:rPr>
                <w:sz w:val="20"/>
                <w:szCs w:val="20"/>
                <w:color w:val="auto"/>
              </w:rPr>
            </w:pPr>
          </w:p>
        </w:tc>
        <w:tc>
          <w:tcPr>
            <w:tcW w:w="1800" w:type="dxa"/>
            <w:vAlign w:val="bottom"/>
            <w:shd w:val="clear" w:color="auto" w:fill="CCDEF1"/>
          </w:tcPr>
          <w:p>
            <w:pPr>
              <w:jc w:val="right"/>
              <w:ind w:right="96"/>
              <w:spacing w:after="0"/>
              <w:rPr>
                <w:sz w:val="20"/>
                <w:szCs w:val="20"/>
                <w:color w:val="auto"/>
              </w:rPr>
            </w:pPr>
            <w:r>
              <w:rPr>
                <w:rFonts w:ascii="Arial" w:cs="Arial" w:eastAsia="Arial" w:hAnsi="Arial"/>
                <w:sz w:val="17"/>
                <w:szCs w:val="17"/>
                <w:color w:val="auto"/>
              </w:rPr>
              <w:t>9,946,612</w:t>
            </w:r>
            <w:r>
              <w:rPr>
                <w:rFonts w:ascii="Arial" w:cs="Arial" w:eastAsia="Arial" w:hAnsi="Arial"/>
                <w:sz w:val="12"/>
                <w:szCs w:val="12"/>
                <w:color w:val="auto"/>
              </w:rPr>
              <w:t>(3)</w:t>
            </w:r>
          </w:p>
        </w:tc>
        <w:tc>
          <w:tcPr>
            <w:tcW w:w="1340" w:type="dxa"/>
            <w:vAlign w:val="bottom"/>
            <w:shd w:val="clear" w:color="auto" w:fill="CCDEF1"/>
          </w:tcPr>
          <w:p>
            <w:pPr>
              <w:ind w:left="500"/>
              <w:spacing w:after="0"/>
              <w:rPr>
                <w:sz w:val="20"/>
                <w:szCs w:val="20"/>
                <w:color w:val="auto"/>
              </w:rPr>
            </w:pPr>
            <w:r>
              <w:rPr>
                <w:rFonts w:ascii="Arial" w:cs="Arial" w:eastAsia="Arial" w:hAnsi="Arial"/>
                <w:sz w:val="17"/>
                <w:szCs w:val="17"/>
                <w:color w:val="auto"/>
              </w:rPr>
              <w:t>9.3%</w:t>
            </w:r>
          </w:p>
        </w:tc>
      </w:tr>
      <w:tr>
        <w:trPr>
          <w:trHeight w:val="259"/>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 100 Vanguard Blvd., Malvern, PA 19355</w:t>
            </w:r>
          </w:p>
        </w:tc>
        <w:tc>
          <w:tcPr>
            <w:tcW w:w="900" w:type="dxa"/>
            <w:vAlign w:val="bottom"/>
            <w:tcBorders>
              <w:bottom w:val="single" w:sz="8" w:color="CCDEF1"/>
            </w:tcBorders>
            <w:shd w:val="clear" w:color="auto" w:fill="CCDEF1"/>
          </w:tcPr>
          <w:p>
            <w:pPr>
              <w:spacing w:after="0"/>
              <w:rPr>
                <w:sz w:val="22"/>
                <w:szCs w:val="22"/>
                <w:color w:val="auto"/>
              </w:rPr>
            </w:pPr>
          </w:p>
        </w:tc>
        <w:tc>
          <w:tcPr>
            <w:tcW w:w="1800" w:type="dxa"/>
            <w:vAlign w:val="bottom"/>
            <w:tcBorders>
              <w:bottom w:val="single" w:sz="8" w:color="CCDEF1"/>
            </w:tcBorders>
            <w:shd w:val="clear" w:color="auto" w:fill="CCDEF1"/>
          </w:tcPr>
          <w:p>
            <w:pPr>
              <w:spacing w:after="0"/>
              <w:rPr>
                <w:sz w:val="22"/>
                <w:szCs w:val="22"/>
                <w:color w:val="auto"/>
              </w:rPr>
            </w:pPr>
          </w:p>
        </w:tc>
        <w:tc>
          <w:tcPr>
            <w:tcW w:w="1340" w:type="dxa"/>
            <w:vAlign w:val="bottom"/>
            <w:tcBorders>
              <w:bottom w:val="single" w:sz="8" w:color="CCDEF1"/>
            </w:tcBorders>
            <w:shd w:val="clear" w:color="auto" w:fill="CCDEF1"/>
          </w:tcPr>
          <w:p>
            <w:pPr>
              <w:spacing w:after="0"/>
              <w:rPr>
                <w:sz w:val="22"/>
                <w:szCs w:val="22"/>
                <w:color w:val="auto"/>
              </w:rPr>
            </w:pPr>
          </w:p>
        </w:tc>
      </w:tr>
      <w:tr>
        <w:trPr>
          <w:trHeight w:val="234"/>
        </w:trPr>
        <w:tc>
          <w:tcPr>
            <w:tcW w:w="7880" w:type="dxa"/>
            <w:vAlign w:val="bottom"/>
            <w:gridSpan w:val="3"/>
          </w:tcPr>
          <w:p>
            <w:pPr>
              <w:spacing w:after="0"/>
              <w:rPr>
                <w:sz w:val="20"/>
                <w:szCs w:val="20"/>
                <w:color w:val="auto"/>
              </w:rPr>
            </w:pPr>
            <w:r>
              <w:rPr>
                <w:rFonts w:ascii="Arial" w:cs="Arial" w:eastAsia="Arial" w:hAnsi="Arial"/>
                <w:sz w:val="17"/>
                <w:szCs w:val="17"/>
                <w:color w:val="auto"/>
              </w:rPr>
              <w:t> BlackRock, Inc.</w:t>
            </w:r>
          </w:p>
        </w:tc>
        <w:tc>
          <w:tcPr>
            <w:tcW w:w="1800" w:type="dxa"/>
            <w:vAlign w:val="bottom"/>
          </w:tcPr>
          <w:p>
            <w:pPr>
              <w:jc w:val="right"/>
              <w:ind w:right="96"/>
              <w:spacing w:after="0"/>
              <w:rPr>
                <w:sz w:val="20"/>
                <w:szCs w:val="20"/>
                <w:color w:val="auto"/>
              </w:rPr>
            </w:pPr>
            <w:r>
              <w:rPr>
                <w:rFonts w:ascii="Arial" w:cs="Arial" w:eastAsia="Arial" w:hAnsi="Arial"/>
                <w:sz w:val="17"/>
                <w:szCs w:val="17"/>
                <w:color w:val="auto"/>
              </w:rPr>
              <w:t>9,638,792</w:t>
            </w:r>
            <w:r>
              <w:rPr>
                <w:rFonts w:ascii="Arial" w:cs="Arial" w:eastAsia="Arial" w:hAnsi="Arial"/>
                <w:sz w:val="12"/>
                <w:szCs w:val="12"/>
                <w:color w:val="auto"/>
              </w:rPr>
              <w:t>(4)</w:t>
            </w:r>
          </w:p>
        </w:tc>
        <w:tc>
          <w:tcPr>
            <w:tcW w:w="1340" w:type="dxa"/>
            <w:vAlign w:val="bottom"/>
          </w:tcPr>
          <w:p>
            <w:pPr>
              <w:ind w:left="500"/>
              <w:spacing w:after="0"/>
              <w:rPr>
                <w:sz w:val="20"/>
                <w:szCs w:val="20"/>
                <w:color w:val="auto"/>
              </w:rPr>
            </w:pPr>
            <w:r>
              <w:rPr>
                <w:rFonts w:ascii="Arial" w:cs="Arial" w:eastAsia="Arial" w:hAnsi="Arial"/>
                <w:sz w:val="17"/>
                <w:szCs w:val="17"/>
                <w:color w:val="auto"/>
              </w:rPr>
              <w:t>9.0%</w:t>
            </w:r>
          </w:p>
        </w:tc>
      </w:tr>
      <w:tr>
        <w:trPr>
          <w:trHeight w:val="225"/>
        </w:trPr>
        <w:tc>
          <w:tcPr>
            <w:tcW w:w="7880" w:type="dxa"/>
            <w:vAlign w:val="bottom"/>
            <w:gridSpan w:val="3"/>
          </w:tcPr>
          <w:p>
            <w:pPr>
              <w:spacing w:after="0"/>
              <w:rPr>
                <w:sz w:val="20"/>
                <w:szCs w:val="20"/>
                <w:color w:val="auto"/>
              </w:rPr>
            </w:pPr>
            <w:r>
              <w:rPr>
                <w:rFonts w:ascii="Arial" w:cs="Arial" w:eastAsia="Arial" w:hAnsi="Arial"/>
                <w:sz w:val="17"/>
                <w:szCs w:val="17"/>
                <w:color w:val="auto"/>
              </w:rPr>
              <w:t> 50 Hudson Yards, New York, NY, 10001</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54"/>
        </w:trPr>
        <w:tc>
          <w:tcPr>
            <w:tcW w:w="7880" w:type="dxa"/>
            <w:vAlign w:val="bottom"/>
            <w:gridSpan w:val="3"/>
          </w:tcPr>
          <w:p>
            <w:pPr>
              <w:spacing w:after="0"/>
              <w:rPr>
                <w:sz w:val="4"/>
                <w:szCs w:val="4"/>
                <w:color w:val="auto"/>
              </w:rPr>
            </w:pPr>
          </w:p>
        </w:tc>
        <w:tc>
          <w:tcPr>
            <w:tcW w:w="1800" w:type="dxa"/>
            <w:vAlign w:val="bottom"/>
          </w:tcPr>
          <w:p>
            <w:pPr>
              <w:spacing w:after="0"/>
              <w:rPr>
                <w:sz w:val="4"/>
                <w:szCs w:val="4"/>
                <w:color w:val="auto"/>
              </w:rPr>
            </w:pPr>
          </w:p>
        </w:tc>
        <w:tc>
          <w:tcPr>
            <w:tcW w:w="1340" w:type="dxa"/>
            <w:vAlign w:val="bottom"/>
          </w:tcPr>
          <w:p>
            <w:pPr>
              <w:spacing w:after="0"/>
              <w:rPr>
                <w:sz w:val="4"/>
                <w:szCs w:val="4"/>
                <w:color w:val="auto"/>
              </w:rPr>
            </w:pPr>
          </w:p>
        </w:tc>
      </w:tr>
      <w:tr>
        <w:trPr>
          <w:trHeight w:val="234"/>
        </w:trPr>
        <w:tc>
          <w:tcPr>
            <w:tcW w:w="698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 T. Rowe Price Associates, Inc.</w:t>
            </w:r>
          </w:p>
        </w:tc>
        <w:tc>
          <w:tcPr>
            <w:tcW w:w="900" w:type="dxa"/>
            <w:vAlign w:val="bottom"/>
            <w:shd w:val="clear" w:color="auto" w:fill="CCDEF1"/>
          </w:tcPr>
          <w:p>
            <w:pPr>
              <w:spacing w:after="0"/>
              <w:rPr>
                <w:sz w:val="20"/>
                <w:szCs w:val="20"/>
                <w:color w:val="auto"/>
              </w:rPr>
            </w:pPr>
          </w:p>
        </w:tc>
        <w:tc>
          <w:tcPr>
            <w:tcW w:w="1800" w:type="dxa"/>
            <w:vAlign w:val="bottom"/>
            <w:shd w:val="clear" w:color="auto" w:fill="CCDEF1"/>
          </w:tcPr>
          <w:p>
            <w:pPr>
              <w:jc w:val="right"/>
              <w:ind w:right="96"/>
              <w:spacing w:after="0"/>
              <w:rPr>
                <w:sz w:val="20"/>
                <w:szCs w:val="20"/>
                <w:color w:val="auto"/>
              </w:rPr>
            </w:pPr>
            <w:r>
              <w:rPr>
                <w:rFonts w:ascii="Arial" w:cs="Arial" w:eastAsia="Arial" w:hAnsi="Arial"/>
                <w:sz w:val="17"/>
                <w:szCs w:val="17"/>
                <w:color w:val="auto"/>
              </w:rPr>
              <w:t>6,555,588</w:t>
            </w:r>
            <w:r>
              <w:rPr>
                <w:rFonts w:ascii="Arial" w:cs="Arial" w:eastAsia="Arial" w:hAnsi="Arial"/>
                <w:sz w:val="12"/>
                <w:szCs w:val="12"/>
                <w:color w:val="auto"/>
              </w:rPr>
              <w:t>(5)</w:t>
            </w:r>
          </w:p>
        </w:tc>
        <w:tc>
          <w:tcPr>
            <w:tcW w:w="1340" w:type="dxa"/>
            <w:vAlign w:val="bottom"/>
            <w:shd w:val="clear" w:color="auto" w:fill="CCDEF1"/>
          </w:tcPr>
          <w:p>
            <w:pPr>
              <w:ind w:left="500"/>
              <w:spacing w:after="0"/>
              <w:rPr>
                <w:sz w:val="20"/>
                <w:szCs w:val="20"/>
                <w:color w:val="auto"/>
              </w:rPr>
            </w:pPr>
            <w:r>
              <w:rPr>
                <w:rFonts w:ascii="Arial" w:cs="Arial" w:eastAsia="Arial" w:hAnsi="Arial"/>
                <w:sz w:val="17"/>
                <w:szCs w:val="17"/>
                <w:color w:val="auto"/>
              </w:rPr>
              <w:t>6.1%</w:t>
            </w:r>
          </w:p>
        </w:tc>
      </w:tr>
      <w:tr>
        <w:trPr>
          <w:trHeight w:val="259"/>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 100 E. Pratt Street, Baltimore, MD 21202</w:t>
            </w:r>
          </w:p>
        </w:tc>
        <w:tc>
          <w:tcPr>
            <w:tcW w:w="900" w:type="dxa"/>
            <w:vAlign w:val="bottom"/>
            <w:tcBorders>
              <w:bottom w:val="single" w:sz="8" w:color="CCDEF1"/>
            </w:tcBorders>
            <w:shd w:val="clear" w:color="auto" w:fill="CCDEF1"/>
          </w:tcPr>
          <w:p>
            <w:pPr>
              <w:spacing w:after="0"/>
              <w:rPr>
                <w:sz w:val="22"/>
                <w:szCs w:val="22"/>
                <w:color w:val="auto"/>
              </w:rPr>
            </w:pPr>
          </w:p>
        </w:tc>
        <w:tc>
          <w:tcPr>
            <w:tcW w:w="1800" w:type="dxa"/>
            <w:vAlign w:val="bottom"/>
            <w:tcBorders>
              <w:bottom w:val="single" w:sz="8" w:color="CCDEF1"/>
            </w:tcBorders>
            <w:shd w:val="clear" w:color="auto" w:fill="CCDEF1"/>
          </w:tcPr>
          <w:p>
            <w:pPr>
              <w:spacing w:after="0"/>
              <w:rPr>
                <w:sz w:val="22"/>
                <w:szCs w:val="22"/>
                <w:color w:val="auto"/>
              </w:rPr>
            </w:pPr>
          </w:p>
        </w:tc>
        <w:tc>
          <w:tcPr>
            <w:tcW w:w="1340" w:type="dxa"/>
            <w:vAlign w:val="bottom"/>
            <w:tcBorders>
              <w:bottom w:val="single" w:sz="8" w:color="CCDEF1"/>
            </w:tcBorders>
            <w:shd w:val="clear" w:color="auto" w:fill="CCDEF1"/>
          </w:tcPr>
          <w:p>
            <w:pPr>
              <w:spacing w:after="0"/>
              <w:rPr>
                <w:sz w:val="22"/>
                <w:szCs w:val="22"/>
                <w:color w:val="auto"/>
              </w:rPr>
            </w:pP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 Shellye L. Archambeau</w:t>
            </w:r>
          </w:p>
        </w:tc>
        <w:tc>
          <w:tcPr>
            <w:tcW w:w="1800" w:type="dxa"/>
            <w:vAlign w:val="bottom"/>
          </w:tcPr>
          <w:p>
            <w:pPr>
              <w:jc w:val="right"/>
              <w:ind w:right="256"/>
              <w:spacing w:after="0"/>
              <w:rPr>
                <w:sz w:val="20"/>
                <w:szCs w:val="20"/>
                <w:color w:val="auto"/>
              </w:rPr>
            </w:pPr>
            <w:r>
              <w:rPr>
                <w:rFonts w:ascii="Arial" w:cs="Arial" w:eastAsia="Arial" w:hAnsi="Arial"/>
                <w:sz w:val="17"/>
                <w:szCs w:val="17"/>
                <w:color w:val="auto"/>
              </w:rPr>
              <w:t>7,377</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1"/>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 Amy Woods Brinkley</w:t>
            </w:r>
          </w:p>
        </w:tc>
        <w:tc>
          <w:tcPr>
            <w:tcW w:w="900" w:type="dxa"/>
            <w:vAlign w:val="bottom"/>
            <w:tcBorders>
              <w:bottom w:val="single" w:sz="8" w:color="CCDEF1"/>
            </w:tcBorders>
            <w:shd w:val="clear" w:color="auto" w:fill="CCDEF1"/>
          </w:tcPr>
          <w:p>
            <w:pPr>
              <w:spacing w:after="0"/>
              <w:rPr>
                <w:sz w:val="24"/>
                <w:szCs w:val="24"/>
                <w:color w:val="auto"/>
              </w:rPr>
            </w:pPr>
          </w:p>
        </w:tc>
        <w:tc>
          <w:tcPr>
            <w:tcW w:w="1800" w:type="dxa"/>
            <w:vAlign w:val="bottom"/>
            <w:tcBorders>
              <w:bottom w:val="single" w:sz="8" w:color="CCDEF1"/>
            </w:tcBorders>
            <w:shd w:val="clear" w:color="auto" w:fill="CCDEF1"/>
          </w:tcPr>
          <w:p>
            <w:pPr>
              <w:jc w:val="right"/>
              <w:ind w:right="256"/>
              <w:spacing w:after="0"/>
              <w:rPr>
                <w:sz w:val="20"/>
                <w:szCs w:val="20"/>
                <w:color w:val="auto"/>
              </w:rPr>
            </w:pPr>
            <w:r>
              <w:rPr>
                <w:rFonts w:ascii="Arial" w:cs="Arial" w:eastAsia="Arial" w:hAnsi="Arial"/>
                <w:sz w:val="17"/>
                <w:szCs w:val="17"/>
                <w:color w:val="auto"/>
              </w:rPr>
              <w:t>15,606</w:t>
            </w:r>
          </w:p>
        </w:tc>
        <w:tc>
          <w:tcPr>
            <w:tcW w:w="1340" w:type="dxa"/>
            <w:vAlign w:val="bottom"/>
            <w:tcBorders>
              <w:bottom w:val="single" w:sz="8" w:color="CCDEF1"/>
            </w:tcBorders>
            <w:shd w:val="clear" w:color="auto" w:fill="CCDEF1"/>
          </w:tcPr>
          <w:p>
            <w:pPr>
              <w:ind w:left="680"/>
              <w:spacing w:after="0"/>
              <w:rPr>
                <w:sz w:val="20"/>
                <w:szCs w:val="20"/>
                <w:color w:val="auto"/>
              </w:rPr>
            </w:pPr>
            <w:r>
              <w:rPr>
                <w:rFonts w:ascii="Arial" w:cs="Arial" w:eastAsia="Arial" w:hAnsi="Arial"/>
                <w:sz w:val="17"/>
                <w:szCs w:val="17"/>
                <w:color w:val="auto"/>
              </w:rPr>
              <w:t>**</w:t>
            </w: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 Jason P. Conley</w:t>
            </w:r>
          </w:p>
        </w:tc>
        <w:tc>
          <w:tcPr>
            <w:tcW w:w="1800" w:type="dxa"/>
            <w:vAlign w:val="bottom"/>
          </w:tcPr>
          <w:p>
            <w:pPr>
              <w:jc w:val="right"/>
              <w:ind w:right="256"/>
              <w:spacing w:after="0"/>
              <w:rPr>
                <w:sz w:val="20"/>
                <w:szCs w:val="20"/>
                <w:color w:val="auto"/>
              </w:rPr>
            </w:pPr>
            <w:r>
              <w:rPr>
                <w:rFonts w:ascii="Arial" w:cs="Arial" w:eastAsia="Arial" w:hAnsi="Arial"/>
                <w:sz w:val="17"/>
                <w:szCs w:val="17"/>
                <w:color w:val="auto"/>
              </w:rPr>
              <w:t>105,844</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0"/>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 Robert C. Crisci</w:t>
            </w:r>
          </w:p>
        </w:tc>
        <w:tc>
          <w:tcPr>
            <w:tcW w:w="900" w:type="dxa"/>
            <w:vAlign w:val="bottom"/>
            <w:tcBorders>
              <w:bottom w:val="single" w:sz="8" w:color="CCDEF1"/>
            </w:tcBorders>
            <w:shd w:val="clear" w:color="auto" w:fill="CCDEF1"/>
          </w:tcPr>
          <w:p>
            <w:pPr>
              <w:spacing w:after="0"/>
              <w:rPr>
                <w:sz w:val="24"/>
                <w:szCs w:val="24"/>
                <w:color w:val="auto"/>
              </w:rPr>
            </w:pPr>
          </w:p>
        </w:tc>
        <w:tc>
          <w:tcPr>
            <w:tcW w:w="1800" w:type="dxa"/>
            <w:vAlign w:val="bottom"/>
            <w:tcBorders>
              <w:bottom w:val="single" w:sz="8" w:color="CCDEF1"/>
            </w:tcBorders>
            <w:shd w:val="clear" w:color="auto" w:fill="CCDEF1"/>
          </w:tcPr>
          <w:p>
            <w:pPr>
              <w:jc w:val="right"/>
              <w:ind w:right="256"/>
              <w:spacing w:after="0"/>
              <w:rPr>
                <w:sz w:val="20"/>
                <w:szCs w:val="20"/>
                <w:color w:val="auto"/>
              </w:rPr>
            </w:pPr>
            <w:r>
              <w:rPr>
                <w:rFonts w:ascii="Arial" w:cs="Arial" w:eastAsia="Arial" w:hAnsi="Arial"/>
                <w:sz w:val="17"/>
                <w:szCs w:val="17"/>
                <w:color w:val="auto"/>
              </w:rPr>
              <w:t>59,958</w:t>
            </w:r>
          </w:p>
        </w:tc>
        <w:tc>
          <w:tcPr>
            <w:tcW w:w="1340" w:type="dxa"/>
            <w:vAlign w:val="bottom"/>
            <w:tcBorders>
              <w:bottom w:val="single" w:sz="8" w:color="CCDEF1"/>
            </w:tcBorders>
            <w:shd w:val="clear" w:color="auto" w:fill="CCDEF1"/>
          </w:tcPr>
          <w:p>
            <w:pPr>
              <w:ind w:left="680"/>
              <w:spacing w:after="0"/>
              <w:rPr>
                <w:sz w:val="20"/>
                <w:szCs w:val="20"/>
                <w:color w:val="auto"/>
              </w:rPr>
            </w:pPr>
            <w:r>
              <w:rPr>
                <w:rFonts w:ascii="Arial" w:cs="Arial" w:eastAsia="Arial" w:hAnsi="Arial"/>
                <w:sz w:val="17"/>
                <w:szCs w:val="17"/>
                <w:color w:val="auto"/>
              </w:rPr>
              <w:t>**</w:t>
            </w: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 Irene M. Esteves</w:t>
            </w:r>
          </w:p>
        </w:tc>
        <w:tc>
          <w:tcPr>
            <w:tcW w:w="1800" w:type="dxa"/>
            <w:vAlign w:val="bottom"/>
          </w:tcPr>
          <w:p>
            <w:pPr>
              <w:jc w:val="right"/>
              <w:ind w:right="256"/>
              <w:spacing w:after="0"/>
              <w:rPr>
                <w:sz w:val="20"/>
                <w:szCs w:val="20"/>
                <w:color w:val="auto"/>
              </w:rPr>
            </w:pPr>
            <w:r>
              <w:rPr>
                <w:rFonts w:ascii="Arial" w:cs="Arial" w:eastAsia="Arial" w:hAnsi="Arial"/>
                <w:sz w:val="17"/>
                <w:szCs w:val="17"/>
                <w:color w:val="auto"/>
              </w:rPr>
              <w:t>1,916</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0"/>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 L. Neil Hunn</w:t>
            </w:r>
          </w:p>
        </w:tc>
        <w:tc>
          <w:tcPr>
            <w:tcW w:w="900" w:type="dxa"/>
            <w:vAlign w:val="bottom"/>
            <w:tcBorders>
              <w:bottom w:val="single" w:sz="8" w:color="CCDEF1"/>
            </w:tcBorders>
            <w:shd w:val="clear" w:color="auto" w:fill="CCDEF1"/>
          </w:tcPr>
          <w:p>
            <w:pPr>
              <w:spacing w:after="0"/>
              <w:rPr>
                <w:sz w:val="24"/>
                <w:szCs w:val="24"/>
                <w:color w:val="auto"/>
              </w:rPr>
            </w:pPr>
          </w:p>
        </w:tc>
        <w:tc>
          <w:tcPr>
            <w:tcW w:w="1800" w:type="dxa"/>
            <w:vAlign w:val="bottom"/>
            <w:tcBorders>
              <w:bottom w:val="single" w:sz="8" w:color="CCDEF1"/>
            </w:tcBorders>
            <w:shd w:val="clear" w:color="auto" w:fill="CCDEF1"/>
          </w:tcPr>
          <w:p>
            <w:pPr>
              <w:jc w:val="right"/>
              <w:ind w:right="96"/>
              <w:spacing w:after="0"/>
              <w:rPr>
                <w:sz w:val="20"/>
                <w:szCs w:val="20"/>
                <w:color w:val="auto"/>
              </w:rPr>
            </w:pPr>
            <w:r>
              <w:rPr>
                <w:rFonts w:ascii="Arial" w:cs="Arial" w:eastAsia="Arial" w:hAnsi="Arial"/>
                <w:sz w:val="17"/>
                <w:szCs w:val="17"/>
                <w:color w:val="auto"/>
              </w:rPr>
              <w:t>516,190</w:t>
            </w:r>
            <w:r>
              <w:rPr>
                <w:rFonts w:ascii="Arial" w:cs="Arial" w:eastAsia="Arial" w:hAnsi="Arial"/>
                <w:sz w:val="12"/>
                <w:szCs w:val="12"/>
                <w:color w:val="auto"/>
              </w:rPr>
              <w:t>(6)</w:t>
            </w:r>
          </w:p>
        </w:tc>
        <w:tc>
          <w:tcPr>
            <w:tcW w:w="1340" w:type="dxa"/>
            <w:vAlign w:val="bottom"/>
            <w:tcBorders>
              <w:bottom w:val="single" w:sz="8" w:color="CCDEF1"/>
            </w:tcBorders>
            <w:shd w:val="clear" w:color="auto" w:fill="CCDEF1"/>
          </w:tcPr>
          <w:p>
            <w:pPr>
              <w:ind w:left="680"/>
              <w:spacing w:after="0"/>
              <w:rPr>
                <w:sz w:val="20"/>
                <w:szCs w:val="20"/>
                <w:color w:val="auto"/>
              </w:rPr>
            </w:pPr>
            <w:r>
              <w:rPr>
                <w:rFonts w:ascii="Arial" w:cs="Arial" w:eastAsia="Arial" w:hAnsi="Arial"/>
                <w:sz w:val="17"/>
                <w:szCs w:val="17"/>
                <w:color w:val="auto"/>
              </w:rPr>
              <w:t>**</w:t>
            </w: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 Robert D. Johnson</w:t>
            </w:r>
          </w:p>
        </w:tc>
        <w:tc>
          <w:tcPr>
            <w:tcW w:w="1800" w:type="dxa"/>
            <w:vAlign w:val="bottom"/>
          </w:tcPr>
          <w:p>
            <w:pPr>
              <w:jc w:val="right"/>
              <w:ind w:right="256"/>
              <w:spacing w:after="0"/>
              <w:rPr>
                <w:sz w:val="20"/>
                <w:szCs w:val="20"/>
                <w:color w:val="auto"/>
              </w:rPr>
            </w:pPr>
            <w:r>
              <w:rPr>
                <w:rFonts w:ascii="Arial" w:cs="Arial" w:eastAsia="Arial" w:hAnsi="Arial"/>
                <w:sz w:val="17"/>
                <w:szCs w:val="17"/>
                <w:color w:val="auto"/>
              </w:rPr>
              <w:t>4,924</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0"/>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 Thomas P. Joyce, Jr.</w:t>
            </w:r>
          </w:p>
        </w:tc>
        <w:tc>
          <w:tcPr>
            <w:tcW w:w="900" w:type="dxa"/>
            <w:vAlign w:val="bottom"/>
            <w:tcBorders>
              <w:bottom w:val="single" w:sz="8" w:color="CCDEF1"/>
            </w:tcBorders>
            <w:shd w:val="clear" w:color="auto" w:fill="CCDEF1"/>
          </w:tcPr>
          <w:p>
            <w:pPr>
              <w:spacing w:after="0"/>
              <w:rPr>
                <w:sz w:val="24"/>
                <w:szCs w:val="24"/>
                <w:color w:val="auto"/>
              </w:rPr>
            </w:pPr>
          </w:p>
        </w:tc>
        <w:tc>
          <w:tcPr>
            <w:tcW w:w="1800" w:type="dxa"/>
            <w:vAlign w:val="bottom"/>
            <w:tcBorders>
              <w:bottom w:val="single" w:sz="8" w:color="CCDEF1"/>
            </w:tcBorders>
            <w:shd w:val="clear" w:color="auto" w:fill="CCDEF1"/>
          </w:tcPr>
          <w:p>
            <w:pPr>
              <w:jc w:val="right"/>
              <w:ind w:right="256"/>
              <w:spacing w:after="0"/>
              <w:rPr>
                <w:sz w:val="20"/>
                <w:szCs w:val="20"/>
                <w:color w:val="auto"/>
              </w:rPr>
            </w:pPr>
            <w:r>
              <w:rPr>
                <w:rFonts w:ascii="Arial" w:cs="Arial" w:eastAsia="Arial" w:hAnsi="Arial"/>
                <w:sz w:val="17"/>
                <w:szCs w:val="17"/>
                <w:color w:val="auto"/>
              </w:rPr>
              <w:t>1,916</w:t>
            </w:r>
          </w:p>
        </w:tc>
        <w:tc>
          <w:tcPr>
            <w:tcW w:w="1340" w:type="dxa"/>
            <w:vAlign w:val="bottom"/>
            <w:tcBorders>
              <w:bottom w:val="single" w:sz="8" w:color="CCDEF1"/>
            </w:tcBorders>
            <w:shd w:val="clear" w:color="auto" w:fill="CCDEF1"/>
          </w:tcPr>
          <w:p>
            <w:pPr>
              <w:ind w:left="680"/>
              <w:spacing w:after="0"/>
              <w:rPr>
                <w:sz w:val="20"/>
                <w:szCs w:val="20"/>
                <w:color w:val="auto"/>
              </w:rPr>
            </w:pPr>
            <w:r>
              <w:rPr>
                <w:rFonts w:ascii="Arial" w:cs="Arial" w:eastAsia="Arial" w:hAnsi="Arial"/>
                <w:sz w:val="17"/>
                <w:szCs w:val="17"/>
                <w:color w:val="auto"/>
              </w:rPr>
              <w:t>**</w:t>
            </w: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 John F. Murphy</w:t>
            </w:r>
          </w:p>
        </w:tc>
        <w:tc>
          <w:tcPr>
            <w:tcW w:w="1800" w:type="dxa"/>
            <w:vAlign w:val="bottom"/>
          </w:tcPr>
          <w:p>
            <w:pPr>
              <w:jc w:val="right"/>
              <w:ind w:right="256"/>
              <w:spacing w:after="0"/>
              <w:rPr>
                <w:sz w:val="20"/>
                <w:szCs w:val="20"/>
                <w:color w:val="auto"/>
              </w:rPr>
            </w:pPr>
            <w:r>
              <w:rPr>
                <w:rFonts w:ascii="Arial" w:cs="Arial" w:eastAsia="Arial" w:hAnsi="Arial"/>
                <w:sz w:val="17"/>
                <w:szCs w:val="17"/>
                <w:color w:val="auto"/>
              </w:rPr>
              <w:t>0</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0"/>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 Laura G. Thatcher</w:t>
            </w:r>
          </w:p>
        </w:tc>
        <w:tc>
          <w:tcPr>
            <w:tcW w:w="900" w:type="dxa"/>
            <w:vAlign w:val="bottom"/>
            <w:tcBorders>
              <w:bottom w:val="single" w:sz="8" w:color="CCDEF1"/>
            </w:tcBorders>
            <w:shd w:val="clear" w:color="auto" w:fill="CCDEF1"/>
          </w:tcPr>
          <w:p>
            <w:pPr>
              <w:spacing w:after="0"/>
              <w:rPr>
                <w:sz w:val="24"/>
                <w:szCs w:val="24"/>
                <w:color w:val="auto"/>
              </w:rPr>
            </w:pPr>
          </w:p>
        </w:tc>
        <w:tc>
          <w:tcPr>
            <w:tcW w:w="1800" w:type="dxa"/>
            <w:vAlign w:val="bottom"/>
            <w:tcBorders>
              <w:bottom w:val="single" w:sz="8" w:color="CCDEF1"/>
            </w:tcBorders>
            <w:shd w:val="clear" w:color="auto" w:fill="CCDEF1"/>
          </w:tcPr>
          <w:p>
            <w:pPr>
              <w:jc w:val="right"/>
              <w:ind w:right="256"/>
              <w:spacing w:after="0"/>
              <w:rPr>
                <w:sz w:val="20"/>
                <w:szCs w:val="20"/>
                <w:color w:val="auto"/>
              </w:rPr>
            </w:pPr>
            <w:r>
              <w:rPr>
                <w:rFonts w:ascii="Arial" w:cs="Arial" w:eastAsia="Arial" w:hAnsi="Arial"/>
                <w:sz w:val="17"/>
                <w:szCs w:val="17"/>
                <w:color w:val="auto"/>
              </w:rPr>
              <w:t>19,546</w:t>
            </w:r>
          </w:p>
        </w:tc>
        <w:tc>
          <w:tcPr>
            <w:tcW w:w="1340" w:type="dxa"/>
            <w:vAlign w:val="bottom"/>
            <w:tcBorders>
              <w:bottom w:val="single" w:sz="8" w:color="CCDEF1"/>
            </w:tcBorders>
            <w:shd w:val="clear" w:color="auto" w:fill="CCDEF1"/>
          </w:tcPr>
          <w:p>
            <w:pPr>
              <w:ind w:left="680"/>
              <w:spacing w:after="0"/>
              <w:rPr>
                <w:sz w:val="20"/>
                <w:szCs w:val="20"/>
                <w:color w:val="auto"/>
              </w:rPr>
            </w:pPr>
            <w:r>
              <w:rPr>
                <w:rFonts w:ascii="Arial" w:cs="Arial" w:eastAsia="Arial" w:hAnsi="Arial"/>
                <w:sz w:val="17"/>
                <w:szCs w:val="17"/>
                <w:color w:val="auto"/>
              </w:rPr>
              <w:t>**</w:t>
            </w: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 Richard F. Wallman</w:t>
            </w:r>
          </w:p>
        </w:tc>
        <w:tc>
          <w:tcPr>
            <w:tcW w:w="1800" w:type="dxa"/>
            <w:vAlign w:val="bottom"/>
          </w:tcPr>
          <w:p>
            <w:pPr>
              <w:jc w:val="right"/>
              <w:ind w:right="96"/>
              <w:spacing w:after="0"/>
              <w:rPr>
                <w:sz w:val="20"/>
                <w:szCs w:val="20"/>
                <w:color w:val="auto"/>
              </w:rPr>
            </w:pPr>
            <w:r>
              <w:rPr>
                <w:rFonts w:ascii="Arial" w:cs="Arial" w:eastAsia="Arial" w:hAnsi="Arial"/>
                <w:sz w:val="17"/>
                <w:szCs w:val="17"/>
                <w:color w:val="auto"/>
              </w:rPr>
              <w:t>48,252</w:t>
            </w:r>
            <w:r>
              <w:rPr>
                <w:rFonts w:ascii="Arial" w:cs="Arial" w:eastAsia="Arial" w:hAnsi="Arial"/>
                <w:sz w:val="12"/>
                <w:szCs w:val="12"/>
                <w:color w:val="auto"/>
              </w:rPr>
              <w:t>(7)</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0"/>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90"/>
        </w:trPr>
        <w:tc>
          <w:tcPr>
            <w:tcW w:w="6980" w:type="dxa"/>
            <w:vAlign w:val="bottom"/>
            <w:tcBorders>
              <w:bottom w:val="single" w:sz="8" w:color="CCDEF1"/>
            </w:tcBorders>
            <w:gridSpan w:val="2"/>
            <w:shd w:val="clear" w:color="auto" w:fill="CCDEF1"/>
          </w:tcPr>
          <w:p>
            <w:pPr>
              <w:spacing w:after="0"/>
              <w:rPr>
                <w:sz w:val="20"/>
                <w:szCs w:val="20"/>
                <w:color w:val="auto"/>
              </w:rPr>
            </w:pPr>
            <w:r>
              <w:rPr>
                <w:rFonts w:ascii="Arial" w:cs="Arial" w:eastAsia="Arial" w:hAnsi="Arial"/>
                <w:sz w:val="17"/>
                <w:szCs w:val="17"/>
                <w:color w:val="auto"/>
              </w:rPr>
              <w:t> Christopher Wright</w:t>
            </w:r>
          </w:p>
        </w:tc>
        <w:tc>
          <w:tcPr>
            <w:tcW w:w="900" w:type="dxa"/>
            <w:vAlign w:val="bottom"/>
            <w:tcBorders>
              <w:bottom w:val="single" w:sz="8" w:color="CCDEF1"/>
            </w:tcBorders>
            <w:shd w:val="clear" w:color="auto" w:fill="CCDEF1"/>
          </w:tcPr>
          <w:p>
            <w:pPr>
              <w:spacing w:after="0"/>
              <w:rPr>
                <w:sz w:val="24"/>
                <w:szCs w:val="24"/>
                <w:color w:val="auto"/>
              </w:rPr>
            </w:pPr>
          </w:p>
        </w:tc>
        <w:tc>
          <w:tcPr>
            <w:tcW w:w="1800" w:type="dxa"/>
            <w:vAlign w:val="bottom"/>
            <w:tcBorders>
              <w:bottom w:val="single" w:sz="8" w:color="CCDEF1"/>
            </w:tcBorders>
            <w:shd w:val="clear" w:color="auto" w:fill="CCDEF1"/>
          </w:tcPr>
          <w:p>
            <w:pPr>
              <w:jc w:val="right"/>
              <w:ind w:right="96"/>
              <w:spacing w:after="0"/>
              <w:rPr>
                <w:sz w:val="20"/>
                <w:szCs w:val="20"/>
                <w:color w:val="auto"/>
              </w:rPr>
            </w:pPr>
            <w:r>
              <w:rPr>
                <w:rFonts w:ascii="Arial" w:cs="Arial" w:eastAsia="Arial" w:hAnsi="Arial"/>
                <w:sz w:val="17"/>
                <w:szCs w:val="17"/>
                <w:color w:val="auto"/>
              </w:rPr>
              <w:t>49,625</w:t>
            </w:r>
            <w:r>
              <w:rPr>
                <w:rFonts w:ascii="Arial" w:cs="Arial" w:eastAsia="Arial" w:hAnsi="Arial"/>
                <w:sz w:val="12"/>
                <w:szCs w:val="12"/>
                <w:color w:val="auto"/>
              </w:rPr>
              <w:t>(8)</w:t>
            </w:r>
          </w:p>
        </w:tc>
        <w:tc>
          <w:tcPr>
            <w:tcW w:w="1340" w:type="dxa"/>
            <w:vAlign w:val="bottom"/>
            <w:tcBorders>
              <w:bottom w:val="single" w:sz="8" w:color="CCDEF1"/>
            </w:tcBorders>
            <w:shd w:val="clear" w:color="auto" w:fill="CCDEF1"/>
          </w:tcPr>
          <w:p>
            <w:pPr>
              <w:ind w:left="680"/>
              <w:spacing w:after="0"/>
              <w:rPr>
                <w:sz w:val="20"/>
                <w:szCs w:val="20"/>
                <w:color w:val="auto"/>
              </w:rPr>
            </w:pPr>
            <w:r>
              <w:rPr>
                <w:rFonts w:ascii="Arial" w:cs="Arial" w:eastAsia="Arial" w:hAnsi="Arial"/>
                <w:sz w:val="17"/>
                <w:szCs w:val="17"/>
                <w:color w:val="auto"/>
              </w:rPr>
              <w:t>**</w:t>
            </w:r>
          </w:p>
        </w:tc>
      </w:tr>
      <w:tr>
        <w:trPr>
          <w:trHeight w:val="270"/>
        </w:trPr>
        <w:tc>
          <w:tcPr>
            <w:tcW w:w="7880" w:type="dxa"/>
            <w:vAlign w:val="bottom"/>
            <w:gridSpan w:val="3"/>
          </w:tcPr>
          <w:p>
            <w:pPr>
              <w:spacing w:after="0"/>
              <w:rPr>
                <w:sz w:val="20"/>
                <w:szCs w:val="20"/>
                <w:color w:val="auto"/>
              </w:rPr>
            </w:pPr>
            <w:r>
              <w:rPr>
                <w:rFonts w:ascii="Arial" w:cs="Arial" w:eastAsia="Arial" w:hAnsi="Arial"/>
                <w:sz w:val="17"/>
                <w:szCs w:val="17"/>
                <w:color w:val="auto"/>
              </w:rPr>
              <w:t> John K. Stipancich</w:t>
            </w:r>
          </w:p>
        </w:tc>
        <w:tc>
          <w:tcPr>
            <w:tcW w:w="1800" w:type="dxa"/>
            <w:vAlign w:val="bottom"/>
          </w:tcPr>
          <w:p>
            <w:pPr>
              <w:jc w:val="right"/>
              <w:ind w:right="256"/>
              <w:spacing w:after="0"/>
              <w:rPr>
                <w:sz w:val="20"/>
                <w:szCs w:val="20"/>
                <w:color w:val="auto"/>
              </w:rPr>
            </w:pPr>
            <w:r>
              <w:rPr>
                <w:rFonts w:ascii="Arial" w:cs="Arial" w:eastAsia="Arial" w:hAnsi="Arial"/>
                <w:sz w:val="17"/>
                <w:szCs w:val="17"/>
                <w:color w:val="auto"/>
              </w:rPr>
              <w:t>96,800</w:t>
            </w:r>
          </w:p>
        </w:tc>
        <w:tc>
          <w:tcPr>
            <w:tcW w:w="1340" w:type="dxa"/>
            <w:vAlign w:val="bottom"/>
          </w:tcPr>
          <w:p>
            <w:pPr>
              <w:ind w:left="680"/>
              <w:spacing w:after="0"/>
              <w:rPr>
                <w:sz w:val="20"/>
                <w:szCs w:val="20"/>
                <w:color w:val="auto"/>
              </w:rPr>
            </w:pPr>
            <w:r>
              <w:rPr>
                <w:rFonts w:ascii="Arial" w:cs="Arial" w:eastAsia="Arial" w:hAnsi="Arial"/>
                <w:sz w:val="17"/>
                <w:szCs w:val="17"/>
                <w:color w:val="auto"/>
              </w:rPr>
              <w:t>**</w:t>
            </w:r>
          </w:p>
        </w:tc>
      </w:tr>
      <w:tr>
        <w:trPr>
          <w:trHeight w:val="40"/>
        </w:trPr>
        <w:tc>
          <w:tcPr>
            <w:tcW w:w="7880" w:type="dxa"/>
            <w:vAlign w:val="bottom"/>
            <w:gridSpan w:val="3"/>
          </w:tcPr>
          <w:p>
            <w:pPr>
              <w:spacing w:after="0"/>
              <w:rPr>
                <w:sz w:val="3"/>
                <w:szCs w:val="3"/>
                <w:color w:val="auto"/>
              </w:rPr>
            </w:pPr>
          </w:p>
        </w:tc>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89"/>
        </w:trPr>
        <w:tc>
          <w:tcPr>
            <w:tcW w:w="7880" w:type="dxa"/>
            <w:vAlign w:val="bottom"/>
            <w:gridSpan w:val="3"/>
            <w:shd w:val="clear" w:color="auto" w:fill="CCDEF1"/>
          </w:tcPr>
          <w:p>
            <w:pPr>
              <w:spacing w:after="0" w:line="189" w:lineRule="exact"/>
              <w:rPr>
                <w:sz w:val="20"/>
                <w:szCs w:val="20"/>
                <w:color w:val="auto"/>
              </w:rPr>
            </w:pPr>
            <w:r>
              <w:rPr>
                <w:rFonts w:ascii="Arial" w:cs="Arial" w:eastAsia="Arial" w:hAnsi="Arial"/>
                <w:sz w:val="17"/>
                <w:szCs w:val="17"/>
                <w:color w:val="auto"/>
              </w:rPr>
              <w:t> All current directors and named executive officers as a group (13 individuals)</w:t>
            </w:r>
          </w:p>
        </w:tc>
        <w:tc>
          <w:tcPr>
            <w:tcW w:w="1800" w:type="dxa"/>
            <w:vAlign w:val="bottom"/>
            <w:shd w:val="clear" w:color="auto" w:fill="CCDEF1"/>
          </w:tcPr>
          <w:p>
            <w:pPr>
              <w:jc w:val="right"/>
              <w:ind w:right="256"/>
              <w:spacing w:after="0" w:line="189" w:lineRule="exact"/>
              <w:rPr>
                <w:sz w:val="20"/>
                <w:szCs w:val="20"/>
                <w:color w:val="auto"/>
              </w:rPr>
            </w:pPr>
            <w:r>
              <w:rPr>
                <w:rFonts w:ascii="Arial" w:cs="Arial" w:eastAsia="Arial" w:hAnsi="Arial"/>
                <w:sz w:val="17"/>
                <w:szCs w:val="17"/>
                <w:color w:val="auto"/>
              </w:rPr>
              <w:t>927,954</w:t>
            </w:r>
          </w:p>
        </w:tc>
        <w:tc>
          <w:tcPr>
            <w:tcW w:w="1340" w:type="dxa"/>
            <w:vAlign w:val="bottom"/>
            <w:shd w:val="clear" w:color="auto" w:fill="CCDEF1"/>
          </w:tcPr>
          <w:p>
            <w:pPr>
              <w:ind w:left="680"/>
              <w:spacing w:after="0" w:line="189" w:lineRule="exact"/>
              <w:rPr>
                <w:sz w:val="20"/>
                <w:szCs w:val="20"/>
                <w:color w:val="auto"/>
              </w:rPr>
            </w:pPr>
            <w:r>
              <w:rPr>
                <w:rFonts w:ascii="Arial" w:cs="Arial" w:eastAsia="Arial" w:hAnsi="Arial"/>
                <w:sz w:val="17"/>
                <w:szCs w:val="17"/>
                <w:color w:val="auto"/>
              </w:rPr>
              <w:t>**%</w:t>
            </w:r>
          </w:p>
        </w:tc>
      </w:tr>
      <w:tr>
        <w:trPr>
          <w:trHeight w:val="190"/>
        </w:trPr>
        <w:tc>
          <w:tcPr>
            <w:tcW w:w="260" w:type="dxa"/>
            <w:vAlign w:val="bottom"/>
          </w:tcPr>
          <w:p>
            <w:pPr>
              <w:spacing w:after="0"/>
              <w:rPr>
                <w:sz w:val="20"/>
                <w:szCs w:val="20"/>
                <w:color w:val="auto"/>
              </w:rPr>
            </w:pPr>
            <w:r>
              <w:rPr>
                <w:rFonts w:ascii="Arial" w:cs="Arial" w:eastAsia="Arial" w:hAnsi="Arial"/>
                <w:sz w:val="14"/>
                <w:szCs w:val="14"/>
                <w:color w:val="auto"/>
              </w:rPr>
              <w:t>**</w:t>
            </w:r>
          </w:p>
        </w:tc>
        <w:tc>
          <w:tcPr>
            <w:tcW w:w="7620" w:type="dxa"/>
            <w:vAlign w:val="bottom"/>
            <w:gridSpan w:val="2"/>
          </w:tcPr>
          <w:p>
            <w:pPr>
              <w:ind w:left="160"/>
              <w:spacing w:after="0"/>
              <w:rPr>
                <w:sz w:val="20"/>
                <w:szCs w:val="20"/>
                <w:color w:val="auto"/>
              </w:rPr>
            </w:pPr>
            <w:r>
              <w:rPr>
                <w:rFonts w:ascii="Arial" w:cs="Arial" w:eastAsia="Arial" w:hAnsi="Arial"/>
                <w:sz w:val="14"/>
                <w:szCs w:val="14"/>
                <w:color w:val="auto"/>
              </w:rPr>
              <w:t>Less than 1%.</w:t>
            </w:r>
          </w:p>
        </w:tc>
        <w:tc>
          <w:tcPr>
            <w:tcW w:w="180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44" w:lineRule="exact"/>
        <w:rPr>
          <w:sz w:val="20"/>
          <w:szCs w:val="20"/>
          <w:color w:val="auto"/>
        </w:rPr>
      </w:pPr>
    </w:p>
    <w:p>
      <w:pPr>
        <w:ind w:left="540" w:right="160" w:hanging="424"/>
        <w:spacing w:after="0" w:line="214" w:lineRule="auto"/>
        <w:tabs>
          <w:tab w:leader="none" w:pos="5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that could be acquired on or before May 30, 2024 upon exercise of stock options issued under Company plans as follows: Mr. Conley (68,489), Mr. Hunn (324,500), Mr. Crisci (39,342), Mr. Stipancich (55,561), and all current directors and executive officers as a group (487,892). Holders do not have voting or investment power over unexercised option shares.</w:t>
      </w:r>
    </w:p>
    <w:p>
      <w:pPr>
        <w:spacing w:after="0" w:line="54" w:lineRule="exact"/>
        <w:rPr>
          <w:rFonts w:ascii="Arial" w:cs="Arial" w:eastAsia="Arial" w:hAnsi="Arial"/>
          <w:sz w:val="22"/>
          <w:szCs w:val="22"/>
          <w:color w:val="auto"/>
          <w:vertAlign w:val="superscript"/>
        </w:rPr>
      </w:pPr>
    </w:p>
    <w:p>
      <w:pPr>
        <w:ind w:left="540" w:right="160" w:hanging="424"/>
        <w:spacing w:after="0" w:line="214" w:lineRule="auto"/>
        <w:tabs>
          <w:tab w:leader="none" w:pos="5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Includes the following shares of unvested restricted stock held by directors and named executives officers over which they have sole voting power but no investment power: Ms. Archambeau (422), Ms. Brinkley (422), Mr. Conley (14,422), Mr. Hunn (62,068), Mr. Crisci (9,310), Mr. Stipancich (13,717), Ms. Thatcher (422), and Mr. Wallman (422). The total for all current directors and executive officers as a group is (101,205).</w:t>
      </w:r>
    </w:p>
    <w:p>
      <w:pPr>
        <w:spacing w:after="0" w:line="54" w:lineRule="exact"/>
        <w:rPr>
          <w:rFonts w:ascii="Arial" w:cs="Arial" w:eastAsia="Arial" w:hAnsi="Arial"/>
          <w:sz w:val="22"/>
          <w:szCs w:val="22"/>
          <w:color w:val="auto"/>
          <w:vertAlign w:val="superscript"/>
        </w:rPr>
      </w:pPr>
    </w:p>
    <w:p>
      <w:pPr>
        <w:jc w:val="both"/>
        <w:ind w:left="540" w:right="20" w:hanging="424"/>
        <w:spacing w:after="0" w:line="214" w:lineRule="auto"/>
        <w:tabs>
          <w:tab w:leader="none" w:pos="5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February 13, 2024, as of December 29, 2023, The Vanguard Group (“Vanguard”) beneficially owned 9,946,612 shares of Roper common stock with shared voting power over 131,576 shares, sole dispositive power over 9,511,976 shares, and shared dispositive power over 434,636 shares.</w:t>
      </w:r>
    </w:p>
    <w:p>
      <w:pPr>
        <w:spacing w:after="0" w:line="54" w:lineRule="exact"/>
        <w:rPr>
          <w:rFonts w:ascii="Arial" w:cs="Arial" w:eastAsia="Arial" w:hAnsi="Arial"/>
          <w:sz w:val="22"/>
          <w:szCs w:val="22"/>
          <w:color w:val="auto"/>
          <w:vertAlign w:val="superscript"/>
        </w:rPr>
      </w:pPr>
    </w:p>
    <w:p>
      <w:pPr>
        <w:ind w:left="540" w:right="80" w:hanging="424"/>
        <w:spacing w:after="0" w:line="204" w:lineRule="auto"/>
        <w:tabs>
          <w:tab w:leader="none" w:pos="540" w:val="left"/>
        </w:tabs>
        <w:numPr>
          <w:ilvl w:val="0"/>
          <w:numId w:val="22"/>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January 25, 2024, as of December 31, 2023, BlackRock, Inc. (and certain of its subsidiaries) beneficially owned 9,638,792 shares of Roper common stock with sole voting power over 8,851,717 shares and sole dispositive power over 9,638,792 shares.</w:t>
      </w:r>
    </w:p>
    <w:p>
      <w:pPr>
        <w:spacing w:after="0" w:line="53" w:lineRule="exact"/>
        <w:rPr>
          <w:sz w:val="20"/>
          <w:szCs w:val="20"/>
          <w:color w:val="auto"/>
        </w:rPr>
      </w:pPr>
    </w:p>
    <w:p>
      <w:pPr>
        <w:ind w:left="540" w:right="320" w:hanging="424"/>
        <w:spacing w:after="0" w:line="204" w:lineRule="auto"/>
        <w:tabs>
          <w:tab w:leader="none" w:pos="54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Based on information reported on Schedule 13G/A filed with the SEC on February 14, 2024, as of December 31, 2023, T. Rowe Price Associates, Inc. beneficially owned 6,555,588 shares of Roper common stock with sole voting power over 2,350,870 shares and sole dispositive power over 6,529,017 shares.</w:t>
      </w:r>
    </w:p>
    <w:p>
      <w:pPr>
        <w:spacing w:after="0" w:line="130"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19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BENEFICIAL OWNERSHIP </w:t>
      </w:r>
      <w:r>
        <w:rPr>
          <w:rFonts w:ascii="Arial" w:cs="Arial" w:eastAsia="Arial" w:hAnsi="Arial"/>
          <w:sz w:val="18"/>
          <w:szCs w:val="18"/>
          <w:i w:val="1"/>
          <w:iCs w:val="1"/>
          <w:color w:val="005CB9"/>
        </w:rPr>
        <w:t>(CONTINUED)</w:t>
      </w:r>
    </w:p>
    <w:p>
      <w:pPr>
        <w:spacing w:after="0" w:line="154" w:lineRule="exact"/>
        <w:rPr>
          <w:sz w:val="20"/>
          <w:szCs w:val="20"/>
          <w:color w:val="auto"/>
        </w:rPr>
      </w:pPr>
    </w:p>
    <w:p>
      <w:pPr>
        <w:ind w:left="540" w:hanging="424"/>
        <w:spacing w:after="0" w:line="214" w:lineRule="auto"/>
        <w:tabs>
          <w:tab w:leader="none" w:pos="5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Includes 92,808 shares held by a limited partnership which is owned 49.5% by a trust created by Mr. Hunn, 49.5% by a trust created by Mr. Hunn’s spouse, and 1% by an LLC which serves as the general partner of the limited partnership. The LLC is owned 50% by Mr. Hunn’s trust and 50% by Mr. Hunn’s spouse’s trust. Mr. Hunn serves as the sole manager of the LLC.</w:t>
      </w:r>
    </w:p>
    <w:p>
      <w:pPr>
        <w:spacing w:after="0" w:line="1" w:lineRule="exact"/>
        <w:rPr>
          <w:rFonts w:ascii="Arial" w:cs="Arial" w:eastAsia="Arial" w:hAnsi="Arial"/>
          <w:sz w:val="22"/>
          <w:szCs w:val="22"/>
          <w:color w:val="auto"/>
          <w:vertAlign w:val="superscript"/>
        </w:rPr>
      </w:pPr>
    </w:p>
    <w:p>
      <w:pPr>
        <w:ind w:left="540" w:hanging="424"/>
        <w:spacing w:after="0" w:line="230" w:lineRule="auto"/>
        <w:tabs>
          <w:tab w:leader="none" w:pos="5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Includes 1,000 shares held by Mr. Wallman’s spouse.</w:t>
      </w:r>
    </w:p>
    <w:p>
      <w:pPr>
        <w:spacing w:after="0" w:line="67" w:lineRule="exact"/>
        <w:rPr>
          <w:rFonts w:ascii="Arial" w:cs="Arial" w:eastAsia="Arial" w:hAnsi="Arial"/>
          <w:sz w:val="22"/>
          <w:szCs w:val="22"/>
          <w:color w:val="auto"/>
          <w:vertAlign w:val="superscript"/>
        </w:rPr>
      </w:pPr>
    </w:p>
    <w:p>
      <w:pPr>
        <w:ind w:left="540" w:right="100" w:hanging="424"/>
        <w:spacing w:after="0" w:line="196" w:lineRule="auto"/>
        <w:tabs>
          <w:tab w:leader="none" w:pos="540" w:val="left"/>
        </w:tabs>
        <w:numPr>
          <w:ilvl w:val="0"/>
          <w:numId w:val="24"/>
        </w:numPr>
        <w:rPr>
          <w:rFonts w:ascii="Arial" w:cs="Arial" w:eastAsia="Arial" w:hAnsi="Arial"/>
          <w:sz w:val="22"/>
          <w:szCs w:val="22"/>
          <w:color w:val="auto"/>
          <w:vertAlign w:val="superscript"/>
        </w:rPr>
      </w:pPr>
      <w:r>
        <w:rPr>
          <w:rFonts w:ascii="Arial" w:cs="Arial" w:eastAsia="Arial" w:hAnsi="Arial"/>
          <w:sz w:val="14"/>
          <w:szCs w:val="14"/>
          <w:color w:val="auto"/>
        </w:rPr>
        <w:t>Includes 14,500 shares held by an LLC of which Mr. Wright is a managing member, and in which he retains a continuing beneficial ownership of 1%. The shares held by the LLC are held in a margin account. In addition, 33,688 shares directly held by Mr. Wright are held in a margin account.</w:t>
      </w:r>
    </w:p>
    <w:p>
      <w:pPr>
        <w:spacing w:after="0" w:line="381"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DELINQUENT SECTION 16(a) REPORTS</w:t>
      </w:r>
    </w:p>
    <w:p>
      <w:pPr>
        <w:spacing w:after="0" w:line="33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Section 16(a) of the Securities Exchange Act of 1934, as amended (the “Exchange Act”) requires the Company’s directors, executive officers, and greater than 10% shareholders to file with the SEC initial reports of ownership and reports of changes in ownership of common stock and other equity securities of the Company. Officers, directors, and greater than 10% shareholders are required by SEC regulation to furnish the Company with copies of all Section 16(a) forms they file.</w:t>
      </w:r>
    </w:p>
    <w:p>
      <w:pPr>
        <w:spacing w:after="0" w:line="69" w:lineRule="exact"/>
        <w:rPr>
          <w:sz w:val="20"/>
          <w:szCs w:val="20"/>
          <w:color w:val="auto"/>
        </w:rPr>
      </w:pPr>
    </w:p>
    <w:p>
      <w:pPr>
        <w:jc w:val="both"/>
        <w:ind w:left="120" w:right="180"/>
        <w:spacing w:after="0" w:line="249" w:lineRule="auto"/>
        <w:rPr>
          <w:sz w:val="20"/>
          <w:szCs w:val="20"/>
          <w:color w:val="auto"/>
        </w:rPr>
      </w:pPr>
      <w:r>
        <w:rPr>
          <w:rFonts w:ascii="Arial" w:cs="Arial" w:eastAsia="Arial" w:hAnsi="Arial"/>
          <w:sz w:val="17"/>
          <w:szCs w:val="17"/>
          <w:color w:val="auto"/>
        </w:rPr>
        <w:t>To the Company’s knowledge, based solely on a review of the copies of such reports furnished to the Company and written representations that no other reports were required, all Section 16(a) filing requirements applicable to its officers, directors, and greater than 10% shareholders were complied with in fiscal year 2023, except for the inadvertent late Form 5 report relating to a gift of 85 shares by director Christopher Wright.</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DISCUSSION AND ANALYSIS</w:t>
      </w:r>
    </w:p>
    <w:p>
      <w:pPr>
        <w:spacing w:after="0" w:line="338" w:lineRule="exact"/>
        <w:rPr>
          <w:sz w:val="20"/>
          <w:szCs w:val="20"/>
          <w:color w:val="auto"/>
        </w:rPr>
      </w:pPr>
    </w:p>
    <w:p>
      <w:pPr>
        <w:jc w:val="both"/>
        <w:ind w:left="120" w:right="320"/>
        <w:spacing w:after="0" w:line="249" w:lineRule="auto"/>
        <w:rPr>
          <w:sz w:val="20"/>
          <w:szCs w:val="20"/>
          <w:color w:val="auto"/>
        </w:rPr>
      </w:pPr>
      <w:r>
        <w:rPr>
          <w:rFonts w:ascii="Arial" w:cs="Arial" w:eastAsia="Arial" w:hAnsi="Arial"/>
          <w:sz w:val="17"/>
          <w:szCs w:val="17"/>
          <w:color w:val="auto"/>
        </w:rPr>
        <w:t>This Compensation Discussion and Analysis (“CD&amp;A”) provides information about our compensation objectives and policies for our CEO and other executive officers included in the Summary Compensation Table and referred to in this CD&amp;A as “named executive officers.” Our named executive officers for 2023 are:</w:t>
      </w:r>
    </w:p>
    <w:p>
      <w:pPr>
        <w:spacing w:after="0" w:line="80" w:lineRule="exact"/>
        <w:rPr>
          <w:sz w:val="20"/>
          <w:szCs w:val="20"/>
          <w:color w:val="auto"/>
        </w:rPr>
      </w:pPr>
    </w:p>
    <w:p>
      <w:pPr>
        <w:ind w:left="340" w:hanging="224"/>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 Neil Hunn, President and Chief Executive Officer;</w:t>
      </w:r>
    </w:p>
    <w:p>
      <w:pPr>
        <w:spacing w:after="0" w:line="9" w:lineRule="exact"/>
        <w:rPr>
          <w:rFonts w:ascii="Arial" w:cs="Arial" w:eastAsia="Arial" w:hAnsi="Arial"/>
          <w:sz w:val="17"/>
          <w:szCs w:val="17"/>
          <w:color w:val="auto"/>
        </w:rPr>
      </w:pPr>
    </w:p>
    <w:p>
      <w:pPr>
        <w:ind w:left="340" w:hanging="224"/>
        <w:spacing w:after="0" w:line="232"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Jason P. Conley, Executive Vice President and Chief Financial Officer;</w:t>
      </w:r>
    </w:p>
    <w:p>
      <w:pPr>
        <w:ind w:left="340" w:hanging="224"/>
        <w:spacing w:after="0" w:line="232"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John K. Stipancich, Executive Vice President, General Counsel and Corporate Secretary; and</w:t>
      </w:r>
    </w:p>
    <w:p>
      <w:pPr>
        <w:ind w:left="340" w:hanging="224"/>
        <w:spacing w:after="0"/>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Robert C. Crisci, Former Executive Vice President and Chief Financial Officer.</w:t>
      </w:r>
    </w:p>
    <w:p>
      <w:pPr>
        <w:spacing w:after="0" w:line="86" w:lineRule="exact"/>
        <w:rPr>
          <w:sz w:val="20"/>
          <w:szCs w:val="20"/>
          <w:color w:val="auto"/>
        </w:rPr>
      </w:pPr>
    </w:p>
    <w:p>
      <w:pPr>
        <w:ind w:left="120" w:right="700"/>
        <w:spacing w:after="0" w:line="267" w:lineRule="auto"/>
        <w:rPr>
          <w:sz w:val="20"/>
          <w:szCs w:val="20"/>
          <w:color w:val="auto"/>
        </w:rPr>
      </w:pPr>
      <w:r>
        <w:rPr>
          <w:rFonts w:ascii="Arial" w:cs="Arial" w:eastAsia="Arial" w:hAnsi="Arial"/>
          <w:sz w:val="17"/>
          <w:szCs w:val="17"/>
          <w:color w:val="auto"/>
        </w:rPr>
        <w:t>On February 1, 2023, Roper transitioned the role of Chief Financial Officer from Mr. Crisci to Mr. Conley. Mr. Crisci has continued in a non-employee strategic advisor role since this date, and his availability to Roper as a consultant is expected to end on January 31, 2025.</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With the goal of generating long-term value for our shareholders, we maintain an executive compensation program designed to:</w:t>
      </w:r>
    </w:p>
    <w:p>
      <w:pPr>
        <w:spacing w:after="0" w:line="115" w:lineRule="exact"/>
        <w:rPr>
          <w:sz w:val="20"/>
          <w:szCs w:val="20"/>
          <w:color w:val="auto"/>
        </w:rPr>
      </w:pPr>
    </w:p>
    <w:p>
      <w:pPr>
        <w:ind w:left="340" w:right="240" w:hanging="224"/>
        <w:spacing w:after="0" w:line="267"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attract and retain executives with the leadership skills, attributes, and experience necessary to succeed in an enterprise with Roper’s unique strategic focus, capital deployment strategy, and broad portfolio diversity;</w:t>
      </w:r>
    </w:p>
    <w:p>
      <w:pPr>
        <w:spacing w:after="0" w:line="64" w:lineRule="exact"/>
        <w:rPr>
          <w:rFonts w:ascii="Arial" w:cs="Arial" w:eastAsia="Arial" w:hAnsi="Arial"/>
          <w:sz w:val="17"/>
          <w:szCs w:val="17"/>
          <w:color w:val="auto"/>
        </w:rPr>
      </w:pPr>
    </w:p>
    <w:p>
      <w:pPr>
        <w:ind w:left="340" w:right="60" w:hanging="224"/>
        <w:spacing w:after="0" w:line="267"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motivate executives to demonstrate exceptional personal performance and perform consistently at or above the levels that we expect, over the long-term and through a range of economic cycles;</w:t>
      </w:r>
    </w:p>
    <w:p>
      <w:pPr>
        <w:spacing w:after="0" w:line="64" w:lineRule="exact"/>
        <w:rPr>
          <w:rFonts w:ascii="Arial" w:cs="Arial" w:eastAsia="Arial" w:hAnsi="Arial"/>
          <w:sz w:val="17"/>
          <w:szCs w:val="17"/>
          <w:color w:val="auto"/>
        </w:rPr>
      </w:pPr>
    </w:p>
    <w:p>
      <w:pPr>
        <w:ind w:left="340" w:right="180" w:hanging="224"/>
        <w:spacing w:after="0" w:line="267"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link compensation to the achievement of goals and objectives that we believe best correlate with the creation of long-term shareholder value; and</w:t>
      </w:r>
    </w:p>
    <w:p>
      <w:pPr>
        <w:spacing w:after="0" w:line="64" w:lineRule="exact"/>
        <w:rPr>
          <w:rFonts w:ascii="Arial" w:cs="Arial" w:eastAsia="Arial" w:hAnsi="Arial"/>
          <w:sz w:val="17"/>
          <w:szCs w:val="17"/>
          <w:color w:val="auto"/>
        </w:rPr>
      </w:pPr>
    </w:p>
    <w:p>
      <w:pPr>
        <w:ind w:left="340" w:right="60" w:hanging="224"/>
        <w:spacing w:after="0" w:line="249"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compensate executives in a manner consistent with private equity opportunities in light of their dual obligations for (i) supervising the operating performance of our diverse set of 28 businesses, and (ii) effectively deploying capital to acquire high-quality companies consistent with our strategic focus.</w:t>
      </w:r>
    </w:p>
    <w:p>
      <w:pPr>
        <w:spacing w:after="0" w:line="175" w:lineRule="exact"/>
        <w:rPr>
          <w:sz w:val="20"/>
          <w:szCs w:val="20"/>
          <w:color w:val="auto"/>
        </w:rPr>
      </w:pPr>
    </w:p>
    <w:p>
      <w:pPr>
        <w:ind w:left="120" w:right="180"/>
        <w:spacing w:after="0" w:line="244" w:lineRule="auto"/>
        <w:rPr>
          <w:sz w:val="20"/>
          <w:szCs w:val="20"/>
          <w:color w:val="auto"/>
        </w:rPr>
      </w:pPr>
      <w:r>
        <w:rPr>
          <w:rFonts w:ascii="Arial" w:cs="Arial" w:eastAsia="Arial" w:hAnsi="Arial"/>
          <w:sz w:val="17"/>
          <w:szCs w:val="17"/>
          <w:color w:val="auto"/>
        </w:rPr>
        <w:t>To achieve these objectives our compensation program combines annual and long-term components, cash and equity, and fixed and variable elements, with a bias toward long-term equity awards tied closely to driving growth and shareholder returns. Our executive compensation program rewards our executive officers when they help increase long-term shareholder value, achieve annual business goals, effectively deploy capital, and successfully execute other strategic objectives.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2023 Financial Performance</w:t>
      </w:r>
    </w:p>
    <w:p>
      <w:pPr>
        <w:spacing w:after="0" w:line="100" w:lineRule="exact"/>
        <w:rPr>
          <w:sz w:val="20"/>
          <w:szCs w:val="20"/>
          <w:color w:val="auto"/>
        </w:rPr>
      </w:pPr>
    </w:p>
    <w:p>
      <w:pPr>
        <w:ind w:left="120" w:right="120"/>
        <w:spacing w:after="0" w:line="267" w:lineRule="auto"/>
        <w:rPr>
          <w:sz w:val="20"/>
          <w:szCs w:val="20"/>
          <w:color w:val="auto"/>
        </w:rPr>
      </w:pPr>
      <w:r>
        <w:rPr>
          <w:rFonts w:ascii="Arial" w:cs="Arial" w:eastAsia="Arial" w:hAnsi="Arial"/>
          <w:sz w:val="17"/>
          <w:szCs w:val="17"/>
          <w:color w:val="auto"/>
        </w:rPr>
        <w:t>In 2023, following the completion of our portfolio transformation we continued to demonstrate the resilience of our operating model and produced another year of strong results.</w:t>
      </w:r>
      <w:r>
        <w:rPr>
          <w:rFonts w:ascii="Arial" w:cs="Arial" w:eastAsia="Arial" w:hAnsi="Arial"/>
          <w:sz w:val="12"/>
          <w:szCs w:val="12"/>
          <w:color w:val="auto"/>
        </w:rPr>
        <w:t>(1)</w:t>
      </w:r>
    </w:p>
    <w:p>
      <w:pPr>
        <w:spacing w:after="0" w:line="68" w:lineRule="exact"/>
        <w:rPr>
          <w:sz w:val="20"/>
          <w:szCs w:val="20"/>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Annual shareholder return of 26.9%, compared to 26.3% for the S&amp;P 500;</w:t>
      </w:r>
    </w:p>
    <w:p>
      <w:pPr>
        <w:spacing w:after="0" w:line="113"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GAAP revenue increased 15% to $6.18 billion and organic revenue increased 8%;</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increased by 16% to $2.51 billion and adjusted EBITDA margin improved 20 basis points to 40.6%;</w:t>
      </w:r>
    </w:p>
    <w:p>
      <w:pPr>
        <w:spacing w:after="0" w:line="118" w:lineRule="exact"/>
        <w:rPr>
          <w:rFonts w:ascii="Arial" w:cs="Arial" w:eastAsia="Arial" w:hAnsi="Arial"/>
          <w:sz w:val="17"/>
          <w:szCs w:val="17"/>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Adjusted operating cash flow increased 33% to $2.07 billion and adjusted free cash flow increased 32% to $1.96 billion;</w:t>
      </w:r>
    </w:p>
    <w:p>
      <w:pPr>
        <w:spacing w:after="0" w:line="117" w:lineRule="exact"/>
        <w:rPr>
          <w:rFonts w:ascii="Arial" w:cs="Arial" w:eastAsia="Arial" w:hAnsi="Arial"/>
          <w:sz w:val="18"/>
          <w:szCs w:val="18"/>
          <w:color w:val="auto"/>
        </w:rPr>
      </w:pPr>
    </w:p>
    <w:p>
      <w:pPr>
        <w:ind w:left="340" w:right="420" w:hanging="224"/>
        <w:spacing w:after="0" w:line="271"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deployed $2.1 billion of capital toward vertical software acquisitions, highlighted by Syntellis Performance Solutions, which was successfully combined with our Strata Decision Technology business; and</w:t>
      </w:r>
    </w:p>
    <w:p>
      <w:pPr>
        <w:spacing w:after="0" w:line="59" w:lineRule="exact"/>
        <w:rPr>
          <w:rFonts w:ascii="Arial" w:cs="Arial" w:eastAsia="Arial" w:hAnsi="Arial"/>
          <w:sz w:val="18"/>
          <w:szCs w:val="18"/>
          <w:color w:val="auto"/>
        </w:rPr>
      </w:pPr>
    </w:p>
    <w:p>
      <w:pPr>
        <w:ind w:left="340" w:hanging="224"/>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annual dividend increased by 10%, increasing for the 31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consecutive year.</w:t>
      </w:r>
    </w:p>
    <w:p>
      <w:pPr>
        <w:spacing w:after="0" w:line="41" w:lineRule="exact"/>
        <w:rPr>
          <w:sz w:val="20"/>
          <w:szCs w:val="20"/>
          <w:color w:val="auto"/>
        </w:rPr>
      </w:pPr>
    </w:p>
    <w:p>
      <w:pPr>
        <w:ind w:left="540" w:right="60" w:hanging="424"/>
        <w:spacing w:after="0" w:line="200" w:lineRule="auto"/>
        <w:tabs>
          <w:tab w:leader="none" w:pos="54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131"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21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CREATING SHAREHOLDER VALUE</w:t>
      </w:r>
    </w:p>
    <w:p>
      <w:pPr>
        <w:spacing w:after="0" w:line="104"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The creation of shareholder value is the foundation and driver of our executive compensation program and corporate strategy. The compensation of our named executive officers is closely aligned with the long-term interests of our shareholders.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Superior Long-Term Returns for Roper Shareholders¹</w:t>
      </w:r>
    </w:p>
    <w:p>
      <w:pPr>
        <w:spacing w:after="0" w:line="100"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color w:val="auto"/>
        </w:rPr>
        <w:t>Roper is proud of its long track record of superior returns for its shareholders. Roper has outperformed the S&amp;P 500 over the past 5, 10, and 15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119380</wp:posOffset>
            </wp:positionV>
            <wp:extent cx="4774565" cy="3765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774565" cy="376555"/>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00" w:type="dxa"/>
            <w:vAlign w:val="bottom"/>
            <w:shd w:val="clear" w:color="auto" w:fill="005CB9"/>
          </w:tcPr>
          <w:p>
            <w:pPr>
              <w:spacing w:after="0"/>
              <w:rPr>
                <w:sz w:val="19"/>
                <w:szCs w:val="19"/>
                <w:color w:val="auto"/>
              </w:rPr>
            </w:pPr>
          </w:p>
        </w:tc>
        <w:tc>
          <w:tcPr>
            <w:tcW w:w="200" w:type="dxa"/>
            <w:vAlign w:val="bottom"/>
            <w:shd w:val="clear" w:color="auto" w:fill="005CB9"/>
          </w:tcPr>
          <w:p>
            <w:pPr>
              <w:spacing w:after="0"/>
              <w:rPr>
                <w:sz w:val="19"/>
                <w:szCs w:val="19"/>
                <w:color w:val="auto"/>
              </w:rPr>
            </w:pPr>
          </w:p>
        </w:tc>
        <w:tc>
          <w:tcPr>
            <w:tcW w:w="20" w:type="dxa"/>
            <w:vAlign w:val="bottom"/>
            <w:shd w:val="clear" w:color="auto" w:fill="005CB9"/>
          </w:tcPr>
          <w:p>
            <w:pPr>
              <w:spacing w:after="0"/>
              <w:rPr>
                <w:sz w:val="19"/>
                <w:szCs w:val="19"/>
                <w:color w:val="auto"/>
              </w:rPr>
            </w:pPr>
          </w:p>
        </w:tc>
        <w:tc>
          <w:tcPr>
            <w:tcW w:w="580" w:type="dxa"/>
            <w:vAlign w:val="bottom"/>
            <w:shd w:val="clear" w:color="auto" w:fill="005CB9"/>
          </w:tcPr>
          <w:p>
            <w:pPr>
              <w:spacing w:after="0"/>
              <w:rPr>
                <w:sz w:val="19"/>
                <w:szCs w:val="19"/>
                <w:color w:val="auto"/>
              </w:rPr>
            </w:pPr>
          </w:p>
        </w:tc>
        <w:tc>
          <w:tcPr>
            <w:tcW w:w="8060" w:type="dxa"/>
            <w:vAlign w:val="bottom"/>
            <w:gridSpan w:val="2"/>
            <w:shd w:val="clear" w:color="auto" w:fill="005CB9"/>
          </w:tcPr>
          <w:p>
            <w:pPr>
              <w:jc w:val="right"/>
              <w:ind w:right="157"/>
              <w:spacing w:after="0"/>
              <w:rPr>
                <w:sz w:val="20"/>
                <w:szCs w:val="20"/>
                <w:color w:val="auto"/>
              </w:rPr>
            </w:pPr>
            <w:r>
              <w:rPr>
                <w:rFonts w:ascii="Arial" w:cs="Arial" w:eastAsia="Arial" w:hAnsi="Arial"/>
                <w:sz w:val="14"/>
                <w:szCs w:val="14"/>
                <w:color w:val="FFFFFF"/>
              </w:rPr>
              <w:t>Compound Annual</w:t>
            </w:r>
          </w:p>
        </w:tc>
        <w:tc>
          <w:tcPr>
            <w:tcW w:w="1960" w:type="dxa"/>
            <w:vAlign w:val="bottom"/>
            <w:gridSpan w:val="2"/>
            <w:shd w:val="clear" w:color="auto" w:fill="005CB9"/>
          </w:tcPr>
          <w:p>
            <w:pPr>
              <w:jc w:val="right"/>
              <w:ind w:right="77"/>
              <w:spacing w:after="0"/>
              <w:rPr>
                <w:sz w:val="20"/>
                <w:szCs w:val="20"/>
                <w:color w:val="auto"/>
              </w:rPr>
            </w:pPr>
            <w:r>
              <w:rPr>
                <w:rFonts w:ascii="Arial" w:cs="Arial" w:eastAsia="Arial" w:hAnsi="Arial"/>
                <w:sz w:val="14"/>
                <w:szCs w:val="14"/>
                <w:color w:val="FFFFFF"/>
              </w:rPr>
              <w:t>Total Shareholder Return</w:t>
            </w:r>
          </w:p>
        </w:tc>
        <w:tc>
          <w:tcPr>
            <w:tcW w:w="0" w:type="dxa"/>
            <w:vAlign w:val="bottom"/>
          </w:tcPr>
          <w:p>
            <w:pPr>
              <w:spacing w:after="0"/>
              <w:rPr>
                <w:sz w:val="1"/>
                <w:szCs w:val="1"/>
                <w:color w:val="auto"/>
              </w:rPr>
            </w:pPr>
          </w:p>
        </w:tc>
      </w:tr>
      <w:tr>
        <w:trPr>
          <w:trHeight w:val="171"/>
        </w:trPr>
        <w:tc>
          <w:tcPr>
            <w:tcW w:w="20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20" w:type="dxa"/>
            <w:vAlign w:val="bottom"/>
            <w:shd w:val="clear" w:color="auto" w:fill="005CB9"/>
          </w:tcPr>
          <w:p>
            <w:pPr>
              <w:spacing w:after="0"/>
              <w:rPr>
                <w:sz w:val="14"/>
                <w:szCs w:val="14"/>
                <w:color w:val="auto"/>
              </w:rPr>
            </w:pPr>
          </w:p>
        </w:tc>
        <w:tc>
          <w:tcPr>
            <w:tcW w:w="580" w:type="dxa"/>
            <w:vAlign w:val="bottom"/>
            <w:shd w:val="clear" w:color="auto" w:fill="005CB9"/>
          </w:tcPr>
          <w:p>
            <w:pPr>
              <w:spacing w:after="0"/>
              <w:rPr>
                <w:sz w:val="14"/>
                <w:szCs w:val="14"/>
                <w:color w:val="auto"/>
              </w:rPr>
            </w:pPr>
          </w:p>
        </w:tc>
        <w:tc>
          <w:tcPr>
            <w:tcW w:w="8060" w:type="dxa"/>
            <w:vAlign w:val="bottom"/>
            <w:gridSpan w:val="2"/>
            <w:shd w:val="clear" w:color="auto" w:fill="005CB9"/>
          </w:tcPr>
          <w:p>
            <w:pPr>
              <w:jc w:val="right"/>
              <w:ind w:right="117"/>
              <w:spacing w:after="0"/>
              <w:rPr>
                <w:sz w:val="20"/>
                <w:szCs w:val="20"/>
                <w:color w:val="auto"/>
              </w:rPr>
            </w:pPr>
            <w:r>
              <w:rPr>
                <w:rFonts w:ascii="Arial" w:cs="Arial" w:eastAsia="Arial" w:hAnsi="Arial"/>
                <w:sz w:val="14"/>
                <w:szCs w:val="14"/>
                <w:color w:val="FFFFFF"/>
              </w:rPr>
              <w:t>Shareholder Return</w:t>
            </w:r>
          </w:p>
        </w:tc>
        <w:tc>
          <w:tcPr>
            <w:tcW w:w="11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(TSR)</w:t>
            </w:r>
          </w:p>
        </w:tc>
        <w:tc>
          <w:tcPr>
            <w:tcW w:w="78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00" w:type="dxa"/>
            <w:vAlign w:val="bottom"/>
            <w:gridSpan w:val="4"/>
            <w:shd w:val="clear" w:color="auto" w:fill="005CB9"/>
          </w:tcPr>
          <w:p>
            <w:pPr>
              <w:ind w:left="120"/>
              <w:spacing w:after="0"/>
              <w:rPr>
                <w:sz w:val="20"/>
                <w:szCs w:val="20"/>
                <w:color w:val="auto"/>
              </w:rPr>
            </w:pPr>
            <w:r>
              <w:rPr>
                <w:rFonts w:ascii="Arial" w:cs="Arial" w:eastAsia="Arial" w:hAnsi="Arial"/>
                <w:sz w:val="14"/>
                <w:szCs w:val="14"/>
                <w:color w:val="FFFFFF"/>
              </w:rPr>
              <w:t> Period</w:t>
            </w:r>
          </w:p>
        </w:tc>
        <w:tc>
          <w:tcPr>
            <w:tcW w:w="7220" w:type="dxa"/>
            <w:vAlign w:val="bottom"/>
            <w:shd w:val="clear" w:color="auto" w:fill="005CB9"/>
          </w:tcPr>
          <w:p>
            <w:pPr>
              <w:jc w:val="right"/>
              <w:ind w:right="80"/>
              <w:spacing w:after="0"/>
              <w:rPr>
                <w:sz w:val="20"/>
                <w:szCs w:val="20"/>
                <w:color w:val="auto"/>
              </w:rPr>
            </w:pPr>
            <w:r>
              <w:rPr>
                <w:rFonts w:ascii="Arial" w:cs="Arial" w:eastAsia="Arial" w:hAnsi="Arial"/>
                <w:sz w:val="14"/>
                <w:szCs w:val="14"/>
                <w:color w:val="FFFFFF"/>
              </w:rPr>
              <w:t>Roper</w:t>
            </w:r>
          </w:p>
        </w:tc>
        <w:tc>
          <w:tcPr>
            <w:tcW w:w="840" w:type="dxa"/>
            <w:vAlign w:val="bottom"/>
            <w:shd w:val="clear" w:color="auto" w:fill="005CB9"/>
          </w:tcPr>
          <w:p>
            <w:pPr>
              <w:jc w:val="right"/>
              <w:ind w:right="97"/>
              <w:spacing w:after="0"/>
              <w:rPr>
                <w:sz w:val="20"/>
                <w:szCs w:val="20"/>
                <w:color w:val="auto"/>
              </w:rPr>
            </w:pPr>
            <w:r>
              <w:rPr>
                <w:rFonts w:ascii="Arial" w:cs="Arial" w:eastAsia="Arial" w:hAnsi="Arial"/>
                <w:sz w:val="14"/>
                <w:szCs w:val="14"/>
                <w:color w:val="FFFFFF"/>
              </w:rPr>
              <w:t>S&amp;P 500</w:t>
            </w:r>
          </w:p>
        </w:tc>
        <w:tc>
          <w:tcPr>
            <w:tcW w:w="1180" w:type="dxa"/>
            <w:vAlign w:val="bottom"/>
            <w:shd w:val="clear" w:color="auto" w:fill="005CB9"/>
          </w:tcPr>
          <w:p>
            <w:pPr>
              <w:jc w:val="right"/>
              <w:ind w:right="360"/>
              <w:spacing w:after="0"/>
              <w:rPr>
                <w:sz w:val="20"/>
                <w:szCs w:val="20"/>
                <w:color w:val="auto"/>
              </w:rPr>
            </w:pPr>
            <w:r>
              <w:rPr>
                <w:rFonts w:ascii="Arial" w:cs="Arial" w:eastAsia="Arial" w:hAnsi="Arial"/>
                <w:sz w:val="14"/>
                <w:szCs w:val="14"/>
                <w:color w:val="FFFFFF"/>
              </w:rPr>
              <w:t>Roper</w:t>
            </w:r>
          </w:p>
        </w:tc>
        <w:tc>
          <w:tcPr>
            <w:tcW w:w="780" w:type="dxa"/>
            <w:vAlign w:val="bottom"/>
            <w:shd w:val="clear" w:color="auto" w:fill="005CB9"/>
          </w:tcPr>
          <w:p>
            <w:pPr>
              <w:jc w:val="right"/>
              <w:ind w:right="117"/>
              <w:spacing w:after="0"/>
              <w:rPr>
                <w:sz w:val="20"/>
                <w:szCs w:val="20"/>
                <w:color w:val="auto"/>
              </w:rPr>
            </w:pPr>
            <w:r>
              <w:rPr>
                <w:rFonts w:ascii="Arial" w:cs="Arial" w:eastAsia="Arial" w:hAnsi="Arial"/>
                <w:sz w:val="14"/>
                <w:szCs w:val="14"/>
                <w:color w:val="FFFFFF"/>
              </w:rPr>
              <w:t>S&amp;P 500</w:t>
            </w:r>
          </w:p>
        </w:tc>
        <w:tc>
          <w:tcPr>
            <w:tcW w:w="0" w:type="dxa"/>
            <w:vAlign w:val="bottom"/>
          </w:tcPr>
          <w:p>
            <w:pPr>
              <w:spacing w:after="0"/>
              <w:rPr>
                <w:sz w:val="1"/>
                <w:szCs w:val="1"/>
                <w:color w:val="auto"/>
              </w:rPr>
            </w:pPr>
          </w:p>
        </w:tc>
      </w:tr>
      <w:tr>
        <w:trPr>
          <w:trHeight w:val="270"/>
        </w:trPr>
        <w:tc>
          <w:tcPr>
            <w:tcW w:w="1000" w:type="dxa"/>
            <w:vAlign w:val="bottom"/>
            <w:gridSpan w:val="4"/>
            <w:shd w:val="clear" w:color="auto" w:fill="CCDEF1"/>
          </w:tcPr>
          <w:p>
            <w:pPr>
              <w:spacing w:after="0"/>
              <w:rPr>
                <w:sz w:val="20"/>
                <w:szCs w:val="20"/>
                <w:color w:val="auto"/>
              </w:rPr>
            </w:pPr>
            <w:r>
              <w:rPr>
                <w:rFonts w:ascii="Arial" w:cs="Arial" w:eastAsia="Arial" w:hAnsi="Arial"/>
                <w:sz w:val="17"/>
                <w:szCs w:val="17"/>
                <w:color w:val="auto"/>
              </w:rPr>
              <w:t> 1-Year</w:t>
            </w:r>
          </w:p>
        </w:tc>
        <w:tc>
          <w:tcPr>
            <w:tcW w:w="722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26.9%</w:t>
            </w:r>
          </w:p>
        </w:tc>
        <w:tc>
          <w:tcPr>
            <w:tcW w:w="840" w:type="dxa"/>
            <w:vAlign w:val="bottom"/>
            <w:shd w:val="clear" w:color="auto" w:fill="CCDEF1"/>
          </w:tcPr>
          <w:p>
            <w:pPr>
              <w:jc w:val="right"/>
              <w:ind w:right="97"/>
              <w:spacing w:after="0"/>
              <w:rPr>
                <w:sz w:val="20"/>
                <w:szCs w:val="20"/>
                <w:color w:val="auto"/>
              </w:rPr>
            </w:pPr>
            <w:r>
              <w:rPr>
                <w:rFonts w:ascii="Arial" w:cs="Arial" w:eastAsia="Arial" w:hAnsi="Arial"/>
                <w:sz w:val="17"/>
                <w:szCs w:val="17"/>
                <w:color w:val="auto"/>
              </w:rPr>
              <w:t>26.3%</w:t>
            </w:r>
          </w:p>
        </w:tc>
        <w:tc>
          <w:tcPr>
            <w:tcW w:w="1180" w:type="dxa"/>
            <w:vAlign w:val="bottom"/>
            <w:shd w:val="clear" w:color="auto" w:fill="CCDEF1"/>
          </w:tcPr>
          <w:p>
            <w:pPr>
              <w:jc w:val="right"/>
              <w:ind w:right="160"/>
              <w:spacing w:after="0"/>
              <w:rPr>
                <w:sz w:val="20"/>
                <w:szCs w:val="20"/>
                <w:color w:val="auto"/>
              </w:rPr>
            </w:pPr>
            <w:r>
              <w:rPr>
                <w:rFonts w:ascii="Arial" w:cs="Arial" w:eastAsia="Arial" w:hAnsi="Arial"/>
                <w:sz w:val="17"/>
                <w:szCs w:val="17"/>
                <w:b w:val="1"/>
                <w:bCs w:val="1"/>
                <w:color w:val="auto"/>
              </w:rPr>
              <w:t>26.9%</w:t>
            </w:r>
          </w:p>
        </w:tc>
        <w:tc>
          <w:tcPr>
            <w:tcW w:w="7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68"/>
        </w:trPr>
        <w:tc>
          <w:tcPr>
            <w:tcW w:w="1000" w:type="dxa"/>
            <w:vAlign w:val="bottom"/>
            <w:gridSpan w:val="4"/>
          </w:tcPr>
          <w:p>
            <w:pPr>
              <w:spacing w:after="0"/>
              <w:rPr>
                <w:sz w:val="20"/>
                <w:szCs w:val="20"/>
                <w:color w:val="auto"/>
              </w:rPr>
            </w:pPr>
            <w:r>
              <w:rPr>
                <w:rFonts w:ascii="Arial" w:cs="Arial" w:eastAsia="Arial" w:hAnsi="Arial"/>
                <w:sz w:val="17"/>
                <w:szCs w:val="17"/>
                <w:color w:val="auto"/>
              </w:rPr>
              <w:t> 3-Years</w:t>
            </w:r>
          </w:p>
        </w:tc>
        <w:tc>
          <w:tcPr>
            <w:tcW w:w="7220" w:type="dxa"/>
            <w:vAlign w:val="bottom"/>
          </w:tcPr>
          <w:p>
            <w:pPr>
              <w:jc w:val="right"/>
              <w:spacing w:after="0"/>
              <w:rPr>
                <w:sz w:val="20"/>
                <w:szCs w:val="20"/>
                <w:color w:val="auto"/>
              </w:rPr>
            </w:pPr>
            <w:r>
              <w:rPr>
                <w:rFonts w:ascii="Arial" w:cs="Arial" w:eastAsia="Arial" w:hAnsi="Arial"/>
                <w:sz w:val="17"/>
                <w:szCs w:val="17"/>
                <w:b w:val="1"/>
                <w:bCs w:val="1"/>
                <w:color w:val="auto"/>
              </w:rPr>
              <w:t>8.7%</w:t>
            </w: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10.0%</w:t>
            </w:r>
          </w:p>
        </w:tc>
        <w:tc>
          <w:tcPr>
            <w:tcW w:w="1180" w:type="dxa"/>
            <w:vAlign w:val="bottom"/>
          </w:tcPr>
          <w:p>
            <w:pPr>
              <w:jc w:val="right"/>
              <w:ind w:right="160"/>
              <w:spacing w:after="0"/>
              <w:rPr>
                <w:sz w:val="20"/>
                <w:szCs w:val="20"/>
                <w:color w:val="auto"/>
              </w:rPr>
            </w:pPr>
            <w:r>
              <w:rPr>
                <w:rFonts w:ascii="Arial" w:cs="Arial" w:eastAsia="Arial" w:hAnsi="Arial"/>
                <w:sz w:val="17"/>
                <w:szCs w:val="17"/>
                <w:b w:val="1"/>
                <w:bCs w:val="1"/>
                <w:color w:val="auto"/>
              </w:rPr>
              <w:t>28.6%</w:t>
            </w: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33.1%</w:t>
            </w:r>
          </w:p>
        </w:tc>
        <w:tc>
          <w:tcPr>
            <w:tcW w:w="0" w:type="dxa"/>
            <w:vAlign w:val="bottom"/>
          </w:tcPr>
          <w:p>
            <w:pPr>
              <w:spacing w:after="0"/>
              <w:rPr>
                <w:sz w:val="1"/>
                <w:szCs w:val="1"/>
                <w:color w:val="auto"/>
              </w:rPr>
            </w:pPr>
          </w:p>
        </w:tc>
      </w:tr>
      <w:tr>
        <w:trPr>
          <w:trHeight w:val="272"/>
        </w:trPr>
        <w:tc>
          <w:tcPr>
            <w:tcW w:w="1000" w:type="dxa"/>
            <w:vAlign w:val="bottom"/>
            <w:gridSpan w:val="4"/>
            <w:shd w:val="clear" w:color="auto" w:fill="CCDEF1"/>
          </w:tcPr>
          <w:p>
            <w:pPr>
              <w:spacing w:after="0"/>
              <w:rPr>
                <w:sz w:val="20"/>
                <w:szCs w:val="20"/>
                <w:color w:val="auto"/>
              </w:rPr>
            </w:pPr>
            <w:r>
              <w:rPr>
                <w:rFonts w:ascii="Arial" w:cs="Arial" w:eastAsia="Arial" w:hAnsi="Arial"/>
                <w:sz w:val="17"/>
                <w:szCs w:val="17"/>
                <w:color w:val="auto"/>
              </w:rPr>
              <w:t> 5-Years</w:t>
            </w:r>
          </w:p>
        </w:tc>
        <w:tc>
          <w:tcPr>
            <w:tcW w:w="722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16.0%</w:t>
            </w:r>
          </w:p>
        </w:tc>
        <w:tc>
          <w:tcPr>
            <w:tcW w:w="840" w:type="dxa"/>
            <w:vAlign w:val="bottom"/>
            <w:shd w:val="clear" w:color="auto" w:fill="CCDEF1"/>
          </w:tcPr>
          <w:p>
            <w:pPr>
              <w:jc w:val="right"/>
              <w:ind w:right="97"/>
              <w:spacing w:after="0"/>
              <w:rPr>
                <w:sz w:val="20"/>
                <w:szCs w:val="20"/>
                <w:color w:val="auto"/>
              </w:rPr>
            </w:pPr>
            <w:r>
              <w:rPr>
                <w:rFonts w:ascii="Arial" w:cs="Arial" w:eastAsia="Arial" w:hAnsi="Arial"/>
                <w:sz w:val="17"/>
                <w:szCs w:val="17"/>
                <w:color w:val="auto"/>
              </w:rPr>
              <w:t>15.7%</w:t>
            </w:r>
          </w:p>
        </w:tc>
        <w:tc>
          <w:tcPr>
            <w:tcW w:w="1180" w:type="dxa"/>
            <w:vAlign w:val="bottom"/>
            <w:shd w:val="clear" w:color="auto" w:fill="CCDEF1"/>
          </w:tcPr>
          <w:p>
            <w:pPr>
              <w:jc w:val="right"/>
              <w:ind w:right="160"/>
              <w:spacing w:after="0"/>
              <w:rPr>
                <w:sz w:val="20"/>
                <w:szCs w:val="20"/>
                <w:color w:val="auto"/>
              </w:rPr>
            </w:pPr>
            <w:r>
              <w:rPr>
                <w:rFonts w:ascii="Arial" w:cs="Arial" w:eastAsia="Arial" w:hAnsi="Arial"/>
                <w:sz w:val="17"/>
                <w:szCs w:val="17"/>
                <w:b w:val="1"/>
                <w:bCs w:val="1"/>
                <w:color w:val="auto"/>
              </w:rPr>
              <w:t>110.4%</w:t>
            </w:r>
          </w:p>
        </w:tc>
        <w:tc>
          <w:tcPr>
            <w:tcW w:w="7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rPr>
              <w:t>107.2%</w:t>
            </w:r>
          </w:p>
        </w:tc>
        <w:tc>
          <w:tcPr>
            <w:tcW w:w="0" w:type="dxa"/>
            <w:vAlign w:val="bottom"/>
          </w:tcPr>
          <w:p>
            <w:pPr>
              <w:spacing w:after="0"/>
              <w:rPr>
                <w:sz w:val="1"/>
                <w:szCs w:val="1"/>
                <w:color w:val="auto"/>
              </w:rPr>
            </w:pPr>
          </w:p>
        </w:tc>
      </w:tr>
      <w:tr>
        <w:trPr>
          <w:trHeight w:val="268"/>
        </w:trPr>
        <w:tc>
          <w:tcPr>
            <w:tcW w:w="1000" w:type="dxa"/>
            <w:vAlign w:val="bottom"/>
            <w:gridSpan w:val="4"/>
          </w:tcPr>
          <w:p>
            <w:pPr>
              <w:spacing w:after="0"/>
              <w:rPr>
                <w:sz w:val="20"/>
                <w:szCs w:val="20"/>
                <w:color w:val="auto"/>
              </w:rPr>
            </w:pPr>
            <w:r>
              <w:rPr>
                <w:rFonts w:ascii="Arial" w:cs="Arial" w:eastAsia="Arial" w:hAnsi="Arial"/>
                <w:sz w:val="17"/>
                <w:szCs w:val="17"/>
                <w:color w:val="auto"/>
              </w:rPr>
              <w:t> 10-Years</w:t>
            </w:r>
          </w:p>
        </w:tc>
        <w:tc>
          <w:tcPr>
            <w:tcW w:w="7220" w:type="dxa"/>
            <w:vAlign w:val="bottom"/>
          </w:tcPr>
          <w:p>
            <w:pPr>
              <w:jc w:val="right"/>
              <w:spacing w:after="0"/>
              <w:rPr>
                <w:sz w:val="20"/>
                <w:szCs w:val="20"/>
                <w:color w:val="auto"/>
              </w:rPr>
            </w:pPr>
            <w:r>
              <w:rPr>
                <w:rFonts w:ascii="Arial" w:cs="Arial" w:eastAsia="Arial" w:hAnsi="Arial"/>
                <w:sz w:val="17"/>
                <w:szCs w:val="17"/>
                <w:b w:val="1"/>
                <w:bCs w:val="1"/>
                <w:color w:val="auto"/>
              </w:rPr>
              <w:t>15.3%</w:t>
            </w:r>
          </w:p>
        </w:tc>
        <w:tc>
          <w:tcPr>
            <w:tcW w:w="840" w:type="dxa"/>
            <w:vAlign w:val="bottom"/>
          </w:tcPr>
          <w:p>
            <w:pPr>
              <w:jc w:val="right"/>
              <w:ind w:right="97"/>
              <w:spacing w:after="0"/>
              <w:rPr>
                <w:sz w:val="20"/>
                <w:szCs w:val="20"/>
                <w:color w:val="auto"/>
              </w:rPr>
            </w:pPr>
            <w:r>
              <w:rPr>
                <w:rFonts w:ascii="Arial" w:cs="Arial" w:eastAsia="Arial" w:hAnsi="Arial"/>
                <w:sz w:val="17"/>
                <w:szCs w:val="17"/>
                <w:color w:val="auto"/>
              </w:rPr>
              <w:t>12.0%</w:t>
            </w:r>
          </w:p>
        </w:tc>
        <w:tc>
          <w:tcPr>
            <w:tcW w:w="1180" w:type="dxa"/>
            <w:vAlign w:val="bottom"/>
          </w:tcPr>
          <w:p>
            <w:pPr>
              <w:jc w:val="right"/>
              <w:ind w:right="160"/>
              <w:spacing w:after="0"/>
              <w:rPr>
                <w:sz w:val="20"/>
                <w:szCs w:val="20"/>
                <w:color w:val="auto"/>
              </w:rPr>
            </w:pPr>
            <w:r>
              <w:rPr>
                <w:rFonts w:ascii="Arial" w:cs="Arial" w:eastAsia="Arial" w:hAnsi="Arial"/>
                <w:sz w:val="17"/>
                <w:szCs w:val="17"/>
                <w:b w:val="1"/>
                <w:bCs w:val="1"/>
                <w:color w:val="auto"/>
              </w:rPr>
              <w:t>317.0%</w:t>
            </w:r>
          </w:p>
        </w:tc>
        <w:tc>
          <w:tcPr>
            <w:tcW w:w="780" w:type="dxa"/>
            <w:vAlign w:val="bottom"/>
          </w:tcPr>
          <w:p>
            <w:pPr>
              <w:jc w:val="right"/>
              <w:ind w:right="37"/>
              <w:spacing w:after="0"/>
              <w:rPr>
                <w:sz w:val="20"/>
                <w:szCs w:val="20"/>
                <w:color w:val="auto"/>
              </w:rPr>
            </w:pPr>
            <w:r>
              <w:rPr>
                <w:rFonts w:ascii="Arial" w:cs="Arial" w:eastAsia="Arial" w:hAnsi="Arial"/>
                <w:sz w:val="17"/>
                <w:szCs w:val="17"/>
                <w:color w:val="auto"/>
              </w:rPr>
              <w:t>211.5%</w:t>
            </w:r>
          </w:p>
        </w:tc>
        <w:tc>
          <w:tcPr>
            <w:tcW w:w="0" w:type="dxa"/>
            <w:vAlign w:val="bottom"/>
          </w:tcPr>
          <w:p>
            <w:pPr>
              <w:spacing w:after="0"/>
              <w:rPr>
                <w:sz w:val="1"/>
                <w:szCs w:val="1"/>
                <w:color w:val="auto"/>
              </w:rPr>
            </w:pPr>
          </w:p>
        </w:tc>
      </w:tr>
      <w:tr>
        <w:trPr>
          <w:trHeight w:val="272"/>
        </w:trPr>
        <w:tc>
          <w:tcPr>
            <w:tcW w:w="1000" w:type="dxa"/>
            <w:vAlign w:val="bottom"/>
            <w:gridSpan w:val="4"/>
            <w:shd w:val="clear" w:color="auto" w:fill="CCDEF1"/>
          </w:tcPr>
          <w:p>
            <w:pPr>
              <w:spacing w:after="0"/>
              <w:rPr>
                <w:sz w:val="20"/>
                <w:szCs w:val="20"/>
                <w:color w:val="auto"/>
              </w:rPr>
            </w:pPr>
            <w:r>
              <w:rPr>
                <w:rFonts w:ascii="Arial" w:cs="Arial" w:eastAsia="Arial" w:hAnsi="Arial"/>
                <w:sz w:val="17"/>
                <w:szCs w:val="17"/>
                <w:color w:val="auto"/>
              </w:rPr>
              <w:t> 15-Years</w:t>
            </w:r>
          </w:p>
        </w:tc>
        <w:tc>
          <w:tcPr>
            <w:tcW w:w="7220" w:type="dxa"/>
            <w:vAlign w:val="bottom"/>
            <w:shd w:val="clear" w:color="auto" w:fill="CCDEF1"/>
          </w:tcPr>
          <w:p>
            <w:pPr>
              <w:jc w:val="right"/>
              <w:spacing w:after="0"/>
              <w:rPr>
                <w:sz w:val="20"/>
                <w:szCs w:val="20"/>
                <w:color w:val="auto"/>
              </w:rPr>
            </w:pPr>
            <w:r>
              <w:rPr>
                <w:rFonts w:ascii="Arial" w:cs="Arial" w:eastAsia="Arial" w:hAnsi="Arial"/>
                <w:sz w:val="17"/>
                <w:szCs w:val="17"/>
                <w:b w:val="1"/>
                <w:bCs w:val="1"/>
                <w:color w:val="auto"/>
              </w:rPr>
              <w:t>19.1%</w:t>
            </w:r>
          </w:p>
        </w:tc>
        <w:tc>
          <w:tcPr>
            <w:tcW w:w="840" w:type="dxa"/>
            <w:vAlign w:val="bottom"/>
            <w:shd w:val="clear" w:color="auto" w:fill="CCDEF1"/>
          </w:tcPr>
          <w:p>
            <w:pPr>
              <w:jc w:val="right"/>
              <w:ind w:right="97"/>
              <w:spacing w:after="0"/>
              <w:rPr>
                <w:sz w:val="20"/>
                <w:szCs w:val="20"/>
                <w:color w:val="auto"/>
              </w:rPr>
            </w:pPr>
            <w:r>
              <w:rPr>
                <w:rFonts w:ascii="Arial" w:cs="Arial" w:eastAsia="Arial" w:hAnsi="Arial"/>
                <w:sz w:val="17"/>
                <w:szCs w:val="17"/>
                <w:color w:val="auto"/>
              </w:rPr>
              <w:t>14.0%</w:t>
            </w:r>
          </w:p>
        </w:tc>
        <w:tc>
          <w:tcPr>
            <w:tcW w:w="1180" w:type="dxa"/>
            <w:vAlign w:val="bottom"/>
            <w:shd w:val="clear" w:color="auto" w:fill="CCDEF1"/>
          </w:tcPr>
          <w:p>
            <w:pPr>
              <w:jc w:val="right"/>
              <w:ind w:right="160"/>
              <w:spacing w:after="0"/>
              <w:rPr>
                <w:sz w:val="20"/>
                <w:szCs w:val="20"/>
                <w:color w:val="auto"/>
              </w:rPr>
            </w:pPr>
            <w:r>
              <w:rPr>
                <w:rFonts w:ascii="Arial" w:cs="Arial" w:eastAsia="Arial" w:hAnsi="Arial"/>
                <w:sz w:val="17"/>
                <w:szCs w:val="17"/>
                <w:b w:val="1"/>
                <w:bCs w:val="1"/>
                <w:color w:val="auto"/>
              </w:rPr>
              <w:t>1273.7%</w:t>
            </w:r>
          </w:p>
        </w:tc>
        <w:tc>
          <w:tcPr>
            <w:tcW w:w="7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rPr>
              <w:t>610.8%</w:t>
            </w:r>
          </w:p>
        </w:tc>
        <w:tc>
          <w:tcPr>
            <w:tcW w:w="0" w:type="dxa"/>
            <w:vAlign w:val="bottom"/>
          </w:tcPr>
          <w:p>
            <w:pPr>
              <w:spacing w:after="0"/>
              <w:rPr>
                <w:sz w:val="1"/>
                <w:szCs w:val="1"/>
                <w:color w:val="auto"/>
              </w:rPr>
            </w:pPr>
          </w:p>
        </w:tc>
      </w:tr>
      <w:tr>
        <w:trPr>
          <w:trHeight w:val="148"/>
        </w:trPr>
        <w:tc>
          <w:tcPr>
            <w:tcW w:w="200" w:type="dxa"/>
            <w:vAlign w:val="bottom"/>
            <w:vMerge w:val="restart"/>
          </w:tcPr>
          <w:p>
            <w:pPr>
              <w:spacing w:after="0"/>
              <w:rPr>
                <w:sz w:val="20"/>
                <w:szCs w:val="20"/>
                <w:color w:val="auto"/>
              </w:rPr>
            </w:pPr>
            <w:r>
              <w:rPr>
                <w:rFonts w:ascii="Arial" w:cs="Arial" w:eastAsia="Arial" w:hAnsi="Arial"/>
                <w:sz w:val="16"/>
                <w:szCs w:val="16"/>
                <w:b w:val="1"/>
                <w:bCs w:val="1"/>
                <w:color w:val="005CB9"/>
              </w:rPr>
              <w:t>22</w:t>
            </w:r>
          </w:p>
        </w:tc>
        <w:tc>
          <w:tcPr>
            <w:tcW w:w="200" w:type="dxa"/>
            <w:vAlign w:val="bottom"/>
            <w:vMerge w:val="restart"/>
          </w:tcPr>
          <w:p>
            <w:pPr>
              <w:ind w:left="4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7220" w:type="dxa"/>
            <w:vAlign w:val="bottom"/>
            <w:vMerge w:val="restart"/>
          </w:tcPr>
          <w:p>
            <w:pPr>
              <w:jc w:val="right"/>
              <w:ind w:right="3060"/>
              <w:spacing w:after="0"/>
              <w:rPr>
                <w:sz w:val="20"/>
                <w:szCs w:val="20"/>
                <w:color w:val="auto"/>
              </w:rPr>
            </w:pPr>
            <w:r>
              <w:rPr>
                <w:rFonts w:ascii="Arial" w:cs="Arial" w:eastAsia="Arial" w:hAnsi="Arial"/>
                <w:sz w:val="16"/>
                <w:szCs w:val="16"/>
                <w:b w:val="1"/>
                <w:bCs w:val="1"/>
                <w:color w:val="005CB9"/>
              </w:rPr>
              <w:t>   Roper Technologies, Inc. 2024 Proxy Statement</w:t>
            </w:r>
          </w:p>
        </w:tc>
        <w:tc>
          <w:tcPr>
            <w:tcW w:w="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580" w:type="dxa"/>
            <w:vAlign w:val="bottom"/>
            <w:vMerge w:val="continue"/>
          </w:tcPr>
          <w:p>
            <w:pPr>
              <w:spacing w:after="0"/>
              <w:rPr>
                <w:sz w:val="18"/>
                <w:szCs w:val="18"/>
                <w:color w:val="auto"/>
              </w:rPr>
            </w:pPr>
          </w:p>
        </w:tc>
        <w:tc>
          <w:tcPr>
            <w:tcW w:w="72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5CB9"/>
          </w:tcPr>
          <w:p>
            <w:pPr>
              <w:spacing w:after="0"/>
              <w:rPr>
                <w:sz w:val="8"/>
                <w:szCs w:val="8"/>
                <w:color w:val="auto"/>
              </w:rPr>
            </w:pPr>
          </w:p>
        </w:tc>
        <w:tc>
          <w:tcPr>
            <w:tcW w:w="580" w:type="dxa"/>
            <w:vAlign w:val="bottom"/>
            <w:vMerge w:val="continue"/>
          </w:tcPr>
          <w:p>
            <w:pPr>
              <w:spacing w:after="0"/>
              <w:rPr>
                <w:sz w:val="8"/>
                <w:szCs w:val="8"/>
                <w:color w:val="auto"/>
              </w:rPr>
            </w:pPr>
          </w:p>
        </w:tc>
        <w:tc>
          <w:tcPr>
            <w:tcW w:w="722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shd w:val="clear" w:color="auto" w:fill="005CB9"/>
          </w:tcPr>
          <w:p>
            <w:pPr>
              <w:spacing w:after="0"/>
              <w:rPr>
                <w:sz w:val="7"/>
                <w:szCs w:val="7"/>
                <w:color w:val="auto"/>
              </w:rPr>
            </w:pPr>
          </w:p>
        </w:tc>
        <w:tc>
          <w:tcPr>
            <w:tcW w:w="580" w:type="dxa"/>
            <w:vAlign w:val="bottom"/>
            <w:vMerge w:val="continue"/>
          </w:tcPr>
          <w:p>
            <w:pPr>
              <w:spacing w:after="0"/>
              <w:rPr>
                <w:sz w:val="7"/>
                <w:szCs w:val="7"/>
                <w:color w:val="auto"/>
              </w:rPr>
            </w:pPr>
          </w:p>
        </w:tc>
        <w:tc>
          <w:tcPr>
            <w:tcW w:w="7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-1302385</wp:posOffset>
            </wp:positionV>
            <wp:extent cx="8255" cy="1028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10287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-1302385</wp:posOffset>
            </wp:positionV>
            <wp:extent cx="8255" cy="1028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55" cy="10287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-1302385</wp:posOffset>
            </wp:positionV>
            <wp:extent cx="8255"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255" cy="10287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120" w:right="500"/>
        <w:spacing w:after="0" w:line="267" w:lineRule="auto"/>
        <w:rPr>
          <w:sz w:val="20"/>
          <w:szCs w:val="20"/>
          <w:color w:val="auto"/>
        </w:rPr>
      </w:pPr>
      <w:r>
        <w:rPr>
          <w:rFonts w:ascii="Arial" w:cs="Arial" w:eastAsia="Arial" w:hAnsi="Arial"/>
          <w:sz w:val="17"/>
          <w:szCs w:val="17"/>
          <w:color w:val="auto"/>
        </w:rPr>
        <w:t>As outlined in the graph below, $100 invested in Roper at the end of 2001 would have yielded an investor $2,523 as of December 31, 2023, compared to only $638 for the same investment in the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4903470" cy="3463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03470"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40" w:hanging="424"/>
        <w:spacing w:after="0"/>
        <w:tabs>
          <w:tab w:leader="none" w:pos="5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periods ending December 31 of the referenced year.</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Focus on Cash Generation</w:t>
      </w:r>
    </w:p>
    <w:p>
      <w:pPr>
        <w:spacing w:after="0" w:line="100"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color w:val="auto"/>
        </w:rPr>
        <w:t>We believe that cash generation is the best overall measure of our performance and far superior to other traditional financial metrics. Through a combination of strategic and operational excellence and disciplined capital deployment, Roper has historically delivered meaningful year-over-year increases in free cash flow. After servicing debt obligations and returning capital to our shareholders through dividends, excess cash flow is deployed to acquire high-quality companies with significant cash generation potential. We then provide these companies with oversight, guidance, and incentive systems to help drive profitable growth in our unique operating structure. This strategy has proven to be successful over the long-term, generating a compound annual shareholder return of 19.1% over the past 15 years.</w:t>
      </w:r>
    </w:p>
    <w:p>
      <w:pPr>
        <w:spacing w:after="0" w:line="137"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23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Strong 2023 Performance for Roper</w:t>
      </w:r>
    </w:p>
    <w:p>
      <w:pPr>
        <w:spacing w:after="0" w:line="100"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Roper experienced another excellent year highlighted by strong operational and strategic execution. Our strategic focus on asset-light, diversified technology businesses and our ability to generate and compound cash flow delivered another strong year of performance.</w:t>
      </w:r>
      <w:r>
        <w:rPr>
          <w:rFonts w:ascii="Arial" w:cs="Arial" w:eastAsia="Arial" w:hAnsi="Arial"/>
          <w:sz w:val="12"/>
          <w:szCs w:val="12"/>
          <w:color w:val="auto"/>
        </w:rPr>
        <w:t>(1)</w:t>
      </w:r>
    </w:p>
    <w:p>
      <w:pPr>
        <w:sectPr>
          <w:pgSz w:w="11900" w:h="16838" w:orient="portrait"/>
          <w:cols w:equalWidth="0" w:num="1">
            <w:col w:w="11080"/>
          </w:cols>
          <w:pgMar w:left="320" w:top="482" w:right="499" w:bottom="1440" w:gutter="0" w:footer="0" w:header="0"/>
        </w:sectPr>
      </w:pPr>
    </w:p>
    <w:p>
      <w:pPr>
        <w:spacing w:after="0" w:line="119" w:lineRule="exact"/>
        <w:rPr>
          <w:sz w:val="20"/>
          <w:szCs w:val="20"/>
          <w:color w:val="auto"/>
        </w:rPr>
      </w:pPr>
    </w:p>
    <w:p>
      <w:pPr>
        <w:ind w:left="320" w:right="80" w:hanging="204"/>
        <w:spacing w:after="0" w:line="267"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Annual shareholder return of 26.9% compared to 26.3% for the S&amp;P 500</w:t>
      </w:r>
    </w:p>
    <w:p>
      <w:pPr>
        <w:spacing w:after="0" w:line="64" w:lineRule="exact"/>
        <w:rPr>
          <w:rFonts w:ascii="Arial" w:cs="Arial" w:eastAsia="Arial" w:hAnsi="Arial"/>
          <w:sz w:val="17"/>
          <w:szCs w:val="17"/>
          <w:color w:val="auto"/>
        </w:rPr>
      </w:pPr>
    </w:p>
    <w:p>
      <w:pPr>
        <w:ind w:left="320" w:right="420" w:hanging="204"/>
        <w:spacing w:after="0" w:line="267"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GAAP revenue increased 15% to $6.18 billion with organic revenue up 8%</w:t>
      </w:r>
    </w:p>
    <w:p>
      <w:pPr>
        <w:spacing w:after="0" w:line="64" w:lineRule="exact"/>
        <w:rPr>
          <w:rFonts w:ascii="Arial" w:cs="Arial" w:eastAsia="Arial" w:hAnsi="Arial"/>
          <w:sz w:val="17"/>
          <w:szCs w:val="17"/>
          <w:color w:val="auto"/>
        </w:rPr>
      </w:pPr>
    </w:p>
    <w:p>
      <w:pPr>
        <w:ind w:left="320" w:right="60" w:hanging="204"/>
        <w:spacing w:after="0" w:line="267"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EBITDA increased 16% to $2.51 billion while adjusted EBITDA margin improved 20 basis points to 40.6%</w:t>
      </w:r>
    </w:p>
    <w:p>
      <w:pPr>
        <w:spacing w:after="0" w:line="64" w:lineRule="exact"/>
        <w:rPr>
          <w:rFonts w:ascii="Arial" w:cs="Arial" w:eastAsia="Arial" w:hAnsi="Arial"/>
          <w:sz w:val="17"/>
          <w:szCs w:val="17"/>
          <w:color w:val="auto"/>
        </w:rPr>
      </w:pPr>
    </w:p>
    <w:p>
      <w:pPr>
        <w:ind w:left="320" w:hanging="204"/>
        <w:spacing w:after="0" w:line="267"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operating cash flow increased 33% to $2.07 billion and adjusted free cash flow increased 32% to $1.96 billion</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06" w:hanging="206"/>
        <w:spacing w:after="0" w:line="244" w:lineRule="auto"/>
        <w:tabs>
          <w:tab w:leader="none" w:pos="2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Deployed $2.1 billion of capital toward vertical software acquisitions, highlighted by Syntellis Performance Solutions, which was successfully combined with our Strata Decision Technology business</w:t>
      </w:r>
    </w:p>
    <w:p>
      <w:pPr>
        <w:spacing w:after="0" w:line="82" w:lineRule="exact"/>
        <w:rPr>
          <w:rFonts w:ascii="Arial" w:cs="Arial" w:eastAsia="Arial" w:hAnsi="Arial"/>
          <w:sz w:val="17"/>
          <w:szCs w:val="17"/>
          <w:color w:val="auto"/>
        </w:rPr>
      </w:pPr>
    </w:p>
    <w:p>
      <w:pPr>
        <w:ind w:left="206" w:right="780" w:hanging="206"/>
        <w:spacing w:after="0" w:line="267" w:lineRule="auto"/>
        <w:tabs>
          <w:tab w:leader="none" w:pos="206"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Annual dividend increased by 10%, increasing for the 31</w:t>
      </w:r>
      <w:r>
        <w:rPr>
          <w:rFonts w:ascii="Arial" w:cs="Arial" w:eastAsia="Arial" w:hAnsi="Arial"/>
          <w:sz w:val="12"/>
          <w:szCs w:val="12"/>
          <w:color w:val="auto"/>
        </w:rPr>
        <w:t>st</w:t>
      </w:r>
      <w:r>
        <w:rPr>
          <w:rFonts w:ascii="Arial" w:cs="Arial" w:eastAsia="Arial" w:hAnsi="Arial"/>
          <w:sz w:val="17"/>
          <w:szCs w:val="17"/>
          <w:color w:val="auto"/>
        </w:rPr>
        <w:t xml:space="preserve"> consecutive year</w:t>
      </w:r>
    </w:p>
    <w:p>
      <w:pPr>
        <w:spacing w:after="0" w:line="820" w:lineRule="exact"/>
        <w:rPr>
          <w:sz w:val="20"/>
          <w:szCs w:val="20"/>
          <w:color w:val="auto"/>
        </w:rPr>
      </w:pPr>
    </w:p>
    <w:p>
      <w:pPr>
        <w:sectPr>
          <w:pgSz w:w="11900" w:h="16838" w:orient="portrait"/>
          <w:cols w:equalWidth="0" w:num="2">
            <w:col w:w="5160" w:space="574"/>
            <w:col w:w="5346"/>
          </w:cols>
          <w:pgMar w:left="320" w:top="482" w:right="499" w:bottom="1440" w:gutter="0" w:footer="0" w:header="0"/>
          <w:type w:val="continuous"/>
        </w:sectPr>
      </w:pPr>
    </w:p>
    <w:p>
      <w:pPr>
        <w:spacing w:after="0" w:line="26" w:lineRule="exact"/>
        <w:rPr>
          <w:sz w:val="20"/>
          <w:szCs w:val="20"/>
          <w:color w:val="auto"/>
        </w:rPr>
      </w:pPr>
    </w:p>
    <w:p>
      <w:pPr>
        <w:ind w:left="540" w:hanging="424"/>
        <w:spacing w:after="0" w:line="204" w:lineRule="auto"/>
        <w:tabs>
          <w:tab w:leader="none" w:pos="5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 continuing operations basis and an adjusted (non-GAAP) basis. A reconciliation from non-GAAP financial measures to the most comparable GAAP measure and other related information is available in “Appendix A—Reconciliations”.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Simple Strategy Rigorously Applied Drives Powerful Value Creation</w:t>
      </w:r>
    </w:p>
    <w:p>
      <w:pPr>
        <w:spacing w:after="0" w:line="100" w:lineRule="exact"/>
        <w:rPr>
          <w:sz w:val="20"/>
          <w:szCs w:val="20"/>
          <w:color w:val="auto"/>
        </w:rPr>
      </w:pPr>
    </w:p>
    <w:p>
      <w:pPr>
        <w:ind w:left="120" w:right="80"/>
        <w:spacing w:after="0" w:line="239" w:lineRule="auto"/>
        <w:rPr>
          <w:sz w:val="20"/>
          <w:szCs w:val="20"/>
          <w:color w:val="auto"/>
        </w:rPr>
      </w:pPr>
      <w:r>
        <w:rPr>
          <w:rFonts w:ascii="Arial" w:cs="Arial" w:eastAsia="Arial" w:hAnsi="Arial"/>
          <w:sz w:val="17"/>
          <w:szCs w:val="17"/>
          <w:color w:val="auto"/>
        </w:rPr>
        <w:t>Roper has a simple and successful business model that is unique among vertical software and technology-enabled products companies. We operate high-margin, high cash-generating, asset-light businesses across a wide range of diverse end-markets. Our high-performing businesses generate excess free cash flow that our executive team deploys to acquire additional high-performing businesses. This creates a “compounding effect” for cash flow that drives long-term value creation. Despite recently completing the divestiture of businesses that represented over 30% of our 2019 revenue, our adjusted free cash flow increased from $759 million in 2013 to $1.962 billion in 2023 (on a continuing operations basis), a compound annual growth rate of 10% driven by our combination of outstanding business performance and value-creating capital deployment.</w:t>
      </w: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129540</wp:posOffset>
            </wp:positionV>
            <wp:extent cx="4114800" cy="2400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1148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Note: Free Cash Flow = Cash from Operations less Capital Expenditures less Capitalized Software Expenditures.</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*Amounts provided for fiscal year 2023 exclude cash taxes paid on sale of discontinued operations.</w:t>
      </w:r>
    </w:p>
    <w:p>
      <w:pPr>
        <w:spacing w:after="0" w:line="82" w:lineRule="exact"/>
        <w:rPr>
          <w:sz w:val="20"/>
          <w:szCs w:val="20"/>
          <w:color w:val="auto"/>
        </w:rPr>
      </w:pPr>
    </w:p>
    <w:p>
      <w:pPr>
        <w:ind w:left="540" w:right="700" w:hanging="424"/>
        <w:spacing w:after="0" w:line="204" w:lineRule="auto"/>
        <w:tabs>
          <w:tab w:leader="none" w:pos="54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This financial information is presented on an adjusted (non-GAAP) and consolidated basis. A reconciliation from non-GAAP financial measures to the most comparable GAAP measure and other related information is available in “Appendix A—Reconciliations”.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080"/>
          </w:cols>
          <w:pgMar w:left="320" w:top="482" w:right="49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Market Capitalization Growth</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Roper’s market capitalization has increased approximately $53 billion since January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164465</wp:posOffset>
            </wp:positionV>
            <wp:extent cx="5100320" cy="3703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00320" cy="3703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Chart reflects ending period as December 31, 2023.</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Key Metric: Cash Return on Investment</w:t>
      </w:r>
    </w:p>
    <w:p>
      <w:pPr>
        <w:spacing w:after="0" w:line="100" w:lineRule="exact"/>
        <w:rPr>
          <w:sz w:val="20"/>
          <w:szCs w:val="20"/>
          <w:color w:val="auto"/>
        </w:rPr>
      </w:pPr>
    </w:p>
    <w:p>
      <w:pPr>
        <w:ind w:left="120" w:right="320"/>
        <w:spacing w:after="0" w:line="249" w:lineRule="auto"/>
        <w:rPr>
          <w:sz w:val="20"/>
          <w:szCs w:val="20"/>
          <w:color w:val="auto"/>
        </w:rPr>
      </w:pPr>
      <w:r>
        <w:rPr>
          <w:rFonts w:ascii="Arial" w:cs="Arial" w:eastAsia="Arial" w:hAnsi="Arial"/>
          <w:sz w:val="17"/>
          <w:szCs w:val="17"/>
          <w:color w:val="auto"/>
        </w:rPr>
        <w:t>In addition to cash flow, Cash Return on Investment (“CRI”) is one of the key metrics we use to measure the performance and value of our operating businesses and potential acquisitions. CRI measures the quality of a business’s cash flow. Our business leaders, executive leaders, and Board of Directors focus on cash flow growth and disciplined investments targeted to enhance value.</w:t>
      </w:r>
    </w:p>
    <w:p>
      <w:pPr>
        <w:spacing w:after="0" w:line="80" w:lineRule="exact"/>
        <w:rPr>
          <w:sz w:val="20"/>
          <w:szCs w:val="20"/>
          <w:color w:val="auto"/>
        </w:rPr>
      </w:pPr>
    </w:p>
    <w:p>
      <w:pPr>
        <w:ind w:left="340" w:right="400" w:hanging="224"/>
        <w:spacing w:after="0" w:line="267"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CRI is highly correlated to shareholder value creation and we believe our strategy of improving CRI has been a key driver of our long-term performance.</w:t>
      </w:r>
    </w:p>
    <w:p>
      <w:pPr>
        <w:spacing w:after="0" w:line="64" w:lineRule="exact"/>
        <w:rPr>
          <w:rFonts w:ascii="Arial" w:cs="Arial" w:eastAsia="Arial" w:hAnsi="Arial"/>
          <w:sz w:val="17"/>
          <w:szCs w:val="17"/>
          <w:color w:val="auto"/>
        </w:rPr>
      </w:pPr>
    </w:p>
    <w:p>
      <w:pPr>
        <w:ind w:left="340" w:right="60" w:hanging="224"/>
        <w:spacing w:after="0" w:line="249"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CRI discipline, as applied throughout the organization, allows Roper to focus our investment on areas that will increase shareholder value, drive cash flow growth, create intellectual property and extend networks, expand competitive advantages, and minimize physical and working capital assets.</w:t>
      </w:r>
    </w:p>
    <w:p>
      <w:pPr>
        <w:spacing w:after="0" w:line="80" w:lineRule="exact"/>
        <w:rPr>
          <w:rFonts w:ascii="Arial" w:cs="Arial" w:eastAsia="Arial" w:hAnsi="Arial"/>
          <w:sz w:val="17"/>
          <w:szCs w:val="17"/>
          <w:color w:val="auto"/>
        </w:rPr>
      </w:pPr>
    </w:p>
    <w:p>
      <w:pPr>
        <w:ind w:left="340" w:right="280" w:hanging="224"/>
        <w:spacing w:after="0" w:line="267"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Through a combination of internal improvements and disciplined capital deployment, Roper has improved CRI dramatically over the past 20 years, a key driver of our strong shareholder returns over the same period.</w:t>
      </w:r>
    </w:p>
    <w:p>
      <w:pPr>
        <w:spacing w:after="0" w:line="114"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25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Acquisition-Focused Capital Deployment</w:t>
      </w:r>
    </w:p>
    <w:p>
      <w:pPr>
        <w:spacing w:after="0" w:line="100" w:lineRule="exact"/>
        <w:rPr>
          <w:sz w:val="20"/>
          <w:szCs w:val="20"/>
          <w:color w:val="auto"/>
        </w:rPr>
      </w:pPr>
    </w:p>
    <w:p>
      <w:pPr>
        <w:ind w:left="120" w:right="320"/>
        <w:spacing w:after="0" w:line="244" w:lineRule="auto"/>
        <w:rPr>
          <w:sz w:val="20"/>
          <w:szCs w:val="20"/>
          <w:color w:val="auto"/>
        </w:rPr>
      </w:pPr>
      <w:r>
        <w:rPr>
          <w:rFonts w:ascii="Arial" w:cs="Arial" w:eastAsia="Arial" w:hAnsi="Arial"/>
          <w:sz w:val="17"/>
          <w:szCs w:val="17"/>
          <w:color w:val="auto"/>
        </w:rPr>
        <w:t>We deploy the majority of our free cash flow toward acquisitions to generate long-term growth and create long-term shareholder value. Unlike most other large corporations, we have a small and nimble corporate development and merger-and-acquisition team. Our CEO and other top executives are responsible for the disciplined deployment of capital through acquisitions. As such, our executives must be well versed at improving operations and optimizing capital deployment, as both are significant contributors to value creation for our shareholders.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Though some peers and other observers choose Economic Value Added (“EVA”) as a measure of performance, we believe that such a metric inappropriately penalizes companies, such as Roper, that emphasize capital deployment as a significant driver of shareholder value. For example, because EVA assigns a weighted average cost of capital to an acquisition, each acquisition that Roper makes is likely to be detrimental to its EVA for several years. However, Roper’s long-term success in driving superior returns for its shareholders while following its disciplined acquisition program demonstrates the challenges of EVA when applied to Roper’s strategic capital deployment business model. We believe that if Roper had directed excess cash flow for EVA-accretive uses, such as share repurchases, rather than compounding cash flow through cash generating acquisitions, the Company’s long-term shareholder returns would have been considerably lower. As such, the Company will continue to adhere to its proven strategy of combining operational excellence with prudent capital deployment in order to deliver superior returns to its shareholders.</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OVERVIEW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54610</wp:posOffset>
            </wp:positionV>
            <wp:extent cx="7011670" cy="3308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11670" cy="3308350"/>
                    </a:xfrm>
                    <a:prstGeom prst="rect">
                      <a:avLst/>
                    </a:prstGeom>
                    <a:noFill/>
                  </pic:spPr>
                </pic:pic>
              </a:graphicData>
            </a:graphic>
          </wp:anchor>
        </w:drawing>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005CB9"/>
        </w:rPr>
        <w:t>Consideration of Say-on-Pay Vote</w:t>
      </w:r>
    </w:p>
    <w:p>
      <w:pPr>
        <w:spacing w:after="0" w:line="100" w:lineRule="exact"/>
        <w:rPr>
          <w:sz w:val="20"/>
          <w:szCs w:val="20"/>
          <w:color w:val="auto"/>
        </w:rPr>
      </w:pPr>
    </w:p>
    <w:p>
      <w:pPr>
        <w:jc w:val="both"/>
        <w:ind w:left="240" w:right="320"/>
        <w:spacing w:after="0" w:line="239" w:lineRule="auto"/>
        <w:rPr>
          <w:sz w:val="20"/>
          <w:szCs w:val="20"/>
          <w:color w:val="auto"/>
        </w:rPr>
      </w:pPr>
      <w:r>
        <w:rPr>
          <w:rFonts w:ascii="Arial" w:cs="Arial" w:eastAsia="Arial" w:hAnsi="Arial"/>
          <w:sz w:val="17"/>
          <w:szCs w:val="17"/>
          <w:color w:val="auto"/>
        </w:rPr>
        <w:t>At the 2023 Annual Meeting of Shareholders, over 93% of the votes cast were in favor of the advisory vote to approve our named executive officer compensation, compared to over 90% in 2022, and over 84% in 2021. The Compensation Committee believes the Say-on-Pay vote continues to reflect the solid support of our shareholders for our long-standing pay-for-performance philosophy and approach of integrating executive compensation with our value creation model, as well as for recent changes to our executive compensation program. As we did in 2022, we reached out to several of our largest shareholders who we believed voted against the compensation program to better understand and address their concerns.</w:t>
      </w:r>
    </w:p>
    <w:p>
      <w:pPr>
        <w:spacing w:after="0" w:line="74" w:lineRule="exact"/>
        <w:rPr>
          <w:sz w:val="20"/>
          <w:szCs w:val="20"/>
          <w:color w:val="auto"/>
        </w:rPr>
      </w:pPr>
    </w:p>
    <w:p>
      <w:pPr>
        <w:ind w:left="240" w:right="480"/>
        <w:spacing w:after="0" w:line="267" w:lineRule="auto"/>
        <w:rPr>
          <w:sz w:val="20"/>
          <w:szCs w:val="20"/>
          <w:color w:val="auto"/>
        </w:rPr>
      </w:pPr>
      <w:r>
        <w:rPr>
          <w:rFonts w:ascii="Arial" w:cs="Arial" w:eastAsia="Arial" w:hAnsi="Arial"/>
          <w:sz w:val="17"/>
          <w:szCs w:val="17"/>
          <w:color w:val="auto"/>
        </w:rPr>
        <w:t>Roper has implemented numerous changes over the past several years to our executive compensation program to help ensure it remains closely aligned with the long-term interests of our shareholders:</w:t>
      </w:r>
    </w:p>
    <w:p>
      <w:pPr>
        <w:spacing w:after="0" w:line="65" w:lineRule="exact"/>
        <w:rPr>
          <w:sz w:val="20"/>
          <w:szCs w:val="20"/>
          <w:color w:val="auto"/>
        </w:rPr>
      </w:pPr>
    </w:p>
    <w:p>
      <w:pPr>
        <w:ind w:left="460" w:right="200" w:hanging="218"/>
        <w:spacing w:after="0" w:line="26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100% of restricted shares are performance-based, with all vesting contingent upon meeting multi-year EBITDA and relative operating cash flow margin performance requirements.</w:t>
      </w:r>
    </w:p>
    <w:p>
      <w:pPr>
        <w:spacing w:after="0" w:line="64" w:lineRule="exact"/>
        <w:rPr>
          <w:rFonts w:ascii="Arial" w:cs="Arial" w:eastAsia="Arial" w:hAnsi="Arial"/>
          <w:sz w:val="17"/>
          <w:szCs w:val="17"/>
          <w:color w:val="auto"/>
        </w:rPr>
      </w:pPr>
    </w:p>
    <w:p>
      <w:pPr>
        <w:ind w:left="460" w:right="500" w:hanging="218"/>
        <w:spacing w:after="0" w:line="26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 2022, we increased the rigor of the performance criteria applicable to both the annual cash incentive and the long-term performance based restricted stock awards.</w:t>
      </w:r>
    </w:p>
    <w:p>
      <w:pPr>
        <w:spacing w:after="0" w:line="64" w:lineRule="exact"/>
        <w:rPr>
          <w:rFonts w:ascii="Arial" w:cs="Arial" w:eastAsia="Arial" w:hAnsi="Arial"/>
          <w:sz w:val="17"/>
          <w:szCs w:val="17"/>
          <w:color w:val="auto"/>
        </w:rPr>
      </w:pPr>
    </w:p>
    <w:p>
      <w:pPr>
        <w:ind w:left="460" w:hanging="218"/>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Only stock options, which are inherently performance-based, vest by continued time-based service alone.</w:t>
      </w:r>
    </w:p>
    <w:p>
      <w:pPr>
        <w:spacing w:after="0" w:line="115" w:lineRule="exact"/>
        <w:rPr>
          <w:rFonts w:ascii="Arial" w:cs="Arial" w:eastAsia="Arial" w:hAnsi="Arial"/>
          <w:sz w:val="17"/>
          <w:szCs w:val="17"/>
          <w:color w:val="auto"/>
        </w:rPr>
      </w:pPr>
    </w:p>
    <w:p>
      <w:pPr>
        <w:ind w:left="460" w:right="480" w:hanging="218"/>
        <w:spacing w:after="0" w:line="267"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Beginning in 2022, equity awards made to all named executive officers may vest only at the end of a three-year period. Previously only awards made to the CEO were subject to vesting at the end of a three-year period.</w:t>
      </w:r>
    </w:p>
    <w:p>
      <w:pPr>
        <w:spacing w:after="0" w:line="64" w:lineRule="exact"/>
        <w:rPr>
          <w:rFonts w:ascii="Arial" w:cs="Arial" w:eastAsia="Arial" w:hAnsi="Arial"/>
          <w:sz w:val="17"/>
          <w:szCs w:val="17"/>
          <w:color w:val="auto"/>
        </w:rPr>
      </w:pPr>
    </w:p>
    <w:p>
      <w:pPr>
        <w:ind w:left="460" w:hanging="218"/>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Dividends on restricted shares are not paid until the shares are earned and are forfeited if shares are not earned.</w:t>
      </w:r>
    </w:p>
    <w:p>
      <w:pPr>
        <w:spacing w:after="0" w:line="115" w:lineRule="exact"/>
        <w:rPr>
          <w:rFonts w:ascii="Arial" w:cs="Arial" w:eastAsia="Arial" w:hAnsi="Arial"/>
          <w:sz w:val="17"/>
          <w:szCs w:val="17"/>
          <w:color w:val="auto"/>
        </w:rPr>
      </w:pPr>
    </w:p>
    <w:p>
      <w:pPr>
        <w:ind w:left="460" w:right="400" w:hanging="218"/>
        <w:spacing w:after="0" w:line="249" w:lineRule="auto"/>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Starting in 2017, the operating cash flow less capital expenditures and capitalized software (measured as a percentage of revenue) was changed from an internal goal to relative performance against an external benchmark with 50</w:t>
      </w:r>
      <w:r>
        <w:rPr>
          <w:rFonts w:ascii="Arial" w:cs="Arial" w:eastAsia="Arial" w:hAnsi="Arial"/>
          <w:sz w:val="12"/>
          <w:szCs w:val="12"/>
          <w:color w:val="auto"/>
        </w:rPr>
        <w:t>th</w:t>
      </w:r>
      <w:r>
        <w:rPr>
          <w:rFonts w:ascii="Arial" w:cs="Arial" w:eastAsia="Arial" w:hAnsi="Arial"/>
          <w:sz w:val="17"/>
          <w:szCs w:val="17"/>
          <w:color w:val="auto"/>
        </w:rPr>
        <w:t xml:space="preserve"> percentile performance required for any portion of the restricted shares to vest and 75</w:t>
      </w:r>
      <w:r>
        <w:rPr>
          <w:rFonts w:ascii="Arial" w:cs="Arial" w:eastAsia="Arial" w:hAnsi="Arial"/>
          <w:sz w:val="12"/>
          <w:szCs w:val="12"/>
          <w:color w:val="auto"/>
        </w:rPr>
        <w:t>th</w:t>
      </w:r>
      <w:r>
        <w:rPr>
          <w:rFonts w:ascii="Arial" w:cs="Arial" w:eastAsia="Arial" w:hAnsi="Arial"/>
          <w:sz w:val="17"/>
          <w:szCs w:val="17"/>
          <w:color w:val="auto"/>
        </w:rPr>
        <w:t xml:space="preserve"> percentile performance required for full vesting.</w:t>
      </w:r>
    </w:p>
    <w:p>
      <w:pPr>
        <w:spacing w:after="0" w:line="80" w:lineRule="exact"/>
        <w:rPr>
          <w:rFonts w:ascii="Arial" w:cs="Arial" w:eastAsia="Arial" w:hAnsi="Arial"/>
          <w:sz w:val="17"/>
          <w:szCs w:val="17"/>
          <w:color w:val="auto"/>
        </w:rPr>
      </w:pPr>
    </w:p>
    <w:p>
      <w:pPr>
        <w:ind w:left="460" w:hanging="218"/>
        <w:spacing w:after="0"/>
        <w:tabs>
          <w:tab w:leader="none" w:pos="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95% of our CEO’s compensation is subject to performance risk and tied to financial results and stock price.</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005CB9"/>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-77470</wp:posOffset>
            </wp:positionV>
            <wp:extent cx="522605" cy="2825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22605" cy="282575"/>
                    </a:xfrm>
                    <a:prstGeom prst="rect">
                      <a:avLst/>
                    </a:prstGeom>
                    <a:noFill/>
                  </pic:spPr>
                </pic:pic>
              </a:graphicData>
            </a:graphic>
          </wp:anchor>
        </w:drawing>
      </w:r>
    </w:p>
    <w:p>
      <w:pPr>
        <w:ind w:left="120"/>
        <w:spacing w:after="0" w:line="181" w:lineRule="auto"/>
        <w:tabs>
          <w:tab w:leader="none" w:pos="1380" w:val="left"/>
        </w:tabs>
        <w:rPr>
          <w:sz w:val="20"/>
          <w:szCs w:val="20"/>
          <w:color w:val="auto"/>
        </w:rPr>
      </w:pPr>
      <w:r>
        <w:rPr>
          <w:rFonts w:ascii="Arial" w:cs="Arial" w:eastAsia="Arial" w:hAnsi="Arial"/>
          <w:sz w:val="14"/>
          <w:szCs w:val="14"/>
          <w:b w:val="1"/>
          <w:bCs w:val="1"/>
          <w:color w:val="005CB9"/>
        </w:rPr>
        <w:t>26</w:t>
      </w:r>
      <w:r>
        <w:rPr>
          <w:sz w:val="20"/>
          <w:szCs w:val="20"/>
          <w:color w:val="auto"/>
        </w:rPr>
        <w:tab/>
      </w:r>
      <w:r>
        <w:rPr>
          <w:rFonts w:ascii="Arial" w:cs="Arial" w:eastAsia="Arial" w:hAnsi="Arial"/>
          <w:sz w:val="14"/>
          <w:szCs w:val="14"/>
          <w:b w:val="1"/>
          <w:bCs w:val="1"/>
          <w:color w:val="005CB9"/>
        </w:rPr>
        <w:t>   Roper Technologies, Inc. 2024 Proxy Statement</w:t>
      </w:r>
    </w:p>
    <w:p>
      <w:pPr>
        <w:ind w:left="580"/>
        <w:spacing w:after="0"/>
        <w:rPr>
          <w:sz w:val="20"/>
          <w:szCs w:val="20"/>
          <w:color w:val="auto"/>
        </w:rPr>
      </w:pPr>
      <w:r>
        <w:rPr>
          <w:rFonts w:ascii="Arial" w:cs="Arial" w:eastAsia="Arial" w:hAnsi="Arial"/>
          <w:sz w:val="16"/>
          <w:szCs w:val="16"/>
          <w:b w:val="1"/>
          <w:bCs w:val="1"/>
          <w:color w:val="005CB9"/>
        </w:rPr>
        <w:t xml:space="preserve">  </w:t>
      </w:r>
    </w:p>
    <w:p>
      <w:pPr>
        <w:sectPr>
          <w:pgSz w:w="11900" w:h="16838" w:orient="portrait"/>
          <w:cols w:equalWidth="0" w:num="1">
            <w:col w:w="11100"/>
          </w:cols>
          <w:pgMar w:left="320" w:top="482" w:right="4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Checklist of Compensation Practices</w:t>
      </w:r>
    </w:p>
    <w:p>
      <w:pPr>
        <w:spacing w:after="0" w:line="100"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Consistent with shareholder interests and market best practices, positive features of our executive compensation program are identified below, as well as problematic pay practices we do not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132080</wp:posOffset>
            </wp:positionV>
            <wp:extent cx="7020560" cy="32188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20560" cy="3218815"/>
                    </a:xfrm>
                    <a:prstGeom prst="rect">
                      <a:avLst/>
                    </a:prstGeom>
                    <a:noFill/>
                  </pic:spPr>
                </pic:pic>
              </a:graphicData>
            </a:graphic>
          </wp:anchor>
        </w:drawing>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432"/>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spacing w:after="0"/>
              <w:rPr>
                <w:sz w:val="24"/>
                <w:szCs w:val="24"/>
                <w:color w:val="auto"/>
              </w:rPr>
            </w:pP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60" w:type="dxa"/>
            <w:vAlign w:val="bottom"/>
            <w:shd w:val="clear" w:color="auto" w:fill="005CB9"/>
          </w:tcPr>
          <w:p>
            <w:pPr>
              <w:spacing w:after="0"/>
              <w:rPr>
                <w:sz w:val="24"/>
                <w:szCs w:val="24"/>
                <w:color w:val="auto"/>
              </w:rPr>
            </w:pPr>
          </w:p>
        </w:tc>
        <w:tc>
          <w:tcPr>
            <w:tcW w:w="5460" w:type="dxa"/>
            <w:vAlign w:val="bottom"/>
            <w:shd w:val="clear" w:color="auto" w:fill="005CB9"/>
          </w:tcPr>
          <w:p>
            <w:pPr>
              <w:ind w:left="1920"/>
              <w:spacing w:after="0"/>
              <w:rPr>
                <w:sz w:val="20"/>
                <w:szCs w:val="20"/>
                <w:color w:val="auto"/>
              </w:rPr>
            </w:pPr>
            <w:r>
              <w:rPr>
                <w:rFonts w:ascii="Arial" w:cs="Arial" w:eastAsia="Arial" w:hAnsi="Arial"/>
                <w:sz w:val="25"/>
                <w:szCs w:val="25"/>
                <w:b w:val="1"/>
                <w:bCs w:val="1"/>
                <w:color w:val="FFFFFF"/>
              </w:rPr>
              <w:t>What We Do</w:t>
            </w:r>
          </w:p>
        </w:tc>
        <w:tc>
          <w:tcPr>
            <w:tcW w:w="120" w:type="dxa"/>
            <w:vAlign w:val="bottom"/>
            <w:shd w:val="clear" w:color="auto" w:fill="005CB9"/>
          </w:tcPr>
          <w:p>
            <w:pPr>
              <w:spacing w:after="0"/>
              <w:rPr>
                <w:sz w:val="24"/>
                <w:szCs w:val="24"/>
                <w:color w:val="auto"/>
              </w:rPr>
            </w:pPr>
          </w:p>
        </w:tc>
        <w:tc>
          <w:tcPr>
            <w:tcW w:w="5280" w:type="dxa"/>
            <w:vAlign w:val="bottom"/>
            <w:shd w:val="clear" w:color="auto" w:fill="005CB9"/>
          </w:tcPr>
          <w:p>
            <w:pPr>
              <w:ind w:left="1540"/>
              <w:spacing w:after="0"/>
              <w:rPr>
                <w:sz w:val="20"/>
                <w:szCs w:val="20"/>
                <w:color w:val="auto"/>
              </w:rPr>
            </w:pPr>
            <w:r>
              <w:rPr>
                <w:rFonts w:ascii="Arial" w:cs="Arial" w:eastAsia="Arial" w:hAnsi="Arial"/>
                <w:sz w:val="25"/>
                <w:szCs w:val="25"/>
                <w:b w:val="1"/>
                <w:bCs w:val="1"/>
                <w:color w:val="FFFFFF"/>
              </w:rPr>
              <w:t>What We Don’t Do</w:t>
            </w:r>
          </w:p>
        </w:tc>
        <w:tc>
          <w:tcPr>
            <w:tcW w:w="0" w:type="dxa"/>
            <w:vAlign w:val="bottom"/>
          </w:tcPr>
          <w:p>
            <w:pPr>
              <w:spacing w:after="0"/>
              <w:rPr>
                <w:sz w:val="1"/>
                <w:szCs w:val="1"/>
                <w:color w:val="auto"/>
              </w:rPr>
            </w:pPr>
          </w:p>
        </w:tc>
      </w:tr>
      <w:tr>
        <w:trPr>
          <w:trHeight w:val="188"/>
        </w:trPr>
        <w:tc>
          <w:tcPr>
            <w:tcW w:w="160" w:type="dxa"/>
            <w:vAlign w:val="bottom"/>
            <w:shd w:val="clear" w:color="auto" w:fill="E5EEF8"/>
          </w:tcPr>
          <w:p>
            <w:pPr>
              <w:spacing w:after="0"/>
              <w:rPr>
                <w:sz w:val="16"/>
                <w:szCs w:val="16"/>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Substantially all compensation for named executive officers is tied to</w:t>
            </w:r>
          </w:p>
        </w:tc>
        <w:tc>
          <w:tcPr>
            <w:tcW w:w="120" w:type="dxa"/>
            <w:vAlign w:val="bottom"/>
            <w:shd w:val="clear" w:color="auto" w:fill="E5EEF8"/>
          </w:tcPr>
          <w:p>
            <w:pPr>
              <w:spacing w:after="0"/>
              <w:rPr>
                <w:sz w:val="16"/>
                <w:szCs w:val="16"/>
                <w:color w:val="auto"/>
              </w:rPr>
            </w:pPr>
          </w:p>
        </w:tc>
        <w:tc>
          <w:tcPr>
            <w:tcW w:w="5280" w:type="dxa"/>
            <w:vAlign w:val="bottom"/>
          </w:tcPr>
          <w:p>
            <w:pPr>
              <w:spacing w:after="0" w:line="188" w:lineRule="exact"/>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payment of dividends on performance-based restricted stock</w:t>
            </w:r>
          </w:p>
        </w:tc>
        <w:tc>
          <w:tcPr>
            <w:tcW w:w="0" w:type="dxa"/>
            <w:vAlign w:val="bottom"/>
          </w:tcPr>
          <w:p>
            <w:pPr>
              <w:spacing w:after="0"/>
              <w:rPr>
                <w:sz w:val="1"/>
                <w:szCs w:val="1"/>
                <w:color w:val="auto"/>
              </w:rPr>
            </w:pPr>
          </w:p>
        </w:tc>
      </w:tr>
      <w:tr>
        <w:trPr>
          <w:trHeight w:val="242"/>
        </w:trPr>
        <w:tc>
          <w:tcPr>
            <w:tcW w:w="160" w:type="dxa"/>
            <w:vAlign w:val="bottom"/>
            <w:shd w:val="clear" w:color="auto" w:fill="E5EEF8"/>
          </w:tcPr>
          <w:p>
            <w:pPr>
              <w:spacing w:after="0"/>
              <w:rPr>
                <w:sz w:val="21"/>
                <w:szCs w:val="21"/>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performance.</w:t>
            </w:r>
          </w:p>
        </w:tc>
        <w:tc>
          <w:tcPr>
            <w:tcW w:w="120" w:type="dxa"/>
            <w:vAlign w:val="bottom"/>
            <w:shd w:val="clear" w:color="auto" w:fill="E5EEF8"/>
          </w:tcPr>
          <w:p>
            <w:pPr>
              <w:spacing w:after="0"/>
              <w:rPr>
                <w:sz w:val="21"/>
                <w:szCs w:val="21"/>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awards until earned.</w:t>
            </w:r>
          </w:p>
        </w:tc>
        <w:tc>
          <w:tcPr>
            <w:tcW w:w="0" w:type="dxa"/>
            <w:vAlign w:val="bottom"/>
          </w:tcPr>
          <w:p>
            <w:pPr>
              <w:spacing w:after="0"/>
              <w:rPr>
                <w:sz w:val="1"/>
                <w:szCs w:val="1"/>
                <w:color w:val="auto"/>
              </w:rPr>
            </w:pPr>
          </w:p>
        </w:tc>
      </w:tr>
      <w:tr>
        <w:trPr>
          <w:trHeight w:val="326"/>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Performance-based vesting requirements apply to 100% of restricted</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defined-benefit pension plan or SERPs for named executive</w:t>
            </w:r>
          </w:p>
        </w:tc>
        <w:tc>
          <w:tcPr>
            <w:tcW w:w="0" w:type="dxa"/>
            <w:vAlign w:val="bottom"/>
          </w:tcPr>
          <w:p>
            <w:pPr>
              <w:spacing w:after="0"/>
              <w:rPr>
                <w:sz w:val="1"/>
                <w:szCs w:val="1"/>
                <w:color w:val="auto"/>
              </w:rPr>
            </w:pPr>
          </w:p>
        </w:tc>
      </w:tr>
      <w:tr>
        <w:trPr>
          <w:trHeight w:val="203"/>
        </w:trPr>
        <w:tc>
          <w:tcPr>
            <w:tcW w:w="160" w:type="dxa"/>
            <w:vAlign w:val="bottom"/>
            <w:shd w:val="clear" w:color="auto" w:fill="E5EEF8"/>
          </w:tcPr>
          <w:p>
            <w:pPr>
              <w:spacing w:after="0"/>
              <w:rPr>
                <w:sz w:val="17"/>
                <w:szCs w:val="17"/>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stock awards (no time vesting alone).</w:t>
            </w:r>
          </w:p>
        </w:tc>
        <w:tc>
          <w:tcPr>
            <w:tcW w:w="120" w:type="dxa"/>
            <w:vAlign w:val="bottom"/>
            <w:shd w:val="clear" w:color="auto" w:fill="E5EEF8"/>
          </w:tcPr>
          <w:p>
            <w:pPr>
              <w:spacing w:after="0"/>
              <w:rPr>
                <w:sz w:val="17"/>
                <w:szCs w:val="17"/>
                <w:color w:val="auto"/>
              </w:rPr>
            </w:pPr>
          </w:p>
        </w:tc>
        <w:tc>
          <w:tcPr>
            <w:tcW w:w="5280" w:type="dxa"/>
            <w:vAlign w:val="bottom"/>
            <w:vMerge w:val="restart"/>
          </w:tcPr>
          <w:p>
            <w:pPr>
              <w:ind w:left="240"/>
              <w:spacing w:after="0"/>
              <w:rPr>
                <w:sz w:val="20"/>
                <w:szCs w:val="20"/>
                <w:color w:val="auto"/>
              </w:rPr>
            </w:pPr>
            <w:r>
              <w:rPr>
                <w:rFonts w:ascii="Arial" w:cs="Arial" w:eastAsia="Arial" w:hAnsi="Arial"/>
                <w:sz w:val="16"/>
                <w:szCs w:val="16"/>
                <w:color w:val="auto"/>
              </w:rPr>
              <w:t>officers.</w:t>
            </w:r>
          </w:p>
        </w:tc>
        <w:tc>
          <w:tcPr>
            <w:tcW w:w="0" w:type="dxa"/>
            <w:vAlign w:val="bottom"/>
          </w:tcPr>
          <w:p>
            <w:pPr>
              <w:spacing w:after="0"/>
              <w:rPr>
                <w:sz w:val="1"/>
                <w:szCs w:val="1"/>
                <w:color w:val="auto"/>
              </w:rPr>
            </w:pPr>
          </w:p>
        </w:tc>
      </w:tr>
      <w:tr>
        <w:trPr>
          <w:trHeight w:val="52"/>
        </w:trPr>
        <w:tc>
          <w:tcPr>
            <w:tcW w:w="160" w:type="dxa"/>
            <w:vAlign w:val="bottom"/>
            <w:shd w:val="clear" w:color="auto" w:fill="E5EEF8"/>
          </w:tcPr>
          <w:p>
            <w:pPr>
              <w:spacing w:after="0"/>
              <w:rPr>
                <w:sz w:val="4"/>
                <w:szCs w:val="4"/>
                <w:color w:val="auto"/>
              </w:rPr>
            </w:pPr>
          </w:p>
        </w:tc>
        <w:tc>
          <w:tcPr>
            <w:tcW w:w="5460" w:type="dxa"/>
            <w:vAlign w:val="bottom"/>
          </w:tcPr>
          <w:p>
            <w:pPr>
              <w:spacing w:after="0"/>
              <w:rPr>
                <w:sz w:val="4"/>
                <w:szCs w:val="4"/>
                <w:color w:val="auto"/>
              </w:rPr>
            </w:pPr>
          </w:p>
        </w:tc>
        <w:tc>
          <w:tcPr>
            <w:tcW w:w="120" w:type="dxa"/>
            <w:vAlign w:val="bottom"/>
            <w:shd w:val="clear" w:color="auto" w:fill="E5EEF8"/>
          </w:tcPr>
          <w:p>
            <w:pPr>
              <w:spacing w:after="0"/>
              <w:rPr>
                <w:sz w:val="4"/>
                <w:szCs w:val="4"/>
                <w:color w:val="auto"/>
              </w:rPr>
            </w:pPr>
          </w:p>
        </w:tc>
        <w:tc>
          <w:tcPr>
            <w:tcW w:w="5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CEO special long-term cash bonus based on five-year results to</w:t>
            </w:r>
          </w:p>
        </w:tc>
        <w:tc>
          <w:tcPr>
            <w:tcW w:w="120" w:type="dxa"/>
            <w:vAlign w:val="bottom"/>
            <w:shd w:val="clear" w:color="auto" w:fill="E5EEF8"/>
          </w:tcPr>
          <w:p>
            <w:pPr>
              <w:spacing w:after="0"/>
              <w:rPr>
                <w:sz w:val="24"/>
                <w:szCs w:val="24"/>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“single trigger” equity vesting upon change-in-control.</w:t>
            </w:r>
          </w:p>
        </w:tc>
        <w:tc>
          <w:tcPr>
            <w:tcW w:w="0" w:type="dxa"/>
            <w:vAlign w:val="bottom"/>
          </w:tcPr>
          <w:p>
            <w:pPr>
              <w:spacing w:after="0"/>
              <w:rPr>
                <w:sz w:val="1"/>
                <w:szCs w:val="1"/>
                <w:color w:val="auto"/>
              </w:rPr>
            </w:pPr>
          </w:p>
        </w:tc>
      </w:tr>
      <w:tr>
        <w:trPr>
          <w:trHeight w:val="101"/>
        </w:trPr>
        <w:tc>
          <w:tcPr>
            <w:tcW w:w="160" w:type="dxa"/>
            <w:vAlign w:val="bottom"/>
            <w:shd w:val="clear" w:color="auto" w:fill="E5EEF8"/>
          </w:tcPr>
          <w:p>
            <w:pPr>
              <w:spacing w:after="0"/>
              <w:rPr>
                <w:sz w:val="8"/>
                <w:szCs w:val="8"/>
                <w:color w:val="auto"/>
              </w:rPr>
            </w:pPr>
          </w:p>
        </w:tc>
        <w:tc>
          <w:tcPr>
            <w:tcW w:w="5460" w:type="dxa"/>
            <w:vAlign w:val="bottom"/>
            <w:vMerge w:val="restart"/>
          </w:tcPr>
          <w:p>
            <w:pPr>
              <w:ind w:left="260"/>
              <w:spacing w:after="0"/>
              <w:rPr>
                <w:sz w:val="20"/>
                <w:szCs w:val="20"/>
                <w:color w:val="auto"/>
              </w:rPr>
            </w:pPr>
            <w:r>
              <w:rPr>
                <w:rFonts w:ascii="Arial" w:cs="Arial" w:eastAsia="Arial" w:hAnsi="Arial"/>
                <w:sz w:val="16"/>
                <w:szCs w:val="16"/>
                <w:color w:val="auto"/>
              </w:rPr>
              <w:t>reinforce a long-term planning horizon and sustainable growth.</w:t>
            </w:r>
          </w:p>
        </w:tc>
        <w:tc>
          <w:tcPr>
            <w:tcW w:w="120" w:type="dxa"/>
            <w:vAlign w:val="bottom"/>
            <w:shd w:val="clear" w:color="auto" w:fill="E5EEF8"/>
          </w:tcPr>
          <w:p>
            <w:pPr>
              <w:spacing w:after="0"/>
              <w:rPr>
                <w:sz w:val="8"/>
                <w:szCs w:val="8"/>
                <w:color w:val="auto"/>
              </w:rPr>
            </w:pPr>
          </w:p>
        </w:tc>
        <w:tc>
          <w:tcPr>
            <w:tcW w:w="5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0" w:type="dxa"/>
            <w:vAlign w:val="bottom"/>
            <w:shd w:val="clear" w:color="auto" w:fill="E5EEF8"/>
          </w:tcPr>
          <w:p>
            <w:pPr>
              <w:spacing w:after="0"/>
              <w:rPr>
                <w:sz w:val="9"/>
                <w:szCs w:val="9"/>
                <w:color w:val="auto"/>
              </w:rPr>
            </w:pPr>
          </w:p>
        </w:tc>
        <w:tc>
          <w:tcPr>
            <w:tcW w:w="5460" w:type="dxa"/>
            <w:vAlign w:val="bottom"/>
            <w:vMerge w:val="continue"/>
          </w:tcPr>
          <w:p>
            <w:pPr>
              <w:spacing w:after="0"/>
              <w:rPr>
                <w:sz w:val="9"/>
                <w:szCs w:val="9"/>
                <w:color w:val="auto"/>
              </w:rPr>
            </w:pPr>
          </w:p>
        </w:tc>
        <w:tc>
          <w:tcPr>
            <w:tcW w:w="120" w:type="dxa"/>
            <w:vAlign w:val="bottom"/>
            <w:shd w:val="clear" w:color="auto" w:fill="E5EEF8"/>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160" w:type="dxa"/>
            <w:vAlign w:val="bottom"/>
            <w:shd w:val="clear" w:color="auto" w:fill="E5EEF8"/>
          </w:tcPr>
          <w:p>
            <w:pPr>
              <w:spacing w:after="0"/>
              <w:rPr>
                <w:sz w:val="22"/>
                <w:szCs w:val="22"/>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share ownership and retention guidelines.</w:t>
            </w:r>
          </w:p>
        </w:tc>
        <w:tc>
          <w:tcPr>
            <w:tcW w:w="120" w:type="dxa"/>
            <w:vAlign w:val="bottom"/>
            <w:shd w:val="clear" w:color="auto" w:fill="E5EEF8"/>
          </w:tcPr>
          <w:p>
            <w:pPr>
              <w:spacing w:after="0"/>
              <w:rPr>
                <w:sz w:val="22"/>
                <w:szCs w:val="22"/>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Severance pay is very limited, as is the use of employment</w:t>
            </w:r>
          </w:p>
        </w:tc>
        <w:tc>
          <w:tcPr>
            <w:tcW w:w="0" w:type="dxa"/>
            <w:vAlign w:val="bottom"/>
          </w:tcPr>
          <w:p>
            <w:pPr>
              <w:spacing w:after="0"/>
              <w:rPr>
                <w:sz w:val="1"/>
                <w:szCs w:val="1"/>
                <w:color w:val="auto"/>
              </w:rPr>
            </w:pPr>
          </w:p>
        </w:tc>
      </w:tr>
      <w:tr>
        <w:trPr>
          <w:trHeight w:val="115"/>
        </w:trPr>
        <w:tc>
          <w:tcPr>
            <w:tcW w:w="160" w:type="dxa"/>
            <w:vAlign w:val="bottom"/>
            <w:shd w:val="clear" w:color="auto" w:fill="E5EEF8"/>
          </w:tcPr>
          <w:p>
            <w:pPr>
              <w:spacing w:after="0"/>
              <w:rPr>
                <w:sz w:val="10"/>
                <w:szCs w:val="10"/>
                <w:color w:val="auto"/>
              </w:rPr>
            </w:pPr>
          </w:p>
        </w:tc>
        <w:tc>
          <w:tcPr>
            <w:tcW w:w="5460" w:type="dxa"/>
            <w:vAlign w:val="bottom"/>
            <w:vMerge w:val="continue"/>
          </w:tcPr>
          <w:p>
            <w:pPr>
              <w:spacing w:after="0"/>
              <w:rPr>
                <w:sz w:val="10"/>
                <w:szCs w:val="10"/>
                <w:color w:val="auto"/>
              </w:rPr>
            </w:pPr>
          </w:p>
        </w:tc>
        <w:tc>
          <w:tcPr>
            <w:tcW w:w="120" w:type="dxa"/>
            <w:vAlign w:val="bottom"/>
            <w:shd w:val="clear" w:color="auto" w:fill="E5EEF8"/>
          </w:tcPr>
          <w:p>
            <w:pPr>
              <w:spacing w:after="0"/>
              <w:rPr>
                <w:sz w:val="10"/>
                <w:szCs w:val="10"/>
                <w:color w:val="auto"/>
              </w:rPr>
            </w:pPr>
          </w:p>
        </w:tc>
        <w:tc>
          <w:tcPr>
            <w:tcW w:w="5280" w:type="dxa"/>
            <w:vAlign w:val="bottom"/>
            <w:vMerge w:val="restart"/>
          </w:tcPr>
          <w:p>
            <w:pPr>
              <w:ind w:left="240"/>
              <w:spacing w:after="0"/>
              <w:rPr>
                <w:sz w:val="20"/>
                <w:szCs w:val="20"/>
                <w:color w:val="auto"/>
              </w:rPr>
            </w:pPr>
            <w:r>
              <w:rPr>
                <w:rFonts w:ascii="Arial" w:cs="Arial" w:eastAsia="Arial" w:hAnsi="Arial"/>
                <w:sz w:val="16"/>
                <w:szCs w:val="16"/>
                <w:color w:val="auto"/>
              </w:rPr>
              <w:t>agreements.</w:t>
            </w:r>
          </w:p>
        </w:tc>
        <w:tc>
          <w:tcPr>
            <w:tcW w:w="0" w:type="dxa"/>
            <w:vAlign w:val="bottom"/>
          </w:tcPr>
          <w:p>
            <w:pPr>
              <w:spacing w:after="0"/>
              <w:rPr>
                <w:sz w:val="1"/>
                <w:szCs w:val="1"/>
                <w:color w:val="auto"/>
              </w:rPr>
            </w:pPr>
          </w:p>
        </w:tc>
      </w:tr>
      <w:tr>
        <w:trPr>
          <w:trHeight w:val="99"/>
        </w:trPr>
        <w:tc>
          <w:tcPr>
            <w:tcW w:w="160" w:type="dxa"/>
            <w:vAlign w:val="bottom"/>
            <w:shd w:val="clear" w:color="auto" w:fill="E5EEF8"/>
          </w:tcPr>
          <w:p>
            <w:pPr>
              <w:spacing w:after="0"/>
              <w:rPr>
                <w:sz w:val="8"/>
                <w:szCs w:val="8"/>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“Clawback” policy to recoup certain erroneously paid cash and equity</w:t>
            </w:r>
          </w:p>
        </w:tc>
        <w:tc>
          <w:tcPr>
            <w:tcW w:w="120" w:type="dxa"/>
            <w:vAlign w:val="bottom"/>
            <w:shd w:val="clear" w:color="auto" w:fill="E5EEF8"/>
          </w:tcPr>
          <w:p>
            <w:pPr>
              <w:spacing w:after="0"/>
              <w:rPr>
                <w:sz w:val="8"/>
                <w:szCs w:val="8"/>
                <w:color w:val="auto"/>
              </w:rPr>
            </w:pPr>
          </w:p>
        </w:tc>
        <w:tc>
          <w:tcPr>
            <w:tcW w:w="5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160" w:type="dxa"/>
            <w:vAlign w:val="bottom"/>
            <w:shd w:val="clear" w:color="auto" w:fill="E5EEF8"/>
          </w:tcPr>
          <w:p>
            <w:pPr>
              <w:spacing w:after="0"/>
              <w:rPr>
                <w:sz w:val="20"/>
                <w:szCs w:val="20"/>
                <w:color w:val="auto"/>
              </w:rPr>
            </w:pPr>
          </w:p>
        </w:tc>
        <w:tc>
          <w:tcPr>
            <w:tcW w:w="5460" w:type="dxa"/>
            <w:vAlign w:val="bottom"/>
            <w:vMerge w:val="continue"/>
          </w:tcPr>
          <w:p>
            <w:pPr>
              <w:spacing w:after="0"/>
              <w:rPr>
                <w:sz w:val="20"/>
                <w:szCs w:val="20"/>
                <w:color w:val="auto"/>
              </w:rPr>
            </w:pPr>
          </w:p>
        </w:tc>
        <w:tc>
          <w:tcPr>
            <w:tcW w:w="120" w:type="dxa"/>
            <w:vAlign w:val="bottom"/>
            <w:shd w:val="clear" w:color="auto" w:fill="E5EEF8"/>
          </w:tcPr>
          <w:p>
            <w:pPr>
              <w:spacing w:after="0"/>
              <w:rPr>
                <w:sz w:val="20"/>
                <w:szCs w:val="20"/>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hedging or pledging of Company stock is permitted (with the</w:t>
            </w:r>
          </w:p>
        </w:tc>
        <w:tc>
          <w:tcPr>
            <w:tcW w:w="0" w:type="dxa"/>
            <w:vAlign w:val="bottom"/>
          </w:tcPr>
          <w:p>
            <w:pPr>
              <w:spacing w:after="0"/>
              <w:rPr>
                <w:sz w:val="1"/>
                <w:szCs w:val="1"/>
                <w:color w:val="auto"/>
              </w:rPr>
            </w:pPr>
          </w:p>
        </w:tc>
      </w:tr>
      <w:tr>
        <w:trPr>
          <w:trHeight w:val="135"/>
        </w:trPr>
        <w:tc>
          <w:tcPr>
            <w:tcW w:w="160" w:type="dxa"/>
            <w:vAlign w:val="bottom"/>
            <w:shd w:val="clear" w:color="auto" w:fill="E5EEF8"/>
          </w:tcPr>
          <w:p>
            <w:pPr>
              <w:spacing w:after="0"/>
              <w:rPr>
                <w:sz w:val="11"/>
                <w:szCs w:val="11"/>
                <w:color w:val="auto"/>
              </w:rPr>
            </w:pPr>
          </w:p>
        </w:tc>
        <w:tc>
          <w:tcPr>
            <w:tcW w:w="5460" w:type="dxa"/>
            <w:vAlign w:val="bottom"/>
            <w:vMerge w:val="restart"/>
          </w:tcPr>
          <w:p>
            <w:pPr>
              <w:ind w:left="260"/>
              <w:spacing w:after="0"/>
              <w:rPr>
                <w:sz w:val="20"/>
                <w:szCs w:val="20"/>
                <w:color w:val="auto"/>
              </w:rPr>
            </w:pPr>
            <w:r>
              <w:rPr>
                <w:rFonts w:ascii="Arial" w:cs="Arial" w:eastAsia="Arial" w:hAnsi="Arial"/>
                <w:sz w:val="16"/>
                <w:szCs w:val="16"/>
                <w:color w:val="auto"/>
              </w:rPr>
              <w:t>compensation.</w:t>
            </w:r>
          </w:p>
        </w:tc>
        <w:tc>
          <w:tcPr>
            <w:tcW w:w="120" w:type="dxa"/>
            <w:vAlign w:val="bottom"/>
            <w:shd w:val="clear" w:color="auto" w:fill="E5EEF8"/>
          </w:tcPr>
          <w:p>
            <w:pPr>
              <w:spacing w:after="0"/>
              <w:rPr>
                <w:sz w:val="11"/>
                <w:szCs w:val="11"/>
                <w:color w:val="auto"/>
              </w:rPr>
            </w:pPr>
          </w:p>
        </w:tc>
        <w:tc>
          <w:tcPr>
            <w:tcW w:w="5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60" w:type="dxa"/>
            <w:vAlign w:val="bottom"/>
            <w:shd w:val="clear" w:color="auto" w:fill="E5EEF8"/>
          </w:tcPr>
          <w:p>
            <w:pPr>
              <w:spacing w:after="0"/>
              <w:rPr>
                <w:sz w:val="6"/>
                <w:szCs w:val="6"/>
                <w:color w:val="auto"/>
              </w:rPr>
            </w:pPr>
          </w:p>
        </w:tc>
        <w:tc>
          <w:tcPr>
            <w:tcW w:w="5460" w:type="dxa"/>
            <w:vAlign w:val="bottom"/>
            <w:vMerge w:val="continue"/>
          </w:tcPr>
          <w:p>
            <w:pPr>
              <w:spacing w:after="0"/>
              <w:rPr>
                <w:sz w:val="6"/>
                <w:szCs w:val="6"/>
                <w:color w:val="auto"/>
              </w:rPr>
            </w:pPr>
          </w:p>
        </w:tc>
        <w:tc>
          <w:tcPr>
            <w:tcW w:w="120" w:type="dxa"/>
            <w:vAlign w:val="bottom"/>
            <w:shd w:val="clear" w:color="auto" w:fill="E5EEF8"/>
          </w:tcPr>
          <w:p>
            <w:pPr>
              <w:spacing w:after="0"/>
              <w:rPr>
                <w:sz w:val="6"/>
                <w:szCs w:val="6"/>
                <w:color w:val="auto"/>
              </w:rPr>
            </w:pPr>
          </w:p>
        </w:tc>
        <w:tc>
          <w:tcPr>
            <w:tcW w:w="5280" w:type="dxa"/>
            <w:vAlign w:val="bottom"/>
            <w:vMerge w:val="restart"/>
          </w:tcPr>
          <w:p>
            <w:pPr>
              <w:ind w:left="240"/>
              <w:spacing w:after="0"/>
              <w:rPr>
                <w:sz w:val="20"/>
                <w:szCs w:val="20"/>
                <w:color w:val="auto"/>
              </w:rPr>
            </w:pPr>
            <w:r>
              <w:rPr>
                <w:rFonts w:ascii="Arial" w:cs="Arial" w:eastAsia="Arial" w:hAnsi="Arial"/>
                <w:sz w:val="16"/>
                <w:szCs w:val="16"/>
                <w:color w:val="auto"/>
              </w:rPr>
              <w:t>exception of the number of shares pledged as of the date of the</w:t>
            </w:r>
          </w:p>
        </w:tc>
        <w:tc>
          <w:tcPr>
            <w:tcW w:w="0" w:type="dxa"/>
            <w:vAlign w:val="bottom"/>
          </w:tcPr>
          <w:p>
            <w:pPr>
              <w:spacing w:after="0"/>
              <w:rPr>
                <w:sz w:val="1"/>
                <w:szCs w:val="1"/>
                <w:color w:val="auto"/>
              </w:rPr>
            </w:pPr>
          </w:p>
        </w:tc>
      </w:tr>
      <w:tr>
        <w:trPr>
          <w:trHeight w:val="109"/>
        </w:trPr>
        <w:tc>
          <w:tcPr>
            <w:tcW w:w="160" w:type="dxa"/>
            <w:vAlign w:val="bottom"/>
            <w:shd w:val="clear" w:color="auto" w:fill="E5EEF8"/>
          </w:tcPr>
          <w:p>
            <w:pPr>
              <w:spacing w:after="0"/>
              <w:rPr>
                <w:sz w:val="9"/>
                <w:szCs w:val="9"/>
                <w:color w:val="auto"/>
              </w:rPr>
            </w:pPr>
          </w:p>
        </w:tc>
        <w:tc>
          <w:tcPr>
            <w:tcW w:w="5460" w:type="dxa"/>
            <w:vAlign w:val="bottom"/>
            <w:vMerge w:val="restart"/>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Risk assessment review as part of risk mitigation process.</w:t>
            </w:r>
          </w:p>
        </w:tc>
        <w:tc>
          <w:tcPr>
            <w:tcW w:w="120" w:type="dxa"/>
            <w:vAlign w:val="bottom"/>
            <w:shd w:val="clear" w:color="auto" w:fill="E5EEF8"/>
          </w:tcPr>
          <w:p>
            <w:pPr>
              <w:spacing w:after="0"/>
              <w:rPr>
                <w:sz w:val="9"/>
                <w:szCs w:val="9"/>
                <w:color w:val="auto"/>
              </w:rPr>
            </w:pPr>
          </w:p>
        </w:tc>
        <w:tc>
          <w:tcPr>
            <w:tcW w:w="5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160" w:type="dxa"/>
            <w:vAlign w:val="bottom"/>
            <w:shd w:val="clear" w:color="auto" w:fill="E5EEF8"/>
          </w:tcPr>
          <w:p>
            <w:pPr>
              <w:spacing w:after="0"/>
              <w:rPr>
                <w:sz w:val="22"/>
                <w:szCs w:val="22"/>
                <w:color w:val="auto"/>
              </w:rPr>
            </w:pPr>
          </w:p>
        </w:tc>
        <w:tc>
          <w:tcPr>
            <w:tcW w:w="5460" w:type="dxa"/>
            <w:vAlign w:val="bottom"/>
            <w:vMerge w:val="continue"/>
          </w:tcPr>
          <w:p>
            <w:pPr>
              <w:spacing w:after="0"/>
              <w:rPr>
                <w:sz w:val="22"/>
                <w:szCs w:val="22"/>
                <w:color w:val="auto"/>
              </w:rPr>
            </w:pPr>
          </w:p>
        </w:tc>
        <w:tc>
          <w:tcPr>
            <w:tcW w:w="120" w:type="dxa"/>
            <w:vAlign w:val="bottom"/>
            <w:shd w:val="clear" w:color="auto" w:fill="E5EEF8"/>
          </w:tcPr>
          <w:p>
            <w:pPr>
              <w:spacing w:after="0"/>
              <w:rPr>
                <w:sz w:val="22"/>
                <w:szCs w:val="22"/>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adoption of the policy in January 2015 for one independent director).</w:t>
            </w:r>
          </w:p>
        </w:tc>
        <w:tc>
          <w:tcPr>
            <w:tcW w:w="0" w:type="dxa"/>
            <w:vAlign w:val="bottom"/>
          </w:tcPr>
          <w:p>
            <w:pPr>
              <w:spacing w:after="0"/>
              <w:rPr>
                <w:sz w:val="1"/>
                <w:szCs w:val="1"/>
                <w:color w:val="auto"/>
              </w:rPr>
            </w:pPr>
          </w:p>
        </w:tc>
      </w:tr>
      <w:tr>
        <w:trPr>
          <w:trHeight w:val="330"/>
        </w:trPr>
        <w:tc>
          <w:tcPr>
            <w:tcW w:w="160" w:type="dxa"/>
            <w:vAlign w:val="bottom"/>
            <w:shd w:val="clear" w:color="auto" w:fill="E5EEF8"/>
          </w:tcPr>
          <w:p>
            <w:pPr>
              <w:spacing w:after="0"/>
              <w:rPr>
                <w:sz w:val="24"/>
                <w:szCs w:val="24"/>
                <w:color w:val="auto"/>
              </w:rPr>
            </w:pPr>
          </w:p>
        </w:tc>
        <w:tc>
          <w:tcPr>
            <w:tcW w:w="5460" w:type="dxa"/>
            <w:vAlign w:val="bottom"/>
          </w:tcPr>
          <w:p>
            <w:pPr>
              <w:ind w:left="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Independent compensation consultant retained by the Compensation</w:t>
            </w: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excise tax gross-ups on change-in-control payments.</w:t>
            </w: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ind w:left="260"/>
              <w:spacing w:after="0"/>
              <w:rPr>
                <w:sz w:val="20"/>
                <w:szCs w:val="20"/>
                <w:color w:val="auto"/>
              </w:rPr>
            </w:pPr>
            <w:r>
              <w:rPr>
                <w:rFonts w:ascii="Arial" w:cs="Arial" w:eastAsia="Arial" w:hAnsi="Arial"/>
                <w:sz w:val="16"/>
                <w:szCs w:val="16"/>
                <w:color w:val="auto"/>
              </w:rPr>
              <w:t>Committee.</w:t>
            </w:r>
          </w:p>
        </w:tc>
        <w:tc>
          <w:tcPr>
            <w:tcW w:w="120" w:type="dxa"/>
            <w:vAlign w:val="bottom"/>
            <w:shd w:val="clear" w:color="auto" w:fill="E5EEF8"/>
          </w:tcPr>
          <w:p>
            <w:pPr>
              <w:spacing w:after="0"/>
              <w:rPr>
                <w:sz w:val="18"/>
                <w:szCs w:val="18"/>
                <w:color w:val="auto"/>
              </w:rPr>
            </w:pPr>
          </w:p>
        </w:tc>
        <w:tc>
          <w:tcPr>
            <w:tcW w:w="5280" w:type="dxa"/>
            <w:vAlign w:val="bottom"/>
            <w:vMerge w:val="restart"/>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re-pricing of underwater stock options or cash buy-outs without</w:t>
            </w:r>
          </w:p>
        </w:tc>
        <w:tc>
          <w:tcPr>
            <w:tcW w:w="0" w:type="dxa"/>
            <w:vAlign w:val="bottom"/>
          </w:tcPr>
          <w:p>
            <w:pPr>
              <w:spacing w:after="0"/>
              <w:rPr>
                <w:sz w:val="1"/>
                <w:szCs w:val="1"/>
                <w:color w:val="auto"/>
              </w:rPr>
            </w:pPr>
          </w:p>
        </w:tc>
      </w:tr>
      <w:tr>
        <w:trPr>
          <w:trHeight w:val="163"/>
        </w:trPr>
        <w:tc>
          <w:tcPr>
            <w:tcW w:w="160" w:type="dxa"/>
            <w:vAlign w:val="bottom"/>
            <w:shd w:val="clear" w:color="auto" w:fill="E5EEF8"/>
          </w:tcPr>
          <w:p>
            <w:pPr>
              <w:spacing w:after="0"/>
              <w:rPr>
                <w:sz w:val="14"/>
                <w:szCs w:val="14"/>
                <w:color w:val="auto"/>
              </w:rPr>
            </w:pPr>
          </w:p>
        </w:tc>
        <w:tc>
          <w:tcPr>
            <w:tcW w:w="5460" w:type="dxa"/>
            <w:vAlign w:val="bottom"/>
          </w:tcPr>
          <w:p>
            <w:pPr>
              <w:spacing w:after="0"/>
              <w:rPr>
                <w:sz w:val="14"/>
                <w:szCs w:val="14"/>
                <w:color w:val="auto"/>
              </w:rPr>
            </w:pPr>
          </w:p>
        </w:tc>
        <w:tc>
          <w:tcPr>
            <w:tcW w:w="120" w:type="dxa"/>
            <w:vAlign w:val="bottom"/>
            <w:shd w:val="clear" w:color="auto" w:fill="E5EEF8"/>
          </w:tcPr>
          <w:p>
            <w:pPr>
              <w:spacing w:after="0"/>
              <w:rPr>
                <w:sz w:val="14"/>
                <w:szCs w:val="14"/>
                <w:color w:val="auto"/>
              </w:rPr>
            </w:pPr>
          </w:p>
        </w:tc>
        <w:tc>
          <w:tcPr>
            <w:tcW w:w="5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0" w:type="dxa"/>
            <w:vAlign w:val="bottom"/>
            <w:shd w:val="clear" w:color="auto" w:fill="E5EEF8"/>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shareholder approval.</w:t>
            </w:r>
          </w:p>
        </w:tc>
        <w:tc>
          <w:tcPr>
            <w:tcW w:w="0" w:type="dxa"/>
            <w:vAlign w:val="bottom"/>
          </w:tcPr>
          <w:p>
            <w:pPr>
              <w:spacing w:after="0"/>
              <w:rPr>
                <w:sz w:val="1"/>
                <w:szCs w:val="1"/>
                <w:color w:val="auto"/>
              </w:rPr>
            </w:pPr>
          </w:p>
        </w:tc>
      </w:tr>
      <w:tr>
        <w:trPr>
          <w:trHeight w:val="366"/>
        </w:trPr>
        <w:tc>
          <w:tcPr>
            <w:tcW w:w="160" w:type="dxa"/>
            <w:vAlign w:val="bottom"/>
            <w:shd w:val="clear" w:color="auto" w:fill="E5EEF8"/>
          </w:tcPr>
          <w:p>
            <w:pPr>
              <w:spacing w:after="0"/>
              <w:rPr>
                <w:sz w:val="24"/>
                <w:szCs w:val="24"/>
                <w:color w:val="auto"/>
              </w:rPr>
            </w:pPr>
          </w:p>
        </w:tc>
        <w:tc>
          <w:tcPr>
            <w:tcW w:w="5460" w:type="dxa"/>
            <w:vAlign w:val="bottom"/>
          </w:tcPr>
          <w:p>
            <w:pPr>
              <w:spacing w:after="0"/>
              <w:rPr>
                <w:sz w:val="24"/>
                <w:szCs w:val="24"/>
                <w:color w:val="auto"/>
              </w:rPr>
            </w:pPr>
          </w:p>
        </w:tc>
        <w:tc>
          <w:tcPr>
            <w:tcW w:w="120" w:type="dxa"/>
            <w:vAlign w:val="bottom"/>
            <w:shd w:val="clear" w:color="auto" w:fill="E5EEF8"/>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20"/>
                <w:szCs w:val="20"/>
                <w:color w:val="005CB9"/>
              </w:rPr>
              <w:t>Ò</w:t>
            </w:r>
            <w:r>
              <w:rPr>
                <w:rFonts w:ascii="Arial" w:cs="Arial" w:eastAsia="Arial" w:hAnsi="Arial"/>
                <w:sz w:val="16"/>
                <w:szCs w:val="16"/>
                <w:color w:val="000000"/>
              </w:rPr>
              <w:t>  No granting of stock options with an exercise price less than fair</w:t>
            </w:r>
          </w:p>
        </w:tc>
        <w:tc>
          <w:tcPr>
            <w:tcW w:w="0" w:type="dxa"/>
            <w:vAlign w:val="bottom"/>
          </w:tcPr>
          <w:p>
            <w:pPr>
              <w:spacing w:after="0"/>
              <w:rPr>
                <w:sz w:val="1"/>
                <w:szCs w:val="1"/>
                <w:color w:val="auto"/>
              </w:rPr>
            </w:pPr>
          </w:p>
        </w:tc>
      </w:tr>
      <w:tr>
        <w:trPr>
          <w:trHeight w:val="217"/>
        </w:trPr>
        <w:tc>
          <w:tcPr>
            <w:tcW w:w="160" w:type="dxa"/>
            <w:vAlign w:val="bottom"/>
            <w:shd w:val="clear" w:color="auto" w:fill="E5EEF8"/>
          </w:tcPr>
          <w:p>
            <w:pPr>
              <w:spacing w:after="0"/>
              <w:rPr>
                <w:sz w:val="18"/>
                <w:szCs w:val="18"/>
                <w:color w:val="auto"/>
              </w:rPr>
            </w:pPr>
          </w:p>
        </w:tc>
        <w:tc>
          <w:tcPr>
            <w:tcW w:w="5460" w:type="dxa"/>
            <w:vAlign w:val="bottom"/>
          </w:tcPr>
          <w:p>
            <w:pPr>
              <w:spacing w:after="0"/>
              <w:rPr>
                <w:sz w:val="18"/>
                <w:szCs w:val="18"/>
                <w:color w:val="auto"/>
              </w:rPr>
            </w:pPr>
          </w:p>
        </w:tc>
        <w:tc>
          <w:tcPr>
            <w:tcW w:w="120" w:type="dxa"/>
            <w:vAlign w:val="bottom"/>
            <w:shd w:val="clear" w:color="auto" w:fill="E5EEF8"/>
          </w:tcPr>
          <w:p>
            <w:pPr>
              <w:spacing w:after="0"/>
              <w:rPr>
                <w:sz w:val="18"/>
                <w:szCs w:val="18"/>
                <w:color w:val="auto"/>
              </w:rPr>
            </w:pPr>
          </w:p>
        </w:tc>
        <w:tc>
          <w:tcPr>
            <w:tcW w:w="5280" w:type="dxa"/>
            <w:vAlign w:val="bottom"/>
          </w:tcPr>
          <w:p>
            <w:pPr>
              <w:ind w:left="240"/>
              <w:spacing w:after="0"/>
              <w:rPr>
                <w:sz w:val="20"/>
                <w:szCs w:val="20"/>
                <w:color w:val="auto"/>
              </w:rPr>
            </w:pPr>
            <w:r>
              <w:rPr>
                <w:rFonts w:ascii="Arial" w:cs="Arial" w:eastAsia="Arial" w:hAnsi="Arial"/>
                <w:sz w:val="16"/>
                <w:szCs w:val="16"/>
                <w:color w:val="auto"/>
              </w:rPr>
              <w:t>market value at grant.</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Objectives of our Executive Compensation Program</w:t>
      </w:r>
    </w:p>
    <w:p>
      <w:pPr>
        <w:spacing w:after="0" w:line="10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color w:val="auto"/>
        </w:rPr>
        <w:t>Our compensation program for our named executive officers reflects our business needs, market requirements, and challenges in creating long-term shareholder value, and is designed to:</w:t>
      </w:r>
    </w:p>
    <w:p>
      <w:pPr>
        <w:sectPr>
          <w:pgSz w:w="11900" w:h="16838" w:orient="portrait"/>
          <w:cols w:equalWidth="0" w:num="1">
            <w:col w:w="11140"/>
          </w:cols>
          <w:pgMar w:left="320" w:top="482" w:right="439" w:bottom="1440" w:gutter="0" w:footer="0" w:header="0"/>
        </w:sectPr>
      </w:pPr>
    </w:p>
    <w:p>
      <w:pPr>
        <w:spacing w:after="0" w:line="119" w:lineRule="exact"/>
        <w:rPr>
          <w:sz w:val="20"/>
          <w:szCs w:val="20"/>
          <w:color w:val="auto"/>
        </w:rPr>
      </w:pPr>
    </w:p>
    <w:p>
      <w:pPr>
        <w:ind w:left="320" w:hanging="204"/>
        <w:spacing w:after="0"/>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Drive long-term performance for the benefit of shareholders.</w:t>
      </w:r>
    </w:p>
    <w:p>
      <w:pPr>
        <w:spacing w:after="0" w:line="115" w:lineRule="exact"/>
        <w:rPr>
          <w:rFonts w:ascii="Arial" w:cs="Arial" w:eastAsia="Arial" w:hAnsi="Arial"/>
          <w:sz w:val="17"/>
          <w:szCs w:val="17"/>
          <w:color w:val="auto"/>
        </w:rPr>
      </w:pPr>
    </w:p>
    <w:p>
      <w:pPr>
        <w:ind w:left="320" w:right="40" w:hanging="204"/>
        <w:spacing w:after="0" w:line="267"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Emphasize equity compensation to align named executive officers’ interests with those of shareholders.</w:t>
      </w:r>
    </w:p>
    <w:p>
      <w:pPr>
        <w:spacing w:after="0" w:line="64" w:lineRule="exact"/>
        <w:rPr>
          <w:rFonts w:ascii="Arial" w:cs="Arial" w:eastAsia="Arial" w:hAnsi="Arial"/>
          <w:sz w:val="17"/>
          <w:szCs w:val="17"/>
          <w:color w:val="auto"/>
        </w:rPr>
      </w:pPr>
    </w:p>
    <w:p>
      <w:pPr>
        <w:ind w:left="320" w:hanging="204"/>
        <w:spacing w:after="0" w:line="241" w:lineRule="auto"/>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Provide compensation levels competitive with publicly traded companies and private equity firms. This enables us to recruit and retain seasoned leadership capable of effectively deploying capital, while driving and managing a diversified technology company that competes in a wide variety of end markets.</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left="206" w:right="300" w:hanging="206"/>
        <w:spacing w:after="0" w:line="267" w:lineRule="auto"/>
        <w:tabs>
          <w:tab w:leader="none" w:pos="2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Maintain flexibility to adjust to changing business needs in a fast-paced business environment.</w:t>
      </w:r>
    </w:p>
    <w:p>
      <w:pPr>
        <w:spacing w:after="0" w:line="64" w:lineRule="exact"/>
        <w:rPr>
          <w:rFonts w:ascii="Arial" w:cs="Arial" w:eastAsia="Arial" w:hAnsi="Arial"/>
          <w:sz w:val="17"/>
          <w:szCs w:val="17"/>
          <w:color w:val="auto"/>
        </w:rPr>
      </w:pPr>
    </w:p>
    <w:p>
      <w:pPr>
        <w:ind w:left="206" w:right="40" w:hanging="206"/>
        <w:spacing w:after="0" w:line="267" w:lineRule="auto"/>
        <w:tabs>
          <w:tab w:leader="none" w:pos="2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Simplify compensation design to promote transparency and facilitate ease of administration and communication.</w:t>
      </w:r>
    </w:p>
    <w:p>
      <w:pPr>
        <w:spacing w:after="0" w:line="64" w:lineRule="exact"/>
        <w:rPr>
          <w:rFonts w:ascii="Arial" w:cs="Arial" w:eastAsia="Arial" w:hAnsi="Arial"/>
          <w:sz w:val="17"/>
          <w:szCs w:val="17"/>
          <w:color w:val="auto"/>
        </w:rPr>
      </w:pPr>
    </w:p>
    <w:p>
      <w:pPr>
        <w:ind w:left="206" w:hanging="206"/>
        <w:spacing w:after="0"/>
        <w:tabs>
          <w:tab w:leader="none" w:pos="2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Solicit and consider the views of our shareholders.</w:t>
      </w:r>
    </w:p>
    <w:p>
      <w:pPr>
        <w:spacing w:after="0" w:line="115" w:lineRule="exact"/>
        <w:rPr>
          <w:rFonts w:ascii="Arial" w:cs="Arial" w:eastAsia="Arial" w:hAnsi="Arial"/>
          <w:sz w:val="17"/>
          <w:szCs w:val="17"/>
          <w:color w:val="auto"/>
        </w:rPr>
      </w:pPr>
    </w:p>
    <w:p>
      <w:pPr>
        <w:ind w:left="206" w:hanging="206"/>
        <w:spacing w:after="0"/>
        <w:tabs>
          <w:tab w:leader="none" w:pos="206" w:val="left"/>
        </w:tabs>
        <w:numPr>
          <w:ilvl w:val="0"/>
          <w:numId w:val="38"/>
        </w:numPr>
        <w:rPr>
          <w:rFonts w:ascii="Arial" w:cs="Arial" w:eastAsia="Arial" w:hAnsi="Arial"/>
          <w:sz w:val="17"/>
          <w:szCs w:val="17"/>
          <w:color w:val="auto"/>
        </w:rPr>
      </w:pPr>
      <w:r>
        <w:rPr>
          <w:rFonts w:ascii="Arial" w:cs="Arial" w:eastAsia="Arial" w:hAnsi="Arial"/>
          <w:sz w:val="17"/>
          <w:szCs w:val="17"/>
          <w:color w:val="auto"/>
        </w:rPr>
        <w:t>Adhere to the highest legal, governance, and ethical standards.</w:t>
      </w:r>
    </w:p>
    <w:p>
      <w:pPr>
        <w:spacing w:after="0" w:line="200" w:lineRule="exact"/>
        <w:rPr>
          <w:sz w:val="20"/>
          <w:szCs w:val="20"/>
          <w:color w:val="auto"/>
        </w:rPr>
      </w:pPr>
    </w:p>
    <w:p>
      <w:pPr>
        <w:spacing w:after="0" w:line="369" w:lineRule="exact"/>
        <w:rPr>
          <w:sz w:val="20"/>
          <w:szCs w:val="20"/>
          <w:color w:val="auto"/>
        </w:rPr>
      </w:pPr>
    </w:p>
    <w:tbl>
      <w:tblPr>
        <w:tblLayout w:type="fixed"/>
        <w:tblInd w:w="26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27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-205105</wp:posOffset>
            </wp:positionV>
            <wp:extent cx="428625"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380" w:space="354"/>
            <w:col w:w="5406"/>
          </w:cols>
          <w:pgMar w:left="320" w:top="482" w:right="4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ELEMENTS OF COMPENSATION</w:t>
      </w:r>
    </w:p>
    <w:p>
      <w:pPr>
        <w:spacing w:after="0" w:line="104" w:lineRule="exact"/>
        <w:rPr>
          <w:sz w:val="20"/>
          <w:szCs w:val="20"/>
          <w:color w:val="auto"/>
        </w:rPr>
      </w:pPr>
    </w:p>
    <w:p>
      <w:pPr>
        <w:ind w:left="120" w:right="700"/>
        <w:spacing w:after="0" w:line="267" w:lineRule="auto"/>
        <w:rPr>
          <w:sz w:val="20"/>
          <w:szCs w:val="20"/>
          <w:color w:val="auto"/>
        </w:rPr>
      </w:pPr>
      <w:r>
        <w:rPr>
          <w:rFonts w:ascii="Arial" w:cs="Arial" w:eastAsia="Arial" w:hAnsi="Arial"/>
          <w:sz w:val="17"/>
          <w:szCs w:val="17"/>
          <w:color w:val="auto"/>
        </w:rPr>
        <w:t>Our executive compensation program consists of several elements, each with an objective that fits into our overall program to provide an integrated and competitive total pay package.</w:t>
      </w:r>
    </w:p>
    <w:p>
      <w:pPr>
        <w:sectPr>
          <w:pgSz w:w="11900" w:h="16838" w:orient="portrait"/>
          <w:cols w:equalWidth="0" w:num="1">
            <w:col w:w="11120"/>
          </w:cols>
          <w:pgMar w:left="320" w:top="482" w:right="459" w:bottom="1440" w:gutter="0" w:footer="0" w:header="0"/>
        </w:sect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100"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Equity compensation is the largest and most important form of pay for our named executive officers as it achieves many of our key compensation objectives:</w:t>
      </w:r>
    </w:p>
    <w:p>
      <w:pPr>
        <w:spacing w:after="0" w:line="80" w:lineRule="exact"/>
        <w:rPr>
          <w:sz w:val="20"/>
          <w:szCs w:val="20"/>
          <w:color w:val="auto"/>
        </w:rPr>
      </w:pPr>
    </w:p>
    <w:p>
      <w:pPr>
        <w:ind w:left="320" w:right="180" w:hanging="204"/>
        <w:spacing w:after="0" w:line="249"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Tie pay to performance by linking compensation to shareholder value creation and achievement of pre-established and objective performance criteria.</w:t>
      </w:r>
    </w:p>
    <w:p>
      <w:pPr>
        <w:spacing w:after="0" w:line="80" w:lineRule="exact"/>
        <w:rPr>
          <w:rFonts w:ascii="Arial" w:cs="Arial" w:eastAsia="Arial" w:hAnsi="Arial"/>
          <w:sz w:val="17"/>
          <w:szCs w:val="17"/>
          <w:color w:val="auto"/>
        </w:rPr>
      </w:pPr>
    </w:p>
    <w:p>
      <w:pPr>
        <w:ind w:left="320" w:right="540" w:hanging="204"/>
        <w:spacing w:after="0" w:line="267"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Align named executive officers’ interests with those of shareholders while reinforcing a long-term planning horizon.</w:t>
      </w:r>
    </w:p>
    <w:p>
      <w:pPr>
        <w:spacing w:after="0" w:line="64" w:lineRule="exact"/>
        <w:rPr>
          <w:rFonts w:ascii="Arial" w:cs="Arial" w:eastAsia="Arial" w:hAnsi="Arial"/>
          <w:sz w:val="17"/>
          <w:szCs w:val="17"/>
          <w:color w:val="auto"/>
        </w:rPr>
      </w:pPr>
    </w:p>
    <w:p>
      <w:pPr>
        <w:ind w:left="320" w:right="260" w:hanging="204"/>
        <w:spacing w:after="0" w:line="267"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Attract named executive officers, particularly those interested in building long-term value for shareholders.</w:t>
      </w:r>
    </w:p>
    <w:p>
      <w:pPr>
        <w:spacing w:after="0" w:line="64" w:lineRule="exact"/>
        <w:rPr>
          <w:rFonts w:ascii="Arial" w:cs="Arial" w:eastAsia="Arial" w:hAnsi="Arial"/>
          <w:sz w:val="17"/>
          <w:szCs w:val="17"/>
          <w:color w:val="auto"/>
        </w:rPr>
      </w:pPr>
    </w:p>
    <w:p>
      <w:pPr>
        <w:jc w:val="both"/>
        <w:ind w:left="320" w:right="120" w:hanging="204"/>
        <w:spacing w:after="0" w:line="249" w:lineRule="auto"/>
        <w:tabs>
          <w:tab w:leader="none" w:pos="3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Retain named executive officers and reward continued service by ensuring the forfeiture of awards prior to satisfaction of three-year service requirements.</w:t>
      </w:r>
    </w:p>
    <w:p>
      <w:pPr>
        <w:spacing w:after="0" w:line="175"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To determine the appropriate value of an equity award, the Compensation Committee considers the compensation practices of its peers as well as an executive’s individual performance and relative responsibilities.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We use two types of equity awards: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Stock Options</w:t>
      </w:r>
    </w:p>
    <w:p>
      <w:pPr>
        <w:spacing w:after="0" w:line="98"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The exercise price of stock options is set at the market closing price of our common stock on the date of grant, which provides an incentive to grow shareholder value and requires continued service over multiple years to realize any gains. Stock options generally vest on the third anniversary of the grant date.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Performance-Based Restricted Stock</w:t>
      </w:r>
    </w:p>
    <w:p>
      <w:pPr>
        <w:spacing w:after="0" w:line="98" w:lineRule="exact"/>
        <w:rPr>
          <w:sz w:val="20"/>
          <w:szCs w:val="20"/>
          <w:color w:val="auto"/>
        </w:rPr>
      </w:pPr>
    </w:p>
    <w:p>
      <w:pPr>
        <w:ind w:left="120" w:right="120"/>
        <w:spacing w:after="0" w:line="239" w:lineRule="auto"/>
        <w:rPr>
          <w:sz w:val="20"/>
          <w:szCs w:val="20"/>
          <w:color w:val="auto"/>
        </w:rPr>
      </w:pPr>
      <w:r>
        <w:rPr>
          <w:rFonts w:ascii="Arial" w:cs="Arial" w:eastAsia="Arial" w:hAnsi="Arial"/>
          <w:sz w:val="17"/>
          <w:szCs w:val="17"/>
          <w:color w:val="auto"/>
        </w:rPr>
        <w:t>In addition to continued service, the vesting of restricted stock is 100% contingent on the Company attaining specific, pre-established and objective performance goals, as specified by the Compensation Committee. Dividends are withheld and paid only to the extent the shares are actually earned by performance. Performance-based restricted stock is</w:t>
      </w:r>
    </w:p>
    <w:p>
      <w:pPr>
        <w:spacing w:after="0" w:line="28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28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color w:val="auto"/>
        </w:rPr>
        <w:t>intended to encourage the retention of named executive officers, provide a continuing incentive to increase shareholder value, and further align our named executive officers’ interests with shareholder interests.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Equity Grant Timing</w:t>
      </w:r>
    </w:p>
    <w:p>
      <w:pPr>
        <w:spacing w:after="0" w:line="98" w:lineRule="exact"/>
        <w:rPr>
          <w:sz w:val="20"/>
          <w:szCs w:val="20"/>
          <w:color w:val="auto"/>
        </w:rPr>
      </w:pPr>
    </w:p>
    <w:p>
      <w:pPr>
        <w:ind w:right="40"/>
        <w:spacing w:after="0" w:line="236" w:lineRule="auto"/>
        <w:rPr>
          <w:sz w:val="20"/>
          <w:szCs w:val="20"/>
          <w:color w:val="auto"/>
        </w:rPr>
      </w:pPr>
      <w:r>
        <w:rPr>
          <w:rFonts w:ascii="Arial" w:cs="Arial" w:eastAsia="Arial" w:hAnsi="Arial"/>
          <w:sz w:val="17"/>
          <w:szCs w:val="17"/>
          <w:color w:val="auto"/>
        </w:rPr>
        <w:t>Beginning with 2023, annual equity grants of performance-based restricted stock and stock options are awarded to our named executive officers at the second regularly scheduled committee meeting each year, typically in March, to coincide with the timing of annual equity awards made to other equity recipients. The exercise price for stock options is set at the market closing price of Roper common stock on the date of grant. From time to time the Compensation Committee may grant additional awards in connection with promotions or increased responsibilities as well as to newly hired employees.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We use two types of cash payments: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Cash Incentives</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Cash incentives support the achievement of our business strategies by tying a portion of compensation to the achievement of established financial objectives and assist in attracting named executive officers due to their market prevalence. Cash incentives are capped to avoid an excessive short-term focus and potentially excessive risk-taking. Annual cash incentives for named executive officers, including our CEO, are tied to annual performance. Our CEO’s special long-term cash incentive award is tied to cumulative financial performance over a five-year period, which concluded on December 31,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005CB9"/>
        </w:rPr>
        <w:t>Base Salary</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Base salary is fixed cash compensation that reflects level and scope of responsibility, experience, and skills as well as market practices. The Compensation Committee reviews each named executive officer’s base salary annually as well as in connection with a promotion or other change in responsibilities. Salary adjustments are usually effective as of January 1.</w:t>
      </w:r>
    </w:p>
    <w:p>
      <w:pPr>
        <w:sectPr>
          <w:pgSz w:w="11900" w:h="16838" w:orient="portrait"/>
          <w:cols w:equalWidth="0" w:num="2">
            <w:col w:w="5380" w:space="360"/>
            <w:col w:w="5380"/>
          </w:cols>
          <w:pgMar w:left="320" w:top="482"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Other Pay Elements</w:t>
      </w:r>
    </w:p>
    <w:p>
      <w:pPr>
        <w:spacing w:after="0" w:line="100"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color w:val="auto"/>
        </w:rPr>
        <w:t>Roper does not provide supplemental pensions and other compensation not tied to performance. The additional items summarized below represent only a small portion of our named executive officers’ total compensation.</w:t>
      </w:r>
    </w:p>
    <w:p>
      <w:pPr>
        <w:sectPr>
          <w:pgSz w:w="11900" w:h="16838" w:orient="portrait"/>
          <w:cols w:equalWidth="0" w:num="1">
            <w:col w:w="11140"/>
          </w:cols>
          <w:pgMar w:left="320" w:top="482" w:right="439" w:bottom="1440" w:gutter="0" w:footer="0" w:header="0"/>
        </w:sect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Retirement Benefits</w:t>
      </w:r>
    </w:p>
    <w:p>
      <w:pPr>
        <w:spacing w:after="0" w:line="112" w:lineRule="exact"/>
        <w:rPr>
          <w:sz w:val="20"/>
          <w:szCs w:val="20"/>
          <w:color w:val="auto"/>
        </w:rPr>
      </w:pPr>
    </w:p>
    <w:p>
      <w:pPr>
        <w:ind w:left="320" w:right="20" w:hanging="204"/>
        <w:spacing w:after="0" w:line="241"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Named executive officers may participate under the same terms as other eligible employees in a 401(k) plan that provides matching contributions capped at 7.5% of cash compensation, subject to limitations imposed by the Internal Revenue Code of 1986, as amended (the “Code”).</w:t>
      </w:r>
    </w:p>
    <w:p>
      <w:pPr>
        <w:spacing w:after="0" w:line="85" w:lineRule="exact"/>
        <w:rPr>
          <w:rFonts w:ascii="Arial" w:cs="Arial" w:eastAsia="Arial" w:hAnsi="Arial"/>
          <w:sz w:val="17"/>
          <w:szCs w:val="17"/>
          <w:color w:val="auto"/>
        </w:rPr>
      </w:pPr>
    </w:p>
    <w:p>
      <w:pPr>
        <w:ind w:left="320" w:right="160" w:hanging="204"/>
        <w:spacing w:after="0" w:line="237" w:lineRule="auto"/>
        <w:tabs>
          <w:tab w:leader="none" w:pos="3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provide financial planning flexibility, we maintain a Non-Qualified Retirement Plan, under which named executive officers may elect to defer cash compensation. This plan is intended to provide deferred compensation benefits that would have been earned under the tax-qualified 401(k) plan but for certain limitations imposed by the Code. For more information on this plan, see the “Executive Compensation—2023 Non-Qualified Deferred Compensation” section below.</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Perquisites and Other Benefits</w:t>
      </w:r>
    </w:p>
    <w:p>
      <w:pPr>
        <w:spacing w:after="0" w:line="98" w:lineRule="exact"/>
        <w:rPr>
          <w:sz w:val="20"/>
          <w:szCs w:val="20"/>
          <w:color w:val="auto"/>
        </w:rPr>
      </w:pPr>
    </w:p>
    <w:p>
      <w:pPr>
        <w:ind w:left="120" w:right="160"/>
        <w:spacing w:after="0" w:line="241" w:lineRule="auto"/>
        <w:rPr>
          <w:sz w:val="20"/>
          <w:szCs w:val="20"/>
          <w:color w:val="auto"/>
        </w:rPr>
      </w:pPr>
      <w:r>
        <w:rPr>
          <w:rFonts w:ascii="Arial" w:cs="Arial" w:eastAsia="Arial" w:hAnsi="Arial"/>
          <w:sz w:val="17"/>
          <w:szCs w:val="17"/>
          <w:color w:val="auto"/>
        </w:rPr>
        <w:t>Perquisites and other non-cash benefits offered to named executive officers include limited personal use of company aircraft (for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Mr. Hunn), an automobile allowance, financial planning assistance (for Mr. Hunn), and periodic medical physicals. Club memberships are permitted when they have a business purpose.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Severance and Change in Control Provisions</w:t>
      </w:r>
    </w:p>
    <w:p>
      <w:pPr>
        <w:spacing w:after="0" w:line="98"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color w:val="auto"/>
        </w:rPr>
        <w:t>We have letter agreements only with Messrs. Hunn and Stipancich. These arrangements provide</w:t>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severance benefits in the event of termination of employment under certain circumstances, including in connection with a change in control. For a description of these agreements and payments under various termination scenarios, see the “Executive Compensation—Potential Payments upon Termination or Change in Control” section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Double Trigger Equity Vesting</w:t>
      </w:r>
    </w:p>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17"/>
          <w:szCs w:val="17"/>
          <w:color w:val="auto"/>
        </w:rPr>
        <w:t>In regard to equity awards, we use a “double trigger” approach to vesting upon a change in control, rather than providing for vesting solely upon a change in control (“single trigger”), because we believe it provides adequate protection and reduces potential costs for a possible acquirer of the Company. See the “Executive Compensation—Potential Payments upon Termination or Change in Control” section below for additional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No Excise Tax Gross-Ups</w:t>
      </w:r>
    </w:p>
    <w:p>
      <w:pPr>
        <w:spacing w:after="0" w:line="98"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A named executive officer may be subject to excise taxes on benefits received in relation to a change in control of the Company. We do not provide excise-tax gross-ups to named executive officers (which would place the named executive officer in the same tax position as if the excise tax did not apply).</w:t>
      </w:r>
    </w:p>
    <w:p>
      <w:pPr>
        <w:spacing w:after="0" w:line="1232" w:lineRule="exact"/>
        <w:rPr>
          <w:sz w:val="20"/>
          <w:szCs w:val="20"/>
          <w:color w:val="auto"/>
        </w:rPr>
      </w:pPr>
    </w:p>
    <w:p>
      <w:pPr>
        <w:sectPr>
          <w:pgSz w:w="11900" w:h="16838" w:orient="portrait"/>
          <w:cols w:equalWidth="0" w:num="2">
            <w:col w:w="5400" w:space="340"/>
            <w:col w:w="5400"/>
          </w:cols>
          <w:pgMar w:left="320" w:top="482" w:right="439" w:bottom="1440" w:gutter="0" w:footer="0" w:header="0"/>
          <w:type w:val="continuous"/>
        </w:sectPr>
      </w:pPr>
    </w:p>
    <w:p>
      <w:pPr>
        <w:spacing w:after="0" w:line="62"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29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Mix of Total Compensation</w:t>
      </w:r>
    </w:p>
    <w:p>
      <w:pPr>
        <w:spacing w:after="0" w:line="9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color w:val="auto"/>
        </w:rPr>
        <w:t>Compensation for our named executive officers encourages a long-term focus and closely aligns with shareholder interests. For 2023, the total direct compensation at target that was at risk and tied to stock price and performance objectives was 95% for the CEO, and 89% on average for our other named executive officers.</w:t>
      </w:r>
    </w:p>
    <w:p>
      <w:pPr>
        <w:spacing w:after="0" w:line="39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2023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163195</wp:posOffset>
            </wp:positionV>
            <wp:extent cx="3814445" cy="1859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1444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PROCESS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Committee Oversight</w:t>
      </w:r>
    </w:p>
    <w:p>
      <w:pPr>
        <w:spacing w:after="0" w:line="100" w:lineRule="exact"/>
        <w:rPr>
          <w:sz w:val="20"/>
          <w:szCs w:val="20"/>
          <w:color w:val="auto"/>
        </w:rPr>
      </w:pPr>
    </w:p>
    <w:p>
      <w:pPr>
        <w:ind w:left="120" w:right="300"/>
        <w:spacing w:after="0" w:line="244" w:lineRule="auto"/>
        <w:rPr>
          <w:sz w:val="20"/>
          <w:szCs w:val="20"/>
          <w:color w:val="auto"/>
        </w:rPr>
      </w:pPr>
      <w:r>
        <w:rPr>
          <w:rFonts w:ascii="Arial" w:cs="Arial" w:eastAsia="Arial" w:hAnsi="Arial"/>
          <w:sz w:val="17"/>
          <w:szCs w:val="17"/>
          <w:color w:val="auto"/>
        </w:rPr>
        <w:t>The Compensation Committee oversees our executive compensation program to appropriately compensate our named executive officers, motivate our named executive officers to achieve our business objectives, and align our named executive officers’ interests with those of our shareholders. The Compensation Committee reviews each element of compensation for each named executive officer and determines any adjustments to compensation structure and levels in light of various considerations, including:</w:t>
      </w:r>
    </w:p>
    <w:p>
      <w:pPr>
        <w:spacing w:after="0" w:line="83" w:lineRule="exact"/>
        <w:rPr>
          <w:sz w:val="20"/>
          <w:szCs w:val="20"/>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scope of the named executive officer’s responsibilities, performance, and experience as well as competitive compensation levels.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financial results against prior periods.</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structure of our compensation program relative to sound risk management, as discussed with management.</w:t>
      </w:r>
    </w:p>
    <w:p>
      <w:pPr>
        <w:spacing w:after="0" w:line="115" w:lineRule="exact"/>
        <w:rPr>
          <w:rFonts w:ascii="Arial" w:cs="Arial" w:eastAsia="Arial" w:hAnsi="Arial"/>
          <w:sz w:val="17"/>
          <w:szCs w:val="17"/>
          <w:color w:val="auto"/>
        </w:rPr>
      </w:pPr>
    </w:p>
    <w:p>
      <w:pPr>
        <w:ind w:left="340" w:hanging="224"/>
        <w:spacing w:after="0"/>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results of the advisory shareholder vote on the compensation of our named executive officers and input from shareholders.</w:t>
      </w:r>
    </w:p>
    <w:p>
      <w:pPr>
        <w:spacing w:after="0" w:line="115" w:lineRule="exact"/>
        <w:rPr>
          <w:rFonts w:ascii="Arial" w:cs="Arial" w:eastAsia="Arial" w:hAnsi="Arial"/>
          <w:sz w:val="17"/>
          <w:szCs w:val="17"/>
          <w:color w:val="auto"/>
        </w:rPr>
      </w:pPr>
    </w:p>
    <w:p>
      <w:pPr>
        <w:ind w:left="340" w:right="580" w:hanging="224"/>
        <w:spacing w:after="0" w:line="267"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Competitive pressures from private equity and capital deployment companies, as well as market practices and external developments generally.</w:t>
      </w:r>
    </w:p>
    <w:p>
      <w:pPr>
        <w:spacing w:after="0" w:line="64" w:lineRule="exact"/>
        <w:rPr>
          <w:rFonts w:ascii="Arial" w:cs="Arial" w:eastAsia="Arial" w:hAnsi="Arial"/>
          <w:sz w:val="17"/>
          <w:szCs w:val="17"/>
          <w:color w:val="auto"/>
        </w:rPr>
      </w:pPr>
    </w:p>
    <w:p>
      <w:pPr>
        <w:ind w:left="340" w:right="200" w:hanging="224"/>
        <w:spacing w:after="0" w:line="267"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utilization of a compensation consultant who provides extensive external analysis of named executive officer compensation of industry peer group companies for comparison purposes.</w:t>
      </w:r>
    </w:p>
    <w:p>
      <w:pPr>
        <w:spacing w:after="0" w:line="11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color w:val="auto"/>
        </w:rPr>
        <w:t>The Compensation Committee has maintained a simple program that drives long-term performance and superior value creation for shareholders enabling Roper to attract, retain, and motivate an outstanding leadership team.</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Compensation Consultant</w:t>
      </w:r>
    </w:p>
    <w:p>
      <w:pPr>
        <w:spacing w:after="0" w:line="100" w:lineRule="exact"/>
        <w:rPr>
          <w:sz w:val="20"/>
          <w:szCs w:val="20"/>
          <w:color w:val="auto"/>
        </w:rPr>
      </w:pPr>
    </w:p>
    <w:p>
      <w:pPr>
        <w:jc w:val="both"/>
        <w:ind w:left="120" w:right="340"/>
        <w:spacing w:after="0" w:line="249" w:lineRule="auto"/>
        <w:rPr>
          <w:sz w:val="20"/>
          <w:szCs w:val="20"/>
          <w:color w:val="auto"/>
        </w:rPr>
      </w:pPr>
      <w:r>
        <w:rPr>
          <w:rFonts w:ascii="Arial" w:cs="Arial" w:eastAsia="Arial" w:hAnsi="Arial"/>
          <w:sz w:val="17"/>
          <w:szCs w:val="17"/>
          <w:color w:val="auto"/>
        </w:rPr>
        <w:t>The Compensation Committee has retained the services of Compensia, a national compensation consulting firm, (the “Consultant”), to closely monitor developments and trends in executive compensation and to provide recommendations for appropriate adjustments to the Company’s compensation program, policies and practices in line with the Company’s business and talent strategies and investor expectations.</w:t>
      </w:r>
    </w:p>
    <w:p>
      <w:pPr>
        <w:spacing w:after="0" w:line="80" w:lineRule="exact"/>
        <w:rPr>
          <w:sz w:val="20"/>
          <w:szCs w:val="20"/>
          <w:color w:val="auto"/>
        </w:rPr>
      </w:pPr>
    </w:p>
    <w:p>
      <w:pPr>
        <w:ind w:left="340" w:right="60" w:hanging="224"/>
        <w:spacing w:after="0" w:line="249"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Consultant is independent, reports directly to the Chair of the Compensation Committee and has never performed other work for the Company. Each year the Compensation Committee confirms that its engagement of the Consultant does not raise any conflicts of interest, and consistent with prior years, for 2023 there were no conflicts of interest.</w:t>
      </w:r>
    </w:p>
    <w:p>
      <w:pPr>
        <w:spacing w:after="0" w:line="80" w:lineRule="exact"/>
        <w:rPr>
          <w:rFonts w:ascii="Arial" w:cs="Arial" w:eastAsia="Arial" w:hAnsi="Arial"/>
          <w:sz w:val="17"/>
          <w:szCs w:val="17"/>
          <w:color w:val="auto"/>
        </w:rPr>
      </w:pPr>
    </w:p>
    <w:p>
      <w:pPr>
        <w:ind w:left="340" w:right="840" w:hanging="224"/>
        <w:spacing w:after="0" w:line="267"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Consultant attends all meetings of the Compensation Committee where evaluations of the effectiveness of our overall executive compensation program are conducted or where compensation for named executive officers is analyzed or approved.</w:t>
      </w:r>
    </w:p>
    <w:p>
      <w:pPr>
        <w:spacing w:after="0" w:line="64" w:lineRule="exact"/>
        <w:rPr>
          <w:rFonts w:ascii="Arial" w:cs="Arial" w:eastAsia="Arial" w:hAnsi="Arial"/>
          <w:sz w:val="17"/>
          <w:szCs w:val="17"/>
          <w:color w:val="auto"/>
        </w:rPr>
      </w:pPr>
    </w:p>
    <w:p>
      <w:pPr>
        <w:ind w:left="340" w:right="460" w:hanging="224"/>
        <w:spacing w:after="0" w:line="267"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Chair of the Compensation Committee meets with the Consultant in advance of committee meetings and confers with the Consultant between meetings.</w:t>
      </w:r>
    </w:p>
    <w:p>
      <w:pPr>
        <w:spacing w:after="0" w:line="64" w:lineRule="exact"/>
        <w:rPr>
          <w:rFonts w:ascii="Arial" w:cs="Arial" w:eastAsia="Arial" w:hAnsi="Arial"/>
          <w:sz w:val="17"/>
          <w:szCs w:val="17"/>
          <w:color w:val="auto"/>
        </w:rPr>
      </w:pPr>
    </w:p>
    <w:p>
      <w:pPr>
        <w:ind w:left="340" w:right="160" w:hanging="224"/>
        <w:spacing w:after="0" w:line="267"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Consultant assists in gathering and analyzing market data on compensation levels and provides expert knowledge of marketplace trends and best practices relating to competitive pay levels as well as developments in regulatory and technical matters.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Roles of Our Named Executive Officers</w:t>
      </w:r>
    </w:p>
    <w:p>
      <w:pPr>
        <w:spacing w:after="0" w:line="100" w:lineRule="exact"/>
        <w:rPr>
          <w:sz w:val="20"/>
          <w:szCs w:val="20"/>
          <w:color w:val="auto"/>
        </w:rPr>
      </w:pPr>
    </w:p>
    <w:p>
      <w:pPr>
        <w:jc w:val="both"/>
        <w:ind w:left="120" w:right="240"/>
        <w:spacing w:after="0" w:line="249" w:lineRule="auto"/>
        <w:rPr>
          <w:sz w:val="20"/>
          <w:szCs w:val="20"/>
          <w:color w:val="auto"/>
        </w:rPr>
      </w:pPr>
      <w:r>
        <w:rPr>
          <w:rFonts w:ascii="Arial" w:cs="Arial" w:eastAsia="Arial" w:hAnsi="Arial"/>
          <w:sz w:val="17"/>
          <w:szCs w:val="17"/>
          <w:color w:val="auto"/>
        </w:rPr>
        <w:t>While the Compensation Committee is ultimately responsible for making all compensation decisions affecting our named executive officers, our CEO participates in the process because of his close day-to-day association with the other named executive officers and his knowledge of the Company’s diverse business operations.</w:t>
      </w:r>
    </w:p>
    <w:p>
      <w:pPr>
        <w:spacing w:after="0" w:line="80" w:lineRule="exact"/>
        <w:rPr>
          <w:sz w:val="20"/>
          <w:szCs w:val="20"/>
          <w:color w:val="auto"/>
        </w:rPr>
      </w:pPr>
    </w:p>
    <w:p>
      <w:pPr>
        <w:ind w:left="340" w:right="560" w:hanging="224"/>
        <w:spacing w:after="0" w:line="267"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CEO discusses with the Compensation Committee the performance of the Company and of each named executive officer, including himself. The CEO also discusses with the Compensation Committee the performance of other key executives.</w:t>
      </w:r>
    </w:p>
    <w:p>
      <w:pPr>
        <w:spacing w:after="0" w:line="64" w:lineRule="exact"/>
        <w:rPr>
          <w:rFonts w:ascii="Arial" w:cs="Arial" w:eastAsia="Arial" w:hAnsi="Arial"/>
          <w:sz w:val="17"/>
          <w:szCs w:val="17"/>
          <w:color w:val="auto"/>
        </w:rPr>
      </w:pPr>
    </w:p>
    <w:p>
      <w:pPr>
        <w:jc w:val="both"/>
        <w:ind w:left="340" w:right="380" w:hanging="224"/>
        <w:spacing w:after="0" w:line="249"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CEO makes recommendations on the components of compensation for the named executive officers, other than himself, but does not participate in the portion of the Compensation Committee meeting regarding the review of his own performance or the determination of the actual amounts of his compensation.</w:t>
      </w:r>
    </w:p>
    <w:p>
      <w:pPr>
        <w:spacing w:after="0" w:line="175"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color w:val="auto"/>
        </w:rPr>
        <w:t>Our Chief Financial Officer and our Controller also assist the Compensation Committee as an information resource in regard to metrics related to incentive compensation. Our General Counsel also provides support to the Committee, as needed, with respect to his areas of expertise.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Comparative Compensation Information</w:t>
      </w:r>
    </w:p>
    <w:p>
      <w:pPr>
        <w:spacing w:after="0" w:line="100"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Market pay levels and practices, including those of a self-selected peer group, are among many factors the Compensation Committee considers in making compensation decisions.</w:t>
      </w:r>
    </w:p>
    <w:p>
      <w:pPr>
        <w:spacing w:after="0" w:line="114"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31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right="60"/>
        <w:spacing w:after="0" w:line="420"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i w:val="1"/>
          <w:iCs w:val="1"/>
          <w:color w:val="005CB9"/>
        </w:rPr>
        <w:t>Purpose</w:t>
      </w:r>
    </w:p>
    <w:p>
      <w:pPr>
        <w:spacing w:after="0" w:line="1" w:lineRule="exact"/>
        <w:rPr>
          <w:sz w:val="20"/>
          <w:szCs w:val="20"/>
          <w:color w:val="auto"/>
        </w:rPr>
      </w:pPr>
    </w:p>
    <w:p>
      <w:pPr>
        <w:ind w:left="320" w:hanging="204"/>
        <w:spacing w:after="0" w:line="241" w:lineRule="auto"/>
        <w:tabs>
          <w:tab w:leader="none" w:pos="3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We review market-based comparative compensation information to provide an external frame of reference on range and reasonableness of compensation levels and practices. Market information is used as a data point in decision-making, and not as a primary factor.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Challenges</w:t>
      </w:r>
    </w:p>
    <w:p>
      <w:pPr>
        <w:spacing w:after="0" w:line="112" w:lineRule="exact"/>
        <w:rPr>
          <w:sz w:val="20"/>
          <w:szCs w:val="20"/>
          <w:color w:val="auto"/>
        </w:rPr>
      </w:pPr>
    </w:p>
    <w:p>
      <w:pPr>
        <w:ind w:left="320" w:right="20" w:hanging="204"/>
        <w:spacing w:after="0" w:line="236" w:lineRule="auto"/>
        <w:tabs>
          <w:tab w:leader="none" w:pos="3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high-margin, high-cash generating, asset-light business model and diversified end-markets make it challenging to select peers using traditional criteria, such as revenue, industry codes or competitors. Roper’s 28 operating businesses have peers that can be assigned by industry, but at the enterprise level Roper has no peers that match our diverse set of businesses and unique operating model. Given our valuation relative to revenue, using only revenue in measuring Roper’s size understates the relative market value of Roper and is therefore a poor indicator. Likewise, comparing Roper against a peer group selected primarily on the basis of GICS code</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2023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6" w:right="140"/>
        <w:spacing w:after="0" w:line="249" w:lineRule="auto"/>
        <w:rPr>
          <w:sz w:val="20"/>
          <w:szCs w:val="20"/>
          <w:color w:val="auto"/>
        </w:rPr>
      </w:pPr>
      <w:r>
        <w:rPr>
          <w:rFonts w:ascii="Arial" w:cs="Arial" w:eastAsia="Arial" w:hAnsi="Arial"/>
          <w:sz w:val="17"/>
          <w:szCs w:val="17"/>
          <w:color w:val="auto"/>
        </w:rPr>
        <w:t>classification can lead to inappropriate comparisons, particularly in light of Roper’s diverse business mix and private equity-like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-1186180</wp:posOffset>
            </wp:positionV>
            <wp:extent cx="7174865" cy="55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Private Equity</w:t>
      </w:r>
    </w:p>
    <w:p>
      <w:pPr>
        <w:spacing w:after="0" w:line="112" w:lineRule="exact"/>
        <w:rPr>
          <w:sz w:val="20"/>
          <w:szCs w:val="20"/>
          <w:color w:val="auto"/>
        </w:rPr>
      </w:pPr>
    </w:p>
    <w:p>
      <w:pPr>
        <w:ind w:left="206" w:right="40" w:hanging="206"/>
        <w:spacing w:after="0" w:line="235" w:lineRule="auto"/>
        <w:tabs>
          <w:tab w:leader="none" w:pos="206" w:val="left"/>
        </w:tabs>
        <w:numPr>
          <w:ilvl w:val="0"/>
          <w:numId w:val="46"/>
        </w:numPr>
        <w:rPr>
          <w:rFonts w:ascii="Arial" w:cs="Arial" w:eastAsia="Arial" w:hAnsi="Arial"/>
          <w:sz w:val="17"/>
          <w:szCs w:val="17"/>
          <w:color w:val="auto"/>
        </w:rPr>
      </w:pPr>
      <w:r>
        <w:rPr>
          <w:rFonts w:ascii="Arial" w:cs="Arial" w:eastAsia="Arial" w:hAnsi="Arial"/>
          <w:sz w:val="17"/>
          <w:szCs w:val="17"/>
          <w:color w:val="auto"/>
        </w:rPr>
        <w:t>Given the capital deployment responsibilities of our named executive officers and the private equity-like nature of our business, we consider the compensation levels and practices used by private equity firms that offer comprehensive programs, which often include co-investment and leveraged carried-interest opportunities. While Roper’s operating model is closely akin to that of private equity firms, we do not allow our named executive officers to co-invest in Company investments, nor do they benefit from carried-interest tax treatment. Our compensation practices often compete with private equity opportunities when recruiting and retaining talented professionals who possess deep expertise in both operations and capital deployment.</w:t>
      </w:r>
    </w:p>
    <w:p>
      <w:pPr>
        <w:spacing w:after="0" w:line="1185" w:lineRule="exact"/>
        <w:rPr>
          <w:sz w:val="20"/>
          <w:szCs w:val="20"/>
          <w:color w:val="auto"/>
        </w:rPr>
      </w:pPr>
    </w:p>
    <w:p>
      <w:pPr>
        <w:sectPr>
          <w:pgSz w:w="11900" w:h="16838" w:orient="portrait"/>
          <w:cols w:equalWidth="0" w:num="2">
            <w:col w:w="5380" w:space="354"/>
            <w:col w:w="5366"/>
          </w:cols>
          <w:pgMar w:left="320" w:top="482" w:right="479" w:bottom="1440" w:gutter="0" w:footer="0" w:header="0"/>
        </w:sectPr>
      </w:pPr>
    </w:p>
    <w:p>
      <w:pPr>
        <w:ind w:left="120"/>
        <w:spacing w:after="0" w:line="236" w:lineRule="auto"/>
        <w:rPr>
          <w:sz w:val="20"/>
          <w:szCs w:val="20"/>
          <w:color w:val="auto"/>
        </w:rPr>
      </w:pPr>
      <w:r>
        <w:rPr>
          <w:rFonts w:ascii="Arial" w:cs="Arial" w:eastAsia="Arial" w:hAnsi="Arial"/>
          <w:sz w:val="17"/>
          <w:szCs w:val="17"/>
          <w:color w:val="auto"/>
        </w:rPr>
        <w:t>Our self-selected peer group reflects our continued strong growth, sustained value creation, continuing expansion into software and technology-driven businesses, market valuation relative to revenues and gross investment, and intense competition with private equity for talent and investment opportunities. Roper’s decision and subsequent transformation to focus on software and technology-enabled products has changed the performance of the Company significantly. Today, approximately 75% of Roper’s revenue is derived from our software businesses. In addition, Roper’s historical growth and exceptional shareholder returns are in part the result of Roper’s capital deployment strategy. All of these facts make it continually difficult to select appropriate peers. For 2023, the Committee added seven companies to the self-selected peer group to more closely align the peer group with the Company’s portfolio of businesses following the completion of its divestiture strategy to reduce the cyclicality and asset intensity of the enterprise. The companies added are: Ansys, Inc., Ares Management Corporation, Boston Scientific Corporation, The Carlyle Group, Palo Alto Networks, Inc., Stryker Corporation, and Veeva Systems, Inc. At the time of peer company selection, the Committee determined that the self-selected peer group was appropriate based on its review of both financial and non-financial characteristics. The 2023 peer</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120" w:right="500"/>
        <w:spacing w:after="0" w:line="267" w:lineRule="auto"/>
        <w:rPr>
          <w:sz w:val="20"/>
          <w:szCs w:val="20"/>
          <w:color w:val="auto"/>
        </w:rPr>
      </w:pPr>
      <w:r>
        <w:rPr>
          <w:rFonts w:ascii="Arial" w:cs="Arial" w:eastAsia="Arial" w:hAnsi="Arial"/>
          <w:sz w:val="17"/>
          <w:szCs w:val="17"/>
          <w:color w:val="auto"/>
        </w:rPr>
        <w:t>companies are listed below along with various size indicators. VMware, Inc. remained in the self-selected peer group for 2023, however it is excluded from the table below due to its acquisition in 2023.</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100" w:type="dxa"/>
            <w:vAlign w:val="bottom"/>
            <w:shd w:val="clear" w:color="auto" w:fill="005CB9"/>
          </w:tcPr>
          <w:p>
            <w:pPr>
              <w:spacing w:after="0"/>
              <w:rPr>
                <w:sz w:val="20"/>
                <w:szCs w:val="20"/>
                <w:color w:val="auto"/>
              </w:rPr>
            </w:pPr>
          </w:p>
        </w:tc>
        <w:tc>
          <w:tcPr>
            <w:tcW w:w="1060" w:type="dxa"/>
            <w:vAlign w:val="bottom"/>
            <w:shd w:val="clear" w:color="auto" w:fill="005CB9"/>
          </w:tcPr>
          <w:p>
            <w:pPr>
              <w:spacing w:after="0"/>
              <w:rPr>
                <w:sz w:val="20"/>
                <w:szCs w:val="20"/>
                <w:color w:val="auto"/>
              </w:rPr>
            </w:pPr>
          </w:p>
        </w:tc>
        <w:tc>
          <w:tcPr>
            <w:tcW w:w="280" w:type="dxa"/>
            <w:vAlign w:val="bottom"/>
            <w:shd w:val="clear" w:color="auto" w:fill="005CB9"/>
          </w:tcPr>
          <w:p>
            <w:pPr>
              <w:spacing w:after="0"/>
              <w:rPr>
                <w:sz w:val="20"/>
                <w:szCs w:val="20"/>
                <w:color w:val="auto"/>
              </w:rPr>
            </w:pPr>
          </w:p>
        </w:tc>
        <w:tc>
          <w:tcPr>
            <w:tcW w:w="120" w:type="dxa"/>
            <w:vAlign w:val="bottom"/>
            <w:shd w:val="clear" w:color="auto" w:fill="005CB9"/>
          </w:tcPr>
          <w:p>
            <w:pPr>
              <w:spacing w:after="0"/>
              <w:rPr>
                <w:sz w:val="20"/>
                <w:szCs w:val="20"/>
                <w:color w:val="auto"/>
              </w:rPr>
            </w:pPr>
          </w:p>
        </w:tc>
        <w:tc>
          <w:tcPr>
            <w:tcW w:w="920" w:type="dxa"/>
            <w:vAlign w:val="bottom"/>
            <w:gridSpan w:val="2"/>
            <w:shd w:val="clear" w:color="auto" w:fill="005CB9"/>
          </w:tcPr>
          <w:p>
            <w:pPr>
              <w:jc w:val="center"/>
              <w:ind w:right="368"/>
              <w:spacing w:after="0"/>
              <w:rPr>
                <w:sz w:val="20"/>
                <w:szCs w:val="20"/>
                <w:color w:val="auto"/>
              </w:rPr>
            </w:pPr>
            <w:r>
              <w:rPr>
                <w:rFonts w:ascii="Arial" w:cs="Arial" w:eastAsia="Arial" w:hAnsi="Arial"/>
                <w:sz w:val="14"/>
                <w:szCs w:val="14"/>
                <w:color w:val="FFFFFF"/>
              </w:rPr>
              <w:t>Market</w:t>
            </w:r>
          </w:p>
        </w:tc>
        <w:tc>
          <w:tcPr>
            <w:tcW w:w="1140" w:type="dxa"/>
            <w:vAlign w:val="bottom"/>
            <w:gridSpan w:val="3"/>
            <w:shd w:val="clear" w:color="auto" w:fill="005CB9"/>
          </w:tcPr>
          <w:p>
            <w:pPr>
              <w:ind w:left="240"/>
              <w:spacing w:after="0"/>
              <w:rPr>
                <w:sz w:val="20"/>
                <w:szCs w:val="20"/>
                <w:color w:val="auto"/>
              </w:rPr>
            </w:pPr>
            <w:r>
              <w:rPr>
                <w:rFonts w:ascii="Arial" w:cs="Arial" w:eastAsia="Arial" w:hAnsi="Arial"/>
                <w:sz w:val="14"/>
                <w:szCs w:val="14"/>
                <w:color w:val="FFFFFF"/>
              </w:rPr>
              <w:t>Enterprise</w:t>
            </w:r>
          </w:p>
        </w:tc>
        <w:tc>
          <w:tcPr>
            <w:tcW w:w="1140" w:type="dxa"/>
            <w:vAlign w:val="bottom"/>
            <w:gridSpan w:val="3"/>
            <w:vMerge w:val="restart"/>
            <w:shd w:val="clear" w:color="auto" w:fill="005CB9"/>
          </w:tcPr>
          <w:p>
            <w:pPr>
              <w:ind w:left="240"/>
              <w:spacing w:after="0"/>
              <w:rPr>
                <w:sz w:val="20"/>
                <w:szCs w:val="20"/>
                <w:color w:val="auto"/>
              </w:rPr>
            </w:pPr>
            <w:r>
              <w:rPr>
                <w:rFonts w:ascii="Arial" w:cs="Arial" w:eastAsia="Arial" w:hAnsi="Arial"/>
                <w:sz w:val="14"/>
                <w:szCs w:val="14"/>
                <w:color w:val="FFFFFF"/>
              </w:rPr>
              <w:t>Revenue</w:t>
            </w:r>
            <w:r>
              <w:rPr>
                <w:rFonts w:ascii="Arial" w:cs="Arial" w:eastAsia="Arial" w:hAnsi="Arial"/>
                <w:sz w:val="6"/>
                <w:szCs w:val="6"/>
                <w:color w:val="FFFFFF"/>
              </w:rPr>
              <w:t>(2)</w:t>
            </w:r>
          </w:p>
        </w:tc>
        <w:tc>
          <w:tcPr>
            <w:tcW w:w="280" w:type="dxa"/>
            <w:vAlign w:val="bottom"/>
            <w:shd w:val="clear" w:color="auto" w:fill="005CB9"/>
          </w:tcPr>
          <w:p>
            <w:pPr>
              <w:spacing w:after="0"/>
              <w:rPr>
                <w:sz w:val="20"/>
                <w:szCs w:val="20"/>
                <w:color w:val="auto"/>
              </w:rPr>
            </w:pPr>
          </w:p>
        </w:tc>
        <w:tc>
          <w:tcPr>
            <w:tcW w:w="100" w:type="dxa"/>
            <w:vAlign w:val="bottom"/>
            <w:shd w:val="clear" w:color="auto" w:fill="005CB9"/>
          </w:tcPr>
          <w:p>
            <w:pPr>
              <w:spacing w:after="0"/>
              <w:rPr>
                <w:sz w:val="20"/>
                <w:szCs w:val="20"/>
                <w:color w:val="auto"/>
              </w:rPr>
            </w:pPr>
          </w:p>
        </w:tc>
        <w:tc>
          <w:tcPr>
            <w:tcW w:w="920" w:type="dxa"/>
            <w:vAlign w:val="bottom"/>
            <w:gridSpan w:val="2"/>
            <w:shd w:val="clear" w:color="auto" w:fill="005CB9"/>
          </w:tcPr>
          <w:p>
            <w:pPr>
              <w:jc w:val="center"/>
              <w:ind w:right="508"/>
              <w:spacing w:after="0"/>
              <w:rPr>
                <w:sz w:val="20"/>
                <w:szCs w:val="20"/>
                <w:color w:val="auto"/>
              </w:rPr>
            </w:pPr>
            <w:r>
              <w:rPr>
                <w:rFonts w:ascii="Arial" w:cs="Arial" w:eastAsia="Arial" w:hAnsi="Arial"/>
                <w:sz w:val="14"/>
                <w:szCs w:val="14"/>
                <w:color w:val="FFFFFF"/>
              </w:rPr>
              <w:t>Net</w:t>
            </w:r>
          </w:p>
        </w:tc>
        <w:tc>
          <w:tcPr>
            <w:tcW w:w="1960" w:type="dxa"/>
            <w:vAlign w:val="bottom"/>
            <w:vMerge w:val="restart"/>
            <w:shd w:val="clear" w:color="auto" w:fill="005CB9"/>
          </w:tcPr>
          <w:p>
            <w:pPr>
              <w:ind w:left="60"/>
              <w:spacing w:after="0"/>
              <w:rPr>
                <w:sz w:val="20"/>
                <w:szCs w:val="20"/>
                <w:color w:val="auto"/>
              </w:rPr>
            </w:pPr>
            <w:r>
              <w:rPr>
                <w:rFonts w:ascii="Arial" w:cs="Arial" w:eastAsia="Arial" w:hAnsi="Arial"/>
                <w:sz w:val="14"/>
                <w:szCs w:val="14"/>
                <w:color w:val="FFFFFF"/>
              </w:rPr>
              <w:t>Global Industry Classification</w:t>
            </w:r>
          </w:p>
        </w:tc>
        <w:tc>
          <w:tcPr>
            <w:tcW w:w="0" w:type="dxa"/>
            <w:vAlign w:val="bottom"/>
          </w:tcPr>
          <w:p>
            <w:pPr>
              <w:spacing w:after="0"/>
              <w:rPr>
                <w:sz w:val="1"/>
                <w:szCs w:val="1"/>
                <w:color w:val="auto"/>
              </w:rPr>
            </w:pPr>
          </w:p>
        </w:tc>
      </w:tr>
      <w:tr>
        <w:trPr>
          <w:trHeight w:val="176"/>
        </w:trPr>
        <w:tc>
          <w:tcPr>
            <w:tcW w:w="3100" w:type="dxa"/>
            <w:vAlign w:val="bottom"/>
            <w:shd w:val="clear" w:color="auto" w:fill="005CB9"/>
          </w:tcPr>
          <w:p>
            <w:pPr>
              <w:spacing w:after="0"/>
              <w:rPr>
                <w:sz w:val="15"/>
                <w:szCs w:val="15"/>
                <w:color w:val="auto"/>
              </w:rPr>
            </w:pPr>
          </w:p>
        </w:tc>
        <w:tc>
          <w:tcPr>
            <w:tcW w:w="1060" w:type="dxa"/>
            <w:vAlign w:val="bottom"/>
            <w:shd w:val="clear" w:color="auto" w:fill="005CB9"/>
          </w:tcPr>
          <w:p>
            <w:pPr>
              <w:spacing w:after="0"/>
              <w:rPr>
                <w:sz w:val="15"/>
                <w:szCs w:val="15"/>
                <w:color w:val="auto"/>
              </w:rPr>
            </w:pPr>
          </w:p>
        </w:tc>
        <w:tc>
          <w:tcPr>
            <w:tcW w:w="1320" w:type="dxa"/>
            <w:vAlign w:val="bottom"/>
            <w:gridSpan w:val="4"/>
            <w:shd w:val="clear" w:color="auto" w:fill="005CB9"/>
          </w:tcPr>
          <w:p>
            <w:pPr>
              <w:jc w:val="center"/>
              <w:spacing w:after="0"/>
              <w:rPr>
                <w:sz w:val="20"/>
                <w:szCs w:val="20"/>
                <w:color w:val="auto"/>
              </w:rPr>
            </w:pPr>
            <w:r>
              <w:rPr>
                <w:rFonts w:ascii="Arial" w:cs="Arial" w:eastAsia="Arial" w:hAnsi="Arial"/>
                <w:sz w:val="14"/>
                <w:szCs w:val="14"/>
                <w:color w:val="FFFFFF"/>
              </w:rPr>
              <w:t>Capitalization</w:t>
            </w:r>
            <w:r>
              <w:rPr>
                <w:rFonts w:ascii="Arial" w:cs="Arial" w:eastAsia="Arial" w:hAnsi="Arial"/>
                <w:sz w:val="6"/>
                <w:szCs w:val="6"/>
                <w:color w:val="FFFFFF"/>
              </w:rPr>
              <w:t>(1)</w:t>
            </w:r>
          </w:p>
        </w:tc>
        <w:tc>
          <w:tcPr>
            <w:tcW w:w="320" w:type="dxa"/>
            <w:vAlign w:val="bottom"/>
            <w:shd w:val="clear" w:color="auto" w:fill="005CB9"/>
          </w:tcPr>
          <w:p>
            <w:pPr>
              <w:spacing w:after="0"/>
              <w:rPr>
                <w:sz w:val="15"/>
                <w:szCs w:val="15"/>
                <w:color w:val="auto"/>
              </w:rPr>
            </w:pPr>
          </w:p>
        </w:tc>
        <w:tc>
          <w:tcPr>
            <w:tcW w:w="820" w:type="dxa"/>
            <w:vAlign w:val="bottom"/>
            <w:gridSpan w:val="2"/>
            <w:shd w:val="clear" w:color="auto" w:fill="005CB9"/>
          </w:tcPr>
          <w:p>
            <w:pPr>
              <w:ind w:left="40"/>
              <w:spacing w:after="0"/>
              <w:rPr>
                <w:sz w:val="20"/>
                <w:szCs w:val="20"/>
                <w:color w:val="auto"/>
              </w:rPr>
            </w:pPr>
            <w:r>
              <w:rPr>
                <w:rFonts w:ascii="Arial" w:cs="Arial" w:eastAsia="Arial" w:hAnsi="Arial"/>
                <w:sz w:val="14"/>
                <w:szCs w:val="14"/>
                <w:color w:val="FFFFFF"/>
              </w:rPr>
              <w:t>Value</w:t>
            </w:r>
            <w:r>
              <w:rPr>
                <w:rFonts w:ascii="Arial" w:cs="Arial" w:eastAsia="Arial" w:hAnsi="Arial"/>
                <w:sz w:val="6"/>
                <w:szCs w:val="6"/>
                <w:color w:val="FFFFFF"/>
              </w:rPr>
              <w:t>(1)</w:t>
            </w:r>
          </w:p>
        </w:tc>
        <w:tc>
          <w:tcPr>
            <w:tcW w:w="1140" w:type="dxa"/>
            <w:vAlign w:val="bottom"/>
            <w:gridSpan w:val="3"/>
            <w:vMerge w:val="continue"/>
            <w:shd w:val="clear" w:color="auto" w:fill="005CB9"/>
          </w:tcPr>
          <w:p>
            <w:pPr>
              <w:spacing w:after="0"/>
              <w:rPr>
                <w:sz w:val="15"/>
                <w:szCs w:val="15"/>
                <w:color w:val="auto"/>
              </w:rPr>
            </w:pPr>
          </w:p>
        </w:tc>
        <w:tc>
          <w:tcPr>
            <w:tcW w:w="280" w:type="dxa"/>
            <w:vAlign w:val="bottom"/>
            <w:shd w:val="clear" w:color="auto" w:fill="005CB9"/>
          </w:tcPr>
          <w:p>
            <w:pPr>
              <w:spacing w:after="0"/>
              <w:rPr>
                <w:sz w:val="15"/>
                <w:szCs w:val="15"/>
                <w:color w:val="auto"/>
              </w:rPr>
            </w:pPr>
          </w:p>
        </w:tc>
        <w:tc>
          <w:tcPr>
            <w:tcW w:w="1020" w:type="dxa"/>
            <w:vAlign w:val="bottom"/>
            <w:gridSpan w:val="3"/>
            <w:shd w:val="clear" w:color="auto" w:fill="005CB9"/>
          </w:tcPr>
          <w:p>
            <w:pPr>
              <w:jc w:val="center"/>
              <w:ind w:right="408"/>
              <w:spacing w:after="0"/>
              <w:rPr>
                <w:sz w:val="20"/>
                <w:szCs w:val="20"/>
                <w:color w:val="auto"/>
              </w:rPr>
            </w:pPr>
            <w:r>
              <w:rPr>
                <w:rFonts w:ascii="Arial" w:cs="Arial" w:eastAsia="Arial" w:hAnsi="Arial"/>
                <w:sz w:val="14"/>
                <w:szCs w:val="14"/>
                <w:color w:val="FFFFFF"/>
              </w:rPr>
              <w:t>Income</w:t>
            </w:r>
            <w:r>
              <w:rPr>
                <w:rFonts w:ascii="Arial" w:cs="Arial" w:eastAsia="Arial" w:hAnsi="Arial"/>
                <w:sz w:val="6"/>
                <w:szCs w:val="6"/>
                <w:color w:val="FFFFFF"/>
              </w:rPr>
              <w:t>(2)</w:t>
            </w:r>
          </w:p>
        </w:tc>
        <w:tc>
          <w:tcPr>
            <w:tcW w:w="1960" w:type="dxa"/>
            <w:vAlign w:val="bottom"/>
            <w:vMerge w:val="continue"/>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100" w:type="dxa"/>
            <w:vAlign w:val="bottom"/>
            <w:tcBorders>
              <w:bottom w:val="single" w:sz="8" w:color="005CB9"/>
            </w:tcBorders>
            <w:shd w:val="clear" w:color="auto" w:fill="005CB9"/>
          </w:tcPr>
          <w:p>
            <w:pPr>
              <w:spacing w:after="0"/>
              <w:rPr>
                <w:sz w:val="16"/>
                <w:szCs w:val="16"/>
                <w:color w:val="auto"/>
              </w:rPr>
            </w:pPr>
          </w:p>
        </w:tc>
        <w:tc>
          <w:tcPr>
            <w:tcW w:w="1060" w:type="dxa"/>
            <w:vAlign w:val="bottom"/>
            <w:tcBorders>
              <w:bottom w:val="single" w:sz="8" w:color="005CB9"/>
            </w:tcBorders>
            <w:shd w:val="clear" w:color="auto" w:fill="005CB9"/>
          </w:tcPr>
          <w:p>
            <w:pPr>
              <w:spacing w:after="0"/>
              <w:rPr>
                <w:sz w:val="16"/>
                <w:szCs w:val="16"/>
                <w:color w:val="auto"/>
              </w:rPr>
            </w:pPr>
          </w:p>
        </w:tc>
        <w:tc>
          <w:tcPr>
            <w:tcW w:w="280" w:type="dxa"/>
            <w:vAlign w:val="bottom"/>
            <w:tcBorders>
              <w:bottom w:val="single" w:sz="8" w:color="005CB9"/>
            </w:tcBorders>
            <w:shd w:val="clear" w:color="auto" w:fill="005CB9"/>
          </w:tcPr>
          <w:p>
            <w:pPr>
              <w:spacing w:after="0"/>
              <w:rPr>
                <w:sz w:val="16"/>
                <w:szCs w:val="16"/>
                <w:color w:val="auto"/>
              </w:rPr>
            </w:pPr>
          </w:p>
        </w:tc>
        <w:tc>
          <w:tcPr>
            <w:tcW w:w="1040" w:type="dxa"/>
            <w:vAlign w:val="bottom"/>
            <w:tcBorders>
              <w:bottom w:val="single" w:sz="8" w:color="005CB9"/>
            </w:tcBorders>
            <w:gridSpan w:val="3"/>
            <w:shd w:val="clear" w:color="auto" w:fill="005CB9"/>
          </w:tcPr>
          <w:p>
            <w:pPr>
              <w:ind w:left="20"/>
              <w:spacing w:after="0"/>
              <w:rPr>
                <w:sz w:val="20"/>
                <w:szCs w:val="20"/>
                <w:color w:val="auto"/>
              </w:rPr>
            </w:pPr>
            <w:r>
              <w:rPr>
                <w:rFonts w:ascii="Arial" w:cs="Arial" w:eastAsia="Arial" w:hAnsi="Arial"/>
                <w:sz w:val="14"/>
                <w:szCs w:val="14"/>
                <w:color w:val="FFFFFF"/>
              </w:rPr>
              <w:t>($ millions)</w:t>
            </w:r>
          </w:p>
        </w:tc>
        <w:tc>
          <w:tcPr>
            <w:tcW w:w="1140" w:type="dxa"/>
            <w:vAlign w:val="bottom"/>
            <w:tcBorders>
              <w:bottom w:val="single" w:sz="8" w:color="005CB9"/>
            </w:tcBorders>
            <w:gridSpan w:val="3"/>
            <w:shd w:val="clear" w:color="auto" w:fill="005CB9"/>
          </w:tcPr>
          <w:p>
            <w:pPr>
              <w:ind w:left="220"/>
              <w:spacing w:after="0"/>
              <w:rPr>
                <w:sz w:val="20"/>
                <w:szCs w:val="20"/>
                <w:color w:val="auto"/>
              </w:rPr>
            </w:pPr>
            <w:r>
              <w:rPr>
                <w:rFonts w:ascii="Arial" w:cs="Arial" w:eastAsia="Arial" w:hAnsi="Arial"/>
                <w:sz w:val="14"/>
                <w:szCs w:val="14"/>
                <w:color w:val="FFFFFF"/>
              </w:rPr>
              <w:t>($ millions)</w:t>
            </w:r>
          </w:p>
        </w:tc>
        <w:tc>
          <w:tcPr>
            <w:tcW w:w="1140" w:type="dxa"/>
            <w:vAlign w:val="bottom"/>
            <w:tcBorders>
              <w:bottom w:val="single" w:sz="8" w:color="005CB9"/>
            </w:tcBorders>
            <w:gridSpan w:val="3"/>
            <w:shd w:val="clear" w:color="auto" w:fill="005CB9"/>
          </w:tcPr>
          <w:p>
            <w:pPr>
              <w:ind w:left="220"/>
              <w:spacing w:after="0"/>
              <w:rPr>
                <w:sz w:val="20"/>
                <w:szCs w:val="20"/>
                <w:color w:val="auto"/>
              </w:rPr>
            </w:pPr>
            <w:r>
              <w:rPr>
                <w:rFonts w:ascii="Arial" w:cs="Arial" w:eastAsia="Arial" w:hAnsi="Arial"/>
                <w:sz w:val="14"/>
                <w:szCs w:val="14"/>
                <w:color w:val="FFFFFF"/>
              </w:rPr>
              <w:t>($ millions)</w:t>
            </w:r>
          </w:p>
        </w:tc>
        <w:tc>
          <w:tcPr>
            <w:tcW w:w="1300" w:type="dxa"/>
            <w:vAlign w:val="bottom"/>
            <w:tcBorders>
              <w:bottom w:val="single" w:sz="8" w:color="005CB9"/>
            </w:tcBorders>
            <w:gridSpan w:val="4"/>
            <w:shd w:val="clear" w:color="auto" w:fill="005CB9"/>
          </w:tcPr>
          <w:p>
            <w:pPr>
              <w:jc w:val="center"/>
              <w:ind w:right="128"/>
              <w:spacing w:after="0"/>
              <w:rPr>
                <w:sz w:val="20"/>
                <w:szCs w:val="20"/>
                <w:color w:val="auto"/>
              </w:rPr>
            </w:pPr>
            <w:r>
              <w:rPr>
                <w:rFonts w:ascii="Arial" w:cs="Arial" w:eastAsia="Arial" w:hAnsi="Arial"/>
                <w:sz w:val="14"/>
                <w:szCs w:val="14"/>
                <w:color w:val="FFFFFF"/>
              </w:rPr>
              <w:t>($ millions)</w:t>
            </w:r>
          </w:p>
        </w:tc>
        <w:tc>
          <w:tcPr>
            <w:tcW w:w="1960" w:type="dxa"/>
            <w:vAlign w:val="bottom"/>
            <w:tcBorders>
              <w:bottom w:val="single" w:sz="8" w:color="005CB9"/>
            </w:tcBorders>
            <w:shd w:val="clear" w:color="auto" w:fill="005CB9"/>
          </w:tcPr>
          <w:p>
            <w:pPr>
              <w:ind w:left="20"/>
              <w:spacing w:after="0"/>
              <w:rPr>
                <w:sz w:val="20"/>
                <w:szCs w:val="20"/>
                <w:color w:val="auto"/>
              </w:rPr>
            </w:pPr>
            <w:r>
              <w:rPr>
                <w:rFonts w:ascii="Arial" w:cs="Arial" w:eastAsia="Arial" w:hAnsi="Arial"/>
                <w:sz w:val="14"/>
                <w:szCs w:val="14"/>
                <w:color w:val="FFFFFF"/>
              </w:rPr>
              <w:t>Standard (GICS) Sub-Industry</w:t>
            </w:r>
          </w:p>
        </w:tc>
        <w:tc>
          <w:tcPr>
            <w:tcW w:w="0" w:type="dxa"/>
            <w:vAlign w:val="bottom"/>
          </w:tcPr>
          <w:p>
            <w:pPr>
              <w:spacing w:after="0"/>
              <w:rPr>
                <w:sz w:val="1"/>
                <w:szCs w:val="1"/>
                <w:color w:val="auto"/>
              </w:rPr>
            </w:pPr>
          </w:p>
        </w:tc>
      </w:tr>
      <w:tr>
        <w:trPr>
          <w:trHeight w:val="208"/>
        </w:trPr>
        <w:tc>
          <w:tcPr>
            <w:tcW w:w="3100" w:type="dxa"/>
            <w:vAlign w:val="bottom"/>
            <w:shd w:val="clear" w:color="auto" w:fill="E5EEF8"/>
          </w:tcPr>
          <w:p>
            <w:pPr>
              <w:spacing w:after="0"/>
              <w:rPr>
                <w:sz w:val="20"/>
                <w:szCs w:val="20"/>
                <w:color w:val="auto"/>
              </w:rPr>
            </w:pPr>
            <w:r>
              <w:rPr>
                <w:rFonts w:ascii="Arial" w:cs="Arial" w:eastAsia="Arial" w:hAnsi="Arial"/>
                <w:sz w:val="14"/>
                <w:szCs w:val="14"/>
                <w:color w:val="auto"/>
              </w:rPr>
              <w:t>  Adobe Inc.</w:t>
            </w:r>
          </w:p>
        </w:tc>
        <w:tc>
          <w:tcPr>
            <w:tcW w:w="1060" w:type="dxa"/>
            <w:vAlign w:val="bottom"/>
            <w:shd w:val="clear" w:color="auto" w:fill="E5EEF8"/>
          </w:tcPr>
          <w:p>
            <w:pPr>
              <w:spacing w:after="0"/>
              <w:rPr>
                <w:sz w:val="18"/>
                <w:szCs w:val="18"/>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spacing w:after="0"/>
              <w:rPr>
                <w:sz w:val="18"/>
                <w:szCs w:val="18"/>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spacing w:after="0"/>
              <w:rPr>
                <w:sz w:val="18"/>
                <w:szCs w:val="18"/>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spacing w:after="0"/>
              <w:rPr>
                <w:sz w:val="18"/>
                <w:szCs w:val="18"/>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shd w:val="clear" w:color="auto" w:fill="E5EEF8"/>
          </w:tcPr>
          <w:p>
            <w:pPr>
              <w:spacing w:after="0"/>
              <w:rPr>
                <w:sz w:val="18"/>
                <w:szCs w:val="18"/>
                <w:color w:val="auto"/>
              </w:rPr>
            </w:pPr>
          </w:p>
        </w:tc>
        <w:tc>
          <w:tcPr>
            <w:tcW w:w="196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E5EEF8"/>
          </w:tcPr>
          <w:p>
            <w:pPr>
              <w:spacing w:after="0"/>
              <w:rPr>
                <w:sz w:val="19"/>
                <w:szCs w:val="19"/>
                <w:color w:val="auto"/>
              </w:rPr>
            </w:pPr>
          </w:p>
        </w:tc>
        <w:tc>
          <w:tcPr>
            <w:tcW w:w="106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ADBE</w:t>
            </w: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271,632</w:t>
            </w: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9"/>
                <w:szCs w:val="19"/>
                <w:color w:val="auto"/>
              </w:rPr>
            </w:pPr>
          </w:p>
        </w:tc>
        <w:tc>
          <w:tcPr>
            <w:tcW w:w="74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268,884</w:t>
            </w: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9"/>
                <w:szCs w:val="19"/>
                <w:color w:val="auto"/>
              </w:rPr>
            </w:pPr>
          </w:p>
        </w:tc>
        <w:tc>
          <w:tcPr>
            <w:tcW w:w="70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19,376</w:t>
            </w: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jc w:val="right"/>
              <w:ind w:right="308"/>
              <w:spacing w:after="0"/>
              <w:rPr>
                <w:sz w:val="20"/>
                <w:szCs w:val="20"/>
                <w:color w:val="auto"/>
              </w:rPr>
            </w:pPr>
            <w:r>
              <w:rPr>
                <w:rFonts w:ascii="Arial" w:cs="Arial" w:eastAsia="Arial" w:hAnsi="Arial"/>
                <w:sz w:val="14"/>
                <w:szCs w:val="14"/>
                <w:color w:val="auto"/>
              </w:rPr>
              <w:t>5,428</w:t>
            </w:r>
          </w:p>
        </w:tc>
        <w:tc>
          <w:tcPr>
            <w:tcW w:w="1960" w:type="dxa"/>
            <w:vAlign w:val="bottom"/>
            <w:shd w:val="clear" w:color="auto" w:fill="E5EEF8"/>
          </w:tcPr>
          <w:p>
            <w:pPr>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4"/>
                <w:szCs w:val="14"/>
                <w:color w:val="auto"/>
              </w:rPr>
              <w:t>  Salesforce, Inc.</w:t>
            </w: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CRM</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254,720</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256,616</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33,954</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2,592</w:t>
            </w:r>
          </w:p>
        </w:tc>
        <w:tc>
          <w:tcPr>
            <w:tcW w:w="1960" w:type="dxa"/>
            <w:vAlign w:val="bottom"/>
          </w:tcPr>
          <w:p>
            <w:pPr>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212"/>
        </w:trPr>
        <w:tc>
          <w:tcPr>
            <w:tcW w:w="3100" w:type="dxa"/>
            <w:vAlign w:val="bottom"/>
            <w:shd w:val="clear" w:color="auto" w:fill="E5EEF8"/>
          </w:tcPr>
          <w:p>
            <w:pPr>
              <w:spacing w:after="0"/>
              <w:rPr>
                <w:sz w:val="20"/>
                <w:szCs w:val="20"/>
                <w:color w:val="auto"/>
              </w:rPr>
            </w:pPr>
            <w:r>
              <w:rPr>
                <w:rFonts w:ascii="Arial" w:cs="Arial" w:eastAsia="Arial" w:hAnsi="Arial"/>
                <w:sz w:val="14"/>
                <w:szCs w:val="14"/>
                <w:color w:val="auto"/>
              </w:rPr>
              <w:t>  Intuit Inc.</w:t>
            </w:r>
          </w:p>
        </w:tc>
        <w:tc>
          <w:tcPr>
            <w:tcW w:w="1060" w:type="dxa"/>
            <w:vAlign w:val="bottom"/>
            <w:shd w:val="clear" w:color="auto" w:fill="E5EEF8"/>
          </w:tcPr>
          <w:p>
            <w:pPr>
              <w:spacing w:after="0"/>
              <w:rPr>
                <w:sz w:val="18"/>
                <w:szCs w:val="18"/>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spacing w:after="0"/>
              <w:rPr>
                <w:sz w:val="18"/>
                <w:szCs w:val="18"/>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spacing w:after="0"/>
              <w:rPr>
                <w:sz w:val="18"/>
                <w:szCs w:val="18"/>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spacing w:after="0"/>
              <w:rPr>
                <w:sz w:val="18"/>
                <w:szCs w:val="18"/>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shd w:val="clear" w:color="auto" w:fill="E5EEF8"/>
          </w:tcPr>
          <w:p>
            <w:pPr>
              <w:spacing w:after="0"/>
              <w:rPr>
                <w:sz w:val="18"/>
                <w:szCs w:val="18"/>
                <w:color w:val="auto"/>
              </w:rPr>
            </w:pPr>
          </w:p>
        </w:tc>
        <w:tc>
          <w:tcPr>
            <w:tcW w:w="196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100" w:type="dxa"/>
            <w:vAlign w:val="bottom"/>
            <w:shd w:val="clear" w:color="auto" w:fill="E5EEF8"/>
          </w:tcPr>
          <w:p>
            <w:pPr>
              <w:spacing w:after="0"/>
              <w:rPr>
                <w:sz w:val="19"/>
                <w:szCs w:val="19"/>
                <w:color w:val="auto"/>
              </w:rPr>
            </w:pPr>
          </w:p>
        </w:tc>
        <w:tc>
          <w:tcPr>
            <w:tcW w:w="106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INTU</w:t>
            </w: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174,968</w:t>
            </w: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9"/>
                <w:szCs w:val="19"/>
                <w:color w:val="auto"/>
              </w:rPr>
            </w:pPr>
          </w:p>
        </w:tc>
        <w:tc>
          <w:tcPr>
            <w:tcW w:w="74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179,134</w:t>
            </w: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9"/>
                <w:szCs w:val="19"/>
                <w:color w:val="auto"/>
              </w:rPr>
            </w:pPr>
          </w:p>
        </w:tc>
        <w:tc>
          <w:tcPr>
            <w:tcW w:w="70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14,749</w:t>
            </w: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jc w:val="right"/>
              <w:ind w:right="308"/>
              <w:spacing w:after="0"/>
              <w:rPr>
                <w:sz w:val="20"/>
                <w:szCs w:val="20"/>
                <w:color w:val="auto"/>
              </w:rPr>
            </w:pPr>
            <w:r>
              <w:rPr>
                <w:rFonts w:ascii="Arial" w:cs="Arial" w:eastAsia="Arial" w:hAnsi="Arial"/>
                <w:sz w:val="14"/>
                <w:szCs w:val="14"/>
                <w:color w:val="auto"/>
              </w:rPr>
              <w:t>2,585</w:t>
            </w:r>
          </w:p>
        </w:tc>
        <w:tc>
          <w:tcPr>
            <w:tcW w:w="1960" w:type="dxa"/>
            <w:vAlign w:val="bottom"/>
            <w:shd w:val="clear" w:color="auto" w:fill="E5EEF8"/>
          </w:tcPr>
          <w:p>
            <w:pPr>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208"/>
        </w:trPr>
        <w:tc>
          <w:tcPr>
            <w:tcW w:w="3100" w:type="dxa"/>
            <w:vAlign w:val="bottom"/>
          </w:tcPr>
          <w:p>
            <w:pPr>
              <w:spacing w:after="0"/>
              <w:rPr>
                <w:sz w:val="20"/>
                <w:szCs w:val="20"/>
                <w:color w:val="auto"/>
              </w:rPr>
            </w:pPr>
            <w:r>
              <w:rPr>
                <w:rFonts w:ascii="Arial" w:cs="Arial" w:eastAsia="Arial" w:hAnsi="Arial"/>
                <w:sz w:val="14"/>
                <w:szCs w:val="14"/>
                <w:color w:val="auto"/>
              </w:rPr>
              <w:t>  Autodesk, Inc.</w:t>
            </w: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ADSK</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52,084</w:t>
            </w: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52,778</w:t>
            </w: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5,271</w:t>
            </w: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color w:val="auto"/>
              </w:rPr>
              <w:t>917</w:t>
            </w:r>
          </w:p>
        </w:tc>
        <w:tc>
          <w:tcPr>
            <w:tcW w:w="1960" w:type="dxa"/>
            <w:vAlign w:val="bottom"/>
          </w:tcPr>
          <w:p>
            <w:pPr>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212"/>
        </w:trPr>
        <w:tc>
          <w:tcPr>
            <w:tcW w:w="3100" w:type="dxa"/>
            <w:vAlign w:val="bottom"/>
            <w:shd w:val="clear" w:color="auto" w:fill="E5EEF8"/>
          </w:tcPr>
          <w:p>
            <w:pPr>
              <w:spacing w:after="0"/>
              <w:rPr>
                <w:sz w:val="20"/>
                <w:szCs w:val="20"/>
                <w:color w:val="auto"/>
              </w:rPr>
            </w:pPr>
            <w:r>
              <w:rPr>
                <w:rFonts w:ascii="Arial" w:cs="Arial" w:eastAsia="Arial" w:hAnsi="Arial"/>
                <w:sz w:val="14"/>
                <w:szCs w:val="14"/>
                <w:color w:val="auto"/>
              </w:rPr>
              <w:t>  Ansys, Inc.</w:t>
            </w:r>
          </w:p>
        </w:tc>
        <w:tc>
          <w:tcPr>
            <w:tcW w:w="106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ANSS</w:t>
            </w: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31,524</w:t>
            </w: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31,761</w:t>
            </w: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2,159</w:t>
            </w: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shd w:val="clear" w:color="auto" w:fill="E5EEF8"/>
          </w:tcPr>
          <w:p>
            <w:pPr>
              <w:jc w:val="right"/>
              <w:ind w:right="308"/>
              <w:spacing w:after="0"/>
              <w:rPr>
                <w:sz w:val="20"/>
                <w:szCs w:val="20"/>
                <w:color w:val="auto"/>
              </w:rPr>
            </w:pPr>
            <w:r>
              <w:rPr>
                <w:rFonts w:ascii="Arial" w:cs="Arial" w:eastAsia="Arial" w:hAnsi="Arial"/>
                <w:sz w:val="14"/>
                <w:szCs w:val="14"/>
                <w:color w:val="auto"/>
              </w:rPr>
              <w:t>484</w:t>
            </w:r>
          </w:p>
        </w:tc>
        <w:tc>
          <w:tcPr>
            <w:tcW w:w="1960" w:type="dxa"/>
            <w:vAlign w:val="bottom"/>
            <w:shd w:val="clear" w:color="auto" w:fill="E5EEF8"/>
          </w:tcPr>
          <w:p>
            <w:pPr>
              <w:spacing w:after="0"/>
              <w:rPr>
                <w:sz w:val="20"/>
                <w:szCs w:val="20"/>
                <w:color w:val="auto"/>
              </w:rPr>
            </w:pPr>
            <w:r>
              <w:rPr>
                <w:rFonts w:ascii="Arial" w:cs="Arial" w:eastAsia="Arial" w:hAnsi="Arial"/>
                <w:sz w:val="14"/>
                <w:szCs w:val="14"/>
                <w:color w:val="auto"/>
              </w:rPr>
              <w:t>Application Software</w:t>
            </w:r>
          </w:p>
        </w:tc>
        <w:tc>
          <w:tcPr>
            <w:tcW w:w="0" w:type="dxa"/>
            <w:vAlign w:val="bottom"/>
          </w:tcPr>
          <w:p>
            <w:pPr>
              <w:spacing w:after="0"/>
              <w:rPr>
                <w:sz w:val="1"/>
                <w:szCs w:val="1"/>
                <w:color w:val="auto"/>
              </w:rPr>
            </w:pPr>
          </w:p>
        </w:tc>
      </w:tr>
      <w:tr>
        <w:trPr>
          <w:trHeight w:val="224"/>
        </w:trPr>
        <w:tc>
          <w:tcPr>
            <w:tcW w:w="3100" w:type="dxa"/>
            <w:vAlign w:val="bottom"/>
            <w:shd w:val="clear" w:color="auto" w:fill="E5EEF8"/>
          </w:tcPr>
          <w:p>
            <w:pPr>
              <w:spacing w:after="0"/>
              <w:rPr>
                <w:sz w:val="19"/>
                <w:szCs w:val="19"/>
                <w:color w:val="auto"/>
              </w:rPr>
            </w:pPr>
          </w:p>
        </w:tc>
        <w:tc>
          <w:tcPr>
            <w:tcW w:w="1060" w:type="dxa"/>
            <w:vAlign w:val="bottom"/>
            <w:shd w:val="clear" w:color="auto" w:fill="E5EEF8"/>
          </w:tcPr>
          <w:p>
            <w:pPr>
              <w:spacing w:after="0"/>
              <w:rPr>
                <w:sz w:val="19"/>
                <w:szCs w:val="19"/>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spacing w:after="0"/>
              <w:rPr>
                <w:sz w:val="19"/>
                <w:szCs w:val="19"/>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9"/>
                <w:szCs w:val="19"/>
                <w:color w:val="auto"/>
              </w:rPr>
            </w:pPr>
          </w:p>
        </w:tc>
        <w:tc>
          <w:tcPr>
            <w:tcW w:w="740" w:type="dxa"/>
            <w:vAlign w:val="bottom"/>
            <w:shd w:val="clear" w:color="auto" w:fill="E5EEF8"/>
          </w:tcPr>
          <w:p>
            <w:pPr>
              <w:spacing w:after="0"/>
              <w:rPr>
                <w:sz w:val="19"/>
                <w:szCs w:val="19"/>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9"/>
                <w:szCs w:val="19"/>
                <w:color w:val="auto"/>
              </w:rPr>
            </w:pPr>
          </w:p>
        </w:tc>
        <w:tc>
          <w:tcPr>
            <w:tcW w:w="700" w:type="dxa"/>
            <w:vAlign w:val="bottom"/>
            <w:shd w:val="clear" w:color="auto" w:fill="E5EEF8"/>
          </w:tcPr>
          <w:p>
            <w:pPr>
              <w:spacing w:after="0"/>
              <w:rPr>
                <w:sz w:val="19"/>
                <w:szCs w:val="19"/>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spacing w:after="0"/>
              <w:rPr>
                <w:sz w:val="19"/>
                <w:szCs w:val="19"/>
                <w:color w:val="auto"/>
              </w:rPr>
            </w:pPr>
          </w:p>
        </w:tc>
        <w:tc>
          <w:tcPr>
            <w:tcW w:w="1960" w:type="dxa"/>
            <w:vAlign w:val="bottom"/>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line="153" w:lineRule="exact"/>
              <w:rPr>
                <w:sz w:val="20"/>
                <w:szCs w:val="20"/>
                <w:color w:val="auto"/>
              </w:rPr>
            </w:pPr>
            <w:r>
              <w:rPr>
                <w:rFonts w:ascii="Arial" w:cs="Arial" w:eastAsia="Arial" w:hAnsi="Arial"/>
                <w:sz w:val="14"/>
                <w:szCs w:val="14"/>
                <w:color w:val="auto"/>
              </w:rPr>
              <w:t>  Stryker Corporation</w:t>
            </w: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SYK</w:t>
            </w:r>
          </w:p>
        </w:tc>
        <w:tc>
          <w:tcPr>
            <w:tcW w:w="280" w:type="dxa"/>
            <w:vAlign w:val="bottom"/>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113,776</w:t>
            </w:r>
          </w:p>
        </w:tc>
        <w:tc>
          <w:tcPr>
            <w:tcW w:w="320" w:type="dxa"/>
            <w:vAlign w:val="bottom"/>
          </w:tcPr>
          <w:p>
            <w:pPr>
              <w:ind w:left="200"/>
              <w:spacing w:after="0" w:line="153" w:lineRule="exact"/>
              <w:rPr>
                <w:sz w:val="20"/>
                <w:szCs w:val="20"/>
                <w:color w:val="auto"/>
              </w:rPr>
            </w:pPr>
            <w:r>
              <w:rPr>
                <w:rFonts w:ascii="Arial" w:cs="Arial" w:eastAsia="Arial" w:hAnsi="Arial"/>
                <w:sz w:val="14"/>
                <w:szCs w:val="14"/>
                <w:color w:val="auto"/>
                <w:w w:val="71"/>
              </w:rPr>
              <w:t> </w:t>
            </w:r>
          </w:p>
        </w:tc>
        <w:tc>
          <w:tcPr>
            <w:tcW w:w="820" w:type="dxa"/>
            <w:vAlign w:val="bottom"/>
            <w:gridSpan w:val="2"/>
          </w:tcPr>
          <w:p>
            <w:pPr>
              <w:jc w:val="right"/>
              <w:ind w:right="128"/>
              <w:spacing w:after="0" w:line="153" w:lineRule="exact"/>
              <w:rPr>
                <w:sz w:val="20"/>
                <w:szCs w:val="20"/>
                <w:color w:val="auto"/>
              </w:rPr>
            </w:pPr>
            <w:r>
              <w:rPr>
                <w:rFonts w:ascii="Arial" w:cs="Arial" w:eastAsia="Arial" w:hAnsi="Arial"/>
                <w:sz w:val="14"/>
                <w:szCs w:val="14"/>
                <w:color w:val="auto"/>
                <w:w w:val="97"/>
              </w:rPr>
              <w:t>  125,029</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19,885</w:t>
            </w: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920" w:type="dxa"/>
            <w:vAlign w:val="bottom"/>
            <w:gridSpan w:val="2"/>
          </w:tcPr>
          <w:p>
            <w:pPr>
              <w:jc w:val="right"/>
              <w:ind w:right="308"/>
              <w:spacing w:after="0" w:line="153" w:lineRule="exact"/>
              <w:rPr>
                <w:sz w:val="20"/>
                <w:szCs w:val="20"/>
                <w:color w:val="auto"/>
              </w:rPr>
            </w:pPr>
            <w:r>
              <w:rPr>
                <w:rFonts w:ascii="Arial" w:cs="Arial" w:eastAsia="Arial" w:hAnsi="Arial"/>
                <w:sz w:val="14"/>
                <w:szCs w:val="14"/>
                <w:color w:val="auto"/>
              </w:rPr>
              <w:t>  2,585</w:t>
            </w:r>
          </w:p>
        </w:tc>
        <w:tc>
          <w:tcPr>
            <w:tcW w:w="1960" w:type="dxa"/>
            <w:vAlign w:val="bottom"/>
          </w:tcPr>
          <w:p>
            <w:pPr>
              <w:spacing w:after="0" w:line="153" w:lineRule="exact"/>
              <w:rPr>
                <w:sz w:val="20"/>
                <w:szCs w:val="20"/>
                <w:color w:val="auto"/>
              </w:rPr>
            </w:pPr>
            <w:r>
              <w:rPr>
                <w:rFonts w:ascii="Arial" w:cs="Arial" w:eastAsia="Arial" w:hAnsi="Arial"/>
                <w:sz w:val="14"/>
                <w:szCs w:val="14"/>
                <w:color w:val="auto"/>
              </w:rPr>
              <w:t>Health Care Equipment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E5EEF8"/>
          </w:tcPr>
          <w:p>
            <w:pPr>
              <w:spacing w:after="0" w:line="153" w:lineRule="exact"/>
              <w:rPr>
                <w:sz w:val="20"/>
                <w:szCs w:val="20"/>
                <w:color w:val="auto"/>
              </w:rPr>
            </w:pPr>
            <w:r>
              <w:rPr>
                <w:rFonts w:ascii="Arial" w:cs="Arial" w:eastAsia="Arial" w:hAnsi="Arial"/>
                <w:sz w:val="14"/>
                <w:szCs w:val="14"/>
                <w:color w:val="auto"/>
              </w:rPr>
              <w:t>  Boston Scientific Corporation</w:t>
            </w:r>
          </w:p>
        </w:tc>
        <w:tc>
          <w:tcPr>
            <w:tcW w:w="1060" w:type="dxa"/>
            <w:vAlign w:val="bottom"/>
            <w:shd w:val="clear" w:color="auto" w:fill="E5EEF8"/>
          </w:tcPr>
          <w:p>
            <w:pPr>
              <w:jc w:val="right"/>
              <w:ind w:right="108"/>
              <w:spacing w:after="0" w:line="153" w:lineRule="exact"/>
              <w:rPr>
                <w:sz w:val="20"/>
                <w:szCs w:val="20"/>
                <w:color w:val="auto"/>
              </w:rPr>
            </w:pPr>
            <w:r>
              <w:rPr>
                <w:rFonts w:ascii="Arial" w:cs="Arial" w:eastAsia="Arial" w:hAnsi="Arial"/>
                <w:sz w:val="14"/>
                <w:szCs w:val="14"/>
                <w:color w:val="auto"/>
              </w:rPr>
              <w:t>BSX</w:t>
            </w:r>
          </w:p>
        </w:tc>
        <w:tc>
          <w:tcPr>
            <w:tcW w:w="280" w:type="dxa"/>
            <w:vAlign w:val="bottom"/>
            <w:shd w:val="clear" w:color="auto" w:fill="E5EEF8"/>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84,691</w:t>
            </w:r>
          </w:p>
        </w:tc>
        <w:tc>
          <w:tcPr>
            <w:tcW w:w="320" w:type="dxa"/>
            <w:vAlign w:val="bottom"/>
            <w:shd w:val="clear" w:color="auto" w:fill="E5EEF8"/>
          </w:tcPr>
          <w:p>
            <w:pPr>
              <w:ind w:left="200"/>
              <w:spacing w:after="0" w:line="153" w:lineRule="exact"/>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93,157</w:t>
            </w: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13,757</w:t>
            </w: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920" w:type="dxa"/>
            <w:vAlign w:val="bottom"/>
            <w:gridSpan w:val="2"/>
            <w:shd w:val="clear" w:color="auto" w:fill="E5EEF8"/>
          </w:tcPr>
          <w:p>
            <w:pPr>
              <w:jc w:val="right"/>
              <w:ind w:right="308"/>
              <w:spacing w:after="0" w:line="153" w:lineRule="exact"/>
              <w:rPr>
                <w:sz w:val="20"/>
                <w:szCs w:val="20"/>
                <w:color w:val="auto"/>
              </w:rPr>
            </w:pPr>
            <w:r>
              <w:rPr>
                <w:rFonts w:ascii="Arial" w:cs="Arial" w:eastAsia="Arial" w:hAnsi="Arial"/>
                <w:sz w:val="14"/>
                <w:szCs w:val="14"/>
                <w:color w:val="auto"/>
              </w:rPr>
              <w:t>  1,228</w:t>
            </w:r>
          </w:p>
        </w:tc>
        <w:tc>
          <w:tcPr>
            <w:tcW w:w="1960" w:type="dxa"/>
            <w:vAlign w:val="bottom"/>
            <w:shd w:val="clear" w:color="auto" w:fill="E5EEF8"/>
          </w:tcPr>
          <w:p>
            <w:pPr>
              <w:spacing w:after="0" w:line="153" w:lineRule="exact"/>
              <w:rPr>
                <w:sz w:val="20"/>
                <w:szCs w:val="20"/>
                <w:color w:val="auto"/>
              </w:rPr>
            </w:pPr>
            <w:r>
              <w:rPr>
                <w:rFonts w:ascii="Arial" w:cs="Arial" w:eastAsia="Arial" w:hAnsi="Arial"/>
                <w:sz w:val="14"/>
                <w:szCs w:val="14"/>
                <w:color w:val="auto"/>
              </w:rPr>
              <w:t>Health Care Equipment</w:t>
            </w:r>
          </w:p>
        </w:tc>
        <w:tc>
          <w:tcPr>
            <w:tcW w:w="0" w:type="dxa"/>
            <w:vAlign w:val="bottom"/>
          </w:tcPr>
          <w:p>
            <w:pPr>
              <w:spacing w:after="0"/>
              <w:rPr>
                <w:sz w:val="1"/>
                <w:szCs w:val="1"/>
                <w:color w:val="auto"/>
              </w:rPr>
            </w:pPr>
          </w:p>
        </w:tc>
      </w:tr>
      <w:tr>
        <w:trPr>
          <w:trHeight w:val="171"/>
        </w:trPr>
        <w:tc>
          <w:tcPr>
            <w:tcW w:w="3100" w:type="dxa"/>
            <w:vAlign w:val="bottom"/>
            <w:shd w:val="clear" w:color="auto" w:fill="E5EEF8"/>
          </w:tcPr>
          <w:p>
            <w:pPr>
              <w:spacing w:after="0"/>
              <w:rPr>
                <w:sz w:val="14"/>
                <w:szCs w:val="14"/>
                <w:color w:val="auto"/>
              </w:rPr>
            </w:pPr>
          </w:p>
        </w:tc>
        <w:tc>
          <w:tcPr>
            <w:tcW w:w="1060" w:type="dxa"/>
            <w:vAlign w:val="bottom"/>
            <w:shd w:val="clear" w:color="auto" w:fill="E5EEF8"/>
          </w:tcPr>
          <w:p>
            <w:pPr>
              <w:spacing w:after="0"/>
              <w:rPr>
                <w:sz w:val="14"/>
                <w:szCs w:val="14"/>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4"/>
                <w:szCs w:val="14"/>
                <w:color w:val="auto"/>
              </w:rPr>
            </w:pPr>
          </w:p>
        </w:tc>
        <w:tc>
          <w:tcPr>
            <w:tcW w:w="160" w:type="dxa"/>
            <w:vAlign w:val="bottom"/>
            <w:shd w:val="clear" w:color="auto" w:fill="E5EEF8"/>
          </w:tcPr>
          <w:p>
            <w:pPr>
              <w:spacing w:after="0"/>
              <w:rPr>
                <w:sz w:val="14"/>
                <w:szCs w:val="14"/>
                <w:color w:val="auto"/>
              </w:rPr>
            </w:pPr>
          </w:p>
        </w:tc>
        <w:tc>
          <w:tcPr>
            <w:tcW w:w="760" w:type="dxa"/>
            <w:vAlign w:val="bottom"/>
            <w:shd w:val="clear" w:color="auto" w:fill="E5EEF8"/>
          </w:tcPr>
          <w:p>
            <w:pPr>
              <w:spacing w:after="0"/>
              <w:rPr>
                <w:sz w:val="14"/>
                <w:szCs w:val="14"/>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4"/>
                <w:szCs w:val="14"/>
                <w:color w:val="auto"/>
              </w:rPr>
            </w:pPr>
          </w:p>
        </w:tc>
        <w:tc>
          <w:tcPr>
            <w:tcW w:w="740" w:type="dxa"/>
            <w:vAlign w:val="bottom"/>
            <w:shd w:val="clear" w:color="auto" w:fill="E5EEF8"/>
          </w:tcPr>
          <w:p>
            <w:pPr>
              <w:spacing w:after="0"/>
              <w:rPr>
                <w:sz w:val="14"/>
                <w:szCs w:val="14"/>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4"/>
                <w:szCs w:val="14"/>
                <w:color w:val="auto"/>
              </w:rPr>
            </w:pPr>
          </w:p>
        </w:tc>
        <w:tc>
          <w:tcPr>
            <w:tcW w:w="700" w:type="dxa"/>
            <w:vAlign w:val="bottom"/>
            <w:shd w:val="clear" w:color="auto" w:fill="E5EEF8"/>
          </w:tcPr>
          <w:p>
            <w:pPr>
              <w:spacing w:after="0"/>
              <w:rPr>
                <w:sz w:val="14"/>
                <w:szCs w:val="14"/>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4"/>
                <w:szCs w:val="14"/>
                <w:color w:val="auto"/>
              </w:rPr>
            </w:pPr>
          </w:p>
        </w:tc>
        <w:tc>
          <w:tcPr>
            <w:tcW w:w="160" w:type="dxa"/>
            <w:vAlign w:val="bottom"/>
            <w:shd w:val="clear" w:color="auto" w:fill="E5EEF8"/>
          </w:tcPr>
          <w:p>
            <w:pPr>
              <w:spacing w:after="0"/>
              <w:rPr>
                <w:sz w:val="14"/>
                <w:szCs w:val="14"/>
                <w:color w:val="auto"/>
              </w:rPr>
            </w:pPr>
          </w:p>
        </w:tc>
        <w:tc>
          <w:tcPr>
            <w:tcW w:w="760" w:type="dxa"/>
            <w:vAlign w:val="bottom"/>
            <w:shd w:val="clear" w:color="auto" w:fill="E5EEF8"/>
          </w:tcPr>
          <w:p>
            <w:pPr>
              <w:spacing w:after="0"/>
              <w:rPr>
                <w:sz w:val="14"/>
                <w:szCs w:val="14"/>
                <w:color w:val="auto"/>
              </w:rPr>
            </w:pPr>
          </w:p>
        </w:tc>
        <w:tc>
          <w:tcPr>
            <w:tcW w:w="1960" w:type="dxa"/>
            <w:vAlign w:val="bottom"/>
            <w:shd w:val="clear" w:color="auto" w:fill="E5EEF8"/>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line="153" w:lineRule="exact"/>
              <w:rPr>
                <w:sz w:val="20"/>
                <w:szCs w:val="20"/>
                <w:color w:val="auto"/>
              </w:rPr>
            </w:pPr>
            <w:r>
              <w:rPr>
                <w:rFonts w:ascii="Arial" w:cs="Arial" w:eastAsia="Arial" w:hAnsi="Arial"/>
                <w:sz w:val="14"/>
                <w:szCs w:val="14"/>
                <w:color w:val="auto"/>
              </w:rPr>
              <w:t>  ServiceNow, Inc.</w:t>
            </w: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NOW</w:t>
            </w:r>
          </w:p>
        </w:tc>
        <w:tc>
          <w:tcPr>
            <w:tcW w:w="280" w:type="dxa"/>
            <w:vAlign w:val="bottom"/>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144,830</w:t>
            </w:r>
          </w:p>
        </w:tc>
        <w:tc>
          <w:tcPr>
            <w:tcW w:w="320" w:type="dxa"/>
            <w:vAlign w:val="bottom"/>
          </w:tcPr>
          <w:p>
            <w:pPr>
              <w:ind w:left="200"/>
              <w:spacing w:after="0" w:line="153" w:lineRule="exact"/>
              <w:rPr>
                <w:sz w:val="20"/>
                <w:szCs w:val="20"/>
                <w:color w:val="auto"/>
              </w:rPr>
            </w:pPr>
            <w:r>
              <w:rPr>
                <w:rFonts w:ascii="Arial" w:cs="Arial" w:eastAsia="Arial" w:hAnsi="Arial"/>
                <w:sz w:val="14"/>
                <w:szCs w:val="14"/>
                <w:color w:val="auto"/>
                <w:w w:val="71"/>
              </w:rPr>
              <w:t> </w:t>
            </w:r>
          </w:p>
        </w:tc>
        <w:tc>
          <w:tcPr>
            <w:tcW w:w="820" w:type="dxa"/>
            <w:vAlign w:val="bottom"/>
            <w:gridSpan w:val="2"/>
          </w:tcPr>
          <w:p>
            <w:pPr>
              <w:jc w:val="right"/>
              <w:ind w:right="128"/>
              <w:spacing w:after="0" w:line="153" w:lineRule="exact"/>
              <w:rPr>
                <w:sz w:val="20"/>
                <w:szCs w:val="20"/>
                <w:color w:val="auto"/>
              </w:rPr>
            </w:pPr>
            <w:r>
              <w:rPr>
                <w:rFonts w:ascii="Arial" w:cs="Arial" w:eastAsia="Arial" w:hAnsi="Arial"/>
                <w:sz w:val="14"/>
                <w:szCs w:val="14"/>
                <w:color w:val="auto"/>
                <w:w w:val="97"/>
              </w:rPr>
              <w:t>  143,016</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8,474</w:t>
            </w: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920" w:type="dxa"/>
            <w:vAlign w:val="bottom"/>
            <w:gridSpan w:val="2"/>
          </w:tcPr>
          <w:p>
            <w:pPr>
              <w:jc w:val="right"/>
              <w:ind w:right="308"/>
              <w:spacing w:after="0" w:line="153" w:lineRule="exact"/>
              <w:rPr>
                <w:sz w:val="20"/>
                <w:szCs w:val="20"/>
                <w:color w:val="auto"/>
              </w:rPr>
            </w:pPr>
            <w:r>
              <w:rPr>
                <w:rFonts w:ascii="Arial" w:cs="Arial" w:eastAsia="Arial" w:hAnsi="Arial"/>
                <w:sz w:val="14"/>
                <w:szCs w:val="14"/>
                <w:color w:val="auto"/>
              </w:rPr>
              <w:t>  1,586</w:t>
            </w:r>
          </w:p>
        </w:tc>
        <w:tc>
          <w:tcPr>
            <w:tcW w:w="1960" w:type="dxa"/>
            <w:vAlign w:val="bottom"/>
          </w:tcPr>
          <w:p>
            <w:pPr>
              <w:spacing w:after="0" w:line="153" w:lineRule="exact"/>
              <w:rPr>
                <w:sz w:val="20"/>
                <w:szCs w:val="20"/>
                <w:color w:val="auto"/>
              </w:rPr>
            </w:pPr>
            <w:r>
              <w:rPr>
                <w:rFonts w:ascii="Arial" w:cs="Arial" w:eastAsia="Arial" w:hAnsi="Arial"/>
                <w:sz w:val="14"/>
                <w:szCs w:val="14"/>
                <w:color w:val="auto"/>
              </w:rPr>
              <w:t>Systems Software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E5EEF8"/>
          </w:tcPr>
          <w:p>
            <w:pPr>
              <w:spacing w:after="0" w:line="153" w:lineRule="exact"/>
              <w:rPr>
                <w:sz w:val="20"/>
                <w:szCs w:val="20"/>
                <w:color w:val="auto"/>
              </w:rPr>
            </w:pPr>
            <w:r>
              <w:rPr>
                <w:rFonts w:ascii="Arial" w:cs="Arial" w:eastAsia="Arial" w:hAnsi="Arial"/>
                <w:sz w:val="14"/>
                <w:szCs w:val="14"/>
                <w:color w:val="auto"/>
              </w:rPr>
              <w:t>  Palo Alto Networks, Inc.</w:t>
            </w:r>
          </w:p>
        </w:tc>
        <w:tc>
          <w:tcPr>
            <w:tcW w:w="1060" w:type="dxa"/>
            <w:vAlign w:val="bottom"/>
            <w:shd w:val="clear" w:color="auto" w:fill="E5EEF8"/>
          </w:tcPr>
          <w:p>
            <w:pPr>
              <w:jc w:val="right"/>
              <w:ind w:right="108"/>
              <w:spacing w:after="0" w:line="153" w:lineRule="exact"/>
              <w:rPr>
                <w:sz w:val="20"/>
                <w:szCs w:val="20"/>
                <w:color w:val="auto"/>
              </w:rPr>
            </w:pPr>
            <w:r>
              <w:rPr>
                <w:rFonts w:ascii="Arial" w:cs="Arial" w:eastAsia="Arial" w:hAnsi="Arial"/>
                <w:sz w:val="14"/>
                <w:szCs w:val="14"/>
                <w:color w:val="auto"/>
              </w:rPr>
              <w:t>PANW</w:t>
            </w:r>
          </w:p>
        </w:tc>
        <w:tc>
          <w:tcPr>
            <w:tcW w:w="280" w:type="dxa"/>
            <w:vAlign w:val="bottom"/>
            <w:shd w:val="clear" w:color="auto" w:fill="E5EEF8"/>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92,976</w:t>
            </w:r>
          </w:p>
        </w:tc>
        <w:tc>
          <w:tcPr>
            <w:tcW w:w="320" w:type="dxa"/>
            <w:vAlign w:val="bottom"/>
            <w:shd w:val="clear" w:color="auto" w:fill="E5EEF8"/>
          </w:tcPr>
          <w:p>
            <w:pPr>
              <w:ind w:left="200"/>
              <w:spacing w:after="0" w:line="153" w:lineRule="exact"/>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91,298</w:t>
            </w: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7,207</w:t>
            </w: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shd w:val="clear" w:color="auto" w:fill="E5EEF8"/>
          </w:tcPr>
          <w:p>
            <w:pPr>
              <w:jc w:val="right"/>
              <w:ind w:right="308"/>
              <w:spacing w:after="0" w:line="153" w:lineRule="exact"/>
              <w:rPr>
                <w:sz w:val="20"/>
                <w:szCs w:val="20"/>
                <w:color w:val="auto"/>
              </w:rPr>
            </w:pPr>
            <w:r>
              <w:rPr>
                <w:rFonts w:ascii="Arial" w:cs="Arial" w:eastAsia="Arial" w:hAnsi="Arial"/>
                <w:sz w:val="14"/>
                <w:szCs w:val="14"/>
                <w:color w:val="auto"/>
              </w:rPr>
              <w:t>614</w:t>
            </w:r>
          </w:p>
        </w:tc>
        <w:tc>
          <w:tcPr>
            <w:tcW w:w="1960" w:type="dxa"/>
            <w:vAlign w:val="bottom"/>
            <w:shd w:val="clear" w:color="auto" w:fill="E5EEF8"/>
          </w:tcPr>
          <w:p>
            <w:pPr>
              <w:spacing w:after="0" w:line="153" w:lineRule="exact"/>
              <w:rPr>
                <w:sz w:val="20"/>
                <w:szCs w:val="20"/>
                <w:color w:val="auto"/>
              </w:rPr>
            </w:pPr>
            <w:r>
              <w:rPr>
                <w:rFonts w:ascii="Arial" w:cs="Arial" w:eastAsia="Arial" w:hAnsi="Arial"/>
                <w:sz w:val="14"/>
                <w:szCs w:val="14"/>
                <w:color w:val="auto"/>
              </w:rPr>
              <w:t>Systems Software</w:t>
            </w:r>
          </w:p>
        </w:tc>
        <w:tc>
          <w:tcPr>
            <w:tcW w:w="0" w:type="dxa"/>
            <w:vAlign w:val="bottom"/>
          </w:tcPr>
          <w:p>
            <w:pPr>
              <w:spacing w:after="0"/>
              <w:rPr>
                <w:sz w:val="1"/>
                <w:szCs w:val="1"/>
                <w:color w:val="auto"/>
              </w:rPr>
            </w:pPr>
          </w:p>
        </w:tc>
      </w:tr>
      <w:tr>
        <w:trPr>
          <w:trHeight w:val="171"/>
        </w:trPr>
        <w:tc>
          <w:tcPr>
            <w:tcW w:w="3100" w:type="dxa"/>
            <w:vAlign w:val="bottom"/>
            <w:shd w:val="clear" w:color="auto" w:fill="E5EEF8"/>
          </w:tcPr>
          <w:p>
            <w:pPr>
              <w:spacing w:after="0"/>
              <w:rPr>
                <w:sz w:val="14"/>
                <w:szCs w:val="14"/>
                <w:color w:val="auto"/>
              </w:rPr>
            </w:pPr>
          </w:p>
        </w:tc>
        <w:tc>
          <w:tcPr>
            <w:tcW w:w="1060" w:type="dxa"/>
            <w:vAlign w:val="bottom"/>
            <w:shd w:val="clear" w:color="auto" w:fill="E5EEF8"/>
          </w:tcPr>
          <w:p>
            <w:pPr>
              <w:spacing w:after="0"/>
              <w:rPr>
                <w:sz w:val="14"/>
                <w:szCs w:val="14"/>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4"/>
                <w:szCs w:val="14"/>
                <w:color w:val="auto"/>
              </w:rPr>
            </w:pPr>
          </w:p>
        </w:tc>
        <w:tc>
          <w:tcPr>
            <w:tcW w:w="160" w:type="dxa"/>
            <w:vAlign w:val="bottom"/>
            <w:shd w:val="clear" w:color="auto" w:fill="E5EEF8"/>
          </w:tcPr>
          <w:p>
            <w:pPr>
              <w:spacing w:after="0"/>
              <w:rPr>
                <w:sz w:val="14"/>
                <w:szCs w:val="14"/>
                <w:color w:val="auto"/>
              </w:rPr>
            </w:pPr>
          </w:p>
        </w:tc>
        <w:tc>
          <w:tcPr>
            <w:tcW w:w="760" w:type="dxa"/>
            <w:vAlign w:val="bottom"/>
            <w:shd w:val="clear" w:color="auto" w:fill="E5EEF8"/>
          </w:tcPr>
          <w:p>
            <w:pPr>
              <w:spacing w:after="0"/>
              <w:rPr>
                <w:sz w:val="14"/>
                <w:szCs w:val="14"/>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4"/>
                <w:szCs w:val="14"/>
                <w:color w:val="auto"/>
              </w:rPr>
            </w:pPr>
          </w:p>
        </w:tc>
        <w:tc>
          <w:tcPr>
            <w:tcW w:w="740" w:type="dxa"/>
            <w:vAlign w:val="bottom"/>
            <w:shd w:val="clear" w:color="auto" w:fill="E5EEF8"/>
          </w:tcPr>
          <w:p>
            <w:pPr>
              <w:spacing w:after="0"/>
              <w:rPr>
                <w:sz w:val="14"/>
                <w:szCs w:val="14"/>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4"/>
                <w:szCs w:val="14"/>
                <w:color w:val="auto"/>
              </w:rPr>
            </w:pPr>
          </w:p>
        </w:tc>
        <w:tc>
          <w:tcPr>
            <w:tcW w:w="700" w:type="dxa"/>
            <w:vAlign w:val="bottom"/>
            <w:shd w:val="clear" w:color="auto" w:fill="E5EEF8"/>
          </w:tcPr>
          <w:p>
            <w:pPr>
              <w:spacing w:after="0"/>
              <w:rPr>
                <w:sz w:val="14"/>
                <w:szCs w:val="14"/>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4"/>
                <w:szCs w:val="14"/>
                <w:color w:val="auto"/>
              </w:rPr>
            </w:pPr>
          </w:p>
        </w:tc>
        <w:tc>
          <w:tcPr>
            <w:tcW w:w="160" w:type="dxa"/>
            <w:vAlign w:val="bottom"/>
            <w:shd w:val="clear" w:color="auto" w:fill="E5EEF8"/>
          </w:tcPr>
          <w:p>
            <w:pPr>
              <w:spacing w:after="0"/>
              <w:rPr>
                <w:sz w:val="14"/>
                <w:szCs w:val="14"/>
                <w:color w:val="auto"/>
              </w:rPr>
            </w:pPr>
          </w:p>
        </w:tc>
        <w:tc>
          <w:tcPr>
            <w:tcW w:w="760" w:type="dxa"/>
            <w:vAlign w:val="bottom"/>
            <w:shd w:val="clear" w:color="auto" w:fill="E5EEF8"/>
          </w:tcPr>
          <w:p>
            <w:pPr>
              <w:spacing w:after="0"/>
              <w:rPr>
                <w:sz w:val="14"/>
                <w:szCs w:val="14"/>
                <w:color w:val="auto"/>
              </w:rPr>
            </w:pPr>
          </w:p>
        </w:tc>
        <w:tc>
          <w:tcPr>
            <w:tcW w:w="1960" w:type="dxa"/>
            <w:vAlign w:val="bottom"/>
            <w:shd w:val="clear" w:color="auto" w:fill="E5EEF8"/>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100" w:type="dxa"/>
            <w:vAlign w:val="bottom"/>
          </w:tcPr>
          <w:p>
            <w:pPr>
              <w:spacing w:after="0" w:line="153" w:lineRule="exact"/>
              <w:rPr>
                <w:sz w:val="20"/>
                <w:szCs w:val="20"/>
                <w:color w:val="auto"/>
              </w:rPr>
            </w:pPr>
            <w:r>
              <w:rPr>
                <w:rFonts w:ascii="Arial" w:cs="Arial" w:eastAsia="Arial" w:hAnsi="Arial"/>
                <w:sz w:val="14"/>
                <w:szCs w:val="14"/>
                <w:color w:val="auto"/>
              </w:rPr>
              <w:t>  Blackstone Inc.</w:t>
            </w: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BX</w:t>
            </w:r>
          </w:p>
        </w:tc>
        <w:tc>
          <w:tcPr>
            <w:tcW w:w="280" w:type="dxa"/>
            <w:vAlign w:val="bottom"/>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93,025</w:t>
            </w:r>
          </w:p>
        </w:tc>
        <w:tc>
          <w:tcPr>
            <w:tcW w:w="320" w:type="dxa"/>
            <w:vAlign w:val="bottom"/>
          </w:tcPr>
          <w:p>
            <w:pPr>
              <w:ind w:left="200"/>
              <w:spacing w:after="0" w:line="153" w:lineRule="exact"/>
              <w:rPr>
                <w:sz w:val="20"/>
                <w:szCs w:val="20"/>
                <w:color w:val="auto"/>
              </w:rPr>
            </w:pPr>
            <w:r>
              <w:rPr>
                <w:rFonts w:ascii="Arial" w:cs="Arial" w:eastAsia="Arial" w:hAnsi="Arial"/>
                <w:sz w:val="14"/>
                <w:szCs w:val="14"/>
                <w:color w:val="auto"/>
                <w:w w:val="71"/>
              </w:rPr>
              <w:t> </w:t>
            </w:r>
          </w:p>
        </w:tc>
        <w:tc>
          <w:tcPr>
            <w:tcW w:w="820" w:type="dxa"/>
            <w:vAlign w:val="bottom"/>
            <w:gridSpan w:val="2"/>
          </w:tcPr>
          <w:p>
            <w:pPr>
              <w:jc w:val="right"/>
              <w:ind w:right="128"/>
              <w:spacing w:after="0" w:line="153" w:lineRule="exact"/>
              <w:rPr>
                <w:sz w:val="20"/>
                <w:szCs w:val="20"/>
                <w:color w:val="auto"/>
              </w:rPr>
            </w:pPr>
            <w:r>
              <w:rPr>
                <w:rFonts w:ascii="Arial" w:cs="Arial" w:eastAsia="Arial" w:hAnsi="Arial"/>
                <w:sz w:val="14"/>
                <w:szCs w:val="14"/>
                <w:color w:val="auto"/>
                <w:w w:val="97"/>
              </w:rPr>
              <w:t>  180,013</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9,953</w:t>
            </w: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920" w:type="dxa"/>
            <w:vAlign w:val="bottom"/>
            <w:gridSpan w:val="2"/>
          </w:tcPr>
          <w:p>
            <w:pPr>
              <w:jc w:val="right"/>
              <w:ind w:right="308"/>
              <w:spacing w:after="0" w:line="153" w:lineRule="exact"/>
              <w:rPr>
                <w:sz w:val="20"/>
                <w:szCs w:val="20"/>
                <w:color w:val="auto"/>
              </w:rPr>
            </w:pPr>
            <w:r>
              <w:rPr>
                <w:rFonts w:ascii="Arial" w:cs="Arial" w:eastAsia="Arial" w:hAnsi="Arial"/>
                <w:sz w:val="14"/>
                <w:szCs w:val="14"/>
                <w:color w:val="auto"/>
              </w:rPr>
              <w:t>  1,797</w:t>
            </w:r>
          </w:p>
        </w:tc>
        <w:tc>
          <w:tcPr>
            <w:tcW w:w="1960" w:type="dxa"/>
            <w:vAlign w:val="bottom"/>
          </w:tcPr>
          <w:p>
            <w:pPr>
              <w:spacing w:after="0" w:line="153" w:lineRule="exact"/>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153"/>
        </w:trPr>
        <w:tc>
          <w:tcPr>
            <w:tcW w:w="3100" w:type="dxa"/>
            <w:vAlign w:val="bottom"/>
            <w:shd w:val="clear" w:color="auto" w:fill="E5EEF8"/>
          </w:tcPr>
          <w:p>
            <w:pPr>
              <w:spacing w:after="0" w:line="153" w:lineRule="exact"/>
              <w:rPr>
                <w:sz w:val="20"/>
                <w:szCs w:val="20"/>
                <w:color w:val="auto"/>
              </w:rPr>
            </w:pPr>
            <w:r>
              <w:rPr>
                <w:rFonts w:ascii="Arial" w:cs="Arial" w:eastAsia="Arial" w:hAnsi="Arial"/>
                <w:sz w:val="14"/>
                <w:szCs w:val="14"/>
                <w:color w:val="auto"/>
              </w:rPr>
              <w:t>  KKR &amp; Co. Inc.</w:t>
            </w:r>
          </w:p>
        </w:tc>
        <w:tc>
          <w:tcPr>
            <w:tcW w:w="1060" w:type="dxa"/>
            <w:vAlign w:val="bottom"/>
            <w:shd w:val="clear" w:color="auto" w:fill="E5EEF8"/>
          </w:tcPr>
          <w:p>
            <w:pPr>
              <w:jc w:val="right"/>
              <w:ind w:right="108"/>
              <w:spacing w:after="0" w:line="153" w:lineRule="exact"/>
              <w:rPr>
                <w:sz w:val="20"/>
                <w:szCs w:val="20"/>
                <w:color w:val="auto"/>
              </w:rPr>
            </w:pPr>
            <w:r>
              <w:rPr>
                <w:rFonts w:ascii="Arial" w:cs="Arial" w:eastAsia="Arial" w:hAnsi="Arial"/>
                <w:sz w:val="14"/>
                <w:szCs w:val="14"/>
                <w:color w:val="auto"/>
              </w:rPr>
              <w:t>KKR</w:t>
            </w:r>
          </w:p>
        </w:tc>
        <w:tc>
          <w:tcPr>
            <w:tcW w:w="280" w:type="dxa"/>
            <w:vAlign w:val="bottom"/>
            <w:shd w:val="clear" w:color="auto" w:fill="E5EEF8"/>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73,323</w:t>
            </w:r>
          </w:p>
        </w:tc>
        <w:tc>
          <w:tcPr>
            <w:tcW w:w="320" w:type="dxa"/>
            <w:vAlign w:val="bottom"/>
            <w:shd w:val="clear" w:color="auto" w:fill="E5EEF8"/>
          </w:tcPr>
          <w:p>
            <w:pPr>
              <w:ind w:left="200"/>
              <w:spacing w:after="0" w:line="153" w:lineRule="exact"/>
              <w:rPr>
                <w:sz w:val="20"/>
                <w:szCs w:val="20"/>
                <w:color w:val="auto"/>
              </w:rPr>
            </w:pPr>
            <w:r>
              <w:rPr>
                <w:rFonts w:ascii="Arial" w:cs="Arial" w:eastAsia="Arial" w:hAnsi="Arial"/>
                <w:sz w:val="14"/>
                <w:szCs w:val="14"/>
                <w:color w:val="auto"/>
                <w:w w:val="71"/>
              </w:rPr>
              <w:t> </w:t>
            </w:r>
          </w:p>
        </w:tc>
        <w:tc>
          <w:tcPr>
            <w:tcW w:w="820" w:type="dxa"/>
            <w:vAlign w:val="bottom"/>
            <w:gridSpan w:val="2"/>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w w:val="97"/>
              </w:rPr>
              <w:t>  151,602</w:t>
            </w: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jc w:val="right"/>
              <w:ind w:right="128"/>
              <w:spacing w:after="0" w:line="153" w:lineRule="exact"/>
              <w:rPr>
                <w:sz w:val="20"/>
                <w:szCs w:val="20"/>
                <w:color w:val="auto"/>
              </w:rPr>
            </w:pPr>
            <w:r>
              <w:rPr>
                <w:rFonts w:ascii="Arial" w:cs="Arial" w:eastAsia="Arial" w:hAnsi="Arial"/>
                <w:sz w:val="14"/>
                <w:szCs w:val="14"/>
                <w:color w:val="auto"/>
              </w:rPr>
              <w:t>22,543</w:t>
            </w: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920" w:type="dxa"/>
            <w:vAlign w:val="bottom"/>
            <w:gridSpan w:val="2"/>
            <w:shd w:val="clear" w:color="auto" w:fill="E5EEF8"/>
          </w:tcPr>
          <w:p>
            <w:pPr>
              <w:jc w:val="right"/>
              <w:ind w:right="308"/>
              <w:spacing w:after="0" w:line="153" w:lineRule="exact"/>
              <w:rPr>
                <w:sz w:val="20"/>
                <w:szCs w:val="20"/>
                <w:color w:val="auto"/>
              </w:rPr>
            </w:pPr>
            <w:r>
              <w:rPr>
                <w:rFonts w:ascii="Arial" w:cs="Arial" w:eastAsia="Arial" w:hAnsi="Arial"/>
                <w:sz w:val="14"/>
                <w:szCs w:val="14"/>
                <w:color w:val="auto"/>
              </w:rPr>
              <w:t>  2,792</w:t>
            </w:r>
          </w:p>
        </w:tc>
        <w:tc>
          <w:tcPr>
            <w:tcW w:w="1960" w:type="dxa"/>
            <w:vAlign w:val="bottom"/>
            <w:shd w:val="clear" w:color="auto" w:fill="E5EEF8"/>
          </w:tcPr>
          <w:p>
            <w:pPr>
              <w:spacing w:after="0" w:line="153" w:lineRule="exact"/>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171"/>
        </w:trPr>
        <w:tc>
          <w:tcPr>
            <w:tcW w:w="3100" w:type="dxa"/>
            <w:vAlign w:val="bottom"/>
            <w:shd w:val="clear" w:color="auto" w:fill="E5EEF8"/>
          </w:tcPr>
          <w:p>
            <w:pPr>
              <w:spacing w:after="0"/>
              <w:rPr>
                <w:sz w:val="14"/>
                <w:szCs w:val="14"/>
                <w:color w:val="auto"/>
              </w:rPr>
            </w:pPr>
          </w:p>
        </w:tc>
        <w:tc>
          <w:tcPr>
            <w:tcW w:w="1060" w:type="dxa"/>
            <w:vAlign w:val="bottom"/>
            <w:shd w:val="clear" w:color="auto" w:fill="E5EEF8"/>
          </w:tcPr>
          <w:p>
            <w:pPr>
              <w:spacing w:after="0"/>
              <w:rPr>
                <w:sz w:val="14"/>
                <w:szCs w:val="14"/>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4"/>
                <w:szCs w:val="14"/>
                <w:color w:val="auto"/>
              </w:rPr>
            </w:pPr>
          </w:p>
        </w:tc>
        <w:tc>
          <w:tcPr>
            <w:tcW w:w="160" w:type="dxa"/>
            <w:vAlign w:val="bottom"/>
            <w:shd w:val="clear" w:color="auto" w:fill="E5EEF8"/>
          </w:tcPr>
          <w:p>
            <w:pPr>
              <w:spacing w:after="0"/>
              <w:rPr>
                <w:sz w:val="14"/>
                <w:szCs w:val="14"/>
                <w:color w:val="auto"/>
              </w:rPr>
            </w:pPr>
          </w:p>
        </w:tc>
        <w:tc>
          <w:tcPr>
            <w:tcW w:w="760" w:type="dxa"/>
            <w:vAlign w:val="bottom"/>
            <w:shd w:val="clear" w:color="auto" w:fill="E5EEF8"/>
          </w:tcPr>
          <w:p>
            <w:pPr>
              <w:spacing w:after="0"/>
              <w:rPr>
                <w:sz w:val="14"/>
                <w:szCs w:val="14"/>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4"/>
                <w:szCs w:val="14"/>
                <w:color w:val="auto"/>
              </w:rPr>
            </w:pPr>
          </w:p>
        </w:tc>
        <w:tc>
          <w:tcPr>
            <w:tcW w:w="740" w:type="dxa"/>
            <w:vAlign w:val="bottom"/>
            <w:shd w:val="clear" w:color="auto" w:fill="E5EEF8"/>
          </w:tcPr>
          <w:p>
            <w:pPr>
              <w:spacing w:after="0"/>
              <w:rPr>
                <w:sz w:val="14"/>
                <w:szCs w:val="14"/>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4"/>
                <w:szCs w:val="14"/>
                <w:color w:val="auto"/>
              </w:rPr>
            </w:pPr>
          </w:p>
        </w:tc>
        <w:tc>
          <w:tcPr>
            <w:tcW w:w="700" w:type="dxa"/>
            <w:vAlign w:val="bottom"/>
            <w:shd w:val="clear" w:color="auto" w:fill="E5EEF8"/>
          </w:tcPr>
          <w:p>
            <w:pPr>
              <w:spacing w:after="0"/>
              <w:rPr>
                <w:sz w:val="14"/>
                <w:szCs w:val="14"/>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4"/>
                <w:szCs w:val="14"/>
                <w:color w:val="auto"/>
              </w:rPr>
            </w:pPr>
          </w:p>
        </w:tc>
        <w:tc>
          <w:tcPr>
            <w:tcW w:w="160" w:type="dxa"/>
            <w:vAlign w:val="bottom"/>
            <w:shd w:val="clear" w:color="auto" w:fill="E5EEF8"/>
          </w:tcPr>
          <w:p>
            <w:pPr>
              <w:spacing w:after="0"/>
              <w:rPr>
                <w:sz w:val="14"/>
                <w:szCs w:val="14"/>
                <w:color w:val="auto"/>
              </w:rPr>
            </w:pPr>
          </w:p>
        </w:tc>
        <w:tc>
          <w:tcPr>
            <w:tcW w:w="760" w:type="dxa"/>
            <w:vAlign w:val="bottom"/>
            <w:shd w:val="clear" w:color="auto" w:fill="E5EEF8"/>
          </w:tcPr>
          <w:p>
            <w:pPr>
              <w:spacing w:after="0"/>
              <w:rPr>
                <w:sz w:val="14"/>
                <w:szCs w:val="14"/>
                <w:color w:val="auto"/>
              </w:rPr>
            </w:pPr>
          </w:p>
        </w:tc>
        <w:tc>
          <w:tcPr>
            <w:tcW w:w="1960" w:type="dxa"/>
            <w:vAlign w:val="bottom"/>
            <w:shd w:val="clear" w:color="auto" w:fill="E5EEF8"/>
          </w:tcPr>
          <w:p>
            <w:pPr>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153"/>
        </w:trPr>
        <w:tc>
          <w:tcPr>
            <w:tcW w:w="3100" w:type="dxa"/>
            <w:vAlign w:val="bottom"/>
          </w:tcPr>
          <w:p>
            <w:pPr>
              <w:spacing w:after="0" w:line="153" w:lineRule="exact"/>
              <w:rPr>
                <w:sz w:val="20"/>
                <w:szCs w:val="20"/>
                <w:color w:val="auto"/>
              </w:rPr>
            </w:pPr>
            <w:r>
              <w:rPr>
                <w:rFonts w:ascii="Arial" w:cs="Arial" w:eastAsia="Arial" w:hAnsi="Arial"/>
                <w:sz w:val="14"/>
                <w:szCs w:val="14"/>
                <w:color w:val="auto"/>
              </w:rPr>
              <w:t>  Ares Management Corporation</w:t>
            </w: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ARES</w:t>
            </w:r>
          </w:p>
        </w:tc>
        <w:tc>
          <w:tcPr>
            <w:tcW w:w="280" w:type="dxa"/>
            <w:vAlign w:val="bottom"/>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22,070</w:t>
            </w:r>
          </w:p>
        </w:tc>
        <w:tc>
          <w:tcPr>
            <w:tcW w:w="320" w:type="dxa"/>
            <w:vAlign w:val="bottom"/>
          </w:tcPr>
          <w:p>
            <w:pPr>
              <w:ind w:left="200"/>
              <w:spacing w:after="0" w:line="153" w:lineRule="exact"/>
              <w:rPr>
                <w:sz w:val="20"/>
                <w:szCs w:val="20"/>
                <w:color w:val="auto"/>
              </w:rPr>
            </w:pPr>
            <w:r>
              <w:rPr>
                <w:rFonts w:ascii="Arial" w:cs="Arial" w:eastAsia="Arial" w:hAnsi="Arial"/>
                <w:sz w:val="14"/>
                <w:szCs w:val="14"/>
                <w:color w:val="auto"/>
                <w:w w:val="71"/>
              </w:rPr>
              <w:t> </w:t>
            </w:r>
          </w:p>
        </w:tc>
        <w:tc>
          <w:tcPr>
            <w:tcW w:w="80" w:type="dxa"/>
            <w:vAlign w:val="bottom"/>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38,808</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3,769</w:t>
            </w: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tcPr>
          <w:p>
            <w:pPr>
              <w:jc w:val="right"/>
              <w:ind w:right="308"/>
              <w:spacing w:after="0" w:line="153" w:lineRule="exact"/>
              <w:rPr>
                <w:sz w:val="20"/>
                <w:szCs w:val="20"/>
                <w:color w:val="auto"/>
              </w:rPr>
            </w:pPr>
            <w:r>
              <w:rPr>
                <w:rFonts w:ascii="Arial" w:cs="Arial" w:eastAsia="Arial" w:hAnsi="Arial"/>
                <w:sz w:val="14"/>
                <w:szCs w:val="14"/>
                <w:color w:val="auto"/>
              </w:rPr>
              <w:t>404</w:t>
            </w:r>
          </w:p>
        </w:tc>
        <w:tc>
          <w:tcPr>
            <w:tcW w:w="1960" w:type="dxa"/>
            <w:vAlign w:val="bottom"/>
          </w:tcPr>
          <w:p>
            <w:pPr>
              <w:spacing w:after="0" w:line="153" w:lineRule="exact"/>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208"/>
        </w:trPr>
        <w:tc>
          <w:tcPr>
            <w:tcW w:w="3100" w:type="dxa"/>
            <w:vAlign w:val="bottom"/>
            <w:shd w:val="clear" w:color="auto" w:fill="E5EEF8"/>
          </w:tcPr>
          <w:p>
            <w:pPr>
              <w:spacing w:after="0"/>
              <w:rPr>
                <w:sz w:val="20"/>
                <w:szCs w:val="20"/>
                <w:color w:val="auto"/>
              </w:rPr>
            </w:pPr>
            <w:r>
              <w:rPr>
                <w:rFonts w:ascii="Arial" w:cs="Arial" w:eastAsia="Arial" w:hAnsi="Arial"/>
                <w:sz w:val="14"/>
                <w:szCs w:val="14"/>
                <w:color w:val="auto"/>
              </w:rPr>
              <w:t>  The Carlyle Group Inc.</w:t>
            </w:r>
          </w:p>
        </w:tc>
        <w:tc>
          <w:tcPr>
            <w:tcW w:w="1060" w:type="dxa"/>
            <w:vAlign w:val="bottom"/>
            <w:shd w:val="clear" w:color="auto" w:fill="E5EEF8"/>
          </w:tcPr>
          <w:p>
            <w:pPr>
              <w:jc w:val="right"/>
              <w:ind w:right="108"/>
              <w:spacing w:after="0"/>
              <w:rPr>
                <w:sz w:val="20"/>
                <w:szCs w:val="20"/>
                <w:color w:val="auto"/>
              </w:rPr>
            </w:pPr>
            <w:r>
              <w:rPr>
                <w:rFonts w:ascii="Arial" w:cs="Arial" w:eastAsia="Arial" w:hAnsi="Arial"/>
                <w:sz w:val="14"/>
                <w:szCs w:val="14"/>
                <w:color w:val="auto"/>
              </w:rPr>
              <w:t>CG</w:t>
            </w: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14,681</w:t>
            </w: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22,832</w:t>
            </w: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jc w:val="right"/>
              <w:ind w:right="128"/>
              <w:spacing w:after="0"/>
              <w:rPr>
                <w:sz w:val="20"/>
                <w:szCs w:val="20"/>
                <w:color w:val="auto"/>
              </w:rPr>
            </w:pPr>
            <w:r>
              <w:rPr>
                <w:rFonts w:ascii="Arial" w:cs="Arial" w:eastAsia="Arial" w:hAnsi="Arial"/>
                <w:sz w:val="14"/>
                <w:szCs w:val="14"/>
                <w:color w:val="auto"/>
              </w:rPr>
              <w:t>3,130</w:t>
            </w: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shd w:val="clear" w:color="auto" w:fill="E5EEF8"/>
          </w:tcPr>
          <w:p>
            <w:pPr>
              <w:jc w:val="right"/>
              <w:ind w:right="308"/>
              <w:spacing w:after="0"/>
              <w:rPr>
                <w:sz w:val="20"/>
                <w:szCs w:val="20"/>
                <w:color w:val="auto"/>
              </w:rPr>
            </w:pPr>
            <w:r>
              <w:rPr>
                <w:rFonts w:ascii="Arial" w:cs="Arial" w:eastAsia="Arial" w:hAnsi="Arial"/>
                <w:sz w:val="14"/>
                <w:szCs w:val="14"/>
                <w:color w:val="auto"/>
              </w:rPr>
              <w:t>211</w:t>
            </w:r>
          </w:p>
        </w:tc>
        <w:tc>
          <w:tcPr>
            <w:tcW w:w="1960" w:type="dxa"/>
            <w:vAlign w:val="bottom"/>
            <w:shd w:val="clear" w:color="auto" w:fill="E5EEF8"/>
          </w:tcPr>
          <w:p>
            <w:pPr>
              <w:spacing w:after="0"/>
              <w:rPr>
                <w:sz w:val="20"/>
                <w:szCs w:val="20"/>
                <w:color w:val="auto"/>
              </w:rPr>
            </w:pPr>
            <w:r>
              <w:rPr>
                <w:rFonts w:ascii="Arial" w:cs="Arial" w:eastAsia="Arial" w:hAnsi="Arial"/>
                <w:sz w:val="14"/>
                <w:szCs w:val="14"/>
                <w:color w:val="auto"/>
              </w:rPr>
              <w:t>Asset Management &amp;</w:t>
            </w:r>
          </w:p>
        </w:tc>
        <w:tc>
          <w:tcPr>
            <w:tcW w:w="0" w:type="dxa"/>
            <w:vAlign w:val="bottom"/>
          </w:tcPr>
          <w:p>
            <w:pPr>
              <w:spacing w:after="0"/>
              <w:rPr>
                <w:sz w:val="1"/>
                <w:szCs w:val="1"/>
                <w:color w:val="auto"/>
              </w:rPr>
            </w:pPr>
          </w:p>
        </w:tc>
      </w:tr>
      <w:tr>
        <w:trPr>
          <w:trHeight w:val="224"/>
        </w:trPr>
        <w:tc>
          <w:tcPr>
            <w:tcW w:w="3100" w:type="dxa"/>
            <w:vAlign w:val="bottom"/>
            <w:shd w:val="clear" w:color="auto" w:fill="E5EEF8"/>
          </w:tcPr>
          <w:p>
            <w:pPr>
              <w:spacing w:after="0"/>
              <w:rPr>
                <w:sz w:val="19"/>
                <w:szCs w:val="19"/>
                <w:color w:val="auto"/>
              </w:rPr>
            </w:pPr>
          </w:p>
        </w:tc>
        <w:tc>
          <w:tcPr>
            <w:tcW w:w="1060" w:type="dxa"/>
            <w:vAlign w:val="bottom"/>
            <w:shd w:val="clear" w:color="auto" w:fill="E5EEF8"/>
          </w:tcPr>
          <w:p>
            <w:pPr>
              <w:spacing w:after="0"/>
              <w:rPr>
                <w:sz w:val="19"/>
                <w:szCs w:val="19"/>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spacing w:after="0"/>
              <w:rPr>
                <w:sz w:val="19"/>
                <w:szCs w:val="19"/>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E5EEF8"/>
          </w:tcPr>
          <w:p>
            <w:pPr>
              <w:spacing w:after="0"/>
              <w:rPr>
                <w:sz w:val="19"/>
                <w:szCs w:val="19"/>
                <w:color w:val="auto"/>
              </w:rPr>
            </w:pPr>
          </w:p>
        </w:tc>
        <w:tc>
          <w:tcPr>
            <w:tcW w:w="740" w:type="dxa"/>
            <w:vAlign w:val="bottom"/>
            <w:shd w:val="clear" w:color="auto" w:fill="E5EEF8"/>
          </w:tcPr>
          <w:p>
            <w:pPr>
              <w:spacing w:after="0"/>
              <w:rPr>
                <w:sz w:val="19"/>
                <w:szCs w:val="19"/>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E5EEF8"/>
          </w:tcPr>
          <w:p>
            <w:pPr>
              <w:spacing w:after="0"/>
              <w:rPr>
                <w:sz w:val="19"/>
                <w:szCs w:val="19"/>
                <w:color w:val="auto"/>
              </w:rPr>
            </w:pPr>
          </w:p>
        </w:tc>
        <w:tc>
          <w:tcPr>
            <w:tcW w:w="700" w:type="dxa"/>
            <w:vAlign w:val="bottom"/>
            <w:shd w:val="clear" w:color="auto" w:fill="E5EEF8"/>
          </w:tcPr>
          <w:p>
            <w:pPr>
              <w:spacing w:after="0"/>
              <w:rPr>
                <w:sz w:val="19"/>
                <w:szCs w:val="19"/>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60" w:type="dxa"/>
            <w:vAlign w:val="bottom"/>
            <w:shd w:val="clear" w:color="auto" w:fill="E5EEF8"/>
          </w:tcPr>
          <w:p>
            <w:pPr>
              <w:spacing w:after="0"/>
              <w:rPr>
                <w:sz w:val="19"/>
                <w:szCs w:val="19"/>
                <w:color w:val="auto"/>
              </w:rPr>
            </w:pPr>
          </w:p>
        </w:tc>
        <w:tc>
          <w:tcPr>
            <w:tcW w:w="1960" w:type="dxa"/>
            <w:vAlign w:val="bottom"/>
            <w:shd w:val="clear" w:color="auto" w:fill="E5EEF8"/>
          </w:tcPr>
          <w:p>
            <w:pPr>
              <w:spacing w:after="0"/>
              <w:rPr>
                <w:sz w:val="20"/>
                <w:szCs w:val="20"/>
                <w:color w:val="auto"/>
              </w:rPr>
            </w:pPr>
            <w:r>
              <w:rPr>
                <w:rFonts w:ascii="Arial" w:cs="Arial" w:eastAsia="Arial" w:hAnsi="Arial"/>
                <w:sz w:val="14"/>
                <w:szCs w:val="14"/>
                <w:color w:val="auto"/>
              </w:rPr>
              <w:t>Custody Banks</w:t>
            </w:r>
          </w:p>
        </w:tc>
        <w:tc>
          <w:tcPr>
            <w:tcW w:w="0" w:type="dxa"/>
            <w:vAlign w:val="bottom"/>
          </w:tcPr>
          <w:p>
            <w:pPr>
              <w:spacing w:after="0"/>
              <w:rPr>
                <w:sz w:val="1"/>
                <w:szCs w:val="1"/>
                <w:color w:val="auto"/>
              </w:rPr>
            </w:pPr>
          </w:p>
        </w:tc>
      </w:tr>
      <w:tr>
        <w:trPr>
          <w:trHeight w:val="153"/>
        </w:trPr>
        <w:tc>
          <w:tcPr>
            <w:tcW w:w="3100" w:type="dxa"/>
            <w:vAlign w:val="bottom"/>
          </w:tcPr>
          <w:p>
            <w:pPr>
              <w:spacing w:after="0" w:line="153" w:lineRule="exact"/>
              <w:rPr>
                <w:sz w:val="20"/>
                <w:szCs w:val="20"/>
                <w:color w:val="auto"/>
              </w:rPr>
            </w:pPr>
            <w:r>
              <w:rPr>
                <w:rFonts w:ascii="Arial" w:cs="Arial" w:eastAsia="Arial" w:hAnsi="Arial"/>
                <w:sz w:val="14"/>
                <w:szCs w:val="14"/>
                <w:color w:val="auto"/>
              </w:rPr>
              <w:t>  Motorola Solutions, Inc.</w:t>
            </w: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color w:val="auto"/>
              </w:rPr>
              <w:t>MSI</w:t>
            </w:r>
          </w:p>
        </w:tc>
        <w:tc>
          <w:tcPr>
            <w:tcW w:w="280" w:type="dxa"/>
            <w:vAlign w:val="bottom"/>
          </w:tcPr>
          <w:p>
            <w:pPr>
              <w:ind w:left="160"/>
              <w:spacing w:after="0" w:line="153" w:lineRule="exact"/>
              <w:rPr>
                <w:sz w:val="20"/>
                <w:szCs w:val="20"/>
                <w:color w:val="auto"/>
              </w:rPr>
            </w:pPr>
            <w:r>
              <w:rPr>
                <w:rFonts w:ascii="Arial" w:cs="Arial" w:eastAsia="Arial" w:hAnsi="Arial"/>
                <w:sz w:val="14"/>
                <w:szCs w:val="14"/>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51,963</w:t>
            </w:r>
          </w:p>
        </w:tc>
        <w:tc>
          <w:tcPr>
            <w:tcW w:w="320" w:type="dxa"/>
            <w:vAlign w:val="bottom"/>
          </w:tcPr>
          <w:p>
            <w:pPr>
              <w:ind w:left="200"/>
              <w:spacing w:after="0" w:line="153" w:lineRule="exact"/>
              <w:rPr>
                <w:sz w:val="20"/>
                <w:szCs w:val="20"/>
                <w:color w:val="auto"/>
              </w:rPr>
            </w:pPr>
            <w:r>
              <w:rPr>
                <w:rFonts w:ascii="Arial" w:cs="Arial" w:eastAsia="Arial" w:hAnsi="Arial"/>
                <w:sz w:val="14"/>
                <w:szCs w:val="14"/>
                <w:color w:val="auto"/>
                <w:w w:val="71"/>
              </w:rPr>
              <w:t> </w:t>
            </w:r>
          </w:p>
        </w:tc>
        <w:tc>
          <w:tcPr>
            <w:tcW w:w="80" w:type="dxa"/>
            <w:vAlign w:val="bottom"/>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57,570</w:t>
            </w:r>
          </w:p>
        </w:tc>
        <w:tc>
          <w:tcPr>
            <w:tcW w:w="300" w:type="dxa"/>
            <w:vAlign w:val="bottom"/>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tcPr>
          <w:p>
            <w:pPr>
              <w:jc w:val="right"/>
              <w:ind w:right="128"/>
              <w:spacing w:after="0" w:line="153" w:lineRule="exact"/>
              <w:rPr>
                <w:sz w:val="20"/>
                <w:szCs w:val="20"/>
                <w:color w:val="auto"/>
              </w:rPr>
            </w:pPr>
            <w:r>
              <w:rPr>
                <w:rFonts w:ascii="Arial" w:cs="Arial" w:eastAsia="Arial" w:hAnsi="Arial"/>
                <w:sz w:val="14"/>
                <w:szCs w:val="14"/>
                <w:color w:val="auto"/>
              </w:rPr>
              <w:t>9,836</w:t>
            </w:r>
          </w:p>
        </w:tc>
        <w:tc>
          <w:tcPr>
            <w:tcW w:w="280" w:type="dxa"/>
            <w:vAlign w:val="bottom"/>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tcPr>
          <w:p>
            <w:pPr>
              <w:ind w:left="60"/>
              <w:spacing w:after="0"/>
              <w:rPr>
                <w:sz w:val="20"/>
                <w:szCs w:val="20"/>
                <w:color w:val="auto"/>
              </w:rPr>
            </w:pPr>
            <w:r>
              <w:rPr>
                <w:rFonts w:ascii="Arial" w:cs="Arial" w:eastAsia="Arial" w:hAnsi="Arial"/>
                <w:sz w:val="2"/>
                <w:szCs w:val="2"/>
                <w:color w:val="auto"/>
                <w:w w:val="97"/>
              </w:rPr>
              <w:t> </w:t>
            </w:r>
          </w:p>
        </w:tc>
        <w:tc>
          <w:tcPr>
            <w:tcW w:w="920" w:type="dxa"/>
            <w:vAlign w:val="bottom"/>
            <w:gridSpan w:val="2"/>
          </w:tcPr>
          <w:p>
            <w:pPr>
              <w:jc w:val="right"/>
              <w:ind w:right="308"/>
              <w:spacing w:after="0" w:line="153" w:lineRule="exact"/>
              <w:rPr>
                <w:sz w:val="20"/>
                <w:szCs w:val="20"/>
                <w:color w:val="auto"/>
              </w:rPr>
            </w:pPr>
            <w:r>
              <w:rPr>
                <w:rFonts w:ascii="Arial" w:cs="Arial" w:eastAsia="Arial" w:hAnsi="Arial"/>
                <w:sz w:val="14"/>
                <w:szCs w:val="14"/>
                <w:color w:val="auto"/>
              </w:rPr>
              <w:t>  1,702</w:t>
            </w:r>
          </w:p>
        </w:tc>
        <w:tc>
          <w:tcPr>
            <w:tcW w:w="1960" w:type="dxa"/>
            <w:vAlign w:val="bottom"/>
          </w:tcPr>
          <w:p>
            <w:pPr>
              <w:spacing w:after="0" w:line="153" w:lineRule="exact"/>
              <w:rPr>
                <w:sz w:val="20"/>
                <w:szCs w:val="20"/>
                <w:color w:val="auto"/>
              </w:rPr>
            </w:pPr>
            <w:r>
              <w:rPr>
                <w:rFonts w:ascii="Arial" w:cs="Arial" w:eastAsia="Arial" w:hAnsi="Arial"/>
                <w:sz w:val="14"/>
                <w:szCs w:val="14"/>
                <w:color w:val="auto"/>
              </w:rPr>
              <w:t>Communications Equipment</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ind w:lef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100" w:type="dxa"/>
            <w:vAlign w:val="bottom"/>
            <w:shd w:val="clear" w:color="auto" w:fill="E5EEF8"/>
          </w:tcPr>
          <w:p>
            <w:pPr>
              <w:spacing w:after="0"/>
              <w:rPr>
                <w:sz w:val="20"/>
                <w:szCs w:val="20"/>
                <w:color w:val="auto"/>
              </w:rPr>
            </w:pPr>
            <w:r>
              <w:rPr>
                <w:rFonts w:ascii="Arial" w:cs="Arial" w:eastAsia="Arial" w:hAnsi="Arial"/>
                <w:sz w:val="14"/>
                <w:szCs w:val="14"/>
                <w:color w:val="auto"/>
              </w:rPr>
              <w:t>  Veeva Systems Inc.</w:t>
            </w:r>
          </w:p>
        </w:tc>
        <w:tc>
          <w:tcPr>
            <w:tcW w:w="1060" w:type="dxa"/>
            <w:vAlign w:val="bottom"/>
            <w:shd w:val="clear" w:color="auto" w:fill="E5EEF8"/>
          </w:tcPr>
          <w:p>
            <w:pPr>
              <w:spacing w:after="0"/>
              <w:rPr>
                <w:sz w:val="18"/>
                <w:szCs w:val="18"/>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color w:val="auto"/>
                <w:w w:val="72"/>
              </w:rPr>
              <w:t> </w:t>
            </w:r>
          </w:p>
        </w:tc>
        <w:tc>
          <w:tcPr>
            <w:tcW w:w="760" w:type="dxa"/>
            <w:vAlign w:val="bottom"/>
            <w:shd w:val="clear" w:color="auto" w:fill="E5EEF8"/>
          </w:tcPr>
          <w:p>
            <w:pPr>
              <w:spacing w:after="0"/>
              <w:rPr>
                <w:sz w:val="18"/>
                <w:szCs w:val="18"/>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color w:val="auto"/>
                <w:w w:val="71"/>
              </w:rPr>
              <w:t> </w:t>
            </w:r>
          </w:p>
        </w:tc>
        <w:tc>
          <w:tcPr>
            <w:tcW w:w="740" w:type="dxa"/>
            <w:vAlign w:val="bottom"/>
            <w:shd w:val="clear" w:color="auto" w:fill="E5EEF8"/>
          </w:tcPr>
          <w:p>
            <w:pPr>
              <w:spacing w:after="0"/>
              <w:rPr>
                <w:sz w:val="18"/>
                <w:szCs w:val="18"/>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color w:val="auto"/>
                <w:w w:val="72"/>
              </w:rPr>
              <w:t> </w:t>
            </w:r>
          </w:p>
        </w:tc>
        <w:tc>
          <w:tcPr>
            <w:tcW w:w="700" w:type="dxa"/>
            <w:vAlign w:val="bottom"/>
            <w:shd w:val="clear" w:color="auto" w:fill="E5EEF8"/>
          </w:tcPr>
          <w:p>
            <w:pPr>
              <w:spacing w:after="0"/>
              <w:rPr>
                <w:sz w:val="18"/>
                <w:szCs w:val="18"/>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color w:val="auto"/>
                <w:w w:val="71"/>
              </w:rPr>
              <w:t> </w:t>
            </w:r>
          </w:p>
        </w:tc>
        <w:tc>
          <w:tcPr>
            <w:tcW w:w="760" w:type="dxa"/>
            <w:vAlign w:val="bottom"/>
            <w:shd w:val="clear" w:color="auto" w:fill="E5EEF8"/>
          </w:tcPr>
          <w:p>
            <w:pPr>
              <w:spacing w:after="0"/>
              <w:rPr>
                <w:sz w:val="18"/>
                <w:szCs w:val="18"/>
                <w:color w:val="auto"/>
              </w:rPr>
            </w:pPr>
          </w:p>
        </w:tc>
        <w:tc>
          <w:tcPr>
            <w:tcW w:w="196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tcBorders>
              <w:bottom w:val="single" w:sz="8" w:color="005CB9"/>
            </w:tcBorders>
            <w:shd w:val="clear" w:color="auto" w:fill="E5EEF8"/>
          </w:tcPr>
          <w:p>
            <w:pPr>
              <w:spacing w:after="0"/>
              <w:rPr>
                <w:sz w:val="19"/>
                <w:szCs w:val="19"/>
                <w:color w:val="auto"/>
              </w:rPr>
            </w:pPr>
          </w:p>
        </w:tc>
        <w:tc>
          <w:tcPr>
            <w:tcW w:w="1060" w:type="dxa"/>
            <w:vAlign w:val="bottom"/>
            <w:tcBorders>
              <w:bottom w:val="single" w:sz="8" w:color="005CB9"/>
            </w:tcBorders>
            <w:shd w:val="clear" w:color="auto" w:fill="E5EEF8"/>
          </w:tcPr>
          <w:p>
            <w:pPr>
              <w:jc w:val="right"/>
              <w:ind w:right="108"/>
              <w:spacing w:after="0"/>
              <w:rPr>
                <w:sz w:val="20"/>
                <w:szCs w:val="20"/>
                <w:color w:val="auto"/>
              </w:rPr>
            </w:pPr>
            <w:r>
              <w:rPr>
                <w:rFonts w:ascii="Arial" w:cs="Arial" w:eastAsia="Arial" w:hAnsi="Arial"/>
                <w:sz w:val="14"/>
                <w:szCs w:val="14"/>
                <w:color w:val="auto"/>
              </w:rPr>
              <w:t>VEEV</w:t>
            </w:r>
          </w:p>
        </w:tc>
        <w:tc>
          <w:tcPr>
            <w:tcW w:w="280" w:type="dxa"/>
            <w:vAlign w:val="bottom"/>
            <w:tcBorders>
              <w:bottom w:val="single" w:sz="8" w:color="005CB9"/>
            </w:tcBorders>
            <w:shd w:val="clear" w:color="auto" w:fill="E5EEF8"/>
          </w:tcPr>
          <w:p>
            <w:pPr>
              <w:ind w:lef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005CB9"/>
            </w:tcBorders>
            <w:shd w:val="clear" w:color="auto" w:fill="E5EEF8"/>
          </w:tcPr>
          <w:p>
            <w:pPr>
              <w:spacing w:after="0"/>
              <w:rPr>
                <w:sz w:val="19"/>
                <w:szCs w:val="19"/>
                <w:color w:val="auto"/>
              </w:rPr>
            </w:pPr>
          </w:p>
        </w:tc>
        <w:tc>
          <w:tcPr>
            <w:tcW w:w="160" w:type="dxa"/>
            <w:vAlign w:val="bottom"/>
            <w:tcBorders>
              <w:bottom w:val="single" w:sz="8" w:color="005CB9"/>
            </w:tcBorders>
            <w:shd w:val="clear" w:color="auto" w:fill="E5EEF8"/>
          </w:tcPr>
          <w:p>
            <w:pPr>
              <w:spacing w:after="0"/>
              <w:rPr>
                <w:sz w:val="19"/>
                <w:szCs w:val="19"/>
                <w:color w:val="auto"/>
              </w:rPr>
            </w:pPr>
          </w:p>
        </w:tc>
        <w:tc>
          <w:tcPr>
            <w:tcW w:w="760" w:type="dxa"/>
            <w:vAlign w:val="bottom"/>
            <w:tcBorders>
              <w:bottom w:val="single" w:sz="8" w:color="005CB9"/>
            </w:tcBorders>
            <w:shd w:val="clear" w:color="auto" w:fill="E5EEF8"/>
          </w:tcPr>
          <w:p>
            <w:pPr>
              <w:jc w:val="right"/>
              <w:ind w:right="128"/>
              <w:spacing w:after="0"/>
              <w:rPr>
                <w:sz w:val="20"/>
                <w:szCs w:val="20"/>
                <w:color w:val="auto"/>
              </w:rPr>
            </w:pPr>
            <w:r>
              <w:rPr>
                <w:rFonts w:ascii="Arial" w:cs="Arial" w:eastAsia="Arial" w:hAnsi="Arial"/>
                <w:sz w:val="14"/>
                <w:szCs w:val="14"/>
                <w:color w:val="auto"/>
              </w:rPr>
              <w:t>30,999</w:t>
            </w:r>
          </w:p>
        </w:tc>
        <w:tc>
          <w:tcPr>
            <w:tcW w:w="320" w:type="dxa"/>
            <w:vAlign w:val="bottom"/>
            <w:tcBorders>
              <w:bottom w:val="single" w:sz="8" w:color="005CB9"/>
            </w:tcBorders>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005CB9"/>
            </w:tcBorders>
            <w:shd w:val="clear" w:color="auto" w:fill="E5EEF8"/>
          </w:tcPr>
          <w:p>
            <w:pPr>
              <w:spacing w:after="0"/>
              <w:rPr>
                <w:sz w:val="19"/>
                <w:szCs w:val="19"/>
                <w:color w:val="auto"/>
              </w:rPr>
            </w:pPr>
          </w:p>
        </w:tc>
        <w:tc>
          <w:tcPr>
            <w:tcW w:w="740" w:type="dxa"/>
            <w:vAlign w:val="bottom"/>
            <w:tcBorders>
              <w:bottom w:val="single" w:sz="8" w:color="005CB9"/>
            </w:tcBorders>
            <w:shd w:val="clear" w:color="auto" w:fill="E5EEF8"/>
          </w:tcPr>
          <w:p>
            <w:pPr>
              <w:jc w:val="right"/>
              <w:ind w:right="128"/>
              <w:spacing w:after="0"/>
              <w:rPr>
                <w:sz w:val="20"/>
                <w:szCs w:val="20"/>
                <w:color w:val="auto"/>
              </w:rPr>
            </w:pPr>
            <w:r>
              <w:rPr>
                <w:rFonts w:ascii="Arial" w:cs="Arial" w:eastAsia="Arial" w:hAnsi="Arial"/>
                <w:sz w:val="14"/>
                <w:szCs w:val="14"/>
                <w:color w:val="auto"/>
              </w:rPr>
              <w:t>27,114</w:t>
            </w:r>
          </w:p>
        </w:tc>
        <w:tc>
          <w:tcPr>
            <w:tcW w:w="300" w:type="dxa"/>
            <w:vAlign w:val="bottom"/>
            <w:tcBorders>
              <w:bottom w:val="single" w:sz="8" w:color="005CB9"/>
            </w:tcBorders>
            <w:shd w:val="clear" w:color="auto" w:fill="E5EEF8"/>
          </w:tcPr>
          <w:p>
            <w:pPr>
              <w:ind w:lef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005CB9"/>
            </w:tcBorders>
            <w:shd w:val="clear" w:color="auto" w:fill="E5EEF8"/>
          </w:tcPr>
          <w:p>
            <w:pPr>
              <w:spacing w:after="0"/>
              <w:rPr>
                <w:sz w:val="19"/>
                <w:szCs w:val="19"/>
                <w:color w:val="auto"/>
              </w:rPr>
            </w:pPr>
          </w:p>
        </w:tc>
        <w:tc>
          <w:tcPr>
            <w:tcW w:w="700" w:type="dxa"/>
            <w:vAlign w:val="bottom"/>
            <w:tcBorders>
              <w:bottom w:val="single" w:sz="8" w:color="005CB9"/>
            </w:tcBorders>
            <w:shd w:val="clear" w:color="auto" w:fill="E5EEF8"/>
          </w:tcPr>
          <w:p>
            <w:pPr>
              <w:jc w:val="right"/>
              <w:ind w:right="128"/>
              <w:spacing w:after="0"/>
              <w:rPr>
                <w:sz w:val="20"/>
                <w:szCs w:val="20"/>
                <w:color w:val="auto"/>
              </w:rPr>
            </w:pPr>
            <w:r>
              <w:rPr>
                <w:rFonts w:ascii="Arial" w:cs="Arial" w:eastAsia="Arial" w:hAnsi="Arial"/>
                <w:sz w:val="14"/>
                <w:szCs w:val="14"/>
                <w:color w:val="auto"/>
              </w:rPr>
              <w:t>2,296</w:t>
            </w:r>
          </w:p>
        </w:tc>
        <w:tc>
          <w:tcPr>
            <w:tcW w:w="280" w:type="dxa"/>
            <w:vAlign w:val="bottom"/>
            <w:tcBorders>
              <w:bottom w:val="single" w:sz="8" w:color="005CB9"/>
            </w:tcBorders>
            <w:shd w:val="clear" w:color="auto" w:fill="E5EEF8"/>
          </w:tcPr>
          <w:p>
            <w:pPr>
              <w:ind w:lef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005CB9"/>
            </w:tcBorders>
            <w:shd w:val="clear" w:color="auto" w:fill="E5EEF8"/>
          </w:tcPr>
          <w:p>
            <w:pPr>
              <w:spacing w:after="0"/>
              <w:rPr>
                <w:sz w:val="19"/>
                <w:szCs w:val="19"/>
                <w:color w:val="auto"/>
              </w:rPr>
            </w:pPr>
          </w:p>
        </w:tc>
        <w:tc>
          <w:tcPr>
            <w:tcW w:w="160" w:type="dxa"/>
            <w:vAlign w:val="bottom"/>
            <w:tcBorders>
              <w:bottom w:val="single" w:sz="8" w:color="005CB9"/>
            </w:tcBorders>
            <w:shd w:val="clear" w:color="auto" w:fill="E5EEF8"/>
          </w:tcPr>
          <w:p>
            <w:pPr>
              <w:spacing w:after="0"/>
              <w:rPr>
                <w:sz w:val="19"/>
                <w:szCs w:val="19"/>
                <w:color w:val="auto"/>
              </w:rPr>
            </w:pPr>
          </w:p>
        </w:tc>
        <w:tc>
          <w:tcPr>
            <w:tcW w:w="760" w:type="dxa"/>
            <w:vAlign w:val="bottom"/>
            <w:tcBorders>
              <w:bottom w:val="single" w:sz="8" w:color="005CB9"/>
            </w:tcBorders>
            <w:shd w:val="clear" w:color="auto" w:fill="E5EEF8"/>
          </w:tcPr>
          <w:p>
            <w:pPr>
              <w:jc w:val="right"/>
              <w:ind w:right="308"/>
              <w:spacing w:after="0"/>
              <w:rPr>
                <w:sz w:val="20"/>
                <w:szCs w:val="20"/>
                <w:color w:val="auto"/>
              </w:rPr>
            </w:pPr>
            <w:r>
              <w:rPr>
                <w:rFonts w:ascii="Arial" w:cs="Arial" w:eastAsia="Arial" w:hAnsi="Arial"/>
                <w:sz w:val="14"/>
                <w:szCs w:val="14"/>
                <w:color w:val="auto"/>
              </w:rPr>
              <w:t>567</w:t>
            </w:r>
          </w:p>
        </w:tc>
        <w:tc>
          <w:tcPr>
            <w:tcW w:w="1960" w:type="dxa"/>
            <w:vAlign w:val="bottom"/>
            <w:tcBorders>
              <w:bottom w:val="single" w:sz="8" w:color="005CB9"/>
            </w:tcBorders>
            <w:shd w:val="clear" w:color="auto" w:fill="E5EEF8"/>
          </w:tcPr>
          <w:p>
            <w:pPr>
              <w:spacing w:after="0"/>
              <w:rPr>
                <w:sz w:val="20"/>
                <w:szCs w:val="20"/>
                <w:color w:val="auto"/>
              </w:rPr>
            </w:pPr>
            <w:r>
              <w:rPr>
                <w:rFonts w:ascii="Arial" w:cs="Arial" w:eastAsia="Arial" w:hAnsi="Arial"/>
                <w:sz w:val="14"/>
                <w:szCs w:val="14"/>
                <w:color w:val="auto"/>
              </w:rPr>
              <w:t>Health Care Technology</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4"/>
                <w:szCs w:val="14"/>
                <w:b w:val="1"/>
                <w:bCs w:val="1"/>
                <w:color w:val="auto"/>
              </w:rPr>
              <w:t>  Median</w:t>
            </w: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w w:val="71"/>
              </w:rPr>
              <w:t> </w:t>
            </w:r>
          </w:p>
        </w:tc>
        <w:tc>
          <w:tcPr>
            <w:tcW w:w="120" w:type="dxa"/>
            <w:vAlign w:val="bottom"/>
          </w:tcPr>
          <w:p>
            <w:pPr>
              <w:ind w:left="40"/>
              <w:spacing w:after="0"/>
              <w:rPr>
                <w:sz w:val="20"/>
                <w:szCs w:val="20"/>
                <w:color w:val="auto"/>
              </w:rPr>
            </w:pPr>
            <w:r>
              <w:rPr>
                <w:rFonts w:ascii="Arial" w:cs="Arial" w:eastAsia="Arial" w:hAnsi="Arial"/>
                <w:sz w:val="8"/>
                <w:szCs w:val="8"/>
                <w:b w:val="1"/>
                <w:bCs w:val="1"/>
                <w:color w:val="auto"/>
                <w:w w:val="74"/>
              </w:rPr>
              <w:t>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76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b w:val="1"/>
                <w:bCs w:val="1"/>
                <w:color w:val="auto"/>
                <w:w w:val="71"/>
              </w:rPr>
              <w:t> </w:t>
            </w:r>
          </w:p>
        </w:tc>
        <w:tc>
          <w:tcPr>
            <w:tcW w:w="80" w:type="dxa"/>
            <w:vAlign w:val="bottom"/>
          </w:tcPr>
          <w:p>
            <w:pPr>
              <w:ind w:left="20"/>
              <w:spacing w:after="0"/>
              <w:rPr>
                <w:sz w:val="20"/>
                <w:szCs w:val="20"/>
                <w:color w:val="auto"/>
              </w:rPr>
            </w:pPr>
            <w:r>
              <w:rPr>
                <w:rFonts w:ascii="Arial" w:cs="Arial" w:eastAsia="Arial" w:hAnsi="Arial"/>
                <w:sz w:val="11"/>
                <w:szCs w:val="11"/>
                <w:b w:val="1"/>
                <w:bCs w:val="1"/>
                <w:color w:val="auto"/>
                <w:w w:val="71"/>
              </w:rPr>
              <w:t> </w:t>
            </w:r>
          </w:p>
        </w:tc>
        <w:tc>
          <w:tcPr>
            <w:tcW w:w="740" w:type="dxa"/>
            <w:vAlign w:val="bottom"/>
          </w:tcPr>
          <w:p>
            <w:pPr>
              <w:spacing w:after="0"/>
              <w:rPr>
                <w:sz w:val="18"/>
                <w:szCs w:val="18"/>
                <w:color w:val="auto"/>
              </w:rPr>
            </w:pPr>
          </w:p>
        </w:tc>
        <w:tc>
          <w:tcPr>
            <w:tcW w:w="300" w:type="dxa"/>
            <w:vAlign w:val="bottom"/>
          </w:tcPr>
          <w:p>
            <w:pPr>
              <w:ind w:left="200"/>
              <w:spacing w:after="0"/>
              <w:rPr>
                <w:sz w:val="20"/>
                <w:szCs w:val="20"/>
                <w:color w:val="auto"/>
              </w:rPr>
            </w:pPr>
            <w:r>
              <w:rPr>
                <w:rFonts w:ascii="Arial" w:cs="Arial" w:eastAsia="Arial" w:hAnsi="Arial"/>
                <w:sz w:val="11"/>
                <w:szCs w:val="11"/>
                <w:b w:val="1"/>
                <w:bCs w:val="1"/>
                <w:color w:val="auto"/>
                <w:w w:val="72"/>
              </w:rPr>
              <w:t> </w:t>
            </w:r>
          </w:p>
        </w:tc>
        <w:tc>
          <w:tcPr>
            <w:tcW w:w="140" w:type="dxa"/>
            <w:vAlign w:val="bottom"/>
          </w:tcPr>
          <w:p>
            <w:pPr>
              <w:ind w:left="40"/>
              <w:spacing w:after="0"/>
              <w:rPr>
                <w:sz w:val="20"/>
                <w:szCs w:val="20"/>
                <w:color w:val="auto"/>
              </w:rPr>
            </w:pPr>
            <w:r>
              <w:rPr>
                <w:rFonts w:ascii="Arial" w:cs="Arial" w:eastAsia="Arial" w:hAnsi="Arial"/>
                <w:sz w:val="11"/>
                <w:szCs w:val="11"/>
                <w:b w:val="1"/>
                <w:bCs w:val="1"/>
                <w:color w:val="auto"/>
                <w:w w:val="72"/>
              </w:rPr>
              <w:t> </w:t>
            </w:r>
          </w:p>
        </w:tc>
        <w:tc>
          <w:tcPr>
            <w:tcW w:w="700" w:type="dxa"/>
            <w:vAlign w:val="bottom"/>
          </w:tcPr>
          <w:p>
            <w:pPr>
              <w:spacing w:after="0"/>
              <w:rPr>
                <w:sz w:val="18"/>
                <w:szCs w:val="18"/>
                <w:color w:val="auto"/>
              </w:rPr>
            </w:pPr>
          </w:p>
        </w:tc>
        <w:tc>
          <w:tcPr>
            <w:tcW w:w="380" w:type="dxa"/>
            <w:vAlign w:val="bottom"/>
            <w:gridSpan w:val="2"/>
          </w:tcPr>
          <w:p>
            <w:pPr>
              <w:ind w:left="180"/>
              <w:spacing w:after="0"/>
              <w:rPr>
                <w:sz w:val="20"/>
                <w:szCs w:val="20"/>
                <w:color w:val="auto"/>
              </w:rPr>
            </w:pPr>
            <w:r>
              <w:rPr>
                <w:rFonts w:ascii="Arial" w:cs="Arial" w:eastAsia="Arial" w:hAnsi="Arial"/>
                <w:sz w:val="14"/>
                <w:szCs w:val="14"/>
                <w:b w:val="1"/>
                <w:bCs w:val="1"/>
                <w:color w:val="auto"/>
              </w:rPr>
              <w:t xml:space="preserve">   </w:t>
            </w: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w w:val="85"/>
              </w:rPr>
              <w:t> </w:t>
            </w:r>
          </w:p>
        </w:tc>
        <w:tc>
          <w:tcPr>
            <w:tcW w:w="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84,691</w:t>
            </w:r>
          </w:p>
        </w:tc>
        <w:tc>
          <w:tcPr>
            <w:tcW w:w="32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93,157</w:t>
            </w:r>
          </w:p>
        </w:tc>
        <w:tc>
          <w:tcPr>
            <w:tcW w:w="300" w:type="dxa"/>
            <w:vAlign w:val="bottom"/>
          </w:tcPr>
          <w:p>
            <w:pPr>
              <w:ind w:lef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b w:val="1"/>
                <w:bCs w:val="1"/>
                <w:color w:val="auto"/>
              </w:rPr>
              <w:t>9,836</w:t>
            </w:r>
          </w:p>
        </w:tc>
        <w:tc>
          <w:tcPr>
            <w:tcW w:w="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08"/>
              <w:spacing w:after="0"/>
              <w:rPr>
                <w:sz w:val="20"/>
                <w:szCs w:val="20"/>
                <w:color w:val="auto"/>
              </w:rPr>
            </w:pPr>
            <w:r>
              <w:rPr>
                <w:rFonts w:ascii="Arial" w:cs="Arial" w:eastAsia="Arial" w:hAnsi="Arial"/>
                <w:sz w:val="14"/>
                <w:szCs w:val="14"/>
                <w:b w:val="1"/>
                <w:bCs w:val="1"/>
                <w:color w:val="auto"/>
              </w:rPr>
              <w:t>1,586</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00" w:type="dxa"/>
            <w:vAlign w:val="bottom"/>
            <w:shd w:val="clear" w:color="auto" w:fill="E5EEF8"/>
          </w:tcPr>
          <w:p>
            <w:pPr>
              <w:spacing w:after="0"/>
              <w:rPr>
                <w:sz w:val="20"/>
                <w:szCs w:val="20"/>
                <w:color w:val="auto"/>
              </w:rPr>
            </w:pPr>
            <w:r>
              <w:rPr>
                <w:rFonts w:ascii="Arial" w:cs="Arial" w:eastAsia="Arial" w:hAnsi="Arial"/>
                <w:sz w:val="14"/>
                <w:szCs w:val="14"/>
                <w:b w:val="1"/>
                <w:bCs w:val="1"/>
                <w:color w:val="auto"/>
              </w:rPr>
              <w:t>  Roper</w:t>
            </w:r>
          </w:p>
        </w:tc>
        <w:tc>
          <w:tcPr>
            <w:tcW w:w="1060" w:type="dxa"/>
            <w:vAlign w:val="bottom"/>
            <w:shd w:val="clear" w:color="auto" w:fill="E5EEF8"/>
          </w:tcPr>
          <w:p>
            <w:pPr>
              <w:spacing w:after="0"/>
              <w:rPr>
                <w:sz w:val="18"/>
                <w:szCs w:val="18"/>
                <w:color w:val="auto"/>
              </w:rPr>
            </w:pPr>
          </w:p>
        </w:tc>
        <w:tc>
          <w:tcPr>
            <w:tcW w:w="280" w:type="dxa"/>
            <w:vAlign w:val="bottom"/>
            <w:shd w:val="clear" w:color="auto" w:fill="E5EEF8"/>
          </w:tcPr>
          <w:p>
            <w:pPr>
              <w:ind w:left="160"/>
              <w:spacing w:after="0"/>
              <w:rPr>
                <w:sz w:val="20"/>
                <w:szCs w:val="20"/>
                <w:color w:val="auto"/>
              </w:rPr>
            </w:pPr>
            <w:r>
              <w:rPr>
                <w:rFonts w:ascii="Arial" w:cs="Arial" w:eastAsia="Arial" w:hAnsi="Arial"/>
                <w:sz w:val="14"/>
                <w:szCs w:val="14"/>
                <w:b w:val="1"/>
                <w:bCs w:val="1"/>
                <w:color w:val="auto"/>
                <w:w w:val="71"/>
              </w:rPr>
              <w:t> </w:t>
            </w:r>
          </w:p>
        </w:tc>
        <w:tc>
          <w:tcPr>
            <w:tcW w:w="120" w:type="dxa"/>
            <w:vAlign w:val="bottom"/>
            <w:shd w:val="clear" w:color="auto" w:fill="E5EEF8"/>
          </w:tcPr>
          <w:p>
            <w:pPr>
              <w:ind w:left="40"/>
              <w:spacing w:after="0"/>
              <w:rPr>
                <w:sz w:val="20"/>
                <w:szCs w:val="20"/>
                <w:color w:val="auto"/>
              </w:rPr>
            </w:pPr>
            <w:r>
              <w:rPr>
                <w:rFonts w:ascii="Arial" w:cs="Arial" w:eastAsia="Arial" w:hAnsi="Arial"/>
                <w:sz w:val="8"/>
                <w:szCs w:val="8"/>
                <w:b w:val="1"/>
                <w:bCs w:val="1"/>
                <w:color w:val="auto"/>
                <w:w w:val="74"/>
              </w:rPr>
              <w:t> </w:t>
            </w:r>
          </w:p>
        </w:tc>
        <w:tc>
          <w:tcPr>
            <w:tcW w:w="160" w:type="dxa"/>
            <w:vAlign w:val="bottom"/>
            <w:shd w:val="clear" w:color="auto" w:fill="E5EEF8"/>
          </w:tcPr>
          <w:p>
            <w:pPr>
              <w:ind w:left="60"/>
              <w:spacing w:after="0"/>
              <w:rPr>
                <w:sz w:val="20"/>
                <w:szCs w:val="20"/>
                <w:color w:val="auto"/>
              </w:rPr>
            </w:pPr>
            <w:r>
              <w:rPr>
                <w:rFonts w:ascii="Arial" w:cs="Arial" w:eastAsia="Arial" w:hAnsi="Arial"/>
                <w:sz w:val="11"/>
                <w:szCs w:val="11"/>
                <w:b w:val="1"/>
                <w:bCs w:val="1"/>
                <w:color w:val="auto"/>
                <w:w w:val="72"/>
              </w:rPr>
              <w:t> </w:t>
            </w:r>
          </w:p>
        </w:tc>
        <w:tc>
          <w:tcPr>
            <w:tcW w:w="760" w:type="dxa"/>
            <w:vAlign w:val="bottom"/>
            <w:shd w:val="clear" w:color="auto" w:fill="E5EEF8"/>
          </w:tcPr>
          <w:p>
            <w:pPr>
              <w:spacing w:after="0"/>
              <w:rPr>
                <w:sz w:val="18"/>
                <w:szCs w:val="18"/>
                <w:color w:val="auto"/>
              </w:rPr>
            </w:pPr>
          </w:p>
        </w:tc>
        <w:tc>
          <w:tcPr>
            <w:tcW w:w="320" w:type="dxa"/>
            <w:vAlign w:val="bottom"/>
            <w:shd w:val="clear" w:color="auto" w:fill="E5EEF8"/>
          </w:tcPr>
          <w:p>
            <w:pPr>
              <w:ind w:left="200"/>
              <w:spacing w:after="0"/>
              <w:rPr>
                <w:sz w:val="20"/>
                <w:szCs w:val="20"/>
                <w:color w:val="auto"/>
              </w:rPr>
            </w:pPr>
            <w:r>
              <w:rPr>
                <w:rFonts w:ascii="Arial" w:cs="Arial" w:eastAsia="Arial" w:hAnsi="Arial"/>
                <w:sz w:val="14"/>
                <w:szCs w:val="14"/>
                <w:b w:val="1"/>
                <w:bCs w:val="1"/>
                <w:color w:val="auto"/>
                <w:w w:val="71"/>
              </w:rPr>
              <w:t> </w:t>
            </w:r>
          </w:p>
        </w:tc>
        <w:tc>
          <w:tcPr>
            <w:tcW w:w="80" w:type="dxa"/>
            <w:vAlign w:val="bottom"/>
            <w:shd w:val="clear" w:color="auto" w:fill="E5EEF8"/>
          </w:tcPr>
          <w:p>
            <w:pPr>
              <w:ind w:left="20"/>
              <w:spacing w:after="0"/>
              <w:rPr>
                <w:sz w:val="20"/>
                <w:szCs w:val="20"/>
                <w:color w:val="auto"/>
              </w:rPr>
            </w:pPr>
            <w:r>
              <w:rPr>
                <w:rFonts w:ascii="Arial" w:cs="Arial" w:eastAsia="Arial" w:hAnsi="Arial"/>
                <w:sz w:val="11"/>
                <w:szCs w:val="11"/>
                <w:b w:val="1"/>
                <w:bCs w:val="1"/>
                <w:color w:val="auto"/>
                <w:w w:val="71"/>
              </w:rPr>
              <w:t> </w:t>
            </w:r>
          </w:p>
        </w:tc>
        <w:tc>
          <w:tcPr>
            <w:tcW w:w="740" w:type="dxa"/>
            <w:vAlign w:val="bottom"/>
            <w:shd w:val="clear" w:color="auto" w:fill="E5EEF8"/>
          </w:tcPr>
          <w:p>
            <w:pPr>
              <w:spacing w:after="0"/>
              <w:rPr>
                <w:sz w:val="18"/>
                <w:szCs w:val="18"/>
                <w:color w:val="auto"/>
              </w:rPr>
            </w:pPr>
          </w:p>
        </w:tc>
        <w:tc>
          <w:tcPr>
            <w:tcW w:w="300" w:type="dxa"/>
            <w:vAlign w:val="bottom"/>
            <w:shd w:val="clear" w:color="auto" w:fill="E5EEF8"/>
          </w:tcPr>
          <w:p>
            <w:pPr>
              <w:ind w:left="200"/>
              <w:spacing w:after="0"/>
              <w:rPr>
                <w:sz w:val="20"/>
                <w:szCs w:val="20"/>
                <w:color w:val="auto"/>
              </w:rPr>
            </w:pPr>
            <w:r>
              <w:rPr>
                <w:rFonts w:ascii="Arial" w:cs="Arial" w:eastAsia="Arial" w:hAnsi="Arial"/>
                <w:sz w:val="11"/>
                <w:szCs w:val="11"/>
                <w:b w:val="1"/>
                <w:bCs w:val="1"/>
                <w:color w:val="auto"/>
                <w:w w:val="72"/>
              </w:rPr>
              <w:t> </w:t>
            </w:r>
          </w:p>
        </w:tc>
        <w:tc>
          <w:tcPr>
            <w:tcW w:w="140" w:type="dxa"/>
            <w:vAlign w:val="bottom"/>
            <w:shd w:val="clear" w:color="auto" w:fill="E5EEF8"/>
          </w:tcPr>
          <w:p>
            <w:pPr>
              <w:ind w:left="40"/>
              <w:spacing w:after="0"/>
              <w:rPr>
                <w:sz w:val="20"/>
                <w:szCs w:val="20"/>
                <w:color w:val="auto"/>
              </w:rPr>
            </w:pPr>
            <w:r>
              <w:rPr>
                <w:rFonts w:ascii="Arial" w:cs="Arial" w:eastAsia="Arial" w:hAnsi="Arial"/>
                <w:sz w:val="11"/>
                <w:szCs w:val="11"/>
                <w:b w:val="1"/>
                <w:bCs w:val="1"/>
                <w:color w:val="auto"/>
                <w:w w:val="72"/>
              </w:rPr>
              <w:t> </w:t>
            </w:r>
          </w:p>
        </w:tc>
        <w:tc>
          <w:tcPr>
            <w:tcW w:w="700" w:type="dxa"/>
            <w:vAlign w:val="bottom"/>
            <w:shd w:val="clear" w:color="auto" w:fill="E5EEF8"/>
          </w:tcPr>
          <w:p>
            <w:pPr>
              <w:spacing w:after="0"/>
              <w:rPr>
                <w:sz w:val="18"/>
                <w:szCs w:val="18"/>
                <w:color w:val="auto"/>
              </w:rPr>
            </w:pPr>
          </w:p>
        </w:tc>
        <w:tc>
          <w:tcPr>
            <w:tcW w:w="280" w:type="dxa"/>
            <w:vAlign w:val="bottom"/>
            <w:shd w:val="clear" w:color="auto" w:fill="E5EEF8"/>
          </w:tcPr>
          <w:p>
            <w:pPr>
              <w:ind w:left="180"/>
              <w:spacing w:after="0"/>
              <w:rPr>
                <w:sz w:val="20"/>
                <w:szCs w:val="20"/>
                <w:color w:val="auto"/>
              </w:rPr>
            </w:pPr>
            <w:r>
              <w:rPr>
                <w:rFonts w:ascii="Arial" w:cs="Arial" w:eastAsia="Arial" w:hAnsi="Arial"/>
                <w:sz w:val="11"/>
                <w:szCs w:val="11"/>
                <w:b w:val="1"/>
                <w:bCs w:val="1"/>
                <w:color w:val="auto"/>
                <w:w w:val="72"/>
              </w:rPr>
              <w:t> </w:t>
            </w:r>
          </w:p>
        </w:tc>
        <w:tc>
          <w:tcPr>
            <w:tcW w:w="100" w:type="dxa"/>
            <w:vAlign w:val="bottom"/>
            <w:shd w:val="clear" w:color="auto" w:fill="E5EEF8"/>
          </w:tcPr>
          <w:p>
            <w:pPr>
              <w:ind w:left="60"/>
              <w:spacing w:after="0"/>
              <w:rPr>
                <w:sz w:val="20"/>
                <w:szCs w:val="20"/>
                <w:color w:val="auto"/>
              </w:rPr>
            </w:pPr>
            <w:r>
              <w:rPr>
                <w:rFonts w:ascii="Arial" w:cs="Arial" w:eastAsia="Arial" w:hAnsi="Arial"/>
                <w:sz w:val="2"/>
                <w:szCs w:val="2"/>
                <w:b w:val="1"/>
                <w:bCs w:val="1"/>
                <w:color w:val="auto"/>
                <w:w w:val="97"/>
              </w:rPr>
              <w:t> </w:t>
            </w:r>
          </w:p>
        </w:tc>
        <w:tc>
          <w:tcPr>
            <w:tcW w:w="160" w:type="dxa"/>
            <w:vAlign w:val="bottom"/>
            <w:shd w:val="clear" w:color="auto" w:fill="E5EEF8"/>
          </w:tcPr>
          <w:p>
            <w:pPr>
              <w:ind w:left="100"/>
              <w:spacing w:after="0"/>
              <w:rPr>
                <w:sz w:val="20"/>
                <w:szCs w:val="20"/>
                <w:color w:val="auto"/>
              </w:rPr>
            </w:pPr>
            <w:r>
              <w:rPr>
                <w:rFonts w:ascii="Arial" w:cs="Arial" w:eastAsia="Arial" w:hAnsi="Arial"/>
                <w:sz w:val="11"/>
                <w:szCs w:val="11"/>
                <w:b w:val="1"/>
                <w:bCs w:val="1"/>
                <w:color w:val="auto"/>
                <w:w w:val="71"/>
              </w:rPr>
              <w:t> </w:t>
            </w:r>
          </w:p>
        </w:tc>
        <w:tc>
          <w:tcPr>
            <w:tcW w:w="760" w:type="dxa"/>
            <w:vAlign w:val="bottom"/>
            <w:shd w:val="clear" w:color="auto" w:fill="E5EEF8"/>
          </w:tcPr>
          <w:p>
            <w:pPr>
              <w:spacing w:after="0"/>
              <w:rPr>
                <w:sz w:val="18"/>
                <w:szCs w:val="18"/>
                <w:color w:val="auto"/>
              </w:rPr>
            </w:pPr>
          </w:p>
        </w:tc>
        <w:tc>
          <w:tcPr>
            <w:tcW w:w="1960" w:type="dxa"/>
            <w:vAlign w:val="bottom"/>
            <w:shd w:val="clear" w:color="auto" w:fill="E5EEF8"/>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00" w:type="dxa"/>
            <w:vAlign w:val="bottom"/>
            <w:tcBorders>
              <w:bottom w:val="single" w:sz="8" w:color="005CB9"/>
            </w:tcBorders>
            <w:shd w:val="clear" w:color="auto" w:fill="E5EEF8"/>
          </w:tcPr>
          <w:p>
            <w:pPr>
              <w:spacing w:after="0"/>
              <w:rPr>
                <w:sz w:val="18"/>
                <w:szCs w:val="18"/>
                <w:color w:val="auto"/>
              </w:rPr>
            </w:pPr>
          </w:p>
        </w:tc>
        <w:tc>
          <w:tcPr>
            <w:tcW w:w="1060" w:type="dxa"/>
            <w:vAlign w:val="bottom"/>
            <w:tcBorders>
              <w:bottom w:val="single" w:sz="8" w:color="005CB9"/>
            </w:tcBorders>
            <w:shd w:val="clear" w:color="auto" w:fill="E5EEF8"/>
          </w:tcPr>
          <w:p>
            <w:pPr>
              <w:jc w:val="right"/>
              <w:ind w:right="108"/>
              <w:spacing w:after="0"/>
              <w:rPr>
                <w:sz w:val="20"/>
                <w:szCs w:val="20"/>
                <w:color w:val="auto"/>
              </w:rPr>
            </w:pPr>
            <w:r>
              <w:rPr>
                <w:rFonts w:ascii="Arial" w:cs="Arial" w:eastAsia="Arial" w:hAnsi="Arial"/>
                <w:sz w:val="14"/>
                <w:szCs w:val="14"/>
                <w:b w:val="1"/>
                <w:bCs w:val="1"/>
                <w:color w:val="auto"/>
              </w:rPr>
              <w:t>ROP</w:t>
            </w:r>
          </w:p>
        </w:tc>
        <w:tc>
          <w:tcPr>
            <w:tcW w:w="280" w:type="dxa"/>
            <w:vAlign w:val="bottom"/>
            <w:tcBorders>
              <w:bottom w:val="single" w:sz="8" w:color="005CB9"/>
            </w:tcBorders>
            <w:shd w:val="clear" w:color="auto" w:fill="E5EEF8"/>
          </w:tcPr>
          <w:p>
            <w:pPr>
              <w:ind w:left="1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005CB9"/>
            </w:tcBorders>
            <w:shd w:val="clear" w:color="auto" w:fill="E5EEF8"/>
          </w:tcPr>
          <w:p>
            <w:pPr>
              <w:spacing w:after="0"/>
              <w:rPr>
                <w:sz w:val="18"/>
                <w:szCs w:val="18"/>
                <w:color w:val="auto"/>
              </w:rPr>
            </w:pPr>
          </w:p>
        </w:tc>
        <w:tc>
          <w:tcPr>
            <w:tcW w:w="160" w:type="dxa"/>
            <w:vAlign w:val="bottom"/>
            <w:tcBorders>
              <w:bottom w:val="single" w:sz="8" w:color="005CB9"/>
            </w:tcBorders>
            <w:shd w:val="clear" w:color="auto" w:fill="E5EEF8"/>
          </w:tcPr>
          <w:p>
            <w:pPr>
              <w:spacing w:after="0"/>
              <w:rPr>
                <w:sz w:val="18"/>
                <w:szCs w:val="18"/>
                <w:color w:val="auto"/>
              </w:rPr>
            </w:pPr>
          </w:p>
        </w:tc>
        <w:tc>
          <w:tcPr>
            <w:tcW w:w="760" w:type="dxa"/>
            <w:vAlign w:val="bottom"/>
            <w:tcBorders>
              <w:bottom w:val="single" w:sz="8" w:color="005CB9"/>
            </w:tcBorders>
            <w:shd w:val="clear" w:color="auto" w:fill="E5EEF8"/>
          </w:tcPr>
          <w:p>
            <w:pPr>
              <w:jc w:val="right"/>
              <w:ind w:right="128"/>
              <w:spacing w:after="0"/>
              <w:rPr>
                <w:sz w:val="20"/>
                <w:szCs w:val="20"/>
                <w:color w:val="auto"/>
              </w:rPr>
            </w:pPr>
            <w:r>
              <w:rPr>
                <w:rFonts w:ascii="Arial" w:cs="Arial" w:eastAsia="Arial" w:hAnsi="Arial"/>
                <w:sz w:val="14"/>
                <w:szCs w:val="14"/>
                <w:b w:val="1"/>
                <w:bCs w:val="1"/>
                <w:color w:val="auto"/>
              </w:rPr>
              <w:t>58,236</w:t>
            </w:r>
          </w:p>
        </w:tc>
        <w:tc>
          <w:tcPr>
            <w:tcW w:w="320" w:type="dxa"/>
            <w:vAlign w:val="bottom"/>
            <w:tcBorders>
              <w:bottom w:val="single" w:sz="8" w:color="005CB9"/>
            </w:tcBorders>
            <w:shd w:val="clear" w:color="auto" w:fill="E5EEF8"/>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005CB9"/>
            </w:tcBorders>
            <w:shd w:val="clear" w:color="auto" w:fill="E5EEF8"/>
          </w:tcPr>
          <w:p>
            <w:pPr>
              <w:spacing w:after="0"/>
              <w:rPr>
                <w:sz w:val="18"/>
                <w:szCs w:val="18"/>
                <w:color w:val="auto"/>
              </w:rPr>
            </w:pPr>
          </w:p>
        </w:tc>
        <w:tc>
          <w:tcPr>
            <w:tcW w:w="740" w:type="dxa"/>
            <w:vAlign w:val="bottom"/>
            <w:tcBorders>
              <w:bottom w:val="single" w:sz="8" w:color="005CB9"/>
            </w:tcBorders>
            <w:shd w:val="clear" w:color="auto" w:fill="E5EEF8"/>
          </w:tcPr>
          <w:p>
            <w:pPr>
              <w:jc w:val="right"/>
              <w:ind w:right="128"/>
              <w:spacing w:after="0"/>
              <w:rPr>
                <w:sz w:val="20"/>
                <w:szCs w:val="20"/>
                <w:color w:val="auto"/>
              </w:rPr>
            </w:pPr>
            <w:r>
              <w:rPr>
                <w:rFonts w:ascii="Arial" w:cs="Arial" w:eastAsia="Arial" w:hAnsi="Arial"/>
                <w:sz w:val="14"/>
                <w:szCs w:val="14"/>
                <w:b w:val="1"/>
                <w:bCs w:val="1"/>
                <w:color w:val="auto"/>
              </w:rPr>
              <w:t>64,815</w:t>
            </w:r>
          </w:p>
        </w:tc>
        <w:tc>
          <w:tcPr>
            <w:tcW w:w="300" w:type="dxa"/>
            <w:vAlign w:val="bottom"/>
            <w:tcBorders>
              <w:bottom w:val="single" w:sz="8" w:color="005CB9"/>
            </w:tcBorders>
            <w:shd w:val="clear" w:color="auto" w:fill="E5EEF8"/>
          </w:tcPr>
          <w:p>
            <w:pPr>
              <w:ind w:left="2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005CB9"/>
            </w:tcBorders>
            <w:shd w:val="clear" w:color="auto" w:fill="E5EEF8"/>
          </w:tcPr>
          <w:p>
            <w:pPr>
              <w:spacing w:after="0"/>
              <w:rPr>
                <w:sz w:val="18"/>
                <w:szCs w:val="18"/>
                <w:color w:val="auto"/>
              </w:rPr>
            </w:pPr>
          </w:p>
        </w:tc>
        <w:tc>
          <w:tcPr>
            <w:tcW w:w="700" w:type="dxa"/>
            <w:vAlign w:val="bottom"/>
            <w:tcBorders>
              <w:bottom w:val="single" w:sz="8" w:color="005CB9"/>
            </w:tcBorders>
            <w:shd w:val="clear" w:color="auto" w:fill="E5EEF8"/>
          </w:tcPr>
          <w:p>
            <w:pPr>
              <w:jc w:val="right"/>
              <w:ind w:right="128"/>
              <w:spacing w:after="0"/>
              <w:rPr>
                <w:sz w:val="20"/>
                <w:szCs w:val="20"/>
                <w:color w:val="auto"/>
              </w:rPr>
            </w:pPr>
            <w:r>
              <w:rPr>
                <w:rFonts w:ascii="Arial" w:cs="Arial" w:eastAsia="Arial" w:hAnsi="Arial"/>
                <w:sz w:val="14"/>
                <w:szCs w:val="14"/>
                <w:b w:val="1"/>
                <w:bCs w:val="1"/>
                <w:color w:val="auto"/>
              </w:rPr>
              <w:t>5,995</w:t>
            </w:r>
          </w:p>
        </w:tc>
        <w:tc>
          <w:tcPr>
            <w:tcW w:w="280" w:type="dxa"/>
            <w:vAlign w:val="bottom"/>
            <w:tcBorders>
              <w:bottom w:val="single" w:sz="8" w:color="005CB9"/>
            </w:tcBorders>
            <w:shd w:val="clear" w:color="auto" w:fill="E5EEF8"/>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005CB9"/>
            </w:tcBorders>
            <w:shd w:val="clear" w:color="auto" w:fill="E5EEF8"/>
          </w:tcPr>
          <w:p>
            <w:pPr>
              <w:spacing w:after="0"/>
              <w:rPr>
                <w:sz w:val="18"/>
                <w:szCs w:val="18"/>
                <w:color w:val="auto"/>
              </w:rPr>
            </w:pPr>
          </w:p>
        </w:tc>
        <w:tc>
          <w:tcPr>
            <w:tcW w:w="160" w:type="dxa"/>
            <w:vAlign w:val="bottom"/>
            <w:tcBorders>
              <w:bottom w:val="single" w:sz="8" w:color="005CB9"/>
            </w:tcBorders>
            <w:shd w:val="clear" w:color="auto" w:fill="E5EEF8"/>
          </w:tcPr>
          <w:p>
            <w:pPr>
              <w:spacing w:after="0"/>
              <w:rPr>
                <w:sz w:val="18"/>
                <w:szCs w:val="18"/>
                <w:color w:val="auto"/>
              </w:rPr>
            </w:pPr>
          </w:p>
        </w:tc>
        <w:tc>
          <w:tcPr>
            <w:tcW w:w="760" w:type="dxa"/>
            <w:vAlign w:val="bottom"/>
            <w:tcBorders>
              <w:bottom w:val="single" w:sz="8" w:color="005CB9"/>
            </w:tcBorders>
            <w:shd w:val="clear" w:color="auto" w:fill="E5EEF8"/>
          </w:tcPr>
          <w:p>
            <w:pPr>
              <w:jc w:val="right"/>
              <w:ind w:right="308"/>
              <w:spacing w:after="0"/>
              <w:rPr>
                <w:sz w:val="20"/>
                <w:szCs w:val="20"/>
                <w:color w:val="auto"/>
              </w:rPr>
            </w:pPr>
            <w:r>
              <w:rPr>
                <w:rFonts w:ascii="Arial" w:cs="Arial" w:eastAsia="Arial" w:hAnsi="Arial"/>
                <w:sz w:val="14"/>
                <w:szCs w:val="14"/>
                <w:b w:val="1"/>
                <w:bCs w:val="1"/>
                <w:color w:val="auto"/>
              </w:rPr>
              <w:t>1,238</w:t>
            </w:r>
          </w:p>
        </w:tc>
        <w:tc>
          <w:tcPr>
            <w:tcW w:w="1960" w:type="dxa"/>
            <w:vAlign w:val="bottom"/>
            <w:tcBorders>
              <w:bottom w:val="single" w:sz="8" w:color="005CB9"/>
            </w:tcBorders>
            <w:shd w:val="clear" w:color="auto" w:fill="E5EEF8"/>
          </w:tcPr>
          <w:p>
            <w:pPr>
              <w:spacing w:after="0"/>
              <w:rPr>
                <w:sz w:val="20"/>
                <w:szCs w:val="20"/>
                <w:color w:val="auto"/>
              </w:rPr>
            </w:pPr>
            <w:r>
              <w:rPr>
                <w:rFonts w:ascii="Arial" w:cs="Arial" w:eastAsia="Arial" w:hAnsi="Arial"/>
                <w:sz w:val="14"/>
                <w:szCs w:val="14"/>
                <w:b w:val="1"/>
                <w:bCs w:val="1"/>
                <w:color w:val="auto"/>
              </w:rPr>
              <w:t>Application Software</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Source: FactSet</w:t>
      </w:r>
    </w:p>
    <w:p>
      <w:pPr>
        <w:spacing w:after="0" w:line="15"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 of 12/31/23</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Last four quarters available as of 12/31/23</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Long-Term Measurement Period</w:t>
      </w:r>
    </w:p>
    <w:p>
      <w:pPr>
        <w:spacing w:after="0" w:line="98" w:lineRule="exact"/>
        <w:rPr>
          <w:sz w:val="20"/>
          <w:szCs w:val="20"/>
          <w:color w:val="auto"/>
        </w:rPr>
      </w:pPr>
    </w:p>
    <w:p>
      <w:pPr>
        <w:ind w:left="120" w:right="160"/>
        <w:spacing w:after="0" w:line="244" w:lineRule="auto"/>
        <w:rPr>
          <w:sz w:val="20"/>
          <w:szCs w:val="20"/>
          <w:color w:val="auto"/>
        </w:rPr>
      </w:pPr>
      <w:r>
        <w:rPr>
          <w:rFonts w:ascii="Arial" w:cs="Arial" w:eastAsia="Arial" w:hAnsi="Arial"/>
          <w:sz w:val="17"/>
          <w:szCs w:val="17"/>
          <w:color w:val="auto"/>
        </w:rPr>
        <w:t>A long-term performance period most accurately portrays Roper’s relative performance. Over shorter periods, performance comparisons can be skewed by temporary or volatile market dynamics and relative over- or under-performance by Roper’s peers in any particular period. In contrast, Roper has historically delivered consistently strong performance with less volatility than many of its peers, thus comparing other companies’ short-term performance to that of Roper can generate misleading or distorted results.</w:t>
      </w:r>
    </w:p>
    <w:p>
      <w:pPr>
        <w:spacing w:after="0" w:line="132"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33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Compensation</w:t>
      </w:r>
    </w:p>
    <w:p>
      <w:pPr>
        <w:spacing w:after="0" w:line="100"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color w:val="auto"/>
        </w:rPr>
        <w:t>The Compensation Committee considers many factors in determining the compensation of Roper’s CEO, and believes the compensation for the position is reasonable, appropriate, and aligned with shareholders’ best interests.</w:t>
      </w:r>
    </w:p>
    <w:p>
      <w:pPr>
        <w:sectPr>
          <w:pgSz w:w="11900" w:h="16838" w:orient="portrait"/>
          <w:cols w:equalWidth="0" w:num="1">
            <w:col w:w="11120"/>
          </w:cols>
          <w:pgMar w:left="320" w:top="482" w:right="459" w:bottom="1440" w:gutter="0" w:footer="0" w:header="0"/>
        </w:sect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Broad Responsibilities and Effective Leadership</w:t>
      </w:r>
    </w:p>
    <w:p>
      <w:pPr>
        <w:spacing w:after="0" w:line="9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Mr. Hunn joined Roper in 2011, and worked closely with our prior CEO and President, Brian D. Jellison, to develop and implement the capital deployment process under which Roper has invested tens of billions of dollars in acquisitions that have generated sustained superior returns for shareholders. Following his appointment as CEO and President in September 2018, Mr. Hunn has led the Company’s capital deployment efforts and has continued to build and champion Roper’s sustainable high-performance and entrepreneurial culture as well as led Roper’s recent portfolio transformation. Prior to his appointment as CEO, Mr. Hunn served as the Company’s first Chief Operating Officer.</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Outstanding Performance and Value Creation</w:t>
      </w:r>
    </w:p>
    <w:p>
      <w:pPr>
        <w:spacing w:after="0" w:line="9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Beginning in 2003, Roper has undergone a business transformation with increasing cash return on investment and increasing margins, providing a platform for continuing growth and future value creation for shareholders. Mr. Hunn made significant contributions to this effort since joining the Company and led the Company’s recent portfolio transformation strategy to reduce the cyclicality and asset intensity of the enterprise. During the six years Mr. Hunn has served as the Chief Executive Officer, Roper’s shareholders have earned a 10.5% compound annual return and a total shareholder return of 88.2%, compared to the S&amp;P 500’s total shareholder return of 80.2% over the same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Alignment with Shareholder Value Creation</w:t>
      </w:r>
    </w:p>
    <w:p>
      <w:pPr>
        <w:spacing w:after="0" w:line="9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Mr. Hunn’s compensation is closely tied to the performance of the Company. In 2023, approximately 86% of his total direct compensation was tied to equity awards. This tight alignment between compensation and share price creates a strong incentive to profitably grow the enterprise. In recognition of Mr. Hunn’s heightened responsibilities upon his succession as CEO following Mr. Jellison’s untimely death, as disclosed in the Company’s prior proxy statements commencing in 2020, in 2019 the Committee also determined to provide Mr. Hunn with a long-term cash incentive to emphasize the importance of attaining continuing and sustainable growth over a five-year</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term and to protect the continuity of leadership during the period of transition. For additional information on the long-term cash incentive see “CEO Special Long-Term Cash Incentive”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External Comparisons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Compensation for Roper’s CEO is within the range for Roper’s self-selected peers and high-performing chief executive officers of publicly traded companies. Among private equity firms, compensation for Roper’s CEO is below levels that would be expected for commensurate levels of performance. Further, we believe that compensation for our CEO has been reasonable and reflects the value created for shareholders over both the short- and long-term.</w:t>
      </w:r>
    </w:p>
    <w:p>
      <w:pPr>
        <w:spacing w:after="0" w:line="74"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In early 2023, the Compensation Committee reviewed Mr. Hunn’s compensation compared to similarly situated CEOs and decided to maintain his salary and his annual bonus opportunity at $1,000,000, and 200% of his base salary, respectively. The Committee maintained Mr. Hunn’s total target direct compensation at the same level as 2022.</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5CB9"/>
        </w:rPr>
        <w:t>Internal Pay Equity</w:t>
      </w:r>
    </w:p>
    <w:p>
      <w:pPr>
        <w:spacing w:after="0" w:line="9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The Compensation Committee considers the scope of responsibilities, experience, and performance of our executive officers and believes all named executive officers are appropriately compensated from an internal pay equity perspective. Specific considerations in regard to the CEO’s compensation include the breadth of his responsibilities and his leadership role in developing and executing Roper’s business strategy. Consistent with Roper’s lean organization, we made a conscious decision to not have many traditional corporate staff positions and levels. While contributing to low corporate overhead, Roper’s decentralized model results in operating business leaders who are highly compensated but are not currently named executive officers. In addition to rigorous executive development programs for key employees who may become executive officers, the Compensation Committee monitors compensation of other key Company leaders against external and internal standards. This supports our succession planning process and ensures its continuing effectiveness, as</w:t>
      </w:r>
    </w:p>
    <w:p>
      <w:pPr>
        <w:sectPr>
          <w:pgSz w:w="11900" w:h="16838" w:orient="portrait"/>
          <w:cols w:equalWidth="0" w:num="2">
            <w:col w:w="5400" w:space="340"/>
            <w:col w:w="5380"/>
          </w:cols>
          <w:pgMar w:left="320" w:top="482" w:right="4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95"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evidenced by the Company’s performance since Mr. Hunn’s succession of Mr. Jellison as President and CEO in September 2018.</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ANALYSIS OF 2023 COMPENSATION</w:t>
      </w:r>
    </w:p>
    <w:p>
      <w:pPr>
        <w:spacing w:after="0" w:line="104" w:lineRule="exact"/>
        <w:rPr>
          <w:sz w:val="20"/>
          <w:szCs w:val="20"/>
          <w:color w:val="auto"/>
        </w:rPr>
      </w:pPr>
    </w:p>
    <w:p>
      <w:pPr>
        <w:ind w:left="120" w:right="220"/>
        <w:spacing w:after="0" w:line="249" w:lineRule="auto"/>
        <w:rPr>
          <w:sz w:val="20"/>
          <w:szCs w:val="20"/>
          <w:color w:val="auto"/>
        </w:rPr>
      </w:pPr>
      <w:r>
        <w:rPr>
          <w:rFonts w:ascii="Arial" w:cs="Arial" w:eastAsia="Arial" w:hAnsi="Arial"/>
          <w:sz w:val="17"/>
          <w:szCs w:val="17"/>
          <w:color w:val="auto"/>
        </w:rPr>
        <w:t>This section discusses compensation actions taken in 2023 for our named executive officers, as reported in the “Executive Compensation” section below.</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Base Salary</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early 2023, the Compensation Committee increased the salaries of</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two of our named executive officers to reflect market practice and</w:t>
      </w:r>
    </w:p>
    <w:p>
      <w:pPr>
        <w:ind w:left="120"/>
        <w:spacing w:after="0" w:line="232" w:lineRule="auto"/>
        <w:rPr>
          <w:sz w:val="20"/>
          <w:szCs w:val="20"/>
          <w:color w:val="auto"/>
        </w:rPr>
      </w:pPr>
      <w:r>
        <w:rPr>
          <w:rFonts w:ascii="Arial" w:cs="Arial" w:eastAsia="Arial" w:hAnsi="Arial"/>
          <w:sz w:val="17"/>
          <w:szCs w:val="17"/>
          <w:color w:val="auto"/>
        </w:rPr>
        <w:t>continued superior performance: Mr. Conley from $605,000 to</w:t>
      </w:r>
    </w:p>
    <w:p>
      <w:pPr>
        <w:ind w:left="120"/>
        <w:spacing w:after="0" w:line="232" w:lineRule="auto"/>
        <w:rPr>
          <w:sz w:val="20"/>
          <w:szCs w:val="20"/>
          <w:color w:val="auto"/>
        </w:rPr>
      </w:pPr>
      <w:r>
        <w:rPr>
          <w:rFonts w:ascii="Arial" w:cs="Arial" w:eastAsia="Arial" w:hAnsi="Arial"/>
          <w:sz w:val="17"/>
          <w:szCs w:val="17"/>
          <w:color w:val="auto"/>
        </w:rPr>
        <w:t>$675,000, which also reflects his promotion to Chief Financial Officer</w:t>
      </w:r>
    </w:p>
    <w:p>
      <w:pPr>
        <w:ind w:left="120"/>
        <w:spacing w:after="0" w:line="232" w:lineRule="auto"/>
        <w:rPr>
          <w:sz w:val="20"/>
          <w:szCs w:val="20"/>
          <w:color w:val="auto"/>
        </w:rPr>
      </w:pPr>
      <w:r>
        <w:rPr>
          <w:rFonts w:ascii="Arial" w:cs="Arial" w:eastAsia="Arial" w:hAnsi="Arial"/>
          <w:sz w:val="17"/>
          <w:szCs w:val="17"/>
          <w:color w:val="auto"/>
        </w:rPr>
        <w:t>on February 1, 2023, and Mr. Stipancich from $770,000 to</w:t>
      </w:r>
    </w:p>
    <w:p>
      <w:pPr>
        <w:ind w:left="120"/>
        <w:spacing w:after="0" w:line="232" w:lineRule="auto"/>
        <w:rPr>
          <w:sz w:val="20"/>
          <w:szCs w:val="20"/>
          <w:color w:val="auto"/>
        </w:rPr>
      </w:pPr>
      <w:r>
        <w:rPr>
          <w:rFonts w:ascii="Arial" w:cs="Arial" w:eastAsia="Arial" w:hAnsi="Arial"/>
          <w:sz w:val="17"/>
          <w:szCs w:val="17"/>
          <w:color w:val="auto"/>
        </w:rPr>
        <w:t>$800,000. Mr. Hunn’s salary remained unchanged at $1,000,000.</w:t>
      </w:r>
    </w:p>
    <w:p>
      <w:pPr>
        <w:ind w:left="120"/>
        <w:spacing w:after="0"/>
        <w:rPr>
          <w:sz w:val="20"/>
          <w:szCs w:val="20"/>
          <w:color w:val="auto"/>
        </w:rPr>
      </w:pPr>
      <w:r>
        <w:rPr>
          <w:rFonts w:ascii="Arial" w:cs="Arial" w:eastAsia="Arial" w:hAnsi="Arial"/>
          <w:sz w:val="17"/>
          <w:szCs w:val="17"/>
          <w:color w:val="auto"/>
        </w:rPr>
        <w:t>Mr. Crisci’s salary rate was not changed for 2023.</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Annual Cash Incentive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Incentive Opportunities</w:t>
      </w:r>
    </w:p>
    <w:p>
      <w:pPr>
        <w:spacing w:after="0" w:line="98"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Annual cash incentive opportunities for 2023 for our named executive officers, expressed as a percentage of base salary (as established in early 2023) were set as follows: Mr. Hunn (200%), Mr. Conley (125%) and Mr. Stipancich (125%). Opportunities are reflective of market practice and were maintained at the same percentages as 2022. Mr. Crisci did not participate in this program for 2023.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Funding Schedule</w:t>
      </w:r>
    </w:p>
    <w:p>
      <w:pPr>
        <w:spacing w:after="0" w:line="98" w:lineRule="exact"/>
        <w:rPr>
          <w:sz w:val="20"/>
          <w:szCs w:val="20"/>
          <w:color w:val="auto"/>
        </w:rPr>
      </w:pPr>
    </w:p>
    <w:p>
      <w:pPr>
        <w:ind w:left="120" w:right="400"/>
        <w:spacing w:after="0" w:line="249" w:lineRule="auto"/>
        <w:rPr>
          <w:sz w:val="20"/>
          <w:szCs w:val="20"/>
          <w:color w:val="auto"/>
        </w:rPr>
      </w:pPr>
      <w:r>
        <w:rPr>
          <w:rFonts w:ascii="Arial" w:cs="Arial" w:eastAsia="Arial" w:hAnsi="Arial"/>
          <w:sz w:val="17"/>
          <w:szCs w:val="17"/>
          <w:color w:val="auto"/>
        </w:rPr>
        <w:t>Similar to prior years, the annual cash incentive was determined based on the growth in adjusted net earnings (on a continuing operations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Consistent with 2022, and as a result of the successful implementation of the Company’s divestiture strategy, the Committee determined to use adjusted net earnings (on a continuing operations basis) as the relevant performance metric for the 2023 annual cash incentive. The 2023 adjusted net earnings were required to reach at least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-1407160</wp:posOffset>
            </wp:positionV>
            <wp:extent cx="7174865" cy="55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right="20"/>
        <w:spacing w:after="0" w:line="235" w:lineRule="auto"/>
        <w:rPr>
          <w:sz w:val="20"/>
          <w:szCs w:val="20"/>
          <w:color w:val="auto"/>
        </w:rPr>
      </w:pPr>
      <w:r>
        <w:rPr>
          <w:rFonts w:ascii="Arial" w:cs="Arial" w:eastAsia="Arial" w:hAnsi="Arial"/>
          <w:sz w:val="17"/>
          <w:szCs w:val="17"/>
          <w:color w:val="auto"/>
        </w:rPr>
        <w:t>$1.563 billion (representing a 2.5% increase over 2022 adjusted net earnings, continuing operations) for any bonus to be earned. At $1.563 billion of adjusted net earnings, 25% of the full bonus opportunity would be earned. If adjusted net earnings increased 10% to $1.677 billion, then 100% of the full bonus amount would be earned. If between $1.563 billion and $1.677 billion, the percentage of the bonus opportunity earned would be determined through straight-line interpolation, as shown in the chart below.</w:t>
      </w:r>
    </w:p>
    <w:p>
      <w:pPr>
        <w:spacing w:after="0" w:line="181"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For 2023, the Company’s adjusted net earnings, continuing operations, were $1.795 billion (representing a 17.7% increase over the prior year); accordingly, the Compensation Committee approved payment of 100% of the bonus opportunity. The performance bonuses to our named executive officers for 2023 are shown in the 2023 Summary Compensation Table below under the “Non-Equity Incentive Plan Compensation” column. A reconciliation of 2023 Adjusted Net Earnings is available in “Appendix A –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35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-205105</wp:posOffset>
            </wp:positionV>
            <wp:extent cx="42862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360" w:space="380"/>
            <w:col w:w="540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2023 Annual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86360</wp:posOffset>
            </wp:positionV>
            <wp:extent cx="3171825" cy="1680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171825"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80" w:right="120"/>
        <w:spacing w:after="0" w:line="252" w:lineRule="auto"/>
        <w:rPr>
          <w:sz w:val="20"/>
          <w:szCs w:val="20"/>
          <w:color w:val="auto"/>
        </w:rPr>
      </w:pPr>
      <w:r>
        <w:rPr>
          <w:rFonts w:ascii="Arial" w:cs="Arial" w:eastAsia="Arial" w:hAnsi="Arial"/>
          <w:sz w:val="14"/>
          <w:szCs w:val="14"/>
          <w:color w:val="auto"/>
        </w:rPr>
        <w:t>Adjusted net earnings is net earnings from continuing operations increased or reduced to eliminate the effects of extraordinary items, accounting changes, financial impacts associated with minority investments, gains or losses from dispositions and associated income taxes, restructuring of debt obligations, asset dispositions, asset write-downs or impairment charges, acquisition-related expenses on completed acquisitions, acquisition-related intangible amortization, litigation settlements and judgments, reorganization and restructuring programs, and non-recurring or special items (as discussed in the Company’s quarterly earnings releases).</w:t>
      </w:r>
    </w:p>
    <w:p>
      <w:pPr>
        <w:sectPr>
          <w:pgSz w:w="11900" w:h="16838" w:orient="portrait"/>
          <w:cols w:equalWidth="0" w:num="1">
            <w:col w:w="11020"/>
          </w:cols>
          <w:pgMar w:left="320" w:top="482" w:right="559" w:bottom="1440" w:gutter="0" w:footer="0" w:header="0"/>
        </w:sectPr>
      </w:pPr>
    </w:p>
    <w:p>
      <w:pPr>
        <w:spacing w:after="0" w:line="2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For 2024 and the foreseeable future, the Committee revised the annual cash incentive opportunity to align the program with the Company’s revised strategy for enhanced growth and more closely reflect peer compensation practices. The Company will use growth in adjusted EBITDA (as opposed to adjusted net earnings) as the applicable performance metric. The program has been further revised to incentivize and reward exceptional growth. As in prior years, target-level performance remains at 10% growth (though in adjusted EBITDA versus adjusted net earnings), and the Company must achieve a threshold of at least 3% growth in adjusted EBITDA for any bonus to be earned. However, there is additional</w:t>
      </w:r>
    </w:p>
    <w:p>
      <w:pPr>
        <w:spacing w:after="0" w:line="36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opportunity if growth exceeds the 10% target as set forth below:</w:t>
      </w:r>
    </w:p>
    <w:p>
      <w:pPr>
        <w:spacing w:after="0" w:line="115" w:lineRule="exact"/>
        <w:rPr>
          <w:sz w:val="20"/>
          <w:szCs w:val="20"/>
          <w:color w:val="auto"/>
        </w:rPr>
      </w:pPr>
    </w:p>
    <w:p>
      <w:pPr>
        <w:ind w:left="380" w:right="100" w:hanging="224"/>
        <w:spacing w:after="0" w:line="267"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14% increase in adjusted EBITDA will result in an incremental 20% of the target opportunity being earned; and</w:t>
      </w:r>
    </w:p>
    <w:p>
      <w:pPr>
        <w:spacing w:after="0" w:line="64" w:lineRule="exact"/>
        <w:rPr>
          <w:rFonts w:ascii="Arial" w:cs="Arial" w:eastAsia="Arial" w:hAnsi="Arial"/>
          <w:sz w:val="17"/>
          <w:szCs w:val="17"/>
          <w:color w:val="auto"/>
        </w:rPr>
      </w:pPr>
    </w:p>
    <w:p>
      <w:pPr>
        <w:ind w:left="380" w:hanging="224"/>
        <w:spacing w:after="0" w:line="244" w:lineRule="auto"/>
        <w:tabs>
          <w:tab w:leader="none" w:pos="3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 18% increase in adjusted EBITDA will result in an incremental 30% of the target opportunity being earned, for a total maximum potential payout of 150% of the target annual cash incentive opportunity.</w:t>
      </w:r>
    </w:p>
    <w:p>
      <w:pPr>
        <w:spacing w:after="0" w:line="177" w:lineRule="exact"/>
        <w:rPr>
          <w:sz w:val="20"/>
          <w:szCs w:val="20"/>
          <w:color w:val="auto"/>
        </w:rPr>
      </w:pPr>
    </w:p>
    <w:p>
      <w:pPr>
        <w:ind w:right="360"/>
        <w:spacing w:after="0" w:line="267" w:lineRule="auto"/>
        <w:rPr>
          <w:sz w:val="20"/>
          <w:szCs w:val="20"/>
          <w:color w:val="auto"/>
        </w:rPr>
      </w:pPr>
      <w:r>
        <w:rPr>
          <w:rFonts w:ascii="Arial" w:cs="Arial" w:eastAsia="Arial" w:hAnsi="Arial"/>
          <w:sz w:val="17"/>
          <w:szCs w:val="17"/>
          <w:color w:val="auto"/>
        </w:rPr>
        <w:t>Straight-line interpolation will be used to determine the amount of bonus earned between all three ranges.</w:t>
      </w:r>
    </w:p>
    <w:p>
      <w:pPr>
        <w:sectPr>
          <w:pgSz w:w="11900" w:h="16838" w:orient="portrait"/>
          <w:cols w:equalWidth="0" w:num="2">
            <w:col w:w="5400" w:space="340"/>
            <w:col w:w="5280"/>
          </w:cols>
          <w:pgMar w:left="320" w:top="482" w:right="55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CEO Special Long-Term Cash Incentive</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2019-23 Incentive Opportunity</w:t>
      </w:r>
    </w:p>
    <w:p>
      <w:pPr>
        <w:spacing w:after="0" w:line="9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As disclosed in the Company’s prior proxy statements commencing with the 2020 Proxy Statement, in 2019, the Compensation Committee provided Mr. Hunn with a special long-term cash incentive award in recognition of his heightened responsibility in assuming the CEO role upon Mr. Jellison’s untimely and unexpected death, to protect continuity of leadership during a period of transition, and to emphasize the importance of long-term sustained earnings and cash flow generation. The Compensation Committee established a five-year performance period commencing January 1, 2019 and concluding December 31, 2023. The maximum amount that could have been earned at the end of the five-year period was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$18.6 million. The Company’s cumulative adjusted EBITDA over the</w:t>
      </w:r>
    </w:p>
    <w:p>
      <w:pPr>
        <w:ind w:left="120"/>
        <w:spacing w:after="0" w:line="232" w:lineRule="auto"/>
        <w:rPr>
          <w:sz w:val="20"/>
          <w:szCs w:val="20"/>
          <w:color w:val="auto"/>
        </w:rPr>
      </w:pPr>
      <w:r>
        <w:rPr>
          <w:rFonts w:ascii="Arial" w:cs="Arial" w:eastAsia="Arial" w:hAnsi="Arial"/>
          <w:sz w:val="17"/>
          <w:szCs w:val="17"/>
          <w:color w:val="auto"/>
        </w:rPr>
        <w:t>five-year performance period was required to reach at least</w:t>
      </w:r>
    </w:p>
    <w:p>
      <w:pPr>
        <w:ind w:left="120"/>
        <w:spacing w:after="0" w:line="232" w:lineRule="auto"/>
        <w:rPr>
          <w:sz w:val="20"/>
          <w:szCs w:val="20"/>
          <w:color w:val="auto"/>
        </w:rPr>
      </w:pPr>
      <w:r>
        <w:rPr>
          <w:rFonts w:ascii="Arial" w:cs="Arial" w:eastAsia="Arial" w:hAnsi="Arial"/>
          <w:sz w:val="17"/>
          <w:szCs w:val="17"/>
          <w:color w:val="auto"/>
        </w:rPr>
        <w:t>$9.880 billion for any portion of the award to be earned. If cumulative</w:t>
      </w:r>
    </w:p>
    <w:p>
      <w:pPr>
        <w:ind w:left="120"/>
        <w:spacing w:after="0" w:line="232" w:lineRule="auto"/>
        <w:rPr>
          <w:sz w:val="20"/>
          <w:szCs w:val="20"/>
          <w:color w:val="auto"/>
        </w:rPr>
      </w:pPr>
      <w:r>
        <w:rPr>
          <w:rFonts w:ascii="Arial" w:cs="Arial" w:eastAsia="Arial" w:hAnsi="Arial"/>
          <w:sz w:val="17"/>
          <w:szCs w:val="17"/>
          <w:color w:val="auto"/>
        </w:rPr>
        <w:t>adjusted EBITDA was $9.880 billion, then the amount to be awarded</w:t>
      </w:r>
    </w:p>
    <w:p>
      <w:pPr>
        <w:ind w:left="120"/>
        <w:spacing w:after="0" w:line="232" w:lineRule="auto"/>
        <w:rPr>
          <w:sz w:val="20"/>
          <w:szCs w:val="20"/>
          <w:color w:val="auto"/>
        </w:rPr>
      </w:pPr>
      <w:r>
        <w:rPr>
          <w:rFonts w:ascii="Arial" w:cs="Arial" w:eastAsia="Arial" w:hAnsi="Arial"/>
          <w:sz w:val="17"/>
          <w:szCs w:val="17"/>
          <w:color w:val="auto"/>
        </w:rPr>
        <w:t>would have been $6.512 million</w:t>
      </w:r>
      <w:r>
        <w:rPr>
          <w:rFonts w:ascii="Arial" w:cs="Arial" w:eastAsia="Arial" w:hAnsi="Arial"/>
          <w:sz w:val="12"/>
          <w:szCs w:val="12"/>
          <w:color w:val="auto"/>
        </w:rPr>
        <w:t>1</w:t>
      </w:r>
      <w:r>
        <w:rPr>
          <w:rFonts w:ascii="Arial" w:cs="Arial" w:eastAsia="Arial" w:hAnsi="Arial"/>
          <w:sz w:val="17"/>
          <w:szCs w:val="17"/>
          <w:color w:val="auto"/>
        </w:rPr>
        <w:t>. If the cumulative adjusted EBITDA</w:t>
      </w:r>
    </w:p>
    <w:p>
      <w:pPr>
        <w:ind w:left="120"/>
        <w:spacing w:after="0" w:line="232" w:lineRule="auto"/>
        <w:rPr>
          <w:sz w:val="20"/>
          <w:szCs w:val="20"/>
          <w:color w:val="auto"/>
        </w:rPr>
      </w:pPr>
      <w:r>
        <w:rPr>
          <w:rFonts w:ascii="Arial" w:cs="Arial" w:eastAsia="Arial" w:hAnsi="Arial"/>
          <w:sz w:val="17"/>
          <w:szCs w:val="17"/>
          <w:color w:val="auto"/>
        </w:rPr>
        <w:t>reached $11.290 billion, then the full award, $18.6 million, would have</w:t>
      </w:r>
    </w:p>
    <w:p>
      <w:pPr>
        <w:ind w:left="120"/>
        <w:spacing w:after="0" w:line="232" w:lineRule="auto"/>
        <w:rPr>
          <w:sz w:val="20"/>
          <w:szCs w:val="20"/>
          <w:color w:val="auto"/>
        </w:rPr>
      </w:pPr>
      <w:r>
        <w:rPr>
          <w:rFonts w:ascii="Arial" w:cs="Arial" w:eastAsia="Arial" w:hAnsi="Arial"/>
          <w:sz w:val="17"/>
          <w:szCs w:val="17"/>
          <w:color w:val="auto"/>
        </w:rPr>
        <w:t>been earned. If between $9.880 billion and $11.290 billion, the</w:t>
      </w:r>
    </w:p>
    <w:p>
      <w:pPr>
        <w:ind w:left="120"/>
        <w:spacing w:after="0" w:line="232" w:lineRule="auto"/>
        <w:rPr>
          <w:sz w:val="20"/>
          <w:szCs w:val="20"/>
          <w:color w:val="auto"/>
        </w:rPr>
      </w:pPr>
      <w:r>
        <w:rPr>
          <w:rFonts w:ascii="Arial" w:cs="Arial" w:eastAsia="Arial" w:hAnsi="Arial"/>
          <w:sz w:val="17"/>
          <w:szCs w:val="17"/>
          <w:color w:val="auto"/>
        </w:rPr>
        <w:t>percentage of the long-term incentive opportunity earned would be</w:t>
      </w:r>
    </w:p>
    <w:p>
      <w:pPr>
        <w:ind w:left="120"/>
        <w:spacing w:after="0" w:line="232" w:lineRule="auto"/>
        <w:rPr>
          <w:sz w:val="20"/>
          <w:szCs w:val="20"/>
          <w:color w:val="auto"/>
        </w:rPr>
      </w:pPr>
      <w:r>
        <w:rPr>
          <w:rFonts w:ascii="Arial" w:cs="Arial" w:eastAsia="Arial" w:hAnsi="Arial"/>
          <w:sz w:val="17"/>
          <w:szCs w:val="17"/>
          <w:color w:val="auto"/>
        </w:rPr>
        <w:t>determined through straight-line interpolation, as shown in the chart</w:t>
      </w:r>
    </w:p>
    <w:p>
      <w:pPr>
        <w:ind w:left="120"/>
        <w:spacing w:after="0"/>
        <w:rPr>
          <w:sz w:val="20"/>
          <w:szCs w:val="20"/>
          <w:color w:val="auto"/>
        </w:rPr>
      </w:pPr>
      <w:r>
        <w:rPr>
          <w:rFonts w:ascii="Arial" w:cs="Arial" w:eastAsia="Arial" w:hAnsi="Arial"/>
          <w:sz w:val="17"/>
          <w:szCs w:val="17"/>
          <w:color w:val="auto"/>
        </w:rPr>
        <w:t>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 w:right="20"/>
        <w:spacing w:after="0" w:line="235" w:lineRule="auto"/>
        <w:rPr>
          <w:sz w:val="20"/>
          <w:szCs w:val="20"/>
          <w:color w:val="auto"/>
        </w:rPr>
      </w:pPr>
      <w:r>
        <w:rPr>
          <w:rFonts w:ascii="Arial" w:cs="Arial" w:eastAsia="Arial" w:hAnsi="Arial"/>
          <w:sz w:val="17"/>
          <w:szCs w:val="17"/>
          <w:color w:val="auto"/>
        </w:rPr>
        <w:t>For the five-year period ending December 31, 2023, the Company’s cumulative adjusted EBITDA was $11.201 billion; accordingly, the Compensation Committee approved payment of approximately 96% of the long-term cash incentive opportunity, or $17.842 million. In addition, because Mr. Hunn elected to defer his receipt of a portion of the long-term incentive amount awarded he also received an approximate 7.5% match of $1.327 million pursuant to the Company’s Deferred Compensation Plan. The Compensation Committee selected adjusted EBITDA as the performance metric to emphasize the importance of both organic growth as well as growth through prudent capital deployment. In addition, growth in adjusted EBITDA historically tracked similar growth of free cash flow, and as such was sufficient to also emphasize the importance of long-term, sustainable free cash flow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-2501265</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62" w:lineRule="exact"/>
        <w:rPr>
          <w:sz w:val="20"/>
          <w:szCs w:val="20"/>
          <w:color w:val="auto"/>
        </w:rPr>
      </w:pPr>
    </w:p>
    <w:p>
      <w:pPr>
        <w:ind w:left="6" w:right="180"/>
        <w:spacing w:after="0" w:line="249" w:lineRule="auto"/>
        <w:rPr>
          <w:sz w:val="20"/>
          <w:szCs w:val="20"/>
          <w:color w:val="auto"/>
        </w:rPr>
      </w:pPr>
      <w:r>
        <w:rPr>
          <w:rFonts w:ascii="Arial" w:cs="Arial" w:eastAsia="Arial" w:hAnsi="Arial"/>
          <w:sz w:val="17"/>
          <w:szCs w:val="17"/>
          <w:color w:val="auto"/>
        </w:rPr>
        <w:t>This special long-term cash incentive award was granted to Mr. Hunn for the reasons stated above and is not intended to be a recurring element of his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81915</wp:posOffset>
            </wp:positionV>
            <wp:extent cx="3771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54" w:lineRule="exact"/>
        <w:rPr>
          <w:sz w:val="20"/>
          <w:szCs w:val="20"/>
          <w:color w:val="auto"/>
        </w:rPr>
      </w:pPr>
    </w:p>
    <w:p>
      <w:pPr>
        <w:jc w:val="both"/>
        <w:ind w:left="126" w:right="480" w:hanging="126"/>
        <w:spacing w:after="0" w:line="204" w:lineRule="auto"/>
        <w:tabs>
          <w:tab w:leader="none" w:pos="126" w:val="left"/>
        </w:tabs>
        <w:numPr>
          <w:ilvl w:val="0"/>
          <w:numId w:val="49"/>
        </w:numPr>
        <w:rPr>
          <w:rFonts w:ascii="Arial" w:cs="Arial" w:eastAsia="Arial" w:hAnsi="Arial"/>
          <w:sz w:val="22"/>
          <w:szCs w:val="22"/>
          <w:color w:val="auto"/>
          <w:vertAlign w:val="superscript"/>
        </w:rPr>
      </w:pPr>
      <w:r>
        <w:rPr>
          <w:rFonts w:ascii="Arial" w:cs="Arial" w:eastAsia="Arial" w:hAnsi="Arial"/>
          <w:sz w:val="14"/>
          <w:szCs w:val="14"/>
          <w:color w:val="auto"/>
        </w:rPr>
        <w:t>In 2020, the cumulative adjusted EBITDA target was revised to address the impact of the Company’s divestitures of its Gatan and imaging businesses.</w:t>
      </w:r>
    </w:p>
    <w:p>
      <w:pPr>
        <w:spacing w:after="0" w:line="816" w:lineRule="exact"/>
        <w:rPr>
          <w:sz w:val="20"/>
          <w:szCs w:val="20"/>
          <w:color w:val="auto"/>
        </w:rPr>
      </w:pPr>
    </w:p>
    <w:p>
      <w:pPr>
        <w:sectPr>
          <w:pgSz w:w="11900" w:h="16838" w:orient="portrait"/>
          <w:cols w:equalWidth="0" w:num="2">
            <w:col w:w="5380" w:space="354"/>
            <w:col w:w="5406"/>
          </w:cols>
          <w:pgMar w:left="320" w:top="482" w:right="439" w:bottom="1440" w:gutter="0" w:footer="0" w:header="0"/>
        </w:sectPr>
      </w:pP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CEO 2019-23 Special Long-Term Cash Incentive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163195</wp:posOffset>
            </wp:positionV>
            <wp:extent cx="3171825" cy="13030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71825"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80" w:right="100"/>
        <w:spacing w:after="0" w:line="256" w:lineRule="auto"/>
        <w:rPr>
          <w:sz w:val="20"/>
          <w:szCs w:val="20"/>
          <w:color w:val="auto"/>
        </w:rPr>
      </w:pPr>
      <w:r>
        <w:rPr>
          <w:rFonts w:ascii="Arial" w:cs="Arial" w:eastAsia="Arial" w:hAnsi="Arial"/>
          <w:sz w:val="14"/>
          <w:szCs w:val="14"/>
          <w:color w:val="auto"/>
        </w:rPr>
        <w:t>Adjusted EBITDA is earnings before interest, income-related taxes, depreciation and amortization, increased or reduced to eliminate the effects of extraordinary items, discontinued operations, restructuring of debt obligations, gains on asset dispositions, asset write-downs or impairment charges, acquisition-related expenses on completed acquisitions, litigation settlements and judgments, reorganization and restructuring programs, financial impacts associated with minority investments, and non-recurring or special items (as discussed in the Company’s quarterly earnings releases).</w:t>
      </w:r>
    </w:p>
    <w:p>
      <w:pPr>
        <w:spacing w:after="0" w:line="119"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37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right="40"/>
        <w:spacing w:after="0" w:line="412"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color w:val="005CB9"/>
        </w:rPr>
        <w:t>CFO Transition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appointment of Mr. Conley as Chief Financial</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Officer effective February 1, 2023, the Company and Mr. Crisci</w:t>
      </w:r>
    </w:p>
    <w:p>
      <w:pPr>
        <w:ind w:left="120"/>
        <w:spacing w:after="0" w:line="232" w:lineRule="auto"/>
        <w:rPr>
          <w:sz w:val="20"/>
          <w:szCs w:val="20"/>
          <w:color w:val="auto"/>
        </w:rPr>
      </w:pPr>
      <w:r>
        <w:rPr>
          <w:rFonts w:ascii="Arial" w:cs="Arial" w:eastAsia="Arial" w:hAnsi="Arial"/>
          <w:sz w:val="17"/>
          <w:szCs w:val="17"/>
          <w:color w:val="auto"/>
        </w:rPr>
        <w:t>entered into a Service Provider Agreement (the “Service Provider</w:t>
      </w:r>
    </w:p>
    <w:p>
      <w:pPr>
        <w:ind w:left="120"/>
        <w:spacing w:after="0" w:line="232" w:lineRule="auto"/>
        <w:rPr>
          <w:sz w:val="20"/>
          <w:szCs w:val="20"/>
          <w:color w:val="auto"/>
        </w:rPr>
      </w:pPr>
      <w:r>
        <w:rPr>
          <w:rFonts w:ascii="Arial" w:cs="Arial" w:eastAsia="Arial" w:hAnsi="Arial"/>
          <w:sz w:val="17"/>
          <w:szCs w:val="17"/>
          <w:color w:val="auto"/>
        </w:rPr>
        <w:t>Agreement”) pursuant to which Mr. Crisci agreed to be available to</w:t>
      </w:r>
    </w:p>
    <w:p>
      <w:pPr>
        <w:ind w:left="120"/>
        <w:spacing w:after="0" w:line="232" w:lineRule="auto"/>
        <w:rPr>
          <w:sz w:val="20"/>
          <w:szCs w:val="20"/>
          <w:color w:val="auto"/>
        </w:rPr>
      </w:pPr>
      <w:r>
        <w:rPr>
          <w:rFonts w:ascii="Arial" w:cs="Arial" w:eastAsia="Arial" w:hAnsi="Arial"/>
          <w:sz w:val="17"/>
          <w:szCs w:val="17"/>
          <w:color w:val="auto"/>
        </w:rPr>
        <w:t>provide services including but not limited to advising on strategic,</w:t>
      </w:r>
    </w:p>
    <w:p>
      <w:pPr>
        <w:ind w:left="120"/>
        <w:spacing w:after="0" w:line="232" w:lineRule="auto"/>
        <w:rPr>
          <w:sz w:val="20"/>
          <w:szCs w:val="20"/>
          <w:color w:val="auto"/>
        </w:rPr>
      </w:pPr>
      <w:r>
        <w:rPr>
          <w:rFonts w:ascii="Arial" w:cs="Arial" w:eastAsia="Arial" w:hAnsi="Arial"/>
          <w:sz w:val="17"/>
          <w:szCs w:val="17"/>
          <w:color w:val="auto"/>
        </w:rPr>
        <w:t>financial and/or disclosure matters to the Company for not more than</w:t>
      </w:r>
    </w:p>
    <w:p>
      <w:pPr>
        <w:ind w:left="120"/>
        <w:spacing w:after="0" w:line="232" w:lineRule="auto"/>
        <w:rPr>
          <w:sz w:val="20"/>
          <w:szCs w:val="20"/>
          <w:color w:val="auto"/>
        </w:rPr>
      </w:pPr>
      <w:r>
        <w:rPr>
          <w:rFonts w:ascii="Arial" w:cs="Arial" w:eastAsia="Arial" w:hAnsi="Arial"/>
          <w:sz w:val="17"/>
          <w:szCs w:val="17"/>
          <w:color w:val="auto"/>
        </w:rPr>
        <w:t>seven hours per week until January 31, 2025. Under the Service</w:t>
      </w:r>
    </w:p>
    <w:p>
      <w:pPr>
        <w:ind w:left="120"/>
        <w:spacing w:after="0" w:line="232" w:lineRule="auto"/>
        <w:rPr>
          <w:sz w:val="20"/>
          <w:szCs w:val="20"/>
          <w:color w:val="auto"/>
        </w:rPr>
      </w:pPr>
      <w:r>
        <w:rPr>
          <w:rFonts w:ascii="Arial" w:cs="Arial" w:eastAsia="Arial" w:hAnsi="Arial"/>
          <w:sz w:val="17"/>
          <w:szCs w:val="17"/>
          <w:color w:val="auto"/>
        </w:rPr>
        <w:t>Provider Agreement, Mr. Crisci receives a bi-monthly salary of</w:t>
      </w:r>
    </w:p>
    <w:p>
      <w:pPr>
        <w:ind w:left="120"/>
        <w:spacing w:after="0" w:line="232" w:lineRule="auto"/>
        <w:rPr>
          <w:sz w:val="20"/>
          <w:szCs w:val="20"/>
          <w:color w:val="auto"/>
        </w:rPr>
      </w:pPr>
      <w:r>
        <w:rPr>
          <w:rFonts w:ascii="Arial" w:cs="Arial" w:eastAsia="Arial" w:hAnsi="Arial"/>
          <w:sz w:val="17"/>
          <w:szCs w:val="17"/>
          <w:color w:val="auto"/>
        </w:rPr>
        <w:t>$16,292 for 24 months commencing February 1, 2023 (representing</w:t>
      </w:r>
    </w:p>
    <w:p>
      <w:pPr>
        <w:ind w:left="120"/>
        <w:spacing w:after="0" w:line="232" w:lineRule="auto"/>
        <w:rPr>
          <w:sz w:val="20"/>
          <w:szCs w:val="20"/>
          <w:color w:val="auto"/>
        </w:rPr>
      </w:pPr>
      <w:r>
        <w:rPr>
          <w:rFonts w:ascii="Arial" w:cs="Arial" w:eastAsia="Arial" w:hAnsi="Arial"/>
          <w:sz w:val="17"/>
          <w:szCs w:val="17"/>
          <w:color w:val="auto"/>
        </w:rPr>
        <w:t>aggregate salary payments of $782,000). Mr. Crisci also retained any</w:t>
      </w:r>
    </w:p>
    <w:p>
      <w:pPr>
        <w:ind w:left="120"/>
        <w:spacing w:after="0" w:line="232" w:lineRule="auto"/>
        <w:rPr>
          <w:sz w:val="20"/>
          <w:szCs w:val="20"/>
          <w:color w:val="auto"/>
        </w:rPr>
      </w:pPr>
      <w:r>
        <w:rPr>
          <w:rFonts w:ascii="Arial" w:cs="Arial" w:eastAsia="Arial" w:hAnsi="Arial"/>
          <w:sz w:val="17"/>
          <w:szCs w:val="17"/>
          <w:color w:val="auto"/>
        </w:rPr>
        <w:t>equity awards previously granted to him that are capable of vesting at</w:t>
      </w:r>
    </w:p>
    <w:p>
      <w:pPr>
        <w:ind w:left="120"/>
        <w:spacing w:after="0" w:line="232" w:lineRule="auto"/>
        <w:rPr>
          <w:sz w:val="20"/>
          <w:szCs w:val="20"/>
          <w:color w:val="auto"/>
        </w:rPr>
      </w:pPr>
      <w:r>
        <w:rPr>
          <w:rFonts w:ascii="Arial" w:cs="Arial" w:eastAsia="Arial" w:hAnsi="Arial"/>
          <w:sz w:val="17"/>
          <w:szCs w:val="17"/>
          <w:color w:val="auto"/>
        </w:rPr>
        <w:t>any time prior to January 31, 2025, and such awards will continue to</w:t>
      </w:r>
    </w:p>
    <w:p>
      <w:pPr>
        <w:ind w:left="120"/>
        <w:spacing w:after="0"/>
        <w:rPr>
          <w:sz w:val="20"/>
          <w:szCs w:val="20"/>
          <w:color w:val="auto"/>
        </w:rPr>
      </w:pPr>
      <w:r>
        <w:rPr>
          <w:rFonts w:ascii="Arial" w:cs="Arial" w:eastAsia="Arial" w:hAnsi="Arial"/>
          <w:sz w:val="17"/>
          <w:szCs w:val="17"/>
          <w:color w:val="auto"/>
        </w:rPr>
        <w:t>be governed by the respective award agreements.</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Long-Term Stock Incentives</w:t>
      </w:r>
    </w:p>
    <w:p>
      <w:pPr>
        <w:spacing w:after="0" w:line="100"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color w:val="auto"/>
        </w:rPr>
        <w:t>We award both stock options and performance-based restricted stock to our named executive officers. In combination, we believe these awards provide a balanced focus on sustainable long-term shareholder value creation and retention of key executives.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value of the awards is reflective of market practice within our compensation peer group. We have historically used adjusted EBITDA and operating cash flow (less capital expenditures and capitalized software) as the metrics for determining the vesting of performance-based restricted stock awards as these two metrics have been strongly correlated with the value our shareholders received from Company performance. Starting in 2024, we will commence using adjusted net earnings and relative total shareholder return as the metrics as such aligns with our future growth ambitions and reflects the cost of capital utilized to support our strategy. The target value of the awards granted to our named executive officers in March 2023 is set forth below. The total target value of awards for 2023 remained at the same level as 2022 for Mr. Hunn, and increased 41.8% for Mr. Conley, reflecting his promotion to Chief Financial Officer in early 2023, and 28.9% for Mr. Stipancich, reflecting his significant contributions with respect to the continued development and implementation of Roper’s strategic capital deployment process and aligning his compensation closer to that of the market for executives with similar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-2978150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858" w:lineRule="exact"/>
        <w:rPr>
          <w:sz w:val="20"/>
          <w:szCs w:val="20"/>
          <w:color w:val="auto"/>
        </w:rPr>
      </w:pPr>
    </w:p>
    <w:p>
      <w:pPr>
        <w:sectPr>
          <w:pgSz w:w="11900" w:h="16838" w:orient="portrait"/>
          <w:cols w:equalWidth="0" w:num="2">
            <w:col w:w="5360" w:space="380"/>
            <w:col w:w="5400"/>
          </w:cols>
          <w:pgMar w:left="320" w:top="482" w:right="439" w:bottom="1440" w:gutter="0" w:footer="0" w:header="0"/>
        </w:sectPr>
      </w:pPr>
    </w:p>
    <w:p>
      <w:pPr>
        <w:spacing w:after="0" w:line="15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2023 Long-Term Equity Awards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7160" w:type="dxa"/>
            <w:vAlign w:val="bottom"/>
            <w:shd w:val="clear" w:color="auto" w:fill="005CB9"/>
          </w:tcPr>
          <w:p>
            <w:pPr>
              <w:spacing w:after="0"/>
              <w:rPr>
                <w:sz w:val="19"/>
                <w:szCs w:val="19"/>
                <w:color w:val="auto"/>
              </w:rPr>
            </w:pPr>
          </w:p>
        </w:tc>
        <w:tc>
          <w:tcPr>
            <w:tcW w:w="1260" w:type="dxa"/>
            <w:vAlign w:val="bottom"/>
            <w:shd w:val="clear" w:color="auto" w:fill="005CB9"/>
          </w:tcPr>
          <w:p>
            <w:pPr>
              <w:spacing w:after="0"/>
              <w:rPr>
                <w:sz w:val="19"/>
                <w:szCs w:val="19"/>
                <w:color w:val="auto"/>
              </w:rPr>
            </w:pPr>
          </w:p>
        </w:tc>
        <w:tc>
          <w:tcPr>
            <w:tcW w:w="260" w:type="dxa"/>
            <w:vAlign w:val="bottom"/>
            <w:shd w:val="clear" w:color="auto" w:fill="005CB9"/>
          </w:tcPr>
          <w:p>
            <w:pPr>
              <w:spacing w:after="0"/>
              <w:rPr>
                <w:sz w:val="19"/>
                <w:szCs w:val="19"/>
                <w:color w:val="auto"/>
              </w:rPr>
            </w:pPr>
          </w:p>
        </w:tc>
        <w:tc>
          <w:tcPr>
            <w:tcW w:w="1040" w:type="dxa"/>
            <w:vAlign w:val="bottom"/>
            <w:shd w:val="clear" w:color="auto" w:fill="005CB9"/>
          </w:tcPr>
          <w:p>
            <w:pPr>
              <w:jc w:val="center"/>
              <w:ind w:right="201"/>
              <w:spacing w:after="0"/>
              <w:rPr>
                <w:sz w:val="20"/>
                <w:szCs w:val="20"/>
                <w:color w:val="auto"/>
              </w:rPr>
            </w:pPr>
            <w:r>
              <w:rPr>
                <w:rFonts w:ascii="Arial" w:cs="Arial" w:eastAsia="Arial" w:hAnsi="Arial"/>
                <w:sz w:val="14"/>
                <w:szCs w:val="14"/>
                <w:color w:val="FFFFFF"/>
              </w:rPr>
              <w:t>Value of</w:t>
            </w:r>
          </w:p>
        </w:tc>
        <w:tc>
          <w:tcPr>
            <w:tcW w:w="260" w:type="dxa"/>
            <w:vAlign w:val="bottom"/>
            <w:shd w:val="clear" w:color="auto" w:fill="005CB9"/>
          </w:tcPr>
          <w:p>
            <w:pPr>
              <w:spacing w:after="0"/>
              <w:rPr>
                <w:sz w:val="19"/>
                <w:szCs w:val="19"/>
                <w:color w:val="auto"/>
              </w:rPr>
            </w:pPr>
          </w:p>
        </w:tc>
        <w:tc>
          <w:tcPr>
            <w:tcW w:w="960" w:type="dxa"/>
            <w:vAlign w:val="bottom"/>
            <w:shd w:val="clear" w:color="auto" w:fill="005CB9"/>
          </w:tcPr>
          <w:p>
            <w:pPr>
              <w:spacing w:after="0"/>
              <w:rPr>
                <w:sz w:val="19"/>
                <w:szCs w:val="19"/>
                <w:color w:val="auto"/>
              </w:rPr>
            </w:pPr>
          </w:p>
        </w:tc>
        <w:tc>
          <w:tcPr>
            <w:tcW w:w="80" w:type="dxa"/>
            <w:vAlign w:val="bottom"/>
            <w:shd w:val="clear" w:color="auto" w:fill="005CB9"/>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005CB9"/>
          </w:tcPr>
          <w:p>
            <w:pPr>
              <w:spacing w:after="0"/>
              <w:rPr>
                <w:sz w:val="14"/>
                <w:szCs w:val="14"/>
                <w:color w:val="auto"/>
              </w:rPr>
            </w:pPr>
          </w:p>
        </w:tc>
        <w:tc>
          <w:tcPr>
            <w:tcW w:w="1260" w:type="dxa"/>
            <w:vAlign w:val="bottom"/>
            <w:shd w:val="clear" w:color="auto" w:fill="005CB9"/>
          </w:tcPr>
          <w:p>
            <w:pPr>
              <w:spacing w:after="0"/>
              <w:rPr>
                <w:sz w:val="14"/>
                <w:szCs w:val="14"/>
                <w:color w:val="auto"/>
              </w:rPr>
            </w:pPr>
          </w:p>
        </w:tc>
        <w:tc>
          <w:tcPr>
            <w:tcW w:w="1300" w:type="dxa"/>
            <w:vAlign w:val="bottom"/>
            <w:gridSpan w:val="2"/>
            <w:shd w:val="clear" w:color="auto" w:fill="005CB9"/>
          </w:tcPr>
          <w:p>
            <w:pPr>
              <w:jc w:val="center"/>
              <w:spacing w:after="0"/>
              <w:rPr>
                <w:sz w:val="20"/>
                <w:szCs w:val="20"/>
                <w:color w:val="auto"/>
              </w:rPr>
            </w:pPr>
            <w:r>
              <w:rPr>
                <w:rFonts w:ascii="Arial" w:cs="Arial" w:eastAsia="Arial" w:hAnsi="Arial"/>
                <w:sz w:val="14"/>
                <w:szCs w:val="14"/>
                <w:color w:val="FFFFFF"/>
              </w:rPr>
              <w:t>Performance-</w:t>
            </w:r>
          </w:p>
        </w:tc>
        <w:tc>
          <w:tcPr>
            <w:tcW w:w="260" w:type="dxa"/>
            <w:vAlign w:val="bottom"/>
            <w:shd w:val="clear" w:color="auto" w:fill="005CB9"/>
          </w:tcPr>
          <w:p>
            <w:pPr>
              <w:spacing w:after="0"/>
              <w:rPr>
                <w:sz w:val="14"/>
                <w:szCs w:val="14"/>
                <w:color w:val="auto"/>
              </w:rPr>
            </w:pPr>
          </w:p>
        </w:tc>
        <w:tc>
          <w:tcPr>
            <w:tcW w:w="960" w:type="dxa"/>
            <w:vAlign w:val="bottom"/>
            <w:vMerge w:val="restart"/>
            <w:shd w:val="clear" w:color="auto" w:fill="005CB9"/>
          </w:tcPr>
          <w:p>
            <w:pPr>
              <w:jc w:val="center"/>
              <w:ind w:right="100"/>
              <w:spacing w:after="0"/>
              <w:rPr>
                <w:sz w:val="20"/>
                <w:szCs w:val="20"/>
                <w:color w:val="auto"/>
              </w:rPr>
            </w:pPr>
            <w:r>
              <w:rPr>
                <w:rFonts w:ascii="Arial" w:cs="Arial" w:eastAsia="Arial" w:hAnsi="Arial"/>
                <w:sz w:val="14"/>
                <w:szCs w:val="14"/>
                <w:color w:val="FFFFFF"/>
                <w:w w:val="97"/>
              </w:rPr>
              <w:t>Total Target</w:t>
            </w:r>
          </w:p>
        </w:tc>
        <w:tc>
          <w:tcPr>
            <w:tcW w:w="8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60" w:type="dxa"/>
            <w:vAlign w:val="bottom"/>
            <w:shd w:val="clear" w:color="auto" w:fill="005CB9"/>
          </w:tcPr>
          <w:p>
            <w:pPr>
              <w:spacing w:after="0"/>
              <w:rPr>
                <w:sz w:val="12"/>
                <w:szCs w:val="12"/>
                <w:color w:val="auto"/>
              </w:rPr>
            </w:pPr>
          </w:p>
        </w:tc>
        <w:tc>
          <w:tcPr>
            <w:tcW w:w="1260" w:type="dxa"/>
            <w:vAlign w:val="bottom"/>
            <w:shd w:val="clear" w:color="auto" w:fill="005CB9"/>
          </w:tcPr>
          <w:p>
            <w:pPr>
              <w:jc w:val="center"/>
              <w:spacing w:after="0" w:line="149" w:lineRule="exact"/>
              <w:rPr>
                <w:sz w:val="20"/>
                <w:szCs w:val="20"/>
                <w:color w:val="auto"/>
              </w:rPr>
            </w:pPr>
            <w:r>
              <w:rPr>
                <w:rFonts w:ascii="Arial" w:cs="Arial" w:eastAsia="Arial" w:hAnsi="Arial"/>
                <w:sz w:val="14"/>
                <w:szCs w:val="14"/>
                <w:color w:val="FFFFFF"/>
              </w:rPr>
              <w:t>Value of</w:t>
            </w:r>
          </w:p>
        </w:tc>
        <w:tc>
          <w:tcPr>
            <w:tcW w:w="260" w:type="dxa"/>
            <w:vAlign w:val="bottom"/>
            <w:shd w:val="clear" w:color="auto" w:fill="005CB9"/>
          </w:tcPr>
          <w:p>
            <w:pPr>
              <w:spacing w:after="0"/>
              <w:rPr>
                <w:sz w:val="12"/>
                <w:szCs w:val="12"/>
                <w:color w:val="auto"/>
              </w:rPr>
            </w:pPr>
          </w:p>
        </w:tc>
        <w:tc>
          <w:tcPr>
            <w:tcW w:w="1040" w:type="dxa"/>
            <w:vAlign w:val="bottom"/>
            <w:shd w:val="clear" w:color="auto" w:fill="005CB9"/>
          </w:tcPr>
          <w:p>
            <w:pPr>
              <w:jc w:val="center"/>
              <w:ind w:right="181"/>
              <w:spacing w:after="0" w:line="149" w:lineRule="exact"/>
              <w:rPr>
                <w:sz w:val="20"/>
                <w:szCs w:val="20"/>
                <w:color w:val="auto"/>
              </w:rPr>
            </w:pPr>
            <w:r>
              <w:rPr>
                <w:rFonts w:ascii="Arial" w:cs="Arial" w:eastAsia="Arial" w:hAnsi="Arial"/>
                <w:sz w:val="14"/>
                <w:szCs w:val="14"/>
                <w:color w:val="FFFFFF"/>
              </w:rPr>
              <w:t>Based</w:t>
            </w:r>
          </w:p>
        </w:tc>
        <w:tc>
          <w:tcPr>
            <w:tcW w:w="260" w:type="dxa"/>
            <w:vAlign w:val="bottom"/>
            <w:shd w:val="clear" w:color="auto" w:fill="005CB9"/>
          </w:tcPr>
          <w:p>
            <w:pPr>
              <w:spacing w:after="0"/>
              <w:rPr>
                <w:sz w:val="12"/>
                <w:szCs w:val="12"/>
                <w:color w:val="auto"/>
              </w:rPr>
            </w:pPr>
          </w:p>
        </w:tc>
        <w:tc>
          <w:tcPr>
            <w:tcW w:w="960" w:type="dxa"/>
            <w:vAlign w:val="bottom"/>
            <w:vMerge w:val="continue"/>
            <w:shd w:val="clear" w:color="auto" w:fill="005CB9"/>
          </w:tcPr>
          <w:p>
            <w:pPr>
              <w:spacing w:after="0"/>
              <w:rPr>
                <w:sz w:val="12"/>
                <w:szCs w:val="12"/>
                <w:color w:val="auto"/>
              </w:rPr>
            </w:pPr>
          </w:p>
        </w:tc>
        <w:tc>
          <w:tcPr>
            <w:tcW w:w="8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005CB9"/>
          </w:tcPr>
          <w:p>
            <w:pPr>
              <w:spacing w:after="0"/>
              <w:rPr>
                <w:sz w:val="14"/>
                <w:szCs w:val="14"/>
                <w:color w:val="auto"/>
              </w:rPr>
            </w:pPr>
          </w:p>
        </w:tc>
        <w:tc>
          <w:tcPr>
            <w:tcW w:w="12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Stock</w:t>
            </w:r>
          </w:p>
        </w:tc>
        <w:tc>
          <w:tcPr>
            <w:tcW w:w="260" w:type="dxa"/>
            <w:vAlign w:val="bottom"/>
            <w:shd w:val="clear" w:color="auto" w:fill="005CB9"/>
          </w:tcPr>
          <w:p>
            <w:pPr>
              <w:spacing w:after="0"/>
              <w:rPr>
                <w:sz w:val="14"/>
                <w:szCs w:val="14"/>
                <w:color w:val="auto"/>
              </w:rPr>
            </w:pPr>
          </w:p>
        </w:tc>
        <w:tc>
          <w:tcPr>
            <w:tcW w:w="1040" w:type="dxa"/>
            <w:vAlign w:val="bottom"/>
            <w:shd w:val="clear" w:color="auto" w:fill="005CB9"/>
          </w:tcPr>
          <w:p>
            <w:pPr>
              <w:jc w:val="center"/>
              <w:ind w:right="181"/>
              <w:spacing w:after="0"/>
              <w:rPr>
                <w:sz w:val="20"/>
                <w:szCs w:val="20"/>
                <w:color w:val="auto"/>
              </w:rPr>
            </w:pPr>
            <w:r>
              <w:rPr>
                <w:rFonts w:ascii="Arial" w:cs="Arial" w:eastAsia="Arial" w:hAnsi="Arial"/>
                <w:sz w:val="14"/>
                <w:szCs w:val="14"/>
                <w:color w:val="FFFFFF"/>
              </w:rPr>
              <w:t>Restricted</w:t>
            </w:r>
          </w:p>
        </w:tc>
        <w:tc>
          <w:tcPr>
            <w:tcW w:w="260" w:type="dxa"/>
            <w:vAlign w:val="bottom"/>
            <w:shd w:val="clear" w:color="auto" w:fill="005CB9"/>
          </w:tcPr>
          <w:p>
            <w:pPr>
              <w:spacing w:after="0"/>
              <w:rPr>
                <w:sz w:val="14"/>
                <w:szCs w:val="14"/>
                <w:color w:val="auto"/>
              </w:rPr>
            </w:pPr>
          </w:p>
        </w:tc>
        <w:tc>
          <w:tcPr>
            <w:tcW w:w="960" w:type="dxa"/>
            <w:vAlign w:val="bottom"/>
            <w:shd w:val="clear" w:color="auto" w:fill="005CB9"/>
          </w:tcPr>
          <w:p>
            <w:pPr>
              <w:jc w:val="center"/>
              <w:ind w:right="80"/>
              <w:spacing w:after="0"/>
              <w:rPr>
                <w:sz w:val="20"/>
                <w:szCs w:val="20"/>
                <w:color w:val="auto"/>
              </w:rPr>
            </w:pPr>
            <w:r>
              <w:rPr>
                <w:rFonts w:ascii="Arial" w:cs="Arial" w:eastAsia="Arial" w:hAnsi="Arial"/>
                <w:sz w:val="14"/>
                <w:szCs w:val="14"/>
                <w:color w:val="FFFFFF"/>
              </w:rPr>
              <w:t>Value of</w:t>
            </w:r>
          </w:p>
        </w:tc>
        <w:tc>
          <w:tcPr>
            <w:tcW w:w="8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7160" w:type="dxa"/>
            <w:vAlign w:val="bottom"/>
            <w:shd w:val="clear" w:color="auto" w:fill="005CB9"/>
          </w:tcPr>
          <w:p>
            <w:pPr>
              <w:spacing w:after="0"/>
              <w:rPr>
                <w:sz w:val="16"/>
                <w:szCs w:val="16"/>
                <w:color w:val="auto"/>
              </w:rPr>
            </w:pPr>
          </w:p>
        </w:tc>
        <w:tc>
          <w:tcPr>
            <w:tcW w:w="12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Options</w:t>
            </w:r>
          </w:p>
        </w:tc>
        <w:tc>
          <w:tcPr>
            <w:tcW w:w="260" w:type="dxa"/>
            <w:vAlign w:val="bottom"/>
            <w:shd w:val="clear" w:color="auto" w:fill="005CB9"/>
          </w:tcPr>
          <w:p>
            <w:pPr>
              <w:spacing w:after="0"/>
              <w:rPr>
                <w:sz w:val="16"/>
                <w:szCs w:val="16"/>
                <w:color w:val="auto"/>
              </w:rPr>
            </w:pPr>
          </w:p>
        </w:tc>
        <w:tc>
          <w:tcPr>
            <w:tcW w:w="1040" w:type="dxa"/>
            <w:vAlign w:val="bottom"/>
            <w:shd w:val="clear" w:color="auto" w:fill="005CB9"/>
          </w:tcPr>
          <w:p>
            <w:pPr>
              <w:jc w:val="center"/>
              <w:ind w:right="181"/>
              <w:spacing w:after="0"/>
              <w:rPr>
                <w:sz w:val="20"/>
                <w:szCs w:val="20"/>
                <w:color w:val="auto"/>
              </w:rPr>
            </w:pPr>
            <w:r>
              <w:rPr>
                <w:rFonts w:ascii="Arial" w:cs="Arial" w:eastAsia="Arial" w:hAnsi="Arial"/>
                <w:sz w:val="14"/>
                <w:szCs w:val="14"/>
                <w:color w:val="FFFFFF"/>
              </w:rPr>
              <w:t>Stock*</w:t>
            </w:r>
          </w:p>
        </w:tc>
        <w:tc>
          <w:tcPr>
            <w:tcW w:w="260" w:type="dxa"/>
            <w:vAlign w:val="bottom"/>
            <w:shd w:val="clear" w:color="auto" w:fill="005CB9"/>
          </w:tcPr>
          <w:p>
            <w:pPr>
              <w:spacing w:after="0"/>
              <w:rPr>
                <w:sz w:val="16"/>
                <w:szCs w:val="16"/>
                <w:color w:val="auto"/>
              </w:rPr>
            </w:pPr>
          </w:p>
        </w:tc>
        <w:tc>
          <w:tcPr>
            <w:tcW w:w="960" w:type="dxa"/>
            <w:vAlign w:val="bottom"/>
            <w:shd w:val="clear" w:color="auto" w:fill="005CB9"/>
          </w:tcPr>
          <w:p>
            <w:pPr>
              <w:jc w:val="center"/>
              <w:ind w:right="40"/>
              <w:spacing w:after="0"/>
              <w:rPr>
                <w:sz w:val="20"/>
                <w:szCs w:val="20"/>
                <w:color w:val="auto"/>
              </w:rPr>
            </w:pPr>
            <w:r>
              <w:rPr>
                <w:rFonts w:ascii="Arial" w:cs="Arial" w:eastAsia="Arial" w:hAnsi="Arial"/>
                <w:sz w:val="14"/>
                <w:szCs w:val="14"/>
                <w:color w:val="FFFFFF"/>
              </w:rPr>
              <w:t>Awards </w:t>
            </w:r>
          </w:p>
        </w:tc>
        <w:tc>
          <w:tcPr>
            <w:tcW w:w="80" w:type="dxa"/>
            <w:vAlign w:val="bottom"/>
            <w:shd w:val="clear" w:color="auto" w:fill="005CB9"/>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160" w:type="dxa"/>
            <w:vAlign w:val="bottom"/>
            <w:shd w:val="clear" w:color="auto" w:fill="CCDEF1"/>
          </w:tcPr>
          <w:p>
            <w:pPr>
              <w:spacing w:after="0"/>
              <w:rPr>
                <w:sz w:val="20"/>
                <w:szCs w:val="20"/>
                <w:color w:val="auto"/>
              </w:rPr>
            </w:pPr>
            <w:r>
              <w:rPr>
                <w:rFonts w:ascii="Arial" w:cs="Arial" w:eastAsia="Arial" w:hAnsi="Arial"/>
                <w:sz w:val="17"/>
                <w:szCs w:val="17"/>
                <w:color w:val="auto"/>
              </w:rPr>
              <w:t> Mr. Hunn</w:t>
            </w:r>
          </w:p>
        </w:tc>
        <w:tc>
          <w:tcPr>
            <w:tcW w:w="1260" w:type="dxa"/>
            <w:vAlign w:val="bottom"/>
            <w:shd w:val="clear" w:color="auto" w:fill="CCDEF1"/>
          </w:tcPr>
          <w:p>
            <w:pPr>
              <w:jc w:val="right"/>
              <w:ind w:right="60"/>
              <w:spacing w:after="0"/>
              <w:rPr>
                <w:sz w:val="20"/>
                <w:szCs w:val="20"/>
                <w:color w:val="auto"/>
              </w:rPr>
            </w:pPr>
            <w:r>
              <w:rPr>
                <w:rFonts w:ascii="Arial" w:cs="Arial" w:eastAsia="Arial" w:hAnsi="Arial"/>
                <w:sz w:val="17"/>
                <w:szCs w:val="17"/>
                <w:color w:val="auto"/>
              </w:rPr>
              <w:t>$ 4,632,000</w:t>
            </w:r>
          </w:p>
        </w:tc>
        <w:tc>
          <w:tcPr>
            <w:tcW w:w="2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DEF1"/>
          </w:tcPr>
          <w:p>
            <w:pPr>
              <w:jc w:val="right"/>
              <w:ind w:right="61"/>
              <w:spacing w:after="0"/>
              <w:rPr>
                <w:sz w:val="20"/>
                <w:szCs w:val="20"/>
                <w:color w:val="auto"/>
              </w:rPr>
            </w:pPr>
            <w:r>
              <w:rPr>
                <w:rFonts w:ascii="Arial" w:cs="Arial" w:eastAsia="Arial" w:hAnsi="Arial"/>
                <w:sz w:val="17"/>
                <w:szCs w:val="17"/>
                <w:color w:val="auto"/>
              </w:rPr>
              <w:t>13,896,000</w:t>
            </w:r>
          </w:p>
        </w:tc>
        <w:tc>
          <w:tcPr>
            <w:tcW w:w="2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18,528,000</w:t>
            </w:r>
          </w:p>
        </w:tc>
        <w:tc>
          <w:tcPr>
            <w:tcW w:w="8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160" w:type="dxa"/>
            <w:vAlign w:val="bottom"/>
            <w:shd w:val="clear" w:color="auto" w:fill="CCDEF1"/>
          </w:tcPr>
          <w:p>
            <w:pPr>
              <w:spacing w:after="0"/>
              <w:rPr>
                <w:sz w:val="5"/>
                <w:szCs w:val="5"/>
                <w:color w:val="auto"/>
              </w:rPr>
            </w:pPr>
          </w:p>
        </w:tc>
        <w:tc>
          <w:tcPr>
            <w:tcW w:w="1260" w:type="dxa"/>
            <w:vAlign w:val="bottom"/>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1040" w:type="dxa"/>
            <w:vAlign w:val="bottom"/>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960" w:type="dxa"/>
            <w:vAlign w:val="bottom"/>
            <w:shd w:val="clear" w:color="auto" w:fill="CCDEF1"/>
          </w:tcPr>
          <w:p>
            <w:pPr>
              <w:spacing w:after="0"/>
              <w:rPr>
                <w:sz w:val="5"/>
                <w:szCs w:val="5"/>
                <w:color w:val="auto"/>
              </w:rPr>
            </w:pPr>
          </w:p>
        </w:tc>
        <w:tc>
          <w:tcPr>
            <w:tcW w:w="80" w:type="dxa"/>
            <w:vAlign w:val="bottom"/>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7"/>
                <w:szCs w:val="17"/>
                <w:color w:val="auto"/>
              </w:rPr>
              <w:t> Mr. Conley</w:t>
            </w:r>
          </w:p>
        </w:tc>
        <w:tc>
          <w:tcPr>
            <w:tcW w:w="1260" w:type="dxa"/>
            <w:vAlign w:val="bottom"/>
          </w:tcPr>
          <w:p>
            <w:pPr>
              <w:jc w:val="right"/>
              <w:ind w:right="60"/>
              <w:spacing w:after="0"/>
              <w:rPr>
                <w:sz w:val="20"/>
                <w:szCs w:val="20"/>
                <w:color w:val="auto"/>
              </w:rPr>
            </w:pPr>
            <w:r>
              <w:rPr>
                <w:rFonts w:ascii="Arial" w:cs="Arial" w:eastAsia="Arial" w:hAnsi="Arial"/>
                <w:sz w:val="17"/>
                <w:szCs w:val="17"/>
                <w:color w:val="auto"/>
              </w:rPr>
              <w:t>$ 1,250,000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61"/>
              <w:spacing w:after="0"/>
              <w:rPr>
                <w:sz w:val="20"/>
                <w:szCs w:val="20"/>
                <w:color w:val="auto"/>
              </w:rPr>
            </w:pPr>
            <w:r>
              <w:rPr>
                <w:rFonts w:ascii="Arial" w:cs="Arial" w:eastAsia="Arial" w:hAnsi="Arial"/>
                <w:sz w:val="17"/>
                <w:szCs w:val="17"/>
                <w:color w:val="auto"/>
              </w:rPr>
              <w:t>3,750,000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5,000,000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1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160" w:type="dxa"/>
            <w:vAlign w:val="bottom"/>
            <w:shd w:val="clear" w:color="auto" w:fill="CCDEF1"/>
          </w:tcPr>
          <w:p>
            <w:pPr>
              <w:spacing w:after="0"/>
              <w:rPr>
                <w:sz w:val="20"/>
                <w:szCs w:val="20"/>
                <w:color w:val="auto"/>
              </w:rPr>
            </w:pPr>
            <w:r>
              <w:rPr>
                <w:rFonts w:ascii="Arial" w:cs="Arial" w:eastAsia="Arial" w:hAnsi="Arial"/>
                <w:sz w:val="17"/>
                <w:szCs w:val="17"/>
                <w:color w:val="auto"/>
              </w:rPr>
              <w:t> Mr. Stipancich</w:t>
            </w:r>
          </w:p>
        </w:tc>
        <w:tc>
          <w:tcPr>
            <w:tcW w:w="1260" w:type="dxa"/>
            <w:vAlign w:val="bottom"/>
            <w:shd w:val="clear" w:color="auto" w:fill="CCDEF1"/>
          </w:tcPr>
          <w:p>
            <w:pPr>
              <w:jc w:val="right"/>
              <w:ind w:right="60"/>
              <w:spacing w:after="0"/>
              <w:rPr>
                <w:sz w:val="20"/>
                <w:szCs w:val="20"/>
                <w:color w:val="auto"/>
              </w:rPr>
            </w:pPr>
            <w:r>
              <w:rPr>
                <w:rFonts w:ascii="Arial" w:cs="Arial" w:eastAsia="Arial" w:hAnsi="Arial"/>
                <w:sz w:val="17"/>
                <w:szCs w:val="17"/>
                <w:color w:val="auto"/>
              </w:rPr>
              <w:t>$ 1,150,000</w:t>
            </w:r>
          </w:p>
        </w:tc>
        <w:tc>
          <w:tcPr>
            <w:tcW w:w="2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DEF1"/>
          </w:tcPr>
          <w:p>
            <w:pPr>
              <w:jc w:val="right"/>
              <w:ind w:right="61"/>
              <w:spacing w:after="0"/>
              <w:rPr>
                <w:sz w:val="20"/>
                <w:szCs w:val="20"/>
                <w:color w:val="auto"/>
              </w:rPr>
            </w:pPr>
            <w:r>
              <w:rPr>
                <w:rFonts w:ascii="Arial" w:cs="Arial" w:eastAsia="Arial" w:hAnsi="Arial"/>
                <w:sz w:val="17"/>
                <w:szCs w:val="17"/>
                <w:color w:val="auto"/>
              </w:rPr>
              <w:t>3,450,000</w:t>
            </w:r>
          </w:p>
        </w:tc>
        <w:tc>
          <w:tcPr>
            <w:tcW w:w="2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DEF1"/>
          </w:tcPr>
          <w:p>
            <w:pPr>
              <w:jc w:val="right"/>
              <w:spacing w:after="0"/>
              <w:rPr>
                <w:sz w:val="20"/>
                <w:szCs w:val="20"/>
                <w:color w:val="auto"/>
              </w:rPr>
            </w:pPr>
            <w:r>
              <w:rPr>
                <w:rFonts w:ascii="Arial" w:cs="Arial" w:eastAsia="Arial" w:hAnsi="Arial"/>
                <w:sz w:val="17"/>
                <w:szCs w:val="17"/>
                <w:color w:val="auto"/>
              </w:rPr>
              <w:t>4,600,000</w:t>
            </w:r>
          </w:p>
        </w:tc>
        <w:tc>
          <w:tcPr>
            <w:tcW w:w="80" w:type="dxa"/>
            <w:vAlign w:val="bottom"/>
            <w:shd w:val="clear" w:color="auto" w:fill="CCDEF1"/>
          </w:tcPr>
          <w:p>
            <w:pPr>
              <w:spacing w:after="0"/>
              <w:rPr>
                <w:sz w:val="23"/>
                <w:szCs w:val="23"/>
                <w:color w:val="auto"/>
              </w:rPr>
            </w:pPr>
          </w:p>
        </w:tc>
        <w:tc>
          <w:tcPr>
            <w:tcW w:w="0" w:type="dxa"/>
            <w:vAlign w:val="bottom"/>
          </w:tcPr>
          <w:p>
            <w:pPr>
              <w:spacing w:after="0"/>
              <w:rPr>
                <w:sz w:val="1"/>
                <w:szCs w:val="1"/>
                <w:color w:val="auto"/>
              </w:rPr>
            </w:pPr>
          </w:p>
        </w:tc>
      </w:tr>
      <w:tr>
        <w:trPr>
          <w:trHeight w:val="67"/>
        </w:trPr>
        <w:tc>
          <w:tcPr>
            <w:tcW w:w="7160" w:type="dxa"/>
            <w:vAlign w:val="bottom"/>
            <w:shd w:val="clear" w:color="auto" w:fill="CCDEF1"/>
          </w:tcPr>
          <w:p>
            <w:pPr>
              <w:spacing w:after="0"/>
              <w:rPr>
                <w:sz w:val="5"/>
                <w:szCs w:val="5"/>
                <w:color w:val="auto"/>
              </w:rPr>
            </w:pPr>
          </w:p>
        </w:tc>
        <w:tc>
          <w:tcPr>
            <w:tcW w:w="1260" w:type="dxa"/>
            <w:vAlign w:val="bottom"/>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1040" w:type="dxa"/>
            <w:vAlign w:val="bottom"/>
            <w:shd w:val="clear" w:color="auto" w:fill="CCDEF1"/>
          </w:tcPr>
          <w:p>
            <w:pPr>
              <w:spacing w:after="0"/>
              <w:rPr>
                <w:sz w:val="5"/>
                <w:szCs w:val="5"/>
                <w:color w:val="auto"/>
              </w:rPr>
            </w:pPr>
          </w:p>
        </w:tc>
        <w:tc>
          <w:tcPr>
            <w:tcW w:w="260" w:type="dxa"/>
            <w:vAlign w:val="bottom"/>
            <w:shd w:val="clear" w:color="auto" w:fill="CCDEF1"/>
          </w:tcPr>
          <w:p>
            <w:pPr>
              <w:spacing w:after="0"/>
              <w:rPr>
                <w:sz w:val="5"/>
                <w:szCs w:val="5"/>
                <w:color w:val="auto"/>
              </w:rPr>
            </w:pPr>
          </w:p>
        </w:tc>
        <w:tc>
          <w:tcPr>
            <w:tcW w:w="1040" w:type="dxa"/>
            <w:vAlign w:val="bottom"/>
            <w:gridSpan w:val="2"/>
            <w:shd w:val="clear" w:color="auto" w:fill="CCDEF1"/>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7"/>
                <w:szCs w:val="17"/>
                <w:color w:val="auto"/>
              </w:rPr>
              <w:t> Mr. Crisci</w:t>
            </w:r>
          </w:p>
        </w:tc>
        <w:tc>
          <w:tcPr>
            <w:tcW w:w="1260" w:type="dxa"/>
            <w:vAlign w:val="bottom"/>
          </w:tcPr>
          <w:p>
            <w:pPr>
              <w:jc w:val="right"/>
              <w:ind w:right="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040" w:type="dxa"/>
            <w:vAlign w:val="bottom"/>
          </w:tcPr>
          <w:p>
            <w:pPr>
              <w:jc w:val="right"/>
              <w:ind w:right="61"/>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3"/>
                <w:szCs w:val="23"/>
                <w:color w:val="auto"/>
              </w:rPr>
            </w:pPr>
          </w:p>
        </w:tc>
        <w:tc>
          <w:tcPr>
            <w:tcW w:w="1040" w:type="dxa"/>
            <w:vAlign w:val="bottom"/>
            <w:gridSpan w:val="2"/>
          </w:tcPr>
          <w:p>
            <w:pPr>
              <w:ind w:left="860"/>
              <w:spacing w:after="0"/>
              <w:rPr>
                <w:sz w:val="20"/>
                <w:szCs w:val="20"/>
                <w:color w:val="auto"/>
              </w:rPr>
            </w:pPr>
            <w:r>
              <w:rPr>
                <w:rFonts w:ascii="Arial" w:cs="Arial" w:eastAsia="Arial" w:hAnsi="Arial"/>
                <w:sz w:val="17"/>
                <w:szCs w:val="17"/>
                <w:color w:val="auto"/>
                <w:w w:val="99"/>
              </w:rPr>
              <w:t>-  </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40" w:right="20" w:hanging="424"/>
        <w:spacing w:after="0" w:line="285" w:lineRule="auto"/>
        <w:tabs>
          <w:tab w:leader="none" w:pos="5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value of the award granted is based on the weighted average closing price for the Company’s common stock over the 15 trading days ending on the date of grant, which is reflected in the minor discrepancies in the amounts reported under the “Stock Awards” column in the Summary Compensation Table.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These awards are shown in the 2023 Grants of Plan-Based Awards table.</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stock options vest on the third anniversary of the date of grant.</w:t>
      </w:r>
    </w:p>
    <w:p>
      <w:pPr>
        <w:spacing w:after="0" w:line="102"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The 2023 restricted shares vest on the Compensation Committee’s certification of performance against the following performance criteria (with one half of the award assessed against the first criterion and the second half assessed against the second criterion):</w:t>
      </w:r>
    </w:p>
    <w:p>
      <w:pPr>
        <w:spacing w:after="0" w:line="65" w:lineRule="exact"/>
        <w:rPr>
          <w:sz w:val="20"/>
          <w:szCs w:val="20"/>
          <w:color w:val="auto"/>
        </w:rPr>
      </w:pPr>
    </w:p>
    <w:p>
      <w:pPr>
        <w:ind w:left="540" w:right="200" w:hanging="208"/>
        <w:spacing w:after="0" w:line="244"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Generation of at least $6.517 billion of cumulative adjusted EBITDA (as defined above) for the 36-month period of January 2023 through December 2025. At $6.517 billion, 17.5% of the award shall vest, and at $6.917 billion, 50% of the award shall vest, with pro-rated vesting using straight-line interpolation between these two points. No portion of this half of the award will vest if the Company fails to achieve $6.517 billion in adjusted EBITDA.</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38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540" w:right="80" w:hanging="208"/>
        <w:spacing w:after="0" w:line="241" w:lineRule="auto"/>
        <w:tabs>
          <w:tab w:leader="none" w:pos="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the 36-month period of January 2023 through December 2025, adjusted operating cash flow less capital expenditures and capitalized software (as a percentage of net revenue) must be at the 50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(excluding finance, real estate, and utilities) (the “Modified S&amp;P 500”). At the 50</w:t>
      </w:r>
      <w:r>
        <w:rPr>
          <w:rFonts w:ascii="Arial" w:cs="Arial" w:eastAsia="Arial" w:hAnsi="Arial"/>
          <w:sz w:val="12"/>
          <w:szCs w:val="12"/>
          <w:color w:val="auto"/>
        </w:rPr>
        <w:t>th</w:t>
      </w:r>
      <w:r>
        <w:rPr>
          <w:rFonts w:ascii="Arial" w:cs="Arial" w:eastAsia="Arial" w:hAnsi="Arial"/>
          <w:sz w:val="17"/>
          <w:szCs w:val="17"/>
          <w:color w:val="auto"/>
        </w:rPr>
        <w:t xml:space="preserve"> percentile, 17.5% of the award shall vest, and at the 75</w:t>
      </w:r>
      <w:r>
        <w:rPr>
          <w:rFonts w:ascii="Arial" w:cs="Arial" w:eastAsia="Arial" w:hAnsi="Arial"/>
          <w:sz w:val="12"/>
          <w:szCs w:val="12"/>
          <w:color w:val="auto"/>
        </w:rPr>
        <w:t>th</w:t>
      </w:r>
      <w:r>
        <w:rPr>
          <w:rFonts w:ascii="Arial" w:cs="Arial" w:eastAsia="Arial" w:hAnsi="Arial"/>
          <w:sz w:val="17"/>
          <w:szCs w:val="17"/>
          <w:color w:val="auto"/>
        </w:rPr>
        <w:t xml:space="preserve"> percentile, 50% of the award shall vest, with pro-rated vesting using straight-line interpolation between these two points. No portion of this half of the award will vest if the Company fails to reach at least the 50</w:t>
      </w:r>
      <w:r>
        <w:rPr>
          <w:rFonts w:ascii="Arial" w:cs="Arial" w:eastAsia="Arial" w:hAnsi="Arial"/>
          <w:sz w:val="12"/>
          <w:szCs w:val="12"/>
          <w:color w:val="auto"/>
        </w:rPr>
        <w:t>th</w:t>
      </w:r>
      <w:r>
        <w:rPr>
          <w:rFonts w:ascii="Arial" w:cs="Arial" w:eastAsia="Arial" w:hAnsi="Arial"/>
          <w:sz w:val="17"/>
          <w:szCs w:val="17"/>
          <w:color w:val="auto"/>
        </w:rPr>
        <w:t xml:space="preserve"> percentile.</w:t>
      </w:r>
    </w:p>
    <w:p>
      <w:pPr>
        <w:spacing w:after="0" w:line="180"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For 2024 and the foreseeable future, the Committee revised the performance-based restricted stock program to incentivize superior performance and align with peer compensation practices. Under the revised program the named executive officers will have the opportunity to vest in up to 200% of their target long-term restricted stock awards.</w:t>
      </w:r>
    </w:p>
    <w:p>
      <w:pPr>
        <w:spacing w:after="0" w:line="175"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i w:val="1"/>
          <w:iCs w:val="1"/>
          <w:color w:val="auto"/>
        </w:rPr>
        <w:t>Revised Long-Term Metrics</w:t>
      </w:r>
      <w:r>
        <w:rPr>
          <w:rFonts w:ascii="Arial" w:cs="Arial" w:eastAsia="Arial" w:hAnsi="Arial"/>
          <w:sz w:val="17"/>
          <w:szCs w:val="17"/>
          <w:color w:val="auto"/>
        </w:rPr>
        <w:t>. For 2024 awards, the Committee has replaced cumulative adjusted EBITDA as a performance metric with a three-year adjusted net earnings compound growth rate (“CAGR”), and the Committee has eliminated the relative cash flow metric. The Committee has determined that an adjusted net earnings CAGR better aligns with Roper’s strategy of delivering consistent organic growth and disciplined capital deployment while reflecting the cost of capital utilized to support the Company’s strategy. Vesting of the 2024 target level performance-based restricted stock award will be contingent on the Company delivering a specified CAGR for adjusted net earnings for the 36-month performance period subject to a relative TSR performance modifier.</w:t>
      </w:r>
    </w:p>
    <w:p>
      <w:pPr>
        <w:spacing w:after="0" w:line="182" w:lineRule="exact"/>
        <w:rPr>
          <w:sz w:val="20"/>
          <w:szCs w:val="20"/>
          <w:color w:val="auto"/>
        </w:rPr>
      </w:pPr>
    </w:p>
    <w:p>
      <w:pPr>
        <w:ind w:left="120" w:right="380"/>
        <w:spacing w:after="0" w:line="249" w:lineRule="auto"/>
        <w:rPr>
          <w:sz w:val="20"/>
          <w:szCs w:val="20"/>
          <w:color w:val="auto"/>
        </w:rPr>
      </w:pPr>
      <w:r>
        <w:rPr>
          <w:rFonts w:ascii="Arial" w:cs="Arial" w:eastAsia="Arial" w:hAnsi="Arial"/>
          <w:sz w:val="17"/>
          <w:szCs w:val="17"/>
          <w:i w:val="1"/>
          <w:iCs w:val="1"/>
          <w:color w:val="auto"/>
        </w:rPr>
        <w:t>Overdrive Opportunity</w:t>
      </w:r>
      <w:r>
        <w:rPr>
          <w:rFonts w:ascii="Arial" w:cs="Arial" w:eastAsia="Arial" w:hAnsi="Arial"/>
          <w:sz w:val="17"/>
          <w:szCs w:val="17"/>
          <w:color w:val="auto"/>
        </w:rPr>
        <w:t>. As part of the performance-based restricted stock award for 2024, the named executive officers may vest in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shares up to an incremental 100% of their target-level number of shares (the “Overdrive Shares”) if the adjusted net earnings CAGR for the 36-month performance period exceeds 10% as set forth below:</w:t>
      </w:r>
    </w:p>
    <w:p>
      <w:pPr>
        <w:spacing w:after="0" w:line="80" w:lineRule="exact"/>
        <w:rPr>
          <w:sz w:val="20"/>
          <w:szCs w:val="20"/>
          <w:color w:val="auto"/>
        </w:rPr>
      </w:pPr>
    </w:p>
    <w:p>
      <w:pPr>
        <w:ind w:left="540" w:hanging="208"/>
        <w:spacing w:after="0"/>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Company achieves a 14% CAGR of adjusted net earnings over the performance period, 40% of the Overdrive Shares shall vest; and</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Company achieves an 18% CAGR of adjusted net earnings, an additional 60% of the Overdrive Shares shall vest.</w:t>
      </w:r>
    </w:p>
    <w:p>
      <w:pPr>
        <w:spacing w:after="0" w:line="210"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color w:val="auto"/>
        </w:rPr>
        <w:t>Straight-line interpolation will be used to determine the number of shares that vest between all target ranges (beginning at 10% CAGR with respect to Overdrive Shares).</w:t>
      </w:r>
    </w:p>
    <w:p>
      <w:pPr>
        <w:spacing w:after="0" w:line="15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i w:val="1"/>
          <w:iCs w:val="1"/>
          <w:color w:val="auto"/>
        </w:rPr>
        <w:t>TSR Modifier</w:t>
      </w:r>
      <w:r>
        <w:rPr>
          <w:rFonts w:ascii="Arial" w:cs="Arial" w:eastAsia="Arial" w:hAnsi="Arial"/>
          <w:sz w:val="17"/>
          <w:szCs w:val="17"/>
          <w:color w:val="auto"/>
        </w:rPr>
        <w:t>. The total number of performance-based shares (including Overdrive Shares) that vest, if any, will be subject to modification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the Company’s relative total shareholder return (“TSR”) over the 36-month performance period as follows:</w:t>
      </w:r>
    </w:p>
    <w:p>
      <w:pPr>
        <w:spacing w:after="0" w:line="65" w:lineRule="exact"/>
        <w:rPr>
          <w:sz w:val="20"/>
          <w:szCs w:val="20"/>
          <w:color w:val="auto"/>
        </w:rPr>
      </w:pPr>
    </w:p>
    <w:p>
      <w:pPr>
        <w:ind w:left="540" w:hanging="208"/>
        <w:spacing w:after="0"/>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Company’s TSR is at or below the 30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the number of shares vesting will be reduced by 25%;</w:t>
      </w:r>
    </w:p>
    <w:p>
      <w:pPr>
        <w:spacing w:after="0" w:line="115" w:lineRule="exact"/>
        <w:rPr>
          <w:rFonts w:ascii="Arial" w:cs="Arial" w:eastAsia="Arial" w:hAnsi="Arial"/>
          <w:sz w:val="17"/>
          <w:szCs w:val="17"/>
          <w:color w:val="auto"/>
        </w:rPr>
      </w:pPr>
    </w:p>
    <w:p>
      <w:pPr>
        <w:ind w:left="540" w:hanging="208"/>
        <w:spacing w:after="0"/>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Company’s TSR is at the 55</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no adjustment to the number of shares vesting shall be made; and</w:t>
      </w:r>
    </w:p>
    <w:p>
      <w:pPr>
        <w:spacing w:after="0" w:line="115" w:lineRule="exact"/>
        <w:rPr>
          <w:rFonts w:ascii="Arial" w:cs="Arial" w:eastAsia="Arial" w:hAnsi="Arial"/>
          <w:sz w:val="17"/>
          <w:szCs w:val="17"/>
          <w:color w:val="auto"/>
        </w:rPr>
      </w:pPr>
    </w:p>
    <w:p>
      <w:pPr>
        <w:ind w:left="540" w:right="420" w:hanging="208"/>
        <w:spacing w:after="0" w:line="267" w:lineRule="auto"/>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Company’s TSR is at or exceeds the 80</w:t>
      </w:r>
      <w:r>
        <w:rPr>
          <w:rFonts w:ascii="Arial" w:cs="Arial" w:eastAsia="Arial" w:hAnsi="Arial"/>
          <w:sz w:val="12"/>
          <w:szCs w:val="12"/>
          <w:color w:val="auto"/>
        </w:rPr>
        <w:t>th</w:t>
      </w:r>
      <w:r>
        <w:rPr>
          <w:rFonts w:ascii="Arial" w:cs="Arial" w:eastAsia="Arial" w:hAnsi="Arial"/>
          <w:sz w:val="17"/>
          <w:szCs w:val="17"/>
          <w:color w:val="auto"/>
        </w:rPr>
        <w:t xml:space="preserve"> percentile of the S&amp;P 500, an additional 25% of the shares shall vest, but not to exceed 200% of the target-level number of shares.</w:t>
      </w:r>
    </w:p>
    <w:p>
      <w:pPr>
        <w:spacing w:after="0" w:line="159"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color w:val="auto"/>
        </w:rPr>
        <w:t>Pro-rated vesting using straight-line interpolation between 30</w:t>
      </w:r>
      <w:r>
        <w:rPr>
          <w:rFonts w:ascii="Arial" w:cs="Arial" w:eastAsia="Arial" w:hAnsi="Arial"/>
          <w:sz w:val="12"/>
          <w:szCs w:val="12"/>
          <w:color w:val="auto"/>
        </w:rPr>
        <w:t>th</w:t>
      </w:r>
      <w:r>
        <w:rPr>
          <w:rFonts w:ascii="Arial" w:cs="Arial" w:eastAsia="Arial" w:hAnsi="Arial"/>
          <w:sz w:val="17"/>
          <w:szCs w:val="17"/>
          <w:color w:val="auto"/>
        </w:rPr>
        <w:t xml:space="preserve"> and 80</w:t>
      </w:r>
      <w:r>
        <w:rPr>
          <w:rFonts w:ascii="Arial" w:cs="Arial" w:eastAsia="Arial" w:hAnsi="Arial"/>
          <w:sz w:val="12"/>
          <w:szCs w:val="12"/>
          <w:color w:val="auto"/>
        </w:rPr>
        <w:t>th</w:t>
      </w:r>
      <w:r>
        <w:rPr>
          <w:rFonts w:ascii="Arial" w:cs="Arial" w:eastAsia="Arial" w:hAnsi="Arial"/>
          <w:sz w:val="17"/>
          <w:szCs w:val="17"/>
          <w:color w:val="auto"/>
        </w:rPr>
        <w:t xml:space="preserve"> percentiles of relative TSR shall be used to determine the applicable vesting percentage. However, in no event will a named executive officer earn more than 200% of their target-level shares.</w:t>
      </w:r>
    </w:p>
    <w:p>
      <w:pPr>
        <w:spacing w:after="0" w:line="114"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39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Prior Long-Term Stock Incentive Awards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January 2021 Awards</w:t>
      </w:r>
    </w:p>
    <w:p>
      <w:pPr>
        <w:spacing w:after="0" w:line="100"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color w:val="auto"/>
        </w:rPr>
        <w:t>In January 2021, Mr. Hunn was awarded 31,336 performance-based restricted shares subject to the below performance criteria for the 36-month performance period of October 2020 through September 2023. Messrs. Crisci, Stipancich and Conley had 4,957, 2,951, and 2,980 performance-based restricted shares remaining from their January 2021 awards, respectively, subject to the same 36-month performance period. These performance-based restricted shares vested in November 2023 following the Compensation Committee’s certification of the satisfaction of both of the performance criteria above the target payout threshold.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40" w:type="dxa"/>
            <w:vAlign w:val="bottom"/>
            <w:shd w:val="clear" w:color="auto" w:fill="005CB9"/>
          </w:tcPr>
          <w:p>
            <w:pPr>
              <w:spacing w:after="0"/>
              <w:rPr>
                <w:sz w:val="19"/>
                <w:szCs w:val="19"/>
                <w:color w:val="auto"/>
              </w:rPr>
            </w:pPr>
          </w:p>
        </w:tc>
        <w:tc>
          <w:tcPr>
            <w:tcW w:w="4720" w:type="dxa"/>
            <w:vAlign w:val="bottom"/>
            <w:shd w:val="clear" w:color="auto" w:fill="005CB9"/>
          </w:tcPr>
          <w:p>
            <w:pPr>
              <w:spacing w:after="0"/>
              <w:rPr>
                <w:sz w:val="19"/>
                <w:szCs w:val="19"/>
                <w:color w:val="auto"/>
              </w:rPr>
            </w:pPr>
          </w:p>
        </w:tc>
        <w:tc>
          <w:tcPr>
            <w:tcW w:w="1460" w:type="dxa"/>
            <w:vAlign w:val="bottom"/>
            <w:shd w:val="clear" w:color="auto" w:fill="005CB9"/>
          </w:tcPr>
          <w:p>
            <w:pPr>
              <w:spacing w:after="0"/>
              <w:rPr>
                <w:sz w:val="19"/>
                <w:szCs w:val="19"/>
                <w:color w:val="auto"/>
              </w:rPr>
            </w:pPr>
          </w:p>
        </w:tc>
        <w:tc>
          <w:tcPr>
            <w:tcW w:w="15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Minimum</w:t>
            </w:r>
          </w:p>
        </w:tc>
        <w:tc>
          <w:tcPr>
            <w:tcW w:w="16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Performance for</w:t>
            </w:r>
          </w:p>
        </w:tc>
        <w:tc>
          <w:tcPr>
            <w:tcW w:w="1440" w:type="dxa"/>
            <w:vAlign w:val="bottom"/>
            <w:shd w:val="clear" w:color="auto" w:fill="005CB9"/>
          </w:tcPr>
          <w:p>
            <w:pPr>
              <w:spacing w:after="0"/>
              <w:rPr>
                <w:sz w:val="19"/>
                <w:szCs w:val="19"/>
                <w:color w:val="auto"/>
              </w:rPr>
            </w:pPr>
          </w:p>
        </w:tc>
      </w:tr>
      <w:tr>
        <w:trPr>
          <w:trHeight w:val="162"/>
        </w:trPr>
        <w:tc>
          <w:tcPr>
            <w:tcW w:w="240" w:type="dxa"/>
            <w:vAlign w:val="bottom"/>
            <w:shd w:val="clear" w:color="auto" w:fill="005CB9"/>
          </w:tcPr>
          <w:p>
            <w:pPr>
              <w:spacing w:after="0"/>
              <w:rPr>
                <w:sz w:val="14"/>
                <w:szCs w:val="14"/>
                <w:color w:val="auto"/>
              </w:rPr>
            </w:pPr>
          </w:p>
        </w:tc>
        <w:tc>
          <w:tcPr>
            <w:tcW w:w="4720" w:type="dxa"/>
            <w:vAlign w:val="bottom"/>
            <w:shd w:val="clear" w:color="auto" w:fill="005CB9"/>
          </w:tcPr>
          <w:p>
            <w:pPr>
              <w:spacing w:after="0"/>
              <w:rPr>
                <w:sz w:val="14"/>
                <w:szCs w:val="14"/>
                <w:color w:val="auto"/>
              </w:rPr>
            </w:pPr>
          </w:p>
        </w:tc>
        <w:tc>
          <w:tcPr>
            <w:tcW w:w="1460" w:type="dxa"/>
            <w:vAlign w:val="bottom"/>
            <w:shd w:val="clear" w:color="auto" w:fill="005CB9"/>
          </w:tcPr>
          <w:p>
            <w:pPr>
              <w:spacing w:after="0"/>
              <w:rPr>
                <w:sz w:val="14"/>
                <w:szCs w:val="14"/>
                <w:color w:val="auto"/>
              </w:rPr>
            </w:pPr>
          </w:p>
        </w:tc>
        <w:tc>
          <w:tcPr>
            <w:tcW w:w="15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Threshold for</w:t>
            </w:r>
          </w:p>
        </w:tc>
        <w:tc>
          <w:tcPr>
            <w:tcW w:w="1600" w:type="dxa"/>
            <w:vAlign w:val="bottom"/>
            <w:shd w:val="clear" w:color="auto" w:fill="005CB9"/>
          </w:tcPr>
          <w:p>
            <w:pPr>
              <w:jc w:val="center"/>
              <w:spacing w:after="0"/>
              <w:rPr>
                <w:sz w:val="20"/>
                <w:szCs w:val="20"/>
                <w:color w:val="auto"/>
              </w:rPr>
            </w:pPr>
            <w:r>
              <w:rPr>
                <w:rFonts w:ascii="Arial" w:cs="Arial" w:eastAsia="Arial" w:hAnsi="Arial"/>
                <w:sz w:val="14"/>
                <w:szCs w:val="14"/>
                <w:color w:val="FFFFFF"/>
                <w:w w:val="98"/>
              </w:rPr>
              <w:t>Target</w:t>
            </w: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Actual</w:t>
            </w:r>
          </w:p>
        </w:tc>
      </w:tr>
      <w:tr>
        <w:trPr>
          <w:trHeight w:val="185"/>
        </w:trPr>
        <w:tc>
          <w:tcPr>
            <w:tcW w:w="240" w:type="dxa"/>
            <w:vAlign w:val="bottom"/>
            <w:shd w:val="clear" w:color="auto" w:fill="005CB9"/>
          </w:tcPr>
          <w:p>
            <w:pPr>
              <w:spacing w:after="0"/>
              <w:rPr>
                <w:sz w:val="16"/>
                <w:szCs w:val="16"/>
                <w:color w:val="auto"/>
              </w:rPr>
            </w:pPr>
          </w:p>
        </w:tc>
        <w:tc>
          <w:tcPr>
            <w:tcW w:w="4720" w:type="dxa"/>
            <w:vAlign w:val="bottom"/>
            <w:shd w:val="clear" w:color="auto" w:fill="005CB9"/>
          </w:tcPr>
          <w:p>
            <w:pPr>
              <w:ind w:left="1540"/>
              <w:spacing w:after="0"/>
              <w:rPr>
                <w:sz w:val="20"/>
                <w:szCs w:val="20"/>
                <w:color w:val="auto"/>
              </w:rPr>
            </w:pPr>
            <w:r>
              <w:rPr>
                <w:rFonts w:ascii="Arial" w:cs="Arial" w:eastAsia="Arial" w:hAnsi="Arial"/>
                <w:sz w:val="14"/>
                <w:szCs w:val="14"/>
                <w:color w:val="FFFFFF"/>
              </w:rPr>
              <w:t> Performance Criteria</w:t>
            </w:r>
          </w:p>
        </w:tc>
        <w:tc>
          <w:tcPr>
            <w:tcW w:w="1460" w:type="dxa"/>
            <w:vAlign w:val="bottom"/>
            <w:shd w:val="clear" w:color="auto" w:fill="005CB9"/>
          </w:tcPr>
          <w:p>
            <w:pPr>
              <w:jc w:val="right"/>
              <w:ind w:right="179"/>
              <w:spacing w:after="0"/>
              <w:rPr>
                <w:sz w:val="20"/>
                <w:szCs w:val="20"/>
                <w:color w:val="auto"/>
              </w:rPr>
            </w:pPr>
            <w:r>
              <w:rPr>
                <w:rFonts w:ascii="Arial" w:cs="Arial" w:eastAsia="Arial" w:hAnsi="Arial"/>
                <w:sz w:val="14"/>
                <w:szCs w:val="14"/>
                <w:color w:val="FFFFFF"/>
              </w:rPr>
              <w:t>   Weight </w:t>
            </w:r>
          </w:p>
        </w:tc>
        <w:tc>
          <w:tcPr>
            <w:tcW w:w="156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Payout</w:t>
            </w:r>
          </w:p>
        </w:tc>
        <w:tc>
          <w:tcPr>
            <w:tcW w:w="160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Payout</w:t>
            </w:r>
          </w:p>
        </w:tc>
        <w:tc>
          <w:tcPr>
            <w:tcW w:w="144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Performance</w:t>
            </w:r>
          </w:p>
        </w:tc>
      </w:tr>
      <w:tr>
        <w:trPr>
          <w:trHeight w:val="270"/>
        </w:trPr>
        <w:tc>
          <w:tcPr>
            <w:tcW w:w="4960" w:type="dxa"/>
            <w:vAlign w:val="bottom"/>
            <w:gridSpan w:val="2"/>
            <w:shd w:val="clear" w:color="auto" w:fill="CCDEF1"/>
          </w:tcPr>
          <w:p>
            <w:pPr>
              <w:spacing w:after="0"/>
              <w:rPr>
                <w:sz w:val="20"/>
                <w:szCs w:val="20"/>
                <w:color w:val="auto"/>
              </w:rPr>
            </w:pPr>
            <w:r>
              <w:rPr>
                <w:rFonts w:ascii="Arial" w:cs="Arial" w:eastAsia="Arial" w:hAnsi="Arial"/>
                <w:sz w:val="17"/>
                <w:szCs w:val="17"/>
                <w:color w:val="auto"/>
              </w:rPr>
              <w:t> Adjusted EBITDA*</w:t>
            </w:r>
          </w:p>
        </w:tc>
        <w:tc>
          <w:tcPr>
            <w:tcW w:w="1460" w:type="dxa"/>
            <w:vAlign w:val="bottom"/>
            <w:shd w:val="clear" w:color="auto" w:fill="CCDEF1"/>
          </w:tcPr>
          <w:p>
            <w:pPr>
              <w:jc w:val="right"/>
              <w:ind w:right="259"/>
              <w:spacing w:after="0"/>
              <w:rPr>
                <w:sz w:val="20"/>
                <w:szCs w:val="20"/>
                <w:color w:val="auto"/>
              </w:rPr>
            </w:pPr>
            <w:r>
              <w:rPr>
                <w:rFonts w:ascii="Arial" w:cs="Arial" w:eastAsia="Arial" w:hAnsi="Arial"/>
                <w:sz w:val="17"/>
                <w:szCs w:val="17"/>
                <w:color w:val="auto"/>
              </w:rPr>
              <w:t>50%</w:t>
            </w:r>
          </w:p>
        </w:tc>
        <w:tc>
          <w:tcPr>
            <w:tcW w:w="156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$5.049 billion</w:t>
            </w:r>
          </w:p>
        </w:tc>
        <w:tc>
          <w:tcPr>
            <w:tcW w:w="160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$5.449 billion</w:t>
            </w:r>
          </w:p>
        </w:tc>
        <w:tc>
          <w:tcPr>
            <w:tcW w:w="1440" w:type="dxa"/>
            <w:vAlign w:val="bottom"/>
            <w:shd w:val="clear" w:color="auto" w:fill="CCDEF1"/>
          </w:tcPr>
          <w:p>
            <w:pPr>
              <w:jc w:val="center"/>
              <w:spacing w:after="0"/>
              <w:rPr>
                <w:sz w:val="20"/>
                <w:szCs w:val="20"/>
                <w:color w:val="auto"/>
              </w:rPr>
            </w:pPr>
            <w:r>
              <w:rPr>
                <w:rFonts w:ascii="Arial" w:cs="Arial" w:eastAsia="Arial" w:hAnsi="Arial"/>
                <w:sz w:val="17"/>
                <w:szCs w:val="17"/>
                <w:color w:val="auto"/>
                <w:w w:val="99"/>
              </w:rPr>
              <w:t>$7.189 billion</w:t>
            </w:r>
          </w:p>
        </w:tc>
      </w:tr>
      <w:tr>
        <w:trPr>
          <w:trHeight w:val="68"/>
        </w:trPr>
        <w:tc>
          <w:tcPr>
            <w:tcW w:w="4960" w:type="dxa"/>
            <w:vAlign w:val="bottom"/>
            <w:gridSpan w:val="2"/>
            <w:shd w:val="clear" w:color="auto" w:fill="CCDEF1"/>
          </w:tcPr>
          <w:p>
            <w:pPr>
              <w:spacing w:after="0"/>
              <w:rPr>
                <w:sz w:val="5"/>
                <w:szCs w:val="5"/>
                <w:color w:val="auto"/>
              </w:rPr>
            </w:pPr>
          </w:p>
        </w:tc>
        <w:tc>
          <w:tcPr>
            <w:tcW w:w="1460" w:type="dxa"/>
            <w:vAlign w:val="bottom"/>
            <w:shd w:val="clear" w:color="auto" w:fill="CCDEF1"/>
          </w:tcPr>
          <w:p>
            <w:pPr>
              <w:spacing w:after="0"/>
              <w:rPr>
                <w:sz w:val="5"/>
                <w:szCs w:val="5"/>
                <w:color w:val="auto"/>
              </w:rPr>
            </w:pPr>
          </w:p>
        </w:tc>
        <w:tc>
          <w:tcPr>
            <w:tcW w:w="1560" w:type="dxa"/>
            <w:vAlign w:val="bottom"/>
            <w:shd w:val="clear" w:color="auto" w:fill="CCDEF1"/>
          </w:tcPr>
          <w:p>
            <w:pPr>
              <w:spacing w:after="0"/>
              <w:rPr>
                <w:sz w:val="5"/>
                <w:szCs w:val="5"/>
                <w:color w:val="auto"/>
              </w:rPr>
            </w:pPr>
          </w:p>
        </w:tc>
        <w:tc>
          <w:tcPr>
            <w:tcW w:w="1600" w:type="dxa"/>
            <w:vAlign w:val="bottom"/>
            <w:shd w:val="clear" w:color="auto" w:fill="CCDEF1"/>
          </w:tcPr>
          <w:p>
            <w:pPr>
              <w:spacing w:after="0"/>
              <w:rPr>
                <w:sz w:val="5"/>
                <w:szCs w:val="5"/>
                <w:color w:val="auto"/>
              </w:rPr>
            </w:pPr>
          </w:p>
        </w:tc>
        <w:tc>
          <w:tcPr>
            <w:tcW w:w="1440" w:type="dxa"/>
            <w:vAlign w:val="bottom"/>
            <w:shd w:val="clear" w:color="auto" w:fill="CCDEF1"/>
          </w:tcPr>
          <w:p>
            <w:pPr>
              <w:spacing w:after="0"/>
              <w:rPr>
                <w:sz w:val="5"/>
                <w:szCs w:val="5"/>
                <w:color w:val="auto"/>
              </w:rPr>
            </w:pPr>
          </w:p>
        </w:tc>
      </w:tr>
      <w:tr>
        <w:trPr>
          <w:trHeight w:val="270"/>
        </w:trPr>
        <w:tc>
          <w:tcPr>
            <w:tcW w:w="4960" w:type="dxa"/>
            <w:vAlign w:val="bottom"/>
            <w:gridSpan w:val="2"/>
          </w:tcPr>
          <w:p>
            <w:pPr>
              <w:spacing w:after="0"/>
              <w:rPr>
                <w:sz w:val="20"/>
                <w:szCs w:val="20"/>
                <w:color w:val="auto"/>
              </w:rPr>
            </w:pPr>
            <w:r>
              <w:rPr>
                <w:rFonts w:ascii="Arial" w:cs="Arial" w:eastAsia="Arial" w:hAnsi="Arial"/>
                <w:sz w:val="17"/>
                <w:szCs w:val="17"/>
                <w:color w:val="auto"/>
              </w:rPr>
              <w:t> Adjusted Operating Cash Flow*</w:t>
            </w:r>
          </w:p>
        </w:tc>
        <w:tc>
          <w:tcPr>
            <w:tcW w:w="1460" w:type="dxa"/>
            <w:vAlign w:val="bottom"/>
          </w:tcPr>
          <w:p>
            <w:pPr>
              <w:jc w:val="right"/>
              <w:ind w:right="259"/>
              <w:spacing w:after="0"/>
              <w:rPr>
                <w:sz w:val="20"/>
                <w:szCs w:val="20"/>
                <w:color w:val="auto"/>
              </w:rPr>
            </w:pPr>
            <w:r>
              <w:rPr>
                <w:rFonts w:ascii="Arial" w:cs="Arial" w:eastAsia="Arial" w:hAnsi="Arial"/>
                <w:sz w:val="17"/>
                <w:szCs w:val="17"/>
                <w:color w:val="auto"/>
              </w:rPr>
              <w:t>50%</w:t>
            </w:r>
          </w:p>
        </w:tc>
        <w:tc>
          <w:tcPr>
            <w:tcW w:w="1560" w:type="dxa"/>
            <w:vAlign w:val="bottom"/>
          </w:tcPr>
          <w:p>
            <w:pPr>
              <w:jc w:val="center"/>
              <w:spacing w:after="0"/>
              <w:rPr>
                <w:sz w:val="20"/>
                <w:szCs w:val="20"/>
                <w:color w:val="auto"/>
              </w:rPr>
            </w:pPr>
            <w:r>
              <w:rPr>
                <w:rFonts w:ascii="Arial" w:cs="Arial" w:eastAsia="Arial" w:hAnsi="Arial"/>
                <w:sz w:val="17"/>
                <w:szCs w:val="17"/>
                <w:color w:val="auto"/>
              </w:rPr>
              <w:t>50</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1600" w:type="dxa"/>
            <w:vAlign w:val="bottom"/>
          </w:tcPr>
          <w:p>
            <w:pPr>
              <w:jc w:val="center"/>
              <w:spacing w:after="0"/>
              <w:rPr>
                <w:sz w:val="20"/>
                <w:szCs w:val="20"/>
                <w:color w:val="auto"/>
              </w:rPr>
            </w:pPr>
            <w:r>
              <w:rPr>
                <w:rFonts w:ascii="Arial" w:cs="Arial" w:eastAsia="Arial" w:hAnsi="Arial"/>
                <w:sz w:val="17"/>
                <w:szCs w:val="17"/>
                <w:color w:val="auto"/>
              </w:rPr>
              <w:t>75</w:t>
            </w:r>
            <w:r>
              <w:rPr>
                <w:rFonts w:ascii="Arial" w:cs="Arial" w:eastAsia="Arial" w:hAnsi="Arial"/>
                <w:sz w:val="12"/>
                <w:szCs w:val="12"/>
                <w:color w:val="auto"/>
              </w:rPr>
              <w:t>th</w:t>
            </w:r>
            <w:r>
              <w:rPr>
                <w:rFonts w:ascii="Arial" w:cs="Arial" w:eastAsia="Arial" w:hAnsi="Arial"/>
                <w:sz w:val="17"/>
                <w:szCs w:val="17"/>
                <w:color w:val="auto"/>
              </w:rPr>
              <w:t xml:space="preserve"> Percentile</w:t>
            </w:r>
          </w:p>
        </w:tc>
        <w:tc>
          <w:tcPr>
            <w:tcW w:w="1440" w:type="dxa"/>
            <w:vAlign w:val="bottom"/>
          </w:tcPr>
          <w:p>
            <w:pPr>
              <w:jc w:val="center"/>
              <w:spacing w:after="0"/>
              <w:rPr>
                <w:sz w:val="20"/>
                <w:szCs w:val="20"/>
                <w:color w:val="auto"/>
              </w:rPr>
            </w:pPr>
            <w:r>
              <w:rPr>
                <w:rFonts w:ascii="Arial" w:cs="Arial" w:eastAsia="Arial" w:hAnsi="Arial"/>
                <w:sz w:val="17"/>
                <w:szCs w:val="17"/>
                <w:color w:val="auto"/>
              </w:rPr>
              <w:t>92</w:t>
            </w:r>
            <w:r>
              <w:rPr>
                <w:rFonts w:ascii="Arial" w:cs="Arial" w:eastAsia="Arial" w:hAnsi="Arial"/>
                <w:sz w:val="12"/>
                <w:szCs w:val="12"/>
                <w:color w:val="auto"/>
              </w:rPr>
              <w:t>nd</w:t>
            </w:r>
            <w:r>
              <w:rPr>
                <w:rFonts w:ascii="Arial" w:cs="Arial" w:eastAsia="Arial" w:hAnsi="Arial"/>
                <w:sz w:val="17"/>
                <w:szCs w:val="17"/>
                <w:color w:val="auto"/>
              </w:rPr>
              <w:t xml:space="preserve"> Percentile</w:t>
            </w:r>
          </w:p>
        </w:tc>
      </w:tr>
      <w:tr>
        <w:trPr>
          <w:trHeight w:val="248"/>
        </w:trPr>
        <w:tc>
          <w:tcPr>
            <w:tcW w:w="240" w:type="dxa"/>
            <w:vAlign w:val="bottom"/>
          </w:tcPr>
          <w:p>
            <w:pPr>
              <w:spacing w:after="0"/>
              <w:rPr>
                <w:sz w:val="20"/>
                <w:szCs w:val="20"/>
                <w:color w:val="auto"/>
              </w:rPr>
            </w:pPr>
            <w:r>
              <w:rPr>
                <w:rFonts w:ascii="Arial" w:cs="Arial" w:eastAsia="Arial" w:hAnsi="Arial"/>
                <w:sz w:val="14"/>
                <w:szCs w:val="14"/>
                <w:color w:val="auto"/>
              </w:rPr>
              <w:t>*</w:t>
            </w:r>
          </w:p>
        </w:tc>
        <w:tc>
          <w:tcPr>
            <w:tcW w:w="4720" w:type="dxa"/>
            <w:vAlign w:val="bottom"/>
          </w:tcPr>
          <w:p>
            <w:pPr>
              <w:ind w:left="180"/>
              <w:spacing w:after="0"/>
              <w:rPr>
                <w:sz w:val="20"/>
                <w:szCs w:val="20"/>
                <w:color w:val="auto"/>
              </w:rPr>
            </w:pPr>
            <w:r>
              <w:rPr>
                <w:rFonts w:ascii="Arial" w:cs="Arial" w:eastAsia="Arial" w:hAnsi="Arial"/>
                <w:sz w:val="14"/>
                <w:szCs w:val="14"/>
                <w:color w:val="auto"/>
              </w:rPr>
              <w:t>As described above.</w:t>
            </w:r>
          </w:p>
        </w:tc>
        <w:tc>
          <w:tcPr>
            <w:tcW w:w="1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 ABOUT OUR PROGRAM</w:t>
      </w:r>
    </w:p>
    <w:p>
      <w:pPr>
        <w:spacing w:after="0" w:line="104"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Other arrangements and considerations important to a shareholder’s understanding of our overall executive compensation program are described below.</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Share Ownership and Retention Guidelines</w:t>
      </w:r>
    </w:p>
    <w:p>
      <w:pPr>
        <w:spacing w:after="0" w:line="9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We believe named executive officers should have a significant equity interest in the Company. To promote equity ownership and further align the interests of our named executive officers with those of our shareholders, we adopted share ownership and retention guidelines for our named executive officers. The guidelines are expected to be achieved within five years. Until the ownership requirements are met, a named executive officer must retain 60% of any applicable shares received (on a net after tax basis) under our equity compensation program. At the end of fiscal 2023, all named executive officers were in compliance with our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179705</wp:posOffset>
            </wp:positionV>
            <wp:extent cx="3420110" cy="2489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0110" cy="24892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2680" w:type="dxa"/>
            <w:vAlign w:val="bottom"/>
            <w:shd w:val="clear" w:color="auto" w:fill="005CB9"/>
          </w:tcPr>
          <w:p>
            <w:pPr>
              <w:ind w:left="1080"/>
              <w:spacing w:after="0"/>
              <w:rPr>
                <w:sz w:val="20"/>
                <w:szCs w:val="20"/>
                <w:color w:val="auto"/>
              </w:rPr>
            </w:pPr>
            <w:r>
              <w:rPr>
                <w:rFonts w:ascii="Arial" w:cs="Arial" w:eastAsia="Arial" w:hAnsi="Arial"/>
                <w:sz w:val="14"/>
                <w:szCs w:val="14"/>
                <w:color w:val="FFFFFF"/>
              </w:rPr>
              <w:t>Position</w:t>
            </w:r>
          </w:p>
        </w:tc>
        <w:tc>
          <w:tcPr>
            <w:tcW w:w="620" w:type="dxa"/>
            <w:vAlign w:val="bottom"/>
            <w:tcBorders>
              <w:bottom w:val="single" w:sz="8" w:color="005CB9"/>
            </w:tcBorders>
            <w:shd w:val="clear" w:color="auto" w:fill="005CB9"/>
          </w:tcPr>
          <w:p>
            <w:pPr>
              <w:spacing w:after="0"/>
              <w:rPr>
                <w:sz w:val="19"/>
                <w:szCs w:val="19"/>
                <w:color w:val="auto"/>
              </w:rPr>
            </w:pPr>
          </w:p>
        </w:tc>
        <w:tc>
          <w:tcPr>
            <w:tcW w:w="1980" w:type="dxa"/>
            <w:vAlign w:val="bottom"/>
            <w:shd w:val="clear" w:color="auto" w:fill="005CB9"/>
          </w:tcPr>
          <w:p>
            <w:pPr>
              <w:jc w:val="center"/>
              <w:spacing w:after="0"/>
              <w:rPr>
                <w:sz w:val="20"/>
                <w:szCs w:val="20"/>
                <w:color w:val="auto"/>
              </w:rPr>
            </w:pPr>
            <w:r>
              <w:rPr>
                <w:rFonts w:ascii="Arial" w:cs="Arial" w:eastAsia="Arial" w:hAnsi="Arial"/>
                <w:sz w:val="14"/>
                <w:szCs w:val="14"/>
                <w:color w:val="FFFFFF"/>
              </w:rPr>
              <w:t>Share Ownership Multiple</w:t>
            </w:r>
          </w:p>
        </w:tc>
      </w:tr>
      <w:tr>
        <w:trPr>
          <w:trHeight w:val="201"/>
        </w:trPr>
        <w:tc>
          <w:tcPr>
            <w:tcW w:w="2680" w:type="dxa"/>
            <w:vAlign w:val="bottom"/>
          </w:tcPr>
          <w:p>
            <w:pPr>
              <w:spacing w:after="0"/>
              <w:rPr>
                <w:sz w:val="20"/>
                <w:szCs w:val="20"/>
                <w:color w:val="auto"/>
              </w:rPr>
            </w:pPr>
            <w:r>
              <w:rPr>
                <w:rFonts w:ascii="Arial" w:cs="Arial" w:eastAsia="Arial" w:hAnsi="Arial"/>
                <w:sz w:val="17"/>
                <w:szCs w:val="17"/>
                <w:color w:val="auto"/>
              </w:rPr>
              <w:t>CEO</w:t>
            </w:r>
          </w:p>
        </w:tc>
        <w:tc>
          <w:tcPr>
            <w:tcW w:w="62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9"/>
              </w:rPr>
              <w:t>7 times base salary</w:t>
            </w:r>
          </w:p>
        </w:tc>
      </w:tr>
      <w:tr>
        <w:trPr>
          <w:trHeight w:val="225"/>
        </w:trPr>
        <w:tc>
          <w:tcPr>
            <w:tcW w:w="2680" w:type="dxa"/>
            <w:vAlign w:val="bottom"/>
          </w:tcPr>
          <w:p>
            <w:pPr>
              <w:spacing w:after="0"/>
              <w:rPr>
                <w:sz w:val="20"/>
                <w:szCs w:val="20"/>
                <w:color w:val="auto"/>
              </w:rPr>
            </w:pPr>
            <w:r>
              <w:rPr>
                <w:rFonts w:ascii="Arial" w:cs="Arial" w:eastAsia="Arial" w:hAnsi="Arial"/>
                <w:sz w:val="17"/>
                <w:szCs w:val="17"/>
                <w:color w:val="auto"/>
              </w:rPr>
              <w:t>Other Named Executive Officers</w:t>
            </w:r>
          </w:p>
        </w:tc>
        <w:tc>
          <w:tcPr>
            <w:tcW w:w="62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7"/>
                <w:szCs w:val="17"/>
                <w:color w:val="auto"/>
                <w:w w:val="99"/>
              </w:rPr>
              <w:t>3 times base salary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FFFFFF"/>
        </w:rPr>
        <w:t>Shares Included</w:t>
      </w:r>
    </w:p>
    <w:p>
      <w:pPr>
        <w:spacing w:after="0" w:line="56" w:lineRule="exact"/>
        <w:rPr>
          <w:sz w:val="20"/>
          <w:szCs w:val="20"/>
          <w:color w:val="auto"/>
        </w:rPr>
      </w:pPr>
    </w:p>
    <w:p>
      <w:pPr>
        <w:ind w:left="160" w:hanging="170"/>
        <w:spacing w:after="0" w:line="244" w:lineRule="auto"/>
        <w:rPr>
          <w:sz w:val="20"/>
          <w:szCs w:val="20"/>
          <w:color w:val="auto"/>
        </w:rPr>
      </w:pPr>
      <w:r>
        <w:rPr>
          <w:rFonts w:ascii="Arial" w:cs="Arial" w:eastAsia="Arial" w:hAnsi="Arial"/>
          <w:sz w:val="17"/>
          <w:szCs w:val="17"/>
          <w:color w:val="auto"/>
        </w:rPr>
        <w:t>•   Shares in which the executive or his or her spouse or child has a direct or indirect interest; and</w:t>
      </w:r>
    </w:p>
    <w:p>
      <w:pPr>
        <w:spacing w:after="0" w:line="29" w:lineRule="exact"/>
        <w:rPr>
          <w:sz w:val="20"/>
          <w:szCs w:val="20"/>
          <w:color w:val="auto"/>
        </w:rPr>
      </w:pPr>
    </w:p>
    <w:p>
      <w:pPr>
        <w:ind w:left="160" w:right="240" w:hanging="170"/>
        <w:spacing w:after="0" w:line="249" w:lineRule="auto"/>
        <w:rPr>
          <w:sz w:val="20"/>
          <w:szCs w:val="20"/>
          <w:color w:val="auto"/>
        </w:rPr>
      </w:pPr>
      <w:r>
        <w:rPr>
          <w:rFonts w:ascii="Arial" w:cs="Arial" w:eastAsia="Arial" w:hAnsi="Arial"/>
          <w:sz w:val="17"/>
          <w:szCs w:val="17"/>
          <w:color w:val="auto"/>
        </w:rPr>
        <w:t>•   Shares owned in 401(k), savings, and profit sharing plans.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ind w:left="420"/>
        <w:spacing w:after="0"/>
        <w:rPr>
          <w:sz w:val="20"/>
          <w:szCs w:val="20"/>
          <w:color w:val="auto"/>
        </w:rPr>
      </w:pPr>
      <w:r>
        <w:rPr>
          <w:rFonts w:ascii="Arial" w:cs="Arial" w:eastAsia="Arial" w:hAnsi="Arial"/>
          <w:sz w:val="14"/>
          <w:szCs w:val="14"/>
          <w:color w:val="FFFFFF"/>
        </w:rPr>
        <w:t>Shares Not Included</w:t>
      </w:r>
    </w:p>
    <w:p>
      <w:pPr>
        <w:spacing w:after="0" w:line="29" w:lineRule="exact"/>
        <w:rPr>
          <w:sz w:val="20"/>
          <w:szCs w:val="20"/>
          <w:color w:val="auto"/>
        </w:rPr>
      </w:pPr>
    </w:p>
    <w:p>
      <w:pPr>
        <w:ind w:right="420" w:hanging="170"/>
        <w:spacing w:after="0" w:line="250" w:lineRule="auto"/>
        <w:rPr>
          <w:sz w:val="20"/>
          <w:szCs w:val="20"/>
          <w:color w:val="auto"/>
        </w:rPr>
      </w:pPr>
      <w:r>
        <w:rPr>
          <w:rFonts w:ascii="Arial" w:cs="Arial" w:eastAsia="Arial" w:hAnsi="Arial"/>
          <w:sz w:val="17"/>
          <w:szCs w:val="17"/>
          <w:color w:val="auto"/>
        </w:rPr>
        <w:t>•   Vested or unvested stock options; and</w:t>
      </w:r>
    </w:p>
    <w:p>
      <w:pPr>
        <w:spacing w:after="0" w:line="24" w:lineRule="exact"/>
        <w:rPr>
          <w:sz w:val="20"/>
          <w:szCs w:val="20"/>
          <w:color w:val="auto"/>
        </w:rPr>
      </w:pPr>
    </w:p>
    <w:p>
      <w:pPr>
        <w:ind w:right="80" w:hanging="170"/>
        <w:spacing w:after="0" w:line="267" w:lineRule="auto"/>
        <w:rPr>
          <w:sz w:val="20"/>
          <w:szCs w:val="20"/>
          <w:color w:val="auto"/>
        </w:rPr>
      </w:pPr>
      <w:r>
        <w:rPr>
          <w:rFonts w:ascii="Arial" w:cs="Arial" w:eastAsia="Arial" w:hAnsi="Arial"/>
          <w:sz w:val="17"/>
          <w:szCs w:val="17"/>
          <w:color w:val="auto"/>
        </w:rPr>
        <w:t>•   Unvested performance-based equity awards.</w:t>
      </w:r>
    </w:p>
    <w:p>
      <w:pPr>
        <w:spacing w:after="0" w:line="751" w:lineRule="exact"/>
        <w:rPr>
          <w:sz w:val="20"/>
          <w:szCs w:val="20"/>
          <w:color w:val="auto"/>
        </w:rPr>
      </w:pPr>
    </w:p>
    <w:p>
      <w:pPr>
        <w:sectPr>
          <w:pgSz w:w="11900" w:h="16838" w:orient="portrait"/>
          <w:cols w:equalWidth="0" w:num="3">
            <w:col w:w="5400" w:space="520"/>
            <w:col w:w="2400" w:space="500"/>
            <w:col w:w="2320"/>
          </w:cols>
          <w:pgMar w:left="320" w:top="482" w:right="439" w:bottom="1440" w:gutter="0" w:footer="0" w:header="0"/>
          <w:type w:val="continuous"/>
        </w:sectPr>
      </w:pPr>
    </w:p>
    <w:p>
      <w:pPr>
        <w:spacing w:after="0" w:line="159"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41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9" w:lineRule="exact"/>
        <w:rPr>
          <w:sz w:val="20"/>
          <w:szCs w:val="20"/>
          <w:color w:val="auto"/>
        </w:rPr>
      </w:pPr>
    </w:p>
    <w:p>
      <w:pPr>
        <w:ind w:left="120" w:right="80"/>
        <w:spacing w:after="0" w:line="412" w:lineRule="auto"/>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r>
        <w:rPr>
          <w:rFonts w:ascii="Arial" w:cs="Arial" w:eastAsia="Arial" w:hAnsi="Arial"/>
          <w:sz w:val="18"/>
          <w:szCs w:val="18"/>
          <w:color w:val="005CB9"/>
        </w:rPr>
        <w:t xml:space="preserve"> </w:t>
      </w:r>
      <w:r>
        <w:rPr>
          <w:rFonts w:ascii="Arial" w:cs="Arial" w:eastAsia="Arial" w:hAnsi="Arial"/>
          <w:sz w:val="18"/>
          <w:szCs w:val="18"/>
          <w:b w:val="1"/>
          <w:bCs w:val="1"/>
          <w:i w:val="1"/>
          <w:iCs w:val="1"/>
          <w:color w:val="005CB9"/>
        </w:rPr>
        <w:t>Anti-Hedging and Anti-Pledging Policy</w:t>
      </w:r>
    </w:p>
    <w:p>
      <w:pPr>
        <w:spacing w:after="0" w:line="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prohibit our named executive officers and directors from engaging in transactions involving derivative instruments with respect to Company securities, and other securities immediately convertible or exchangeable into Company securities, and from pledging shares of Company common stock. The numbers of shares pledged as of the date of the adoption of the policy in January 2015 are excepted from this policy. Consistent with this exception, as of March 31, 2024, Christopher Wright directly held 33,688 shares in a margin account. In addition, 14,500 shares indirectly held by Mr. Wright (of which he has continuing beneficial ownership of 1%) are also held in a margin account. Mr. Wright is the only individual to whom this exception applies.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“Clawback” Policy</w:t>
      </w:r>
    </w:p>
    <w:p>
      <w:pPr>
        <w:spacing w:after="0" w:line="9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Effective October 2, 2023, we adopted a Compensation Clawback Policy (the “Clawback Policy”), which complies with the final rules and listing standards promulgated and adopted by the SEC and Nasdaq. The Clawback Policy provides for the prompt recovery (or clawback) of certain excess incentive-based compensation received during an applicable three-year recovery period by current or former executive officers in the event we are required to prepare an accounting restatement due to material noncompliance with any financial reporting requirement under the securities laws. Triggering events include accounting restatements to correct an error in previously issued financial statements that is material to such previously issued financial statements, or that would result in a material misstatement if the error were corrected in the current period or left uncorrected in the current period. Excess incentive-based compensation for these purposes generally means the amount of incentive-based compensation received (on or after October 2, 2023) by such executive officer that exceeds the amount of incentive-based compensation that would have been received by such executive officer had it been determined based on the restated amounts, without regard to any taxes paid. Incentive-based compensation potentially subject to recovery under the Clawback Policy is in general limited to any compensation granted, earned or vested based wholly</w:t>
      </w:r>
    </w:p>
    <w:p>
      <w:pPr>
        <w:spacing w:after="0" w:line="28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 w:right="780"/>
        <w:spacing w:after="0" w:line="267" w:lineRule="auto"/>
        <w:rPr>
          <w:sz w:val="20"/>
          <w:szCs w:val="20"/>
          <w:color w:val="auto"/>
        </w:rPr>
      </w:pPr>
      <w:r>
        <w:rPr>
          <w:rFonts w:ascii="Arial" w:cs="Arial" w:eastAsia="Arial" w:hAnsi="Arial"/>
          <w:sz w:val="17"/>
          <w:szCs w:val="17"/>
          <w:color w:val="auto"/>
        </w:rPr>
        <w:t>or in part on the attainment of one or more financial reporting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-1075690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1" w:lineRule="exact"/>
        <w:rPr>
          <w:sz w:val="20"/>
          <w:szCs w:val="20"/>
          <w:color w:val="auto"/>
        </w:rPr>
      </w:pPr>
    </w:p>
    <w:p>
      <w:pPr>
        <w:jc w:val="both"/>
        <w:ind w:left="6"/>
        <w:spacing w:after="0" w:line="235" w:lineRule="auto"/>
        <w:rPr>
          <w:sz w:val="20"/>
          <w:szCs w:val="20"/>
          <w:color w:val="auto"/>
        </w:rPr>
      </w:pPr>
      <w:r>
        <w:rPr>
          <w:rFonts w:ascii="Arial" w:cs="Arial" w:eastAsia="Arial" w:hAnsi="Arial"/>
          <w:sz w:val="17"/>
          <w:szCs w:val="17"/>
          <w:color w:val="auto"/>
        </w:rPr>
        <w:t>In general, we may utilize a broad range of recoupment methods under the Clawback Policy. The Clawback Policy does not condition clawback on the fault of the executive officer, but we are not required to clawback amounts in limited circumstances where the Compensation Committee has made a determination that recovery would be impracticable and:</w:t>
      </w:r>
    </w:p>
    <w:p>
      <w:pPr>
        <w:spacing w:after="0" w:line="4" w:lineRule="exact"/>
        <w:rPr>
          <w:sz w:val="20"/>
          <w:szCs w:val="20"/>
          <w:color w:val="auto"/>
        </w:rPr>
      </w:pPr>
    </w:p>
    <w:p>
      <w:pPr>
        <w:ind w:left="6" w:right="20" w:hanging="6"/>
        <w:spacing w:after="0" w:line="234" w:lineRule="auto"/>
        <w:tabs>
          <w:tab w:leader="none" w:pos="263" w:val="left"/>
        </w:tabs>
        <w:numPr>
          <w:ilvl w:val="0"/>
          <w:numId w:val="55"/>
        </w:numPr>
        <w:rPr>
          <w:rFonts w:ascii="Arial" w:cs="Arial" w:eastAsia="Arial" w:hAnsi="Arial"/>
          <w:sz w:val="17"/>
          <w:szCs w:val="17"/>
          <w:color w:val="auto"/>
        </w:rPr>
      </w:pPr>
      <w:r>
        <w:rPr>
          <w:rFonts w:ascii="Arial" w:cs="Arial" w:eastAsia="Arial" w:hAnsi="Arial"/>
          <w:sz w:val="17"/>
          <w:szCs w:val="17"/>
          <w:color w:val="auto"/>
        </w:rPr>
        <w:t>we have already attempted to recover such amounts but the direct expenses paid to a third-party in an effort to enforce the Clawback Policy would exceed the amount to be recovered, (2) the recovery of amounts would violate applicable home country law, or (3) the recovery would cause the non-compliance of a tax-qualified retirement plan under the Internal Revenue Code and applicable regulations. Operation of the Clawback Policy is subject to a brief phase-in process during the first few years after its effectiveness. We may not indemnify any such executive officer against the loss of such recovered compensation.</w:t>
      </w:r>
    </w:p>
    <w:p>
      <w:pPr>
        <w:spacing w:after="0" w:line="18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005CB9"/>
        </w:rPr>
        <w:t>Regulatory Considerations</w:t>
      </w:r>
    </w:p>
    <w:p>
      <w:pPr>
        <w:spacing w:after="0" w:line="98" w:lineRule="exact"/>
        <w:rPr>
          <w:sz w:val="20"/>
          <w:szCs w:val="20"/>
          <w:color w:val="auto"/>
        </w:rPr>
      </w:pPr>
    </w:p>
    <w:p>
      <w:pPr>
        <w:ind w:left="6"/>
        <w:spacing w:after="0" w:line="237" w:lineRule="auto"/>
        <w:rPr>
          <w:sz w:val="20"/>
          <w:szCs w:val="20"/>
          <w:color w:val="auto"/>
        </w:rPr>
      </w:pPr>
      <w:r>
        <w:rPr>
          <w:rFonts w:ascii="Arial" w:cs="Arial" w:eastAsia="Arial" w:hAnsi="Arial"/>
          <w:sz w:val="17"/>
          <w:szCs w:val="17"/>
          <w:color w:val="auto"/>
        </w:rPr>
        <w:t>Effective for taxable years beginning after December 31, 2017, the Tax Cuts and Jobs Act changed certain aspects of executive compensation, including elimination of a Company’s ability to deduct “performance-based” compensation in excess of $1 million to named executive officers under Section 162(m) of the Code. We will continue to consider tax implications in making compensation decisions and, when believed to be in the best long-term interests of our shareholders, we may provide compensation that is not fully deductible.</w:t>
      </w:r>
    </w:p>
    <w:p>
      <w:pPr>
        <w:spacing w:after="0" w:line="76" w:lineRule="exact"/>
        <w:rPr>
          <w:sz w:val="20"/>
          <w:szCs w:val="20"/>
          <w:color w:val="auto"/>
        </w:rPr>
      </w:pPr>
    </w:p>
    <w:p>
      <w:pPr>
        <w:ind w:left="6" w:right="40"/>
        <w:spacing w:after="0" w:line="238" w:lineRule="auto"/>
        <w:rPr>
          <w:sz w:val="20"/>
          <w:szCs w:val="20"/>
          <w:color w:val="auto"/>
        </w:rPr>
      </w:pPr>
      <w:r>
        <w:rPr>
          <w:rFonts w:ascii="Arial" w:cs="Arial" w:eastAsia="Arial" w:hAnsi="Arial"/>
          <w:sz w:val="17"/>
          <w:szCs w:val="17"/>
          <w:color w:val="auto"/>
        </w:rPr>
        <w:t>In making decisions about executive compensation, we also consider the impact of other regulatory provisions, including Section 409A of the Code regarding non-qualified deferred compensation and</w:t>
      </w:r>
    </w:p>
    <w:p>
      <w:pPr>
        <w:spacing w:after="0" w:line="1" w:lineRule="exact"/>
        <w:rPr>
          <w:sz w:val="20"/>
          <w:szCs w:val="20"/>
          <w:color w:val="auto"/>
        </w:rPr>
      </w:pPr>
    </w:p>
    <w:p>
      <w:pPr>
        <w:ind w:left="6"/>
        <w:spacing w:after="0" w:line="236" w:lineRule="auto"/>
        <w:rPr>
          <w:sz w:val="20"/>
          <w:szCs w:val="20"/>
          <w:color w:val="auto"/>
        </w:rPr>
      </w:pPr>
      <w:r>
        <w:rPr>
          <w:rFonts w:ascii="Arial" w:cs="Arial" w:eastAsia="Arial" w:hAnsi="Arial"/>
          <w:sz w:val="17"/>
          <w:szCs w:val="17"/>
          <w:color w:val="auto"/>
        </w:rPr>
        <w:t>Section 280G of the Code regarding compensation pursuant to a change in control. We also consider how various elements of compensation will impact our financial results. For example, ASC Topic 718, the accounting standard that determines the cost to be recognized for equity awards, is considered when awarding stock options and restricted stock awards.</w:t>
      </w:r>
    </w:p>
    <w:p>
      <w:pPr>
        <w:sectPr>
          <w:pgSz w:w="11900" w:h="16838" w:orient="portrait"/>
          <w:cols w:equalWidth="0" w:num="2">
            <w:col w:w="5400" w:space="334"/>
            <w:col w:w="5386"/>
          </w:cols>
          <w:pgMar w:left="320" w:top="482"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COMPENSATION DISCUSSION AND ANALYSIS </w:t>
      </w:r>
      <w:r>
        <w:rPr>
          <w:rFonts w:ascii="Arial" w:cs="Arial" w:eastAsia="Arial" w:hAnsi="Arial"/>
          <w:sz w:val="18"/>
          <w:szCs w:val="18"/>
          <w:i w:val="1"/>
          <w:iCs w:val="1"/>
          <w:color w:val="005CB9"/>
        </w:rPr>
        <w:t>(CONTINUED)</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INTERLOCKS AND INSIDER PARTICIPATION</w:t>
      </w:r>
    </w:p>
    <w:p>
      <w:pPr>
        <w:spacing w:after="0" w:line="338"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During 2023, Mses. Thatcher and Brinkley and Messrs. Johnson, Joyce and Wright served on the Compensation Committee. No member of the Compensation Committee was, during 2023, an officer or employee of the Company, was formerly an officer of the Company, or had any relationship requiring disclosure by the Company as a related party transaction under Item 404 of Regulation S-K under the Securities Act of 1933 (the “Securities Act”). During 2023, none of the Company’s executive officers served on either the board of directors or the compensation committee of any other entity, any officers of which served on either the Board of Directors or the Compensation Committee of the Company.</w:t>
      </w:r>
    </w:p>
    <w:p>
      <w:pPr>
        <w:spacing w:after="0" w:line="38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COMPENSATION COMMITTEE REPORT</w:t>
      </w:r>
    </w:p>
    <w:p>
      <w:pPr>
        <w:spacing w:after="0" w:line="338"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color w:val="auto"/>
        </w:rPr>
        <w:t>We have reviewed and discussed the foregoing Compensation Discussion and Analysis with management. Based on our review and discussion with management, we have recommended to the Board of Directors that the Compensation Discussion and Analysis be included in this Proxy Statement and incorporated by reference into our Annual Report on Form 10-K for the year ended December 31, 2023.</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Submitted by: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Laura G. Thatcher, Chair</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Amy Woods Brinkley</w:t>
      </w:r>
    </w:p>
    <w:p>
      <w:pPr>
        <w:ind w:left="560"/>
        <w:spacing w:after="0" w:line="232" w:lineRule="auto"/>
        <w:rPr>
          <w:sz w:val="20"/>
          <w:szCs w:val="20"/>
          <w:color w:val="auto"/>
        </w:rPr>
      </w:pPr>
      <w:r>
        <w:rPr>
          <w:rFonts w:ascii="Arial" w:cs="Arial" w:eastAsia="Arial" w:hAnsi="Arial"/>
          <w:sz w:val="17"/>
          <w:szCs w:val="17"/>
          <w:color w:val="auto"/>
        </w:rPr>
        <w:t>Robert D. Johnson</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rPr>
          <w:sz w:val="20"/>
          <w:szCs w:val="20"/>
          <w:color w:val="auto"/>
        </w:rPr>
      </w:pPr>
      <w:r>
        <w:rPr>
          <w:rFonts w:ascii="Arial" w:cs="Arial" w:eastAsia="Arial" w:hAnsi="Arial"/>
          <w:sz w:val="17"/>
          <w:szCs w:val="17"/>
          <w:color w:val="auto"/>
        </w:rPr>
        <w:t>Christopher Wright</w:t>
      </w:r>
    </w:p>
    <w:p>
      <w:pPr>
        <w:spacing w:after="0" w:line="148"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43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EXECUTIVE COMPENSATION</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compensation earned by our named executive officers in the fiscal years noted.</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Summary Compensation Table</w:t>
      </w:r>
    </w:p>
    <w:p>
      <w:pPr>
        <w:spacing w:after="0" w:line="24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40" w:type="dxa"/>
            <w:vAlign w:val="bottom"/>
            <w:shd w:val="clear" w:color="auto" w:fill="005CB9"/>
          </w:tcPr>
          <w:p>
            <w:pPr>
              <w:spacing w:after="0"/>
              <w:rPr>
                <w:sz w:val="13"/>
                <w:szCs w:val="13"/>
                <w:color w:val="auto"/>
              </w:rPr>
            </w:pPr>
          </w:p>
        </w:tc>
        <w:tc>
          <w:tcPr>
            <w:tcW w:w="520" w:type="dxa"/>
            <w:vAlign w:val="bottom"/>
            <w:shd w:val="clear" w:color="auto" w:fill="005CB9"/>
          </w:tcPr>
          <w:p>
            <w:pPr>
              <w:spacing w:after="0"/>
              <w:rPr>
                <w:sz w:val="13"/>
                <w:szCs w:val="13"/>
                <w:color w:val="auto"/>
              </w:rPr>
            </w:pPr>
          </w:p>
        </w:tc>
        <w:tc>
          <w:tcPr>
            <w:tcW w:w="820" w:type="dxa"/>
            <w:vAlign w:val="bottom"/>
            <w:shd w:val="clear" w:color="auto" w:fill="005CB9"/>
          </w:tcPr>
          <w:p>
            <w:pPr>
              <w:spacing w:after="0"/>
              <w:rPr>
                <w:sz w:val="13"/>
                <w:szCs w:val="13"/>
                <w:color w:val="auto"/>
              </w:rPr>
            </w:pPr>
          </w:p>
        </w:tc>
        <w:tc>
          <w:tcPr>
            <w:tcW w:w="880" w:type="dxa"/>
            <w:vAlign w:val="bottom"/>
            <w:shd w:val="clear" w:color="auto" w:fill="005CB9"/>
          </w:tcPr>
          <w:p>
            <w:pPr>
              <w:spacing w:after="0"/>
              <w:rPr>
                <w:sz w:val="13"/>
                <w:szCs w:val="13"/>
                <w:color w:val="auto"/>
              </w:rPr>
            </w:pPr>
          </w:p>
        </w:tc>
        <w:tc>
          <w:tcPr>
            <w:tcW w:w="800" w:type="dxa"/>
            <w:vAlign w:val="bottom"/>
            <w:shd w:val="clear" w:color="auto" w:fill="005CB9"/>
          </w:tcPr>
          <w:p>
            <w:pPr>
              <w:spacing w:after="0"/>
              <w:rPr>
                <w:sz w:val="13"/>
                <w:szCs w:val="13"/>
                <w:color w:val="auto"/>
              </w:rPr>
            </w:pPr>
          </w:p>
        </w:tc>
        <w:tc>
          <w:tcPr>
            <w:tcW w:w="11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Non-Equity</w:t>
            </w:r>
          </w:p>
        </w:tc>
        <w:tc>
          <w:tcPr>
            <w:tcW w:w="1080" w:type="dxa"/>
            <w:vAlign w:val="bottom"/>
            <w:shd w:val="clear" w:color="auto" w:fill="005CB9"/>
          </w:tcPr>
          <w:p>
            <w:pPr>
              <w:spacing w:after="0"/>
              <w:rPr>
                <w:sz w:val="13"/>
                <w:szCs w:val="13"/>
                <w:color w:val="auto"/>
              </w:rPr>
            </w:pPr>
          </w:p>
        </w:tc>
        <w:tc>
          <w:tcPr>
            <w:tcW w:w="1020" w:type="dxa"/>
            <w:vAlign w:val="bottom"/>
            <w:shd w:val="clear" w:color="auto" w:fill="005CB9"/>
          </w:tcPr>
          <w:p>
            <w:pPr>
              <w:spacing w:after="0"/>
              <w:rPr>
                <w:sz w:val="13"/>
                <w:szCs w:val="13"/>
                <w:color w:val="auto"/>
              </w:rPr>
            </w:pPr>
          </w:p>
        </w:tc>
      </w:tr>
      <w:tr>
        <w:trPr>
          <w:trHeight w:val="148"/>
        </w:trPr>
        <w:tc>
          <w:tcPr>
            <w:tcW w:w="4740" w:type="dxa"/>
            <w:vAlign w:val="bottom"/>
            <w:shd w:val="clear" w:color="auto" w:fill="005CB9"/>
          </w:tcPr>
          <w:p>
            <w:pPr>
              <w:spacing w:after="0"/>
              <w:rPr>
                <w:sz w:val="12"/>
                <w:szCs w:val="12"/>
                <w:color w:val="auto"/>
              </w:rPr>
            </w:pPr>
          </w:p>
        </w:tc>
        <w:tc>
          <w:tcPr>
            <w:tcW w:w="52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880" w:type="dxa"/>
            <w:vAlign w:val="bottom"/>
            <w:shd w:val="clear" w:color="auto" w:fill="005CB9"/>
          </w:tcPr>
          <w:p>
            <w:pPr>
              <w:spacing w:after="0"/>
              <w:rPr>
                <w:sz w:val="12"/>
                <w:szCs w:val="12"/>
                <w:color w:val="auto"/>
              </w:rPr>
            </w:pPr>
          </w:p>
        </w:tc>
        <w:tc>
          <w:tcPr>
            <w:tcW w:w="800" w:type="dxa"/>
            <w:vAlign w:val="bottom"/>
            <w:shd w:val="clear" w:color="auto" w:fill="005CB9"/>
          </w:tcPr>
          <w:p>
            <w:pPr>
              <w:spacing w:after="0"/>
              <w:rPr>
                <w:sz w:val="12"/>
                <w:szCs w:val="12"/>
                <w:color w:val="auto"/>
              </w:rPr>
            </w:pPr>
          </w:p>
        </w:tc>
        <w:tc>
          <w:tcPr>
            <w:tcW w:w="11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Incentive</w:t>
            </w:r>
          </w:p>
        </w:tc>
        <w:tc>
          <w:tcPr>
            <w:tcW w:w="1080" w:type="dxa"/>
            <w:vAlign w:val="bottom"/>
            <w:shd w:val="clear" w:color="auto" w:fill="005CB9"/>
          </w:tcPr>
          <w:p>
            <w:pPr>
              <w:spacing w:after="0"/>
              <w:rPr>
                <w:sz w:val="12"/>
                <w:szCs w:val="12"/>
                <w:color w:val="auto"/>
              </w:rPr>
            </w:pPr>
          </w:p>
        </w:tc>
        <w:tc>
          <w:tcPr>
            <w:tcW w:w="1020" w:type="dxa"/>
            <w:vAlign w:val="bottom"/>
            <w:shd w:val="clear" w:color="auto" w:fill="005CB9"/>
          </w:tcPr>
          <w:p>
            <w:pPr>
              <w:spacing w:after="0"/>
              <w:rPr>
                <w:sz w:val="12"/>
                <w:szCs w:val="12"/>
                <w:color w:val="auto"/>
              </w:rPr>
            </w:pPr>
          </w:p>
        </w:tc>
      </w:tr>
      <w:tr>
        <w:trPr>
          <w:trHeight w:val="148"/>
        </w:trPr>
        <w:tc>
          <w:tcPr>
            <w:tcW w:w="4740" w:type="dxa"/>
            <w:vAlign w:val="bottom"/>
            <w:shd w:val="clear" w:color="auto" w:fill="005CB9"/>
          </w:tcPr>
          <w:p>
            <w:pPr>
              <w:spacing w:after="0"/>
              <w:rPr>
                <w:sz w:val="12"/>
                <w:szCs w:val="12"/>
                <w:color w:val="auto"/>
              </w:rPr>
            </w:pPr>
          </w:p>
        </w:tc>
        <w:tc>
          <w:tcPr>
            <w:tcW w:w="520" w:type="dxa"/>
            <w:vAlign w:val="bottom"/>
            <w:shd w:val="clear" w:color="auto" w:fill="005CB9"/>
          </w:tcPr>
          <w:p>
            <w:pPr>
              <w:spacing w:after="0"/>
              <w:rPr>
                <w:sz w:val="12"/>
                <w:szCs w:val="12"/>
                <w:color w:val="auto"/>
              </w:rPr>
            </w:pPr>
          </w:p>
        </w:tc>
        <w:tc>
          <w:tcPr>
            <w:tcW w:w="820" w:type="dxa"/>
            <w:vAlign w:val="bottom"/>
            <w:shd w:val="clear" w:color="auto" w:fill="005CB9"/>
          </w:tcPr>
          <w:p>
            <w:pPr>
              <w:spacing w:after="0"/>
              <w:rPr>
                <w:sz w:val="12"/>
                <w:szCs w:val="12"/>
                <w:color w:val="auto"/>
              </w:rPr>
            </w:pPr>
          </w:p>
        </w:tc>
        <w:tc>
          <w:tcPr>
            <w:tcW w:w="88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Stock</w:t>
            </w:r>
          </w:p>
        </w:tc>
        <w:tc>
          <w:tcPr>
            <w:tcW w:w="80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Option</w:t>
            </w:r>
          </w:p>
        </w:tc>
        <w:tc>
          <w:tcPr>
            <w:tcW w:w="11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Plan</w:t>
            </w:r>
          </w:p>
        </w:tc>
        <w:tc>
          <w:tcPr>
            <w:tcW w:w="10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All Other</w:t>
            </w:r>
          </w:p>
        </w:tc>
        <w:tc>
          <w:tcPr>
            <w:tcW w:w="1020" w:type="dxa"/>
            <w:vAlign w:val="bottom"/>
            <w:shd w:val="clear" w:color="auto" w:fill="005CB9"/>
          </w:tcPr>
          <w:p>
            <w:pPr>
              <w:jc w:val="right"/>
              <w:ind w:right="29"/>
              <w:spacing w:after="0"/>
              <w:rPr>
                <w:sz w:val="20"/>
                <w:szCs w:val="20"/>
                <w:color w:val="auto"/>
              </w:rPr>
            </w:pPr>
            <w:r>
              <w:rPr>
                <w:rFonts w:ascii="Arial" w:cs="Arial" w:eastAsia="Arial" w:hAnsi="Arial"/>
                <w:sz w:val="13"/>
                <w:szCs w:val="13"/>
                <w:color w:val="FFFFFF"/>
              </w:rPr>
              <w:t>Total</w:t>
            </w:r>
          </w:p>
        </w:tc>
      </w:tr>
      <w:tr>
        <w:trPr>
          <w:trHeight w:val="149"/>
        </w:trPr>
        <w:tc>
          <w:tcPr>
            <w:tcW w:w="4740" w:type="dxa"/>
            <w:vAlign w:val="bottom"/>
            <w:shd w:val="clear" w:color="auto" w:fill="005CB9"/>
          </w:tcPr>
          <w:p>
            <w:pPr>
              <w:spacing w:after="0"/>
              <w:rPr>
                <w:sz w:val="20"/>
                <w:szCs w:val="20"/>
                <w:color w:val="auto"/>
              </w:rPr>
            </w:pPr>
            <w:r>
              <w:rPr>
                <w:rFonts w:ascii="Arial" w:cs="Arial" w:eastAsia="Arial" w:hAnsi="Arial"/>
                <w:sz w:val="13"/>
                <w:szCs w:val="13"/>
                <w:color w:val="FFFFFF"/>
              </w:rPr>
              <w:t> Name and</w:t>
            </w:r>
          </w:p>
        </w:tc>
        <w:tc>
          <w:tcPr>
            <w:tcW w:w="520" w:type="dxa"/>
            <w:vAlign w:val="bottom"/>
            <w:shd w:val="clear" w:color="auto" w:fill="005CB9"/>
          </w:tcPr>
          <w:p>
            <w:pPr>
              <w:spacing w:after="0"/>
              <w:rPr>
                <w:sz w:val="12"/>
                <w:szCs w:val="12"/>
                <w:color w:val="auto"/>
              </w:rPr>
            </w:pPr>
          </w:p>
        </w:tc>
        <w:tc>
          <w:tcPr>
            <w:tcW w:w="82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Salary</w:t>
            </w:r>
            <w:r>
              <w:rPr>
                <w:rFonts w:ascii="Arial" w:cs="Arial" w:eastAsia="Arial" w:hAnsi="Arial"/>
                <w:sz w:val="6"/>
                <w:szCs w:val="6"/>
                <w:color w:val="FFFFFF"/>
              </w:rPr>
              <w:t>(1)</w:t>
            </w:r>
          </w:p>
        </w:tc>
        <w:tc>
          <w:tcPr>
            <w:tcW w:w="88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Awards</w:t>
            </w:r>
            <w:r>
              <w:rPr>
                <w:rFonts w:ascii="Arial" w:cs="Arial" w:eastAsia="Arial" w:hAnsi="Arial"/>
                <w:sz w:val="6"/>
                <w:szCs w:val="6"/>
                <w:color w:val="FFFFFF"/>
              </w:rPr>
              <w:t>(2)</w:t>
            </w:r>
          </w:p>
        </w:tc>
        <w:tc>
          <w:tcPr>
            <w:tcW w:w="80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Awards</w:t>
            </w:r>
            <w:r>
              <w:rPr>
                <w:rFonts w:ascii="Arial" w:cs="Arial" w:eastAsia="Arial" w:hAnsi="Arial"/>
                <w:sz w:val="6"/>
                <w:szCs w:val="6"/>
                <w:color w:val="FFFFFF"/>
              </w:rPr>
              <w:t>(2)</w:t>
            </w:r>
          </w:p>
        </w:tc>
        <w:tc>
          <w:tcPr>
            <w:tcW w:w="11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Compensation</w:t>
            </w:r>
            <w:r>
              <w:rPr>
                <w:rFonts w:ascii="Arial" w:cs="Arial" w:eastAsia="Arial" w:hAnsi="Arial"/>
                <w:sz w:val="6"/>
                <w:szCs w:val="6"/>
                <w:color w:val="FFFFFF"/>
              </w:rPr>
              <w:t>(1)(3)</w:t>
            </w:r>
          </w:p>
        </w:tc>
        <w:tc>
          <w:tcPr>
            <w:tcW w:w="10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Compensation</w:t>
            </w:r>
            <w:r>
              <w:rPr>
                <w:rFonts w:ascii="Arial" w:cs="Arial" w:eastAsia="Arial" w:hAnsi="Arial"/>
                <w:sz w:val="6"/>
                <w:szCs w:val="6"/>
                <w:color w:val="FFFFFF"/>
              </w:rPr>
              <w:t>(4)</w:t>
            </w:r>
          </w:p>
        </w:tc>
        <w:tc>
          <w:tcPr>
            <w:tcW w:w="1020" w:type="dxa"/>
            <w:vAlign w:val="bottom"/>
            <w:shd w:val="clear" w:color="auto" w:fill="005CB9"/>
          </w:tcPr>
          <w:p>
            <w:pPr>
              <w:jc w:val="right"/>
              <w:ind w:right="29"/>
              <w:spacing w:after="0"/>
              <w:rPr>
                <w:sz w:val="20"/>
                <w:szCs w:val="20"/>
                <w:color w:val="auto"/>
              </w:rPr>
            </w:pPr>
            <w:r>
              <w:rPr>
                <w:rFonts w:ascii="Arial" w:cs="Arial" w:eastAsia="Arial" w:hAnsi="Arial"/>
                <w:sz w:val="13"/>
                <w:szCs w:val="13"/>
                <w:color w:val="FFFFFF"/>
              </w:rPr>
              <w:t>Compensation</w:t>
            </w:r>
          </w:p>
        </w:tc>
      </w:tr>
      <w:tr>
        <w:trPr>
          <w:trHeight w:val="175"/>
        </w:trPr>
        <w:tc>
          <w:tcPr>
            <w:tcW w:w="4740" w:type="dxa"/>
            <w:vAlign w:val="bottom"/>
            <w:shd w:val="clear" w:color="auto" w:fill="005CB9"/>
          </w:tcPr>
          <w:p>
            <w:pPr>
              <w:spacing w:after="0"/>
              <w:rPr>
                <w:sz w:val="20"/>
                <w:szCs w:val="20"/>
                <w:color w:val="auto"/>
              </w:rPr>
            </w:pPr>
            <w:r>
              <w:rPr>
                <w:rFonts w:ascii="Arial" w:cs="Arial" w:eastAsia="Arial" w:hAnsi="Arial"/>
                <w:sz w:val="13"/>
                <w:szCs w:val="13"/>
                <w:color w:val="FFFFFF"/>
              </w:rPr>
              <w:t> Principal Position</w:t>
            </w:r>
          </w:p>
        </w:tc>
        <w:tc>
          <w:tcPr>
            <w:tcW w:w="520" w:type="dxa"/>
            <w:vAlign w:val="bottom"/>
            <w:shd w:val="clear" w:color="auto" w:fill="005CB9"/>
          </w:tcPr>
          <w:p>
            <w:pPr>
              <w:jc w:val="right"/>
              <w:ind w:right="8"/>
              <w:spacing w:after="0"/>
              <w:rPr>
                <w:sz w:val="20"/>
                <w:szCs w:val="20"/>
                <w:color w:val="auto"/>
              </w:rPr>
            </w:pPr>
            <w:r>
              <w:rPr>
                <w:rFonts w:ascii="Arial" w:cs="Arial" w:eastAsia="Arial" w:hAnsi="Arial"/>
                <w:sz w:val="13"/>
                <w:szCs w:val="13"/>
                <w:color w:val="FFFFFF"/>
              </w:rPr>
              <w:t>Year</w:t>
            </w:r>
          </w:p>
        </w:tc>
        <w:tc>
          <w:tcPr>
            <w:tcW w:w="82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w:t>
            </w:r>
          </w:p>
        </w:tc>
        <w:tc>
          <w:tcPr>
            <w:tcW w:w="880" w:type="dxa"/>
            <w:vAlign w:val="bottom"/>
            <w:shd w:val="clear" w:color="auto" w:fill="005CB9"/>
          </w:tcPr>
          <w:p>
            <w:pPr>
              <w:jc w:val="right"/>
              <w:ind w:right="9"/>
              <w:spacing w:after="0"/>
              <w:rPr>
                <w:sz w:val="20"/>
                <w:szCs w:val="20"/>
                <w:color w:val="auto"/>
              </w:rPr>
            </w:pPr>
            <w:r>
              <w:rPr>
                <w:rFonts w:ascii="Arial" w:cs="Arial" w:eastAsia="Arial" w:hAnsi="Arial"/>
                <w:sz w:val="13"/>
                <w:szCs w:val="13"/>
                <w:color w:val="FFFFFF"/>
              </w:rPr>
              <w:t>($)</w:t>
            </w:r>
          </w:p>
        </w:tc>
        <w:tc>
          <w:tcPr>
            <w:tcW w:w="80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1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0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w:t>
            </w:r>
          </w:p>
        </w:tc>
        <w:tc>
          <w:tcPr>
            <w:tcW w:w="102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 xml:space="preserve">($) </w:t>
            </w:r>
          </w:p>
        </w:tc>
      </w:tr>
      <w:tr>
        <w:trPr>
          <w:trHeight w:val="241"/>
        </w:trPr>
        <w:tc>
          <w:tcPr>
            <w:tcW w:w="4740" w:type="dxa"/>
            <w:vAlign w:val="bottom"/>
            <w:shd w:val="clear" w:color="auto" w:fill="E5EEF8"/>
          </w:tcPr>
          <w:p>
            <w:pPr>
              <w:spacing w:after="0"/>
              <w:rPr>
                <w:sz w:val="20"/>
                <w:szCs w:val="20"/>
                <w:color w:val="auto"/>
              </w:rPr>
            </w:pPr>
            <w:r>
              <w:rPr>
                <w:rFonts w:ascii="Arial" w:cs="Arial" w:eastAsia="Arial" w:hAnsi="Arial"/>
                <w:sz w:val="14"/>
                <w:szCs w:val="14"/>
                <w:b w:val="1"/>
                <w:bCs w:val="1"/>
                <w:color w:val="005CB9"/>
              </w:rPr>
              <w:t> L. Neil Hunn</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1,000,000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13,982,907</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4,632,002</w:t>
            </w:r>
          </w:p>
        </w:tc>
        <w:tc>
          <w:tcPr>
            <w:tcW w:w="11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21,168,465</w:t>
            </w:r>
          </w:p>
        </w:tc>
        <w:tc>
          <w:tcPr>
            <w:tcW w:w="10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512,211</w:t>
            </w: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41,295,585  </w:t>
            </w:r>
          </w:p>
        </w:tc>
      </w:tr>
      <w:tr>
        <w:trPr>
          <w:trHeight w:val="210"/>
        </w:trPr>
        <w:tc>
          <w:tcPr>
            <w:tcW w:w="4740" w:type="dxa"/>
            <w:vAlign w:val="bottom"/>
            <w:shd w:val="clear" w:color="auto" w:fill="E5EEF8"/>
          </w:tcPr>
          <w:p>
            <w:pPr>
              <w:spacing w:after="0"/>
              <w:rPr>
                <w:sz w:val="20"/>
                <w:szCs w:val="20"/>
                <w:color w:val="auto"/>
              </w:rPr>
            </w:pPr>
            <w:r>
              <w:rPr>
                <w:rFonts w:ascii="Arial" w:cs="Arial" w:eastAsia="Arial" w:hAnsi="Arial"/>
                <w:sz w:val="14"/>
                <w:szCs w:val="14"/>
                <w:color w:val="auto"/>
              </w:rPr>
              <w:t> President and Chief</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1,000,000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13,896,152</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4,632,053</w:t>
            </w:r>
          </w:p>
        </w:tc>
        <w:tc>
          <w:tcPr>
            <w:tcW w:w="11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2,000,000</w:t>
            </w:r>
          </w:p>
        </w:tc>
        <w:tc>
          <w:tcPr>
            <w:tcW w:w="10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365,160</w:t>
            </w:r>
          </w:p>
        </w:tc>
        <w:tc>
          <w:tcPr>
            <w:tcW w:w="10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21,893,365</w:t>
            </w:r>
          </w:p>
        </w:tc>
      </w:tr>
      <w:tr>
        <w:trPr>
          <w:trHeight w:val="216"/>
        </w:trPr>
        <w:tc>
          <w:tcPr>
            <w:tcW w:w="4740" w:type="dxa"/>
            <w:vAlign w:val="bottom"/>
            <w:shd w:val="clear" w:color="auto" w:fill="E5EEF8"/>
          </w:tcPr>
          <w:p>
            <w:pPr>
              <w:spacing w:after="0"/>
              <w:rPr>
                <w:sz w:val="20"/>
                <w:szCs w:val="20"/>
                <w:color w:val="auto"/>
              </w:rPr>
            </w:pPr>
            <w:r>
              <w:rPr>
                <w:rFonts w:ascii="Arial" w:cs="Arial" w:eastAsia="Arial" w:hAnsi="Arial"/>
                <w:sz w:val="14"/>
                <w:szCs w:val="14"/>
                <w:color w:val="auto"/>
              </w:rPr>
              <w:t> Executive Officer</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1,000,000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12,946,468</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4,425,029</w:t>
            </w:r>
          </w:p>
        </w:tc>
        <w:tc>
          <w:tcPr>
            <w:tcW w:w="11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3,000,000</w:t>
            </w:r>
          </w:p>
        </w:tc>
        <w:tc>
          <w:tcPr>
            <w:tcW w:w="10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160,558</w:t>
            </w:r>
          </w:p>
        </w:tc>
        <w:tc>
          <w:tcPr>
            <w:tcW w:w="10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21,532,055</w:t>
            </w:r>
          </w:p>
        </w:tc>
      </w:tr>
      <w:tr>
        <w:trPr>
          <w:trHeight w:val="76"/>
        </w:trPr>
        <w:tc>
          <w:tcPr>
            <w:tcW w:w="4740" w:type="dxa"/>
            <w:vAlign w:val="bottom"/>
            <w:shd w:val="clear" w:color="auto" w:fill="E5EEF8"/>
          </w:tcPr>
          <w:p>
            <w:pPr>
              <w:spacing w:after="0"/>
              <w:rPr>
                <w:sz w:val="6"/>
                <w:szCs w:val="6"/>
                <w:color w:val="auto"/>
              </w:rPr>
            </w:pPr>
          </w:p>
        </w:tc>
        <w:tc>
          <w:tcPr>
            <w:tcW w:w="5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88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1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020" w:type="dxa"/>
            <w:vAlign w:val="bottom"/>
            <w:shd w:val="clear" w:color="auto" w:fill="E5EEF8"/>
          </w:tcPr>
          <w:p>
            <w:pPr>
              <w:spacing w:after="0"/>
              <w:rPr>
                <w:sz w:val="6"/>
                <w:szCs w:val="6"/>
                <w:color w:val="auto"/>
              </w:rPr>
            </w:pPr>
          </w:p>
        </w:tc>
      </w:tr>
      <w:tr>
        <w:trPr>
          <w:trHeight w:val="281"/>
        </w:trPr>
        <w:tc>
          <w:tcPr>
            <w:tcW w:w="4740" w:type="dxa"/>
            <w:vAlign w:val="bottom"/>
          </w:tcPr>
          <w:p>
            <w:pPr>
              <w:spacing w:after="0"/>
              <w:rPr>
                <w:sz w:val="20"/>
                <w:szCs w:val="20"/>
                <w:color w:val="auto"/>
              </w:rPr>
            </w:pPr>
            <w:r>
              <w:rPr>
                <w:rFonts w:ascii="Arial" w:cs="Arial" w:eastAsia="Arial" w:hAnsi="Arial"/>
                <w:sz w:val="14"/>
                <w:szCs w:val="14"/>
                <w:b w:val="1"/>
                <w:bCs w:val="1"/>
                <w:color w:val="005CB9"/>
              </w:rPr>
              <w:t> Jason P. Conley</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675,000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3,773,437</w:t>
            </w:r>
          </w:p>
        </w:tc>
        <w:tc>
          <w:tcPr>
            <w:tcW w:w="800" w:type="dxa"/>
            <w:vAlign w:val="bottom"/>
          </w:tcPr>
          <w:p>
            <w:pPr>
              <w:jc w:val="right"/>
              <w:spacing w:after="0"/>
              <w:rPr>
                <w:sz w:val="20"/>
                <w:szCs w:val="20"/>
                <w:color w:val="auto"/>
              </w:rPr>
            </w:pPr>
            <w:r>
              <w:rPr>
                <w:rFonts w:ascii="Arial" w:cs="Arial" w:eastAsia="Arial" w:hAnsi="Arial"/>
                <w:sz w:val="14"/>
                <w:szCs w:val="14"/>
                <w:color w:val="auto"/>
              </w:rPr>
              <w:t>1,250,053</w:t>
            </w:r>
          </w:p>
        </w:tc>
        <w:tc>
          <w:tcPr>
            <w:tcW w:w="1160" w:type="dxa"/>
            <w:vAlign w:val="bottom"/>
          </w:tcPr>
          <w:p>
            <w:pPr>
              <w:jc w:val="right"/>
              <w:spacing w:after="0"/>
              <w:rPr>
                <w:sz w:val="20"/>
                <w:szCs w:val="20"/>
                <w:color w:val="auto"/>
              </w:rPr>
            </w:pPr>
            <w:r>
              <w:rPr>
                <w:rFonts w:ascii="Arial" w:cs="Arial" w:eastAsia="Arial" w:hAnsi="Arial"/>
                <w:sz w:val="14"/>
                <w:szCs w:val="14"/>
                <w:color w:val="auto"/>
              </w:rPr>
              <w:t>843,750</w:t>
            </w:r>
          </w:p>
        </w:tc>
        <w:tc>
          <w:tcPr>
            <w:tcW w:w="1080" w:type="dxa"/>
            <w:vAlign w:val="bottom"/>
          </w:tcPr>
          <w:p>
            <w:pPr>
              <w:jc w:val="right"/>
              <w:spacing w:after="0"/>
              <w:rPr>
                <w:sz w:val="20"/>
                <w:szCs w:val="20"/>
                <w:color w:val="auto"/>
              </w:rPr>
            </w:pPr>
            <w:r>
              <w:rPr>
                <w:rFonts w:ascii="Arial" w:cs="Arial" w:eastAsia="Arial" w:hAnsi="Arial"/>
                <w:sz w:val="14"/>
                <w:szCs w:val="14"/>
                <w:color w:val="auto"/>
              </w:rPr>
              <w:t>149,571</w:t>
            </w:r>
          </w:p>
        </w:tc>
        <w:tc>
          <w:tcPr>
            <w:tcW w:w="1020" w:type="dxa"/>
            <w:vAlign w:val="bottom"/>
          </w:tcPr>
          <w:p>
            <w:pPr>
              <w:jc w:val="right"/>
              <w:spacing w:after="0"/>
              <w:rPr>
                <w:sz w:val="20"/>
                <w:szCs w:val="20"/>
                <w:color w:val="auto"/>
              </w:rPr>
            </w:pPr>
            <w:r>
              <w:rPr>
                <w:rFonts w:ascii="Arial" w:cs="Arial" w:eastAsia="Arial" w:hAnsi="Arial"/>
                <w:sz w:val="14"/>
                <w:szCs w:val="14"/>
                <w:color w:val="auto"/>
              </w:rPr>
              <w:t>6,691,811  </w:t>
            </w:r>
          </w:p>
        </w:tc>
      </w:tr>
      <w:tr>
        <w:trPr>
          <w:trHeight w:val="210"/>
        </w:trPr>
        <w:tc>
          <w:tcPr>
            <w:tcW w:w="4740" w:type="dxa"/>
            <w:vAlign w:val="bottom"/>
          </w:tcPr>
          <w:p>
            <w:pPr>
              <w:spacing w:after="0"/>
              <w:rPr>
                <w:sz w:val="20"/>
                <w:szCs w:val="20"/>
                <w:color w:val="auto"/>
              </w:rPr>
            </w:pPr>
            <w:r>
              <w:rPr>
                <w:rFonts w:ascii="Arial" w:cs="Arial" w:eastAsia="Arial" w:hAnsi="Arial"/>
                <w:sz w:val="14"/>
                <w:szCs w:val="14"/>
                <w:color w:val="auto"/>
              </w:rPr>
              <w:t> Executive Vice President</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605,000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2,649,924</w:t>
            </w:r>
          </w:p>
        </w:tc>
        <w:tc>
          <w:tcPr>
            <w:tcW w:w="800" w:type="dxa"/>
            <w:vAlign w:val="bottom"/>
          </w:tcPr>
          <w:p>
            <w:pPr>
              <w:jc w:val="right"/>
              <w:spacing w:after="0"/>
              <w:rPr>
                <w:sz w:val="20"/>
                <w:szCs w:val="20"/>
                <w:color w:val="auto"/>
              </w:rPr>
            </w:pPr>
            <w:r>
              <w:rPr>
                <w:rFonts w:ascii="Arial" w:cs="Arial" w:eastAsia="Arial" w:hAnsi="Arial"/>
                <w:sz w:val="14"/>
                <w:szCs w:val="14"/>
                <w:color w:val="auto"/>
              </w:rPr>
              <w:t>874,971</w:t>
            </w:r>
          </w:p>
        </w:tc>
        <w:tc>
          <w:tcPr>
            <w:tcW w:w="1160" w:type="dxa"/>
            <w:vAlign w:val="bottom"/>
          </w:tcPr>
          <w:p>
            <w:pPr>
              <w:jc w:val="right"/>
              <w:spacing w:after="0"/>
              <w:rPr>
                <w:sz w:val="20"/>
                <w:szCs w:val="20"/>
                <w:color w:val="auto"/>
              </w:rPr>
            </w:pPr>
            <w:r>
              <w:rPr>
                <w:rFonts w:ascii="Arial" w:cs="Arial" w:eastAsia="Arial" w:hAnsi="Arial"/>
                <w:sz w:val="14"/>
                <w:szCs w:val="14"/>
                <w:color w:val="auto"/>
              </w:rPr>
              <w:t>756,250</w:t>
            </w:r>
          </w:p>
        </w:tc>
        <w:tc>
          <w:tcPr>
            <w:tcW w:w="1080" w:type="dxa"/>
            <w:vAlign w:val="bottom"/>
          </w:tcPr>
          <w:p>
            <w:pPr>
              <w:jc w:val="right"/>
              <w:spacing w:after="0"/>
              <w:rPr>
                <w:sz w:val="20"/>
                <w:szCs w:val="20"/>
                <w:color w:val="auto"/>
              </w:rPr>
            </w:pPr>
            <w:r>
              <w:rPr>
                <w:rFonts w:ascii="Arial" w:cs="Arial" w:eastAsia="Arial" w:hAnsi="Arial"/>
                <w:sz w:val="14"/>
                <w:szCs w:val="14"/>
                <w:color w:val="auto"/>
              </w:rPr>
              <w:t>140,993</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5,027,138</w:t>
            </w:r>
          </w:p>
        </w:tc>
      </w:tr>
      <w:tr>
        <w:trPr>
          <w:trHeight w:val="216"/>
        </w:trPr>
        <w:tc>
          <w:tcPr>
            <w:tcW w:w="4740" w:type="dxa"/>
            <w:vAlign w:val="bottom"/>
          </w:tcPr>
          <w:p>
            <w:pPr>
              <w:spacing w:after="0"/>
              <w:rPr>
                <w:sz w:val="20"/>
                <w:szCs w:val="20"/>
                <w:color w:val="auto"/>
              </w:rPr>
            </w:pPr>
            <w:r>
              <w:rPr>
                <w:rFonts w:ascii="Arial" w:cs="Arial" w:eastAsia="Arial" w:hAnsi="Arial"/>
                <w:sz w:val="14"/>
                <w:szCs w:val="14"/>
                <w:color w:val="auto"/>
              </w:rPr>
              <w:t> and Chief Financial Officer</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590,000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2,462,374</w:t>
            </w:r>
          </w:p>
        </w:tc>
        <w:tc>
          <w:tcPr>
            <w:tcW w:w="800" w:type="dxa"/>
            <w:vAlign w:val="bottom"/>
          </w:tcPr>
          <w:p>
            <w:pPr>
              <w:jc w:val="right"/>
              <w:spacing w:after="0"/>
              <w:rPr>
                <w:sz w:val="20"/>
                <w:szCs w:val="20"/>
                <w:color w:val="auto"/>
              </w:rPr>
            </w:pPr>
            <w:r>
              <w:rPr>
                <w:rFonts w:ascii="Arial" w:cs="Arial" w:eastAsia="Arial" w:hAnsi="Arial"/>
                <w:sz w:val="14"/>
                <w:szCs w:val="14"/>
                <w:color w:val="auto"/>
              </w:rPr>
              <w:t>849,984</w:t>
            </w:r>
          </w:p>
        </w:tc>
        <w:tc>
          <w:tcPr>
            <w:tcW w:w="1160" w:type="dxa"/>
            <w:vAlign w:val="bottom"/>
          </w:tcPr>
          <w:p>
            <w:pPr>
              <w:jc w:val="right"/>
              <w:spacing w:after="0"/>
              <w:rPr>
                <w:sz w:val="20"/>
                <w:szCs w:val="20"/>
                <w:color w:val="auto"/>
              </w:rPr>
            </w:pPr>
            <w:r>
              <w:rPr>
                <w:rFonts w:ascii="Arial" w:cs="Arial" w:eastAsia="Arial" w:hAnsi="Arial"/>
                <w:sz w:val="14"/>
                <w:szCs w:val="14"/>
                <w:color w:val="auto"/>
              </w:rPr>
              <w:t>885,000</w:t>
            </w:r>
          </w:p>
        </w:tc>
        <w:tc>
          <w:tcPr>
            <w:tcW w:w="1080" w:type="dxa"/>
            <w:vAlign w:val="bottom"/>
          </w:tcPr>
          <w:p>
            <w:pPr>
              <w:jc w:val="right"/>
              <w:spacing w:after="0"/>
              <w:rPr>
                <w:sz w:val="20"/>
                <w:szCs w:val="20"/>
                <w:color w:val="auto"/>
              </w:rPr>
            </w:pPr>
            <w:r>
              <w:rPr>
                <w:rFonts w:ascii="Arial" w:cs="Arial" w:eastAsia="Arial" w:hAnsi="Arial"/>
                <w:sz w:val="14"/>
                <w:szCs w:val="14"/>
                <w:color w:val="auto"/>
              </w:rPr>
              <w:t>89,730</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4,877,088</w:t>
            </w:r>
          </w:p>
        </w:tc>
      </w:tr>
      <w:tr>
        <w:trPr>
          <w:trHeight w:val="75"/>
        </w:trPr>
        <w:tc>
          <w:tcPr>
            <w:tcW w:w="4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282"/>
        </w:trPr>
        <w:tc>
          <w:tcPr>
            <w:tcW w:w="4740" w:type="dxa"/>
            <w:vAlign w:val="bottom"/>
            <w:shd w:val="clear" w:color="auto" w:fill="E5EEF8"/>
          </w:tcPr>
          <w:p>
            <w:pPr>
              <w:spacing w:after="0"/>
              <w:rPr>
                <w:sz w:val="20"/>
                <w:szCs w:val="20"/>
                <w:color w:val="auto"/>
              </w:rPr>
            </w:pPr>
            <w:r>
              <w:rPr>
                <w:rFonts w:ascii="Arial" w:cs="Arial" w:eastAsia="Arial" w:hAnsi="Arial"/>
                <w:sz w:val="14"/>
                <w:szCs w:val="14"/>
                <w:b w:val="1"/>
                <w:bCs w:val="1"/>
                <w:color w:val="005CB9"/>
              </w:rPr>
              <w:t> John K. Stipancich</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800,000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3,471,648</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1,150,007</w:t>
            </w:r>
          </w:p>
        </w:tc>
        <w:tc>
          <w:tcPr>
            <w:tcW w:w="11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1,000,000</w:t>
            </w:r>
          </w:p>
        </w:tc>
        <w:tc>
          <w:tcPr>
            <w:tcW w:w="10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163,687</w:t>
            </w:r>
          </w:p>
        </w:tc>
        <w:tc>
          <w:tcPr>
            <w:tcW w:w="10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6,585,342  </w:t>
            </w:r>
          </w:p>
        </w:tc>
      </w:tr>
      <w:tr>
        <w:trPr>
          <w:trHeight w:val="210"/>
        </w:trPr>
        <w:tc>
          <w:tcPr>
            <w:tcW w:w="4740" w:type="dxa"/>
            <w:vAlign w:val="bottom"/>
            <w:shd w:val="clear" w:color="auto" w:fill="E5EEF8"/>
          </w:tcPr>
          <w:p>
            <w:pPr>
              <w:spacing w:after="0"/>
              <w:rPr>
                <w:sz w:val="20"/>
                <w:szCs w:val="20"/>
                <w:color w:val="auto"/>
              </w:rPr>
            </w:pPr>
            <w:r>
              <w:rPr>
                <w:rFonts w:ascii="Arial" w:cs="Arial" w:eastAsia="Arial" w:hAnsi="Arial"/>
                <w:sz w:val="14"/>
                <w:szCs w:val="14"/>
                <w:color w:val="auto"/>
              </w:rPr>
              <w:t> Executive Vice President,</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770,000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2,649,924</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920,000</w:t>
            </w:r>
          </w:p>
        </w:tc>
        <w:tc>
          <w:tcPr>
            <w:tcW w:w="11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962,500</w:t>
            </w:r>
          </w:p>
        </w:tc>
        <w:tc>
          <w:tcPr>
            <w:tcW w:w="10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184,500</w:t>
            </w:r>
          </w:p>
        </w:tc>
        <w:tc>
          <w:tcPr>
            <w:tcW w:w="10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5,486,924</w:t>
            </w:r>
          </w:p>
        </w:tc>
      </w:tr>
      <w:tr>
        <w:trPr>
          <w:trHeight w:val="216"/>
        </w:trPr>
        <w:tc>
          <w:tcPr>
            <w:tcW w:w="4740" w:type="dxa"/>
            <w:vAlign w:val="bottom"/>
            <w:shd w:val="clear" w:color="auto" w:fill="E5EEF8"/>
          </w:tcPr>
          <w:p>
            <w:pPr>
              <w:spacing w:after="0"/>
              <w:rPr>
                <w:sz w:val="20"/>
                <w:szCs w:val="20"/>
                <w:color w:val="auto"/>
              </w:rPr>
            </w:pPr>
            <w:r>
              <w:rPr>
                <w:rFonts w:ascii="Arial" w:cs="Arial" w:eastAsia="Arial" w:hAnsi="Arial"/>
                <w:sz w:val="14"/>
                <w:szCs w:val="14"/>
                <w:color w:val="auto"/>
              </w:rPr>
              <w:t> General Counsel and Corporate  Secretary</w:t>
            </w:r>
          </w:p>
        </w:tc>
        <w:tc>
          <w:tcPr>
            <w:tcW w:w="52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750,000</w:t>
            </w:r>
          </w:p>
        </w:tc>
        <w:tc>
          <w:tcPr>
            <w:tcW w:w="880" w:type="dxa"/>
            <w:vAlign w:val="bottom"/>
            <w:shd w:val="clear" w:color="auto" w:fill="E5EEF8"/>
          </w:tcPr>
          <w:p>
            <w:pPr>
              <w:jc w:val="right"/>
              <w:ind w:right="9"/>
              <w:spacing w:after="0"/>
              <w:rPr>
                <w:sz w:val="20"/>
                <w:szCs w:val="20"/>
                <w:color w:val="auto"/>
              </w:rPr>
            </w:pPr>
            <w:r>
              <w:rPr>
                <w:rFonts w:ascii="Arial" w:cs="Arial" w:eastAsia="Arial" w:hAnsi="Arial"/>
                <w:sz w:val="14"/>
                <w:szCs w:val="14"/>
                <w:color w:val="auto"/>
              </w:rPr>
              <w:t>2,437,998</w:t>
            </w:r>
          </w:p>
        </w:tc>
        <w:tc>
          <w:tcPr>
            <w:tcW w:w="8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899,989</w:t>
            </w:r>
          </w:p>
        </w:tc>
        <w:tc>
          <w:tcPr>
            <w:tcW w:w="11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1,406,250</w:t>
            </w:r>
          </w:p>
        </w:tc>
        <w:tc>
          <w:tcPr>
            <w:tcW w:w="108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105,432</w:t>
            </w:r>
          </w:p>
        </w:tc>
        <w:tc>
          <w:tcPr>
            <w:tcW w:w="1020" w:type="dxa"/>
            <w:vAlign w:val="bottom"/>
            <w:shd w:val="clear" w:color="auto" w:fill="E5EEF8"/>
          </w:tcPr>
          <w:p>
            <w:pPr>
              <w:jc w:val="right"/>
              <w:ind w:right="29"/>
              <w:spacing w:after="0"/>
              <w:rPr>
                <w:sz w:val="20"/>
                <w:szCs w:val="20"/>
                <w:color w:val="auto"/>
              </w:rPr>
            </w:pPr>
            <w:r>
              <w:rPr>
                <w:rFonts w:ascii="Arial" w:cs="Arial" w:eastAsia="Arial" w:hAnsi="Arial"/>
                <w:sz w:val="14"/>
                <w:szCs w:val="14"/>
                <w:color w:val="auto"/>
              </w:rPr>
              <w:t>5,599,669</w:t>
            </w:r>
          </w:p>
        </w:tc>
      </w:tr>
      <w:tr>
        <w:trPr>
          <w:trHeight w:val="76"/>
        </w:trPr>
        <w:tc>
          <w:tcPr>
            <w:tcW w:w="4740" w:type="dxa"/>
            <w:vAlign w:val="bottom"/>
            <w:shd w:val="clear" w:color="auto" w:fill="E5EEF8"/>
          </w:tcPr>
          <w:p>
            <w:pPr>
              <w:spacing w:after="0"/>
              <w:rPr>
                <w:sz w:val="6"/>
                <w:szCs w:val="6"/>
                <w:color w:val="auto"/>
              </w:rPr>
            </w:pPr>
          </w:p>
        </w:tc>
        <w:tc>
          <w:tcPr>
            <w:tcW w:w="520" w:type="dxa"/>
            <w:vAlign w:val="bottom"/>
            <w:shd w:val="clear" w:color="auto" w:fill="E5EEF8"/>
          </w:tcPr>
          <w:p>
            <w:pPr>
              <w:spacing w:after="0"/>
              <w:rPr>
                <w:sz w:val="6"/>
                <w:szCs w:val="6"/>
                <w:color w:val="auto"/>
              </w:rPr>
            </w:pPr>
          </w:p>
        </w:tc>
        <w:tc>
          <w:tcPr>
            <w:tcW w:w="820" w:type="dxa"/>
            <w:vAlign w:val="bottom"/>
            <w:shd w:val="clear" w:color="auto" w:fill="E5EEF8"/>
          </w:tcPr>
          <w:p>
            <w:pPr>
              <w:spacing w:after="0"/>
              <w:rPr>
                <w:sz w:val="6"/>
                <w:szCs w:val="6"/>
                <w:color w:val="auto"/>
              </w:rPr>
            </w:pPr>
          </w:p>
        </w:tc>
        <w:tc>
          <w:tcPr>
            <w:tcW w:w="880" w:type="dxa"/>
            <w:vAlign w:val="bottom"/>
            <w:shd w:val="clear" w:color="auto" w:fill="E5EEF8"/>
          </w:tcPr>
          <w:p>
            <w:pPr>
              <w:spacing w:after="0"/>
              <w:rPr>
                <w:sz w:val="6"/>
                <w:szCs w:val="6"/>
                <w:color w:val="auto"/>
              </w:rPr>
            </w:pPr>
          </w:p>
        </w:tc>
        <w:tc>
          <w:tcPr>
            <w:tcW w:w="800" w:type="dxa"/>
            <w:vAlign w:val="bottom"/>
            <w:shd w:val="clear" w:color="auto" w:fill="E5EEF8"/>
          </w:tcPr>
          <w:p>
            <w:pPr>
              <w:spacing w:after="0"/>
              <w:rPr>
                <w:sz w:val="6"/>
                <w:szCs w:val="6"/>
                <w:color w:val="auto"/>
              </w:rPr>
            </w:pPr>
          </w:p>
        </w:tc>
        <w:tc>
          <w:tcPr>
            <w:tcW w:w="1160" w:type="dxa"/>
            <w:vAlign w:val="bottom"/>
            <w:shd w:val="clear" w:color="auto" w:fill="E5EEF8"/>
          </w:tcPr>
          <w:p>
            <w:pPr>
              <w:spacing w:after="0"/>
              <w:rPr>
                <w:sz w:val="6"/>
                <w:szCs w:val="6"/>
                <w:color w:val="auto"/>
              </w:rPr>
            </w:pPr>
          </w:p>
        </w:tc>
        <w:tc>
          <w:tcPr>
            <w:tcW w:w="1080" w:type="dxa"/>
            <w:vAlign w:val="bottom"/>
            <w:shd w:val="clear" w:color="auto" w:fill="E5EEF8"/>
          </w:tcPr>
          <w:p>
            <w:pPr>
              <w:spacing w:after="0"/>
              <w:rPr>
                <w:sz w:val="6"/>
                <w:szCs w:val="6"/>
                <w:color w:val="auto"/>
              </w:rPr>
            </w:pPr>
          </w:p>
        </w:tc>
        <w:tc>
          <w:tcPr>
            <w:tcW w:w="1020" w:type="dxa"/>
            <w:vAlign w:val="bottom"/>
            <w:shd w:val="clear" w:color="auto" w:fill="E5EEF8"/>
          </w:tcPr>
          <w:p>
            <w:pPr>
              <w:spacing w:after="0"/>
              <w:rPr>
                <w:sz w:val="6"/>
                <w:szCs w:val="6"/>
                <w:color w:val="auto"/>
              </w:rPr>
            </w:pPr>
          </w:p>
        </w:tc>
      </w:tr>
      <w:tr>
        <w:trPr>
          <w:trHeight w:val="281"/>
        </w:trPr>
        <w:tc>
          <w:tcPr>
            <w:tcW w:w="4740" w:type="dxa"/>
            <w:vAlign w:val="bottom"/>
          </w:tcPr>
          <w:p>
            <w:pPr>
              <w:spacing w:after="0"/>
              <w:rPr>
                <w:sz w:val="20"/>
                <w:szCs w:val="20"/>
                <w:color w:val="auto"/>
              </w:rPr>
            </w:pPr>
            <w:r>
              <w:rPr>
                <w:rFonts w:ascii="Arial" w:cs="Arial" w:eastAsia="Arial" w:hAnsi="Arial"/>
                <w:sz w:val="14"/>
                <w:szCs w:val="14"/>
                <w:b w:val="1"/>
                <w:bCs w:val="1"/>
                <w:color w:val="005CB9"/>
              </w:rPr>
              <w:t> Robert C. Crisci</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417,583</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27,809</w:t>
            </w:r>
          </w:p>
        </w:tc>
        <w:tc>
          <w:tcPr>
            <w:tcW w:w="1020" w:type="dxa"/>
            <w:vAlign w:val="bottom"/>
          </w:tcPr>
          <w:p>
            <w:pPr>
              <w:jc w:val="right"/>
              <w:spacing w:after="0"/>
              <w:rPr>
                <w:sz w:val="20"/>
                <w:szCs w:val="20"/>
                <w:color w:val="auto"/>
              </w:rPr>
            </w:pPr>
            <w:r>
              <w:rPr>
                <w:rFonts w:ascii="Arial" w:cs="Arial" w:eastAsia="Arial" w:hAnsi="Arial"/>
                <w:sz w:val="14"/>
                <w:szCs w:val="14"/>
                <w:color w:val="auto"/>
              </w:rPr>
              <w:t>445,392  </w:t>
            </w:r>
          </w:p>
        </w:tc>
      </w:tr>
      <w:tr>
        <w:trPr>
          <w:trHeight w:val="210"/>
        </w:trPr>
        <w:tc>
          <w:tcPr>
            <w:tcW w:w="4740" w:type="dxa"/>
            <w:vAlign w:val="bottom"/>
          </w:tcPr>
          <w:p>
            <w:pPr>
              <w:spacing w:after="0"/>
              <w:rPr>
                <w:sz w:val="20"/>
                <w:szCs w:val="20"/>
                <w:color w:val="auto"/>
              </w:rPr>
            </w:pPr>
            <w:r>
              <w:rPr>
                <w:rFonts w:ascii="Arial" w:cs="Arial" w:eastAsia="Arial" w:hAnsi="Arial"/>
                <w:sz w:val="14"/>
                <w:szCs w:val="14"/>
                <w:color w:val="auto"/>
              </w:rPr>
              <w:t> Former Executive Vice</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710,000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4,399,999</w:t>
            </w:r>
          </w:p>
        </w:tc>
        <w:tc>
          <w:tcPr>
            <w:tcW w:w="800" w:type="dxa"/>
            <w:vAlign w:val="bottom"/>
          </w:tcPr>
          <w:p>
            <w:pPr>
              <w:jc w:val="right"/>
              <w:spacing w:after="0"/>
              <w:rPr>
                <w:sz w:val="20"/>
                <w:szCs w:val="20"/>
                <w:color w:val="auto"/>
              </w:rPr>
            </w:pPr>
            <w:r>
              <w:rPr>
                <w:rFonts w:ascii="Arial" w:cs="Arial" w:eastAsia="Arial" w:hAnsi="Arial"/>
                <w:sz w:val="14"/>
                <w:szCs w:val="14"/>
                <w:color w:val="auto"/>
              </w:rPr>
              <w:t>1,499,966</w:t>
            </w:r>
          </w:p>
        </w:tc>
        <w:tc>
          <w:tcPr>
            <w:tcW w:w="1160" w:type="dxa"/>
            <w:vAlign w:val="bottom"/>
          </w:tcPr>
          <w:p>
            <w:pPr>
              <w:jc w:val="right"/>
              <w:spacing w:after="0"/>
              <w:rPr>
                <w:sz w:val="20"/>
                <w:szCs w:val="20"/>
                <w:color w:val="auto"/>
              </w:rPr>
            </w:pPr>
            <w:r>
              <w:rPr>
                <w:rFonts w:ascii="Arial" w:cs="Arial" w:eastAsia="Arial" w:hAnsi="Arial"/>
                <w:sz w:val="14"/>
                <w:szCs w:val="14"/>
                <w:color w:val="auto"/>
              </w:rPr>
              <w:t>887,500</w:t>
            </w:r>
          </w:p>
        </w:tc>
        <w:tc>
          <w:tcPr>
            <w:tcW w:w="1080" w:type="dxa"/>
            <w:vAlign w:val="bottom"/>
          </w:tcPr>
          <w:p>
            <w:pPr>
              <w:jc w:val="right"/>
              <w:spacing w:after="0"/>
              <w:rPr>
                <w:sz w:val="20"/>
                <w:szCs w:val="20"/>
                <w:color w:val="auto"/>
              </w:rPr>
            </w:pPr>
            <w:r>
              <w:rPr>
                <w:rFonts w:ascii="Arial" w:cs="Arial" w:eastAsia="Arial" w:hAnsi="Arial"/>
                <w:sz w:val="14"/>
                <w:szCs w:val="14"/>
                <w:color w:val="auto"/>
              </w:rPr>
              <w:t>180,055</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7,677,520</w:t>
            </w:r>
          </w:p>
        </w:tc>
      </w:tr>
      <w:tr>
        <w:trPr>
          <w:trHeight w:val="216"/>
        </w:trPr>
        <w:tc>
          <w:tcPr>
            <w:tcW w:w="4740" w:type="dxa"/>
            <w:vAlign w:val="bottom"/>
          </w:tcPr>
          <w:p>
            <w:pPr>
              <w:spacing w:after="0"/>
              <w:rPr>
                <w:sz w:val="20"/>
                <w:szCs w:val="20"/>
                <w:color w:val="auto"/>
              </w:rPr>
            </w:pPr>
            <w:r>
              <w:rPr>
                <w:rFonts w:ascii="Arial" w:cs="Arial" w:eastAsia="Arial" w:hAnsi="Arial"/>
                <w:sz w:val="14"/>
                <w:szCs w:val="14"/>
                <w:color w:val="auto"/>
              </w:rPr>
              <w:t> President and Chief Financial</w:t>
            </w: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2021</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690,000</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4,095,969</w:t>
            </w:r>
          </w:p>
        </w:tc>
        <w:tc>
          <w:tcPr>
            <w:tcW w:w="800" w:type="dxa"/>
            <w:vAlign w:val="bottom"/>
          </w:tcPr>
          <w:p>
            <w:pPr>
              <w:jc w:val="right"/>
              <w:spacing w:after="0"/>
              <w:rPr>
                <w:sz w:val="20"/>
                <w:szCs w:val="20"/>
                <w:color w:val="auto"/>
              </w:rPr>
            </w:pPr>
            <w:r>
              <w:rPr>
                <w:rFonts w:ascii="Arial" w:cs="Arial" w:eastAsia="Arial" w:hAnsi="Arial"/>
                <w:sz w:val="14"/>
                <w:szCs w:val="14"/>
                <w:color w:val="auto"/>
              </w:rPr>
              <w:t>1,450,038</w:t>
            </w:r>
          </w:p>
        </w:tc>
        <w:tc>
          <w:tcPr>
            <w:tcW w:w="1160" w:type="dxa"/>
            <w:vAlign w:val="bottom"/>
          </w:tcPr>
          <w:p>
            <w:pPr>
              <w:jc w:val="right"/>
              <w:spacing w:after="0"/>
              <w:rPr>
                <w:sz w:val="20"/>
                <w:szCs w:val="20"/>
                <w:color w:val="auto"/>
              </w:rPr>
            </w:pPr>
            <w:r>
              <w:rPr>
                <w:rFonts w:ascii="Arial" w:cs="Arial" w:eastAsia="Arial" w:hAnsi="Arial"/>
                <w:sz w:val="14"/>
                <w:szCs w:val="14"/>
                <w:color w:val="auto"/>
              </w:rPr>
              <w:t>1,293,750</w:t>
            </w:r>
          </w:p>
        </w:tc>
        <w:tc>
          <w:tcPr>
            <w:tcW w:w="1080" w:type="dxa"/>
            <w:vAlign w:val="bottom"/>
          </w:tcPr>
          <w:p>
            <w:pPr>
              <w:jc w:val="right"/>
              <w:spacing w:after="0"/>
              <w:rPr>
                <w:sz w:val="20"/>
                <w:szCs w:val="20"/>
                <w:color w:val="auto"/>
              </w:rPr>
            </w:pPr>
            <w:r>
              <w:rPr>
                <w:rFonts w:ascii="Arial" w:cs="Arial" w:eastAsia="Arial" w:hAnsi="Arial"/>
                <w:sz w:val="14"/>
                <w:szCs w:val="14"/>
                <w:color w:val="auto"/>
              </w:rPr>
              <w:t>103,322</w:t>
            </w:r>
          </w:p>
        </w:tc>
        <w:tc>
          <w:tcPr>
            <w:tcW w:w="1020" w:type="dxa"/>
            <w:vAlign w:val="bottom"/>
          </w:tcPr>
          <w:p>
            <w:pPr>
              <w:jc w:val="right"/>
              <w:ind w:right="29"/>
              <w:spacing w:after="0"/>
              <w:rPr>
                <w:sz w:val="20"/>
                <w:szCs w:val="20"/>
                <w:color w:val="auto"/>
              </w:rPr>
            </w:pPr>
            <w:r>
              <w:rPr>
                <w:rFonts w:ascii="Arial" w:cs="Arial" w:eastAsia="Arial" w:hAnsi="Arial"/>
                <w:sz w:val="14"/>
                <w:szCs w:val="14"/>
                <w:color w:val="auto"/>
              </w:rPr>
              <w:t>7,633,079</w:t>
            </w:r>
          </w:p>
        </w:tc>
      </w:tr>
      <w:tr>
        <w:trPr>
          <w:trHeight w:val="216"/>
        </w:trPr>
        <w:tc>
          <w:tcPr>
            <w:tcW w:w="4740" w:type="dxa"/>
            <w:vAlign w:val="bottom"/>
          </w:tcPr>
          <w:p>
            <w:pPr>
              <w:spacing w:after="0"/>
              <w:rPr>
                <w:sz w:val="20"/>
                <w:szCs w:val="20"/>
                <w:color w:val="auto"/>
              </w:rPr>
            </w:pPr>
            <w:r>
              <w:rPr>
                <w:rFonts w:ascii="Arial" w:cs="Arial" w:eastAsia="Arial" w:hAnsi="Arial"/>
                <w:sz w:val="14"/>
                <w:szCs w:val="14"/>
                <w:color w:val="auto"/>
              </w:rPr>
              <w:t> Officer</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71"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Amounts shown for 2023 include, as applicable, deferrals to the 401(k) plan and the Non-Qualified Retirement Plan.</w:t>
      </w:r>
    </w:p>
    <w:p>
      <w:pPr>
        <w:spacing w:after="0" w:line="66" w:lineRule="exact"/>
        <w:rPr>
          <w:rFonts w:ascii="Arial" w:cs="Arial" w:eastAsia="Arial" w:hAnsi="Arial"/>
          <w:sz w:val="22"/>
          <w:szCs w:val="22"/>
          <w:color w:val="auto"/>
          <w:vertAlign w:val="superscript"/>
        </w:rPr>
      </w:pPr>
    </w:p>
    <w:p>
      <w:pPr>
        <w:ind w:left="540" w:right="40" w:hanging="424"/>
        <w:spacing w:after="0" w:line="223"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dollar values shown for 2023 represent the grant date fair values for restricted stock and option awards calculated in accordance with ASC Topic 718. The assumptions used in determining the grant date fair values of these option awards are set forth in Note 12 to our consolidated financial statements for 2023, which are included in our Annual Report on Form 10-K for the fiscal year ended 2023 filed with the SEC. There is no assurance that these amounts will be realized. The restricted stock awards are all subject to performance-based vesting criteria. The performance-based criteria for awards granted in 2023 are described in the CD&amp;A under “Analysis of 2023 Compensation—Long-Term Stock Incentives,” and the vesting schedule for awards granted in 2023 is set forth in the notes to the 2023 Outstanding Equity Awards at Fiscal Year End table below.</w:t>
      </w:r>
    </w:p>
    <w:p>
      <w:pPr>
        <w:spacing w:after="0" w:line="56" w:lineRule="exact"/>
        <w:rPr>
          <w:rFonts w:ascii="Arial" w:cs="Arial" w:eastAsia="Arial" w:hAnsi="Arial"/>
          <w:sz w:val="22"/>
          <w:szCs w:val="22"/>
          <w:color w:val="auto"/>
          <w:vertAlign w:val="superscript"/>
        </w:rPr>
      </w:pPr>
    </w:p>
    <w:p>
      <w:pPr>
        <w:ind w:left="540" w:right="40" w:hanging="424"/>
        <w:spacing w:after="0" w:line="220"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The amounts in this column for 2023 reflect payments made pursuant to our cash incentive program, which is described above in the CD&amp;A under “Analysis of 2023 Compensation—Annual Cash Incentive,” and were based upon base salaries as of the beginning of the year. With respect to Mr. Hunn, it also includes $17,841,683 earned under the five-year CEO Special Long-Term Cash Incentive, plus $1,326,782 in a company matching amount based on his deferral of a portion of such earned award, as described above in the CD&amp;A under “CEO Special Long-Term Cash Incentive.”</w:t>
      </w:r>
    </w:p>
    <w:p>
      <w:pPr>
        <w:spacing w:after="0" w:line="54" w:lineRule="exact"/>
        <w:rPr>
          <w:rFonts w:ascii="Arial" w:cs="Arial" w:eastAsia="Arial" w:hAnsi="Arial"/>
          <w:sz w:val="22"/>
          <w:szCs w:val="22"/>
          <w:color w:val="auto"/>
          <w:vertAlign w:val="superscript"/>
        </w:rPr>
      </w:pPr>
    </w:p>
    <w:p>
      <w:pPr>
        <w:ind w:left="540" w:right="180" w:hanging="424"/>
        <w:spacing w:after="0" w:line="204" w:lineRule="auto"/>
        <w:tabs>
          <w:tab w:leader="none" w:pos="540" w:val="left"/>
        </w:tabs>
        <w:numPr>
          <w:ilvl w:val="0"/>
          <w:numId w:val="56"/>
        </w:numPr>
        <w:rPr>
          <w:rFonts w:ascii="Arial" w:cs="Arial" w:eastAsia="Arial" w:hAnsi="Arial"/>
          <w:sz w:val="22"/>
          <w:szCs w:val="22"/>
          <w:color w:val="auto"/>
          <w:vertAlign w:val="superscript"/>
        </w:rPr>
      </w:pPr>
      <w:r>
        <w:rPr>
          <w:rFonts w:ascii="Arial" w:cs="Arial" w:eastAsia="Arial" w:hAnsi="Arial"/>
          <w:sz w:val="14"/>
          <w:szCs w:val="14"/>
          <w:color w:val="auto"/>
        </w:rPr>
        <w:t>Amounts reported in the “All Other Compensation” column for 2023 include the following items. In respect of any of these items that constitute perquisites, the value shown is the Company’s incremental cost.</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80" w:type="dxa"/>
            <w:vAlign w:val="bottom"/>
            <w:shd w:val="clear" w:color="auto" w:fill="005CB9"/>
          </w:tcPr>
          <w:p>
            <w:pPr>
              <w:spacing w:after="0"/>
              <w:rPr>
                <w:sz w:val="14"/>
                <w:szCs w:val="14"/>
                <w:color w:val="auto"/>
              </w:rPr>
            </w:pPr>
          </w:p>
        </w:tc>
        <w:tc>
          <w:tcPr>
            <w:tcW w:w="1480" w:type="dxa"/>
            <w:vAlign w:val="bottom"/>
            <w:shd w:val="clear" w:color="auto" w:fill="005CB9"/>
          </w:tcPr>
          <w:p>
            <w:pPr>
              <w:spacing w:after="0"/>
              <w:rPr>
                <w:sz w:val="14"/>
                <w:szCs w:val="14"/>
                <w:color w:val="auto"/>
              </w:rPr>
            </w:pPr>
          </w:p>
        </w:tc>
        <w:tc>
          <w:tcPr>
            <w:tcW w:w="1320" w:type="dxa"/>
            <w:vAlign w:val="bottom"/>
            <w:shd w:val="clear" w:color="auto" w:fill="005CB9"/>
          </w:tcPr>
          <w:p>
            <w:pPr>
              <w:spacing w:after="0"/>
              <w:rPr>
                <w:sz w:val="14"/>
                <w:szCs w:val="14"/>
                <w:color w:val="auto"/>
              </w:rPr>
            </w:pPr>
          </w:p>
        </w:tc>
        <w:tc>
          <w:tcPr>
            <w:tcW w:w="1060" w:type="dxa"/>
            <w:vAlign w:val="bottom"/>
            <w:shd w:val="clear" w:color="auto" w:fill="005CB9"/>
          </w:tcPr>
          <w:p>
            <w:pPr>
              <w:spacing w:after="0"/>
              <w:rPr>
                <w:sz w:val="14"/>
                <w:szCs w:val="14"/>
                <w:color w:val="auto"/>
              </w:rPr>
            </w:pPr>
          </w:p>
        </w:tc>
        <w:tc>
          <w:tcPr>
            <w:tcW w:w="1080" w:type="dxa"/>
            <w:vAlign w:val="bottom"/>
            <w:shd w:val="clear" w:color="auto" w:fill="005CB9"/>
          </w:tcPr>
          <w:p>
            <w:pPr>
              <w:spacing w:after="0"/>
              <w:rPr>
                <w:sz w:val="14"/>
                <w:szCs w:val="14"/>
                <w:color w:val="auto"/>
              </w:rPr>
            </w:pPr>
          </w:p>
        </w:tc>
        <w:tc>
          <w:tcPr>
            <w:tcW w:w="1020" w:type="dxa"/>
            <w:vAlign w:val="bottom"/>
            <w:shd w:val="clear" w:color="auto" w:fill="005CB9"/>
          </w:tcPr>
          <w:p>
            <w:pPr>
              <w:spacing w:after="0"/>
              <w:rPr>
                <w:sz w:val="14"/>
                <w:szCs w:val="14"/>
                <w:color w:val="auto"/>
              </w:rPr>
            </w:pPr>
          </w:p>
        </w:tc>
        <w:tc>
          <w:tcPr>
            <w:tcW w:w="118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Contributions</w:t>
            </w:r>
          </w:p>
        </w:tc>
      </w:tr>
      <w:tr>
        <w:trPr>
          <w:trHeight w:val="162"/>
        </w:trPr>
        <w:tc>
          <w:tcPr>
            <w:tcW w:w="3880" w:type="dxa"/>
            <w:vAlign w:val="bottom"/>
            <w:shd w:val="clear" w:color="auto" w:fill="005CB9"/>
          </w:tcPr>
          <w:p>
            <w:pPr>
              <w:spacing w:after="0"/>
              <w:rPr>
                <w:sz w:val="14"/>
                <w:szCs w:val="14"/>
                <w:color w:val="auto"/>
              </w:rPr>
            </w:pPr>
          </w:p>
        </w:tc>
        <w:tc>
          <w:tcPr>
            <w:tcW w:w="1480" w:type="dxa"/>
            <w:vAlign w:val="bottom"/>
            <w:shd w:val="clear" w:color="auto" w:fill="005CB9"/>
          </w:tcPr>
          <w:p>
            <w:pPr>
              <w:spacing w:after="0"/>
              <w:rPr>
                <w:sz w:val="14"/>
                <w:szCs w:val="14"/>
                <w:color w:val="auto"/>
              </w:rPr>
            </w:pPr>
          </w:p>
        </w:tc>
        <w:tc>
          <w:tcPr>
            <w:tcW w:w="1320" w:type="dxa"/>
            <w:vAlign w:val="bottom"/>
            <w:shd w:val="clear" w:color="auto" w:fill="005CB9"/>
          </w:tcPr>
          <w:p>
            <w:pPr>
              <w:spacing w:after="0"/>
              <w:rPr>
                <w:sz w:val="14"/>
                <w:szCs w:val="14"/>
                <w:color w:val="auto"/>
              </w:rPr>
            </w:pPr>
          </w:p>
        </w:tc>
        <w:tc>
          <w:tcPr>
            <w:tcW w:w="1060" w:type="dxa"/>
            <w:vAlign w:val="bottom"/>
            <w:shd w:val="clear" w:color="auto" w:fill="005CB9"/>
          </w:tcPr>
          <w:p>
            <w:pPr>
              <w:spacing w:after="0"/>
              <w:rPr>
                <w:sz w:val="14"/>
                <w:szCs w:val="14"/>
                <w:color w:val="auto"/>
              </w:rPr>
            </w:pPr>
          </w:p>
        </w:tc>
        <w:tc>
          <w:tcPr>
            <w:tcW w:w="10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Additional</w:t>
            </w:r>
          </w:p>
        </w:tc>
        <w:tc>
          <w:tcPr>
            <w:tcW w:w="1020" w:type="dxa"/>
            <w:vAlign w:val="bottom"/>
            <w:shd w:val="clear" w:color="auto" w:fill="005CB9"/>
          </w:tcPr>
          <w:p>
            <w:pPr>
              <w:spacing w:after="0"/>
              <w:rPr>
                <w:sz w:val="14"/>
                <w:szCs w:val="14"/>
                <w:color w:val="auto"/>
              </w:rPr>
            </w:pPr>
          </w:p>
        </w:tc>
        <w:tc>
          <w:tcPr>
            <w:tcW w:w="118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to Defined</w:t>
            </w:r>
          </w:p>
        </w:tc>
      </w:tr>
      <w:tr>
        <w:trPr>
          <w:trHeight w:val="162"/>
        </w:trPr>
        <w:tc>
          <w:tcPr>
            <w:tcW w:w="3880" w:type="dxa"/>
            <w:vAlign w:val="bottom"/>
            <w:shd w:val="clear" w:color="auto" w:fill="005CB9"/>
          </w:tcPr>
          <w:p>
            <w:pPr>
              <w:spacing w:after="0"/>
              <w:rPr>
                <w:sz w:val="14"/>
                <w:szCs w:val="14"/>
                <w:color w:val="auto"/>
              </w:rPr>
            </w:pPr>
          </w:p>
        </w:tc>
        <w:tc>
          <w:tcPr>
            <w:tcW w:w="14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Club</w:t>
            </w:r>
          </w:p>
        </w:tc>
        <w:tc>
          <w:tcPr>
            <w:tcW w:w="1320" w:type="dxa"/>
            <w:vAlign w:val="bottom"/>
            <w:shd w:val="clear" w:color="auto" w:fill="005CB9"/>
          </w:tcPr>
          <w:p>
            <w:pPr>
              <w:jc w:val="right"/>
              <w:ind w:right="168"/>
              <w:spacing w:after="0"/>
              <w:rPr>
                <w:sz w:val="20"/>
                <w:szCs w:val="20"/>
                <w:color w:val="auto"/>
              </w:rPr>
            </w:pPr>
            <w:r>
              <w:rPr>
                <w:rFonts w:ascii="Arial" w:cs="Arial" w:eastAsia="Arial" w:hAnsi="Arial"/>
                <w:sz w:val="14"/>
                <w:szCs w:val="14"/>
                <w:color w:val="FFFFFF"/>
              </w:rPr>
              <w:t>Personal Use</w:t>
            </w:r>
          </w:p>
        </w:tc>
        <w:tc>
          <w:tcPr>
            <w:tcW w:w="106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Company</w:t>
            </w:r>
          </w:p>
        </w:tc>
        <w:tc>
          <w:tcPr>
            <w:tcW w:w="10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Medical</w:t>
            </w:r>
          </w:p>
        </w:tc>
        <w:tc>
          <w:tcPr>
            <w:tcW w:w="102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Financial</w:t>
            </w:r>
          </w:p>
        </w:tc>
        <w:tc>
          <w:tcPr>
            <w:tcW w:w="118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Contribution</w:t>
            </w:r>
          </w:p>
        </w:tc>
      </w:tr>
      <w:tr>
        <w:trPr>
          <w:trHeight w:val="162"/>
        </w:trPr>
        <w:tc>
          <w:tcPr>
            <w:tcW w:w="3880" w:type="dxa"/>
            <w:vAlign w:val="bottom"/>
            <w:shd w:val="clear" w:color="auto" w:fill="005CB9"/>
          </w:tcPr>
          <w:p>
            <w:pPr>
              <w:spacing w:after="0"/>
              <w:rPr>
                <w:sz w:val="14"/>
                <w:szCs w:val="14"/>
                <w:color w:val="auto"/>
              </w:rPr>
            </w:pPr>
          </w:p>
        </w:tc>
        <w:tc>
          <w:tcPr>
            <w:tcW w:w="14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Memberships</w:t>
            </w:r>
          </w:p>
        </w:tc>
        <w:tc>
          <w:tcPr>
            <w:tcW w:w="1320" w:type="dxa"/>
            <w:vAlign w:val="bottom"/>
            <w:shd w:val="clear" w:color="auto" w:fill="005CB9"/>
          </w:tcPr>
          <w:p>
            <w:pPr>
              <w:jc w:val="right"/>
              <w:ind w:right="168"/>
              <w:spacing w:after="0"/>
              <w:rPr>
                <w:sz w:val="20"/>
                <w:szCs w:val="20"/>
                <w:color w:val="auto"/>
              </w:rPr>
            </w:pPr>
            <w:r>
              <w:rPr>
                <w:rFonts w:ascii="Arial" w:cs="Arial" w:eastAsia="Arial" w:hAnsi="Arial"/>
                <w:sz w:val="14"/>
                <w:szCs w:val="14"/>
                <w:color w:val="FFFFFF"/>
              </w:rPr>
              <w:t>of Aircraft</w:t>
            </w:r>
            <w:r>
              <w:rPr>
                <w:rFonts w:ascii="Arial" w:cs="Arial" w:eastAsia="Arial" w:hAnsi="Arial"/>
                <w:sz w:val="14"/>
                <w:szCs w:val="14"/>
                <w:color w:val="FFFFFF"/>
                <w:vertAlign w:val="superscript"/>
              </w:rPr>
              <w:t>(a)</w:t>
            </w:r>
          </w:p>
        </w:tc>
        <w:tc>
          <w:tcPr>
            <w:tcW w:w="106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Car</w:t>
            </w:r>
          </w:p>
        </w:tc>
        <w:tc>
          <w:tcPr>
            <w:tcW w:w="10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Services</w:t>
            </w:r>
          </w:p>
        </w:tc>
        <w:tc>
          <w:tcPr>
            <w:tcW w:w="102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Planning</w:t>
            </w:r>
          </w:p>
        </w:tc>
        <w:tc>
          <w:tcPr>
            <w:tcW w:w="11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Plans</w:t>
            </w:r>
            <w:r>
              <w:rPr>
                <w:rFonts w:ascii="Arial" w:cs="Arial" w:eastAsia="Arial" w:hAnsi="Arial"/>
                <w:sz w:val="14"/>
                <w:szCs w:val="14"/>
                <w:color w:val="FFFFFF"/>
                <w:vertAlign w:val="superscript"/>
              </w:rPr>
              <w:t>(b)</w:t>
            </w:r>
            <w:r>
              <w:rPr>
                <w:rFonts w:ascii="Arial" w:cs="Arial" w:eastAsia="Arial" w:hAnsi="Arial"/>
                <w:sz w:val="14"/>
                <w:szCs w:val="14"/>
                <w:color w:val="FFFFFF"/>
              </w:rPr>
              <w:t xml:space="preserve"> </w:t>
            </w:r>
          </w:p>
        </w:tc>
      </w:tr>
      <w:tr>
        <w:trPr>
          <w:trHeight w:val="185"/>
        </w:trPr>
        <w:tc>
          <w:tcPr>
            <w:tcW w:w="388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14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320" w:type="dxa"/>
            <w:vAlign w:val="bottom"/>
            <w:shd w:val="clear" w:color="auto" w:fill="005CB9"/>
          </w:tcPr>
          <w:p>
            <w:pPr>
              <w:jc w:val="right"/>
              <w:ind w:right="168"/>
              <w:spacing w:after="0"/>
              <w:rPr>
                <w:sz w:val="20"/>
                <w:szCs w:val="20"/>
                <w:color w:val="auto"/>
              </w:rPr>
            </w:pPr>
            <w:r>
              <w:rPr>
                <w:rFonts w:ascii="Arial" w:cs="Arial" w:eastAsia="Arial" w:hAnsi="Arial"/>
                <w:sz w:val="14"/>
                <w:szCs w:val="14"/>
                <w:color w:val="FFFFFF"/>
              </w:rPr>
              <w:t>($)</w:t>
            </w:r>
          </w:p>
        </w:tc>
        <w:tc>
          <w:tcPr>
            <w:tcW w:w="106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08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020" w:type="dxa"/>
            <w:vAlign w:val="bottom"/>
            <w:shd w:val="clear" w:color="auto" w:fill="005CB9"/>
          </w:tcPr>
          <w:p>
            <w:pPr>
              <w:jc w:val="right"/>
              <w:ind w:right="148"/>
              <w:spacing w:after="0"/>
              <w:rPr>
                <w:sz w:val="20"/>
                <w:szCs w:val="20"/>
                <w:color w:val="auto"/>
              </w:rPr>
            </w:pPr>
            <w:r>
              <w:rPr>
                <w:rFonts w:ascii="Arial" w:cs="Arial" w:eastAsia="Arial" w:hAnsi="Arial"/>
                <w:sz w:val="14"/>
                <w:szCs w:val="14"/>
                <w:color w:val="FFFFFF"/>
              </w:rPr>
              <w:t>($)</w:t>
            </w:r>
          </w:p>
        </w:tc>
        <w:tc>
          <w:tcPr>
            <w:tcW w:w="11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 xml:space="preserve">($) </w:t>
            </w:r>
          </w:p>
        </w:tc>
      </w:tr>
      <w:tr>
        <w:trPr>
          <w:trHeight w:val="237"/>
        </w:trPr>
        <w:tc>
          <w:tcPr>
            <w:tcW w:w="388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 L. Neil Hunn</w:t>
            </w:r>
          </w:p>
        </w:tc>
        <w:tc>
          <w:tcPr>
            <w:tcW w:w="148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11,931</w:t>
            </w:r>
          </w:p>
        </w:tc>
        <w:tc>
          <w:tcPr>
            <w:tcW w:w="1320" w:type="dxa"/>
            <w:vAlign w:val="bottom"/>
            <w:tcBorders>
              <w:bottom w:val="single" w:sz="8" w:color="CCDEF1"/>
            </w:tcBorders>
            <w:shd w:val="clear" w:color="auto" w:fill="CCDEF1"/>
          </w:tcPr>
          <w:p>
            <w:pPr>
              <w:jc w:val="right"/>
              <w:ind w:right="168"/>
              <w:spacing w:after="0"/>
              <w:rPr>
                <w:sz w:val="20"/>
                <w:szCs w:val="20"/>
                <w:color w:val="auto"/>
              </w:rPr>
            </w:pPr>
            <w:r>
              <w:rPr>
                <w:rFonts w:ascii="Arial" w:cs="Arial" w:eastAsia="Arial" w:hAnsi="Arial"/>
                <w:sz w:val="14"/>
                <w:szCs w:val="14"/>
                <w:color w:val="auto"/>
              </w:rPr>
              <w:t>225,000</w:t>
            </w:r>
          </w:p>
        </w:tc>
        <w:tc>
          <w:tcPr>
            <w:tcW w:w="106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24,000</w:t>
            </w:r>
          </w:p>
        </w:tc>
        <w:tc>
          <w:tcPr>
            <w:tcW w:w="108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4,500</w:t>
            </w:r>
          </w:p>
        </w:tc>
        <w:tc>
          <w:tcPr>
            <w:tcW w:w="102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21,780</w:t>
            </w:r>
          </w:p>
        </w:tc>
        <w:tc>
          <w:tcPr>
            <w:tcW w:w="11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225,000  </w:t>
            </w:r>
          </w:p>
        </w:tc>
      </w:tr>
      <w:tr>
        <w:trPr>
          <w:trHeight w:val="221"/>
        </w:trPr>
        <w:tc>
          <w:tcPr>
            <w:tcW w:w="3880" w:type="dxa"/>
            <w:vAlign w:val="bottom"/>
          </w:tcPr>
          <w:p>
            <w:pPr>
              <w:spacing w:after="0"/>
              <w:rPr>
                <w:sz w:val="20"/>
                <w:szCs w:val="20"/>
                <w:color w:val="auto"/>
              </w:rPr>
            </w:pPr>
            <w:r>
              <w:rPr>
                <w:rFonts w:ascii="Arial" w:cs="Arial" w:eastAsia="Arial" w:hAnsi="Arial"/>
                <w:sz w:val="14"/>
                <w:szCs w:val="14"/>
                <w:color w:val="auto"/>
              </w:rPr>
              <w:t> Jason P. Conley</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9,165</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30,000</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3,500</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106,906  </w:t>
            </w:r>
          </w:p>
        </w:tc>
      </w:tr>
      <w:tr>
        <w:trPr>
          <w:trHeight w:val="35"/>
        </w:trPr>
        <w:tc>
          <w:tcPr>
            <w:tcW w:w="38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37"/>
        </w:trPr>
        <w:tc>
          <w:tcPr>
            <w:tcW w:w="388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 John K. Stipancich</w:t>
            </w:r>
          </w:p>
        </w:tc>
        <w:tc>
          <w:tcPr>
            <w:tcW w:w="148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DEF1"/>
            </w:tcBorders>
            <w:shd w:val="clear" w:color="auto" w:fill="CCDEF1"/>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27,000</w:t>
            </w:r>
          </w:p>
        </w:tc>
        <w:tc>
          <w:tcPr>
            <w:tcW w:w="108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4,500</w:t>
            </w:r>
          </w:p>
        </w:tc>
        <w:tc>
          <w:tcPr>
            <w:tcW w:w="1020" w:type="dxa"/>
            <w:vAlign w:val="bottom"/>
            <w:tcBorders>
              <w:bottom w:val="single" w:sz="8" w:color="CCDEF1"/>
            </w:tcBorders>
            <w:shd w:val="clear" w:color="auto" w:fill="CCDEF1"/>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132,187  </w:t>
            </w:r>
          </w:p>
        </w:tc>
      </w:tr>
      <w:tr>
        <w:trPr>
          <w:trHeight w:val="221"/>
        </w:trPr>
        <w:tc>
          <w:tcPr>
            <w:tcW w:w="3880" w:type="dxa"/>
            <w:vAlign w:val="bottom"/>
          </w:tcPr>
          <w:p>
            <w:pPr>
              <w:spacing w:after="0"/>
              <w:rPr>
                <w:sz w:val="20"/>
                <w:szCs w:val="20"/>
                <w:color w:val="auto"/>
              </w:rPr>
            </w:pPr>
            <w:r>
              <w:rPr>
                <w:rFonts w:ascii="Arial" w:cs="Arial" w:eastAsia="Arial" w:hAnsi="Arial"/>
                <w:sz w:val="14"/>
                <w:szCs w:val="14"/>
                <w:color w:val="auto"/>
              </w:rPr>
              <w:t> Robert C. Crisci</w:t>
            </w:r>
          </w:p>
        </w:tc>
        <w:tc>
          <w:tcPr>
            <w:tcW w:w="14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23,371</w:t>
            </w:r>
          </w:p>
        </w:tc>
        <w:tc>
          <w:tcPr>
            <w:tcW w:w="10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4,438  </w:t>
            </w:r>
          </w:p>
        </w:tc>
      </w:tr>
    </w:tbl>
    <w:p>
      <w:pPr>
        <w:spacing w:after="0" w:line="107" w:lineRule="exact"/>
        <w:rPr>
          <w:sz w:val="20"/>
          <w:szCs w:val="20"/>
          <w:color w:val="auto"/>
        </w:rPr>
      </w:pPr>
    </w:p>
    <w:p>
      <w:pPr>
        <w:ind w:left="540" w:right="20" w:hanging="424"/>
        <w:spacing w:after="0" w:line="226" w:lineRule="auto"/>
        <w:tabs>
          <w:tab w:leader="none" w:pos="5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The incremental cost to the Company of the personal aircraft use is calculated by using the variable operating cost (including the cost of fuel, on-board meals, landing and parking fees, related ground transportation, trip-related maintenance, and crew travel expense) net of any applicable employee reimbursement. Because the aircraft is used predominately for business travel, we do not include in the calculation the fixed costs that do not change based on usage, such as crew salaries, aircraft insurance premiums, hanger lease payments, the lease or acquisition cost of the aircraft, and exterior paint, inspection and capital improvement costs intended to cover a multiple-year period. Maintenance costs incurred pursuant to contractual arrangements with the engine manufacturer, avionics manufacturer, and auxiliary power unit manufacturer are also excluded from the calculation.</w:t>
      </w:r>
    </w:p>
    <w:p>
      <w:pPr>
        <w:spacing w:after="0" w:line="4" w:lineRule="exact"/>
        <w:rPr>
          <w:rFonts w:ascii="Arial" w:cs="Arial" w:eastAsia="Arial" w:hAnsi="Arial"/>
          <w:sz w:val="22"/>
          <w:szCs w:val="22"/>
          <w:color w:val="auto"/>
          <w:vertAlign w:val="superscript"/>
        </w:rPr>
      </w:pPr>
    </w:p>
    <w:p>
      <w:pPr>
        <w:ind w:left="540" w:hanging="424"/>
        <w:spacing w:after="0" w:line="230" w:lineRule="auto"/>
        <w:tabs>
          <w:tab w:leader="none" w:pos="540" w:val="left"/>
        </w:tabs>
        <w:numPr>
          <w:ilvl w:val="0"/>
          <w:numId w:val="57"/>
        </w:numPr>
        <w:rPr>
          <w:rFonts w:ascii="Arial" w:cs="Arial" w:eastAsia="Arial" w:hAnsi="Arial"/>
          <w:sz w:val="22"/>
          <w:szCs w:val="22"/>
          <w:color w:val="auto"/>
          <w:vertAlign w:val="superscript"/>
        </w:rPr>
      </w:pPr>
      <w:r>
        <w:rPr>
          <w:rFonts w:ascii="Arial" w:cs="Arial" w:eastAsia="Arial" w:hAnsi="Arial"/>
          <w:sz w:val="14"/>
          <w:szCs w:val="14"/>
          <w:color w:val="auto"/>
        </w:rPr>
        <w:t>Reflects contributions to the Non-Qualified Retirement Plan and the 401(k) plan.</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Grants of Plan-Based Awards</w:t>
      </w:r>
    </w:p>
    <w:p>
      <w:pPr>
        <w:spacing w:after="0" w:line="98"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color w:val="auto"/>
        </w:rPr>
        <w:t>The following table sets forth certain information with respect to grants of plan-based awards to the named executive officers for the fiscal year ended December 31, 2023.</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40" w:type="dxa"/>
            <w:vAlign w:val="bottom"/>
            <w:shd w:val="clear" w:color="auto" w:fill="005CB9"/>
          </w:tcPr>
          <w:p>
            <w:pPr>
              <w:spacing w:after="0"/>
              <w:rPr>
                <w:sz w:val="14"/>
                <w:szCs w:val="14"/>
                <w:color w:val="auto"/>
              </w:rPr>
            </w:pPr>
          </w:p>
        </w:tc>
        <w:tc>
          <w:tcPr>
            <w:tcW w:w="200" w:type="dxa"/>
            <w:vAlign w:val="bottom"/>
            <w:shd w:val="clear" w:color="auto" w:fill="005CB9"/>
          </w:tcPr>
          <w:p>
            <w:pPr>
              <w:spacing w:after="0"/>
              <w:rPr>
                <w:sz w:val="14"/>
                <w:szCs w:val="14"/>
                <w:color w:val="auto"/>
              </w:rPr>
            </w:pPr>
          </w:p>
        </w:tc>
        <w:tc>
          <w:tcPr>
            <w:tcW w:w="84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980" w:type="dxa"/>
            <w:vAlign w:val="bottom"/>
            <w:shd w:val="clear" w:color="auto" w:fill="005CB9"/>
          </w:tcPr>
          <w:p>
            <w:pPr>
              <w:spacing w:after="0"/>
              <w:rPr>
                <w:sz w:val="14"/>
                <w:szCs w:val="14"/>
                <w:color w:val="auto"/>
              </w:rPr>
            </w:pPr>
          </w:p>
        </w:tc>
        <w:tc>
          <w:tcPr>
            <w:tcW w:w="880" w:type="dxa"/>
            <w:vAlign w:val="bottom"/>
            <w:shd w:val="clear" w:color="auto" w:fill="005CB9"/>
          </w:tcPr>
          <w:p>
            <w:pPr>
              <w:spacing w:after="0"/>
              <w:rPr>
                <w:sz w:val="14"/>
                <w:szCs w:val="14"/>
                <w:color w:val="auto"/>
              </w:rPr>
            </w:pPr>
          </w:p>
        </w:tc>
        <w:tc>
          <w:tcPr>
            <w:tcW w:w="146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Estimated Future</w:t>
            </w:r>
          </w:p>
        </w:tc>
        <w:tc>
          <w:tcPr>
            <w:tcW w:w="1460" w:type="dxa"/>
            <w:vAlign w:val="bottom"/>
            <w:vMerge w:val="restart"/>
            <w:shd w:val="clear" w:color="auto" w:fill="005CB9"/>
          </w:tcPr>
          <w:p>
            <w:pPr>
              <w:jc w:val="right"/>
              <w:ind w:right="170"/>
              <w:spacing w:after="0"/>
              <w:rPr>
                <w:sz w:val="20"/>
                <w:szCs w:val="20"/>
                <w:color w:val="auto"/>
              </w:rPr>
            </w:pPr>
            <w:r>
              <w:rPr>
                <w:rFonts w:ascii="Arial" w:cs="Arial" w:eastAsia="Arial" w:hAnsi="Arial"/>
                <w:sz w:val="14"/>
                <w:szCs w:val="14"/>
                <w:color w:val="FFFFFF"/>
              </w:rPr>
              <w:t>All Other</w:t>
            </w:r>
          </w:p>
        </w:tc>
        <w:tc>
          <w:tcPr>
            <w:tcW w:w="1100" w:type="dxa"/>
            <w:vAlign w:val="bottom"/>
            <w:shd w:val="clear" w:color="auto" w:fill="005CB9"/>
          </w:tcPr>
          <w:p>
            <w:pPr>
              <w:spacing w:after="0"/>
              <w:rPr>
                <w:sz w:val="14"/>
                <w:szCs w:val="14"/>
                <w:color w:val="auto"/>
              </w:rPr>
            </w:pPr>
          </w:p>
        </w:tc>
        <w:tc>
          <w:tcPr>
            <w:tcW w:w="88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Grant Date</w:t>
            </w:r>
          </w:p>
        </w:tc>
        <w:tc>
          <w:tcPr>
            <w:tcW w:w="100" w:type="dxa"/>
            <w:vAlign w:val="bottom"/>
            <w:shd w:val="clear" w:color="auto" w:fill="005CB9"/>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4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40" w:type="dxa"/>
            <w:vAlign w:val="bottom"/>
            <w:shd w:val="clear" w:color="auto" w:fill="005CB9"/>
          </w:tcPr>
          <w:p>
            <w:pPr>
              <w:spacing w:after="0"/>
              <w:rPr>
                <w:sz w:val="7"/>
                <w:szCs w:val="7"/>
                <w:color w:val="auto"/>
              </w:rPr>
            </w:pPr>
          </w:p>
        </w:tc>
        <w:tc>
          <w:tcPr>
            <w:tcW w:w="780" w:type="dxa"/>
            <w:vAlign w:val="bottom"/>
            <w:shd w:val="clear" w:color="auto" w:fill="005CB9"/>
          </w:tcPr>
          <w:p>
            <w:pPr>
              <w:spacing w:after="0"/>
              <w:rPr>
                <w:sz w:val="7"/>
                <w:szCs w:val="7"/>
                <w:color w:val="auto"/>
              </w:rPr>
            </w:pPr>
          </w:p>
        </w:tc>
        <w:tc>
          <w:tcPr>
            <w:tcW w:w="1860" w:type="dxa"/>
            <w:vAlign w:val="bottom"/>
            <w:gridSpan w:val="2"/>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Estimated Possible</w:t>
            </w:r>
          </w:p>
        </w:tc>
        <w:tc>
          <w:tcPr>
            <w:tcW w:w="1460" w:type="dxa"/>
            <w:vAlign w:val="bottom"/>
            <w:gridSpan w:val="2"/>
            <w:vMerge w:val="restart"/>
            <w:shd w:val="clear" w:color="auto" w:fill="005CB9"/>
          </w:tcPr>
          <w:p>
            <w:pPr>
              <w:jc w:val="right"/>
              <w:spacing w:after="0"/>
              <w:rPr>
                <w:sz w:val="20"/>
                <w:szCs w:val="20"/>
                <w:color w:val="auto"/>
              </w:rPr>
            </w:pPr>
            <w:r>
              <w:rPr>
                <w:rFonts w:ascii="Arial" w:cs="Arial" w:eastAsia="Arial" w:hAnsi="Arial"/>
                <w:sz w:val="14"/>
                <w:szCs w:val="14"/>
                <w:color w:val="FFFFFF"/>
              </w:rPr>
              <w:t>Payouts Under</w:t>
            </w:r>
          </w:p>
        </w:tc>
        <w:tc>
          <w:tcPr>
            <w:tcW w:w="1460" w:type="dxa"/>
            <w:vAlign w:val="bottom"/>
            <w:vMerge w:val="continue"/>
            <w:shd w:val="clear" w:color="auto" w:fill="005CB9"/>
          </w:tcPr>
          <w:p>
            <w:pPr>
              <w:spacing w:after="0"/>
              <w:rPr>
                <w:sz w:val="7"/>
                <w:szCs w:val="7"/>
                <w:color w:val="auto"/>
              </w:rPr>
            </w:pPr>
          </w:p>
        </w:tc>
        <w:tc>
          <w:tcPr>
            <w:tcW w:w="1100" w:type="dxa"/>
            <w:vAlign w:val="bottom"/>
            <w:shd w:val="clear" w:color="auto" w:fill="005CB9"/>
          </w:tcPr>
          <w:p>
            <w:pPr>
              <w:spacing w:after="0"/>
              <w:rPr>
                <w:sz w:val="7"/>
                <w:szCs w:val="7"/>
                <w:color w:val="auto"/>
              </w:rPr>
            </w:pPr>
          </w:p>
        </w:tc>
        <w:tc>
          <w:tcPr>
            <w:tcW w:w="880" w:type="dxa"/>
            <w:vAlign w:val="bottom"/>
            <w:vMerge w:val="continue"/>
            <w:shd w:val="clear" w:color="auto" w:fill="005CB9"/>
          </w:tcPr>
          <w:p>
            <w:pPr>
              <w:spacing w:after="0"/>
              <w:rPr>
                <w:sz w:val="7"/>
                <w:szCs w:val="7"/>
                <w:color w:val="auto"/>
              </w:rPr>
            </w:pPr>
          </w:p>
        </w:tc>
        <w:tc>
          <w:tcPr>
            <w:tcW w:w="10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4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40" w:type="dxa"/>
            <w:vAlign w:val="bottom"/>
            <w:shd w:val="clear" w:color="auto" w:fill="005CB9"/>
          </w:tcPr>
          <w:p>
            <w:pPr>
              <w:spacing w:after="0"/>
              <w:rPr>
                <w:sz w:val="7"/>
                <w:szCs w:val="7"/>
                <w:color w:val="auto"/>
              </w:rPr>
            </w:pPr>
          </w:p>
        </w:tc>
        <w:tc>
          <w:tcPr>
            <w:tcW w:w="780" w:type="dxa"/>
            <w:vAlign w:val="bottom"/>
            <w:shd w:val="clear" w:color="auto" w:fill="005CB9"/>
          </w:tcPr>
          <w:p>
            <w:pPr>
              <w:spacing w:after="0"/>
              <w:rPr>
                <w:sz w:val="7"/>
                <w:szCs w:val="7"/>
                <w:color w:val="auto"/>
              </w:rPr>
            </w:pPr>
          </w:p>
        </w:tc>
        <w:tc>
          <w:tcPr>
            <w:tcW w:w="1860" w:type="dxa"/>
            <w:vAlign w:val="bottom"/>
            <w:gridSpan w:val="2"/>
            <w:vMerge w:val="continue"/>
            <w:shd w:val="clear" w:color="auto" w:fill="005CB9"/>
          </w:tcPr>
          <w:p>
            <w:pPr>
              <w:spacing w:after="0"/>
              <w:rPr>
                <w:sz w:val="7"/>
                <w:szCs w:val="7"/>
                <w:color w:val="auto"/>
              </w:rPr>
            </w:pPr>
          </w:p>
        </w:tc>
        <w:tc>
          <w:tcPr>
            <w:tcW w:w="1460" w:type="dxa"/>
            <w:vAlign w:val="bottom"/>
            <w:gridSpan w:val="2"/>
            <w:vMerge w:val="continue"/>
            <w:shd w:val="clear" w:color="auto" w:fill="005CB9"/>
          </w:tcPr>
          <w:p>
            <w:pPr>
              <w:spacing w:after="0"/>
              <w:rPr>
                <w:sz w:val="7"/>
                <w:szCs w:val="7"/>
                <w:color w:val="auto"/>
              </w:rPr>
            </w:pPr>
          </w:p>
        </w:tc>
        <w:tc>
          <w:tcPr>
            <w:tcW w:w="1460" w:type="dxa"/>
            <w:vAlign w:val="bottom"/>
            <w:vMerge w:val="restart"/>
            <w:shd w:val="clear" w:color="auto" w:fill="005CB9"/>
          </w:tcPr>
          <w:p>
            <w:pPr>
              <w:jc w:val="right"/>
              <w:ind w:right="170"/>
              <w:spacing w:after="0"/>
              <w:rPr>
                <w:sz w:val="20"/>
                <w:szCs w:val="20"/>
                <w:color w:val="auto"/>
              </w:rPr>
            </w:pPr>
            <w:r>
              <w:rPr>
                <w:rFonts w:ascii="Arial" w:cs="Arial" w:eastAsia="Arial" w:hAnsi="Arial"/>
                <w:sz w:val="14"/>
                <w:szCs w:val="14"/>
                <w:color w:val="FFFFFF"/>
              </w:rPr>
              <w:t>Option</w:t>
            </w:r>
          </w:p>
        </w:tc>
        <w:tc>
          <w:tcPr>
            <w:tcW w:w="1100" w:type="dxa"/>
            <w:vAlign w:val="bottom"/>
            <w:shd w:val="clear" w:color="auto" w:fill="005CB9"/>
          </w:tcPr>
          <w:p>
            <w:pPr>
              <w:spacing w:after="0"/>
              <w:rPr>
                <w:sz w:val="7"/>
                <w:szCs w:val="7"/>
                <w:color w:val="auto"/>
              </w:rPr>
            </w:pPr>
          </w:p>
        </w:tc>
        <w:tc>
          <w:tcPr>
            <w:tcW w:w="88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Fair Value of</w:t>
            </w:r>
          </w:p>
        </w:tc>
        <w:tc>
          <w:tcPr>
            <w:tcW w:w="10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4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40" w:type="dxa"/>
            <w:vAlign w:val="bottom"/>
            <w:shd w:val="clear" w:color="auto" w:fill="005CB9"/>
          </w:tcPr>
          <w:p>
            <w:pPr>
              <w:spacing w:after="0"/>
              <w:rPr>
                <w:sz w:val="7"/>
                <w:szCs w:val="7"/>
                <w:color w:val="auto"/>
              </w:rPr>
            </w:pPr>
          </w:p>
        </w:tc>
        <w:tc>
          <w:tcPr>
            <w:tcW w:w="780" w:type="dxa"/>
            <w:vAlign w:val="bottom"/>
            <w:shd w:val="clear" w:color="auto" w:fill="005CB9"/>
          </w:tcPr>
          <w:p>
            <w:pPr>
              <w:spacing w:after="0"/>
              <w:rPr>
                <w:sz w:val="7"/>
                <w:szCs w:val="7"/>
                <w:color w:val="auto"/>
              </w:rPr>
            </w:pPr>
          </w:p>
        </w:tc>
        <w:tc>
          <w:tcPr>
            <w:tcW w:w="1860" w:type="dxa"/>
            <w:vAlign w:val="bottom"/>
            <w:gridSpan w:val="2"/>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Payouts Under Non-Equity</w:t>
            </w:r>
          </w:p>
        </w:tc>
        <w:tc>
          <w:tcPr>
            <w:tcW w:w="1460" w:type="dxa"/>
            <w:vAlign w:val="bottom"/>
            <w:gridSpan w:val="2"/>
            <w:vMerge w:val="restart"/>
            <w:shd w:val="clear" w:color="auto" w:fill="005CB9"/>
          </w:tcPr>
          <w:p>
            <w:pPr>
              <w:jc w:val="right"/>
              <w:spacing w:after="0"/>
              <w:rPr>
                <w:sz w:val="20"/>
                <w:szCs w:val="20"/>
                <w:color w:val="auto"/>
              </w:rPr>
            </w:pPr>
            <w:r>
              <w:rPr>
                <w:rFonts w:ascii="Arial" w:cs="Arial" w:eastAsia="Arial" w:hAnsi="Arial"/>
                <w:sz w:val="14"/>
                <w:szCs w:val="14"/>
                <w:color w:val="FFFFFF"/>
              </w:rPr>
              <w:t>Equity Incentive</w:t>
            </w:r>
          </w:p>
        </w:tc>
        <w:tc>
          <w:tcPr>
            <w:tcW w:w="1460" w:type="dxa"/>
            <w:vAlign w:val="bottom"/>
            <w:vMerge w:val="continue"/>
            <w:shd w:val="clear" w:color="auto" w:fill="005CB9"/>
          </w:tcPr>
          <w:p>
            <w:pPr>
              <w:spacing w:after="0"/>
              <w:rPr>
                <w:sz w:val="7"/>
                <w:szCs w:val="7"/>
                <w:color w:val="auto"/>
              </w:rPr>
            </w:pPr>
          </w:p>
        </w:tc>
        <w:tc>
          <w:tcPr>
            <w:tcW w:w="1100" w:type="dxa"/>
            <w:vAlign w:val="bottom"/>
            <w:shd w:val="clear" w:color="auto" w:fill="005CB9"/>
          </w:tcPr>
          <w:p>
            <w:pPr>
              <w:spacing w:after="0"/>
              <w:rPr>
                <w:sz w:val="7"/>
                <w:szCs w:val="7"/>
                <w:color w:val="auto"/>
              </w:rPr>
            </w:pPr>
          </w:p>
        </w:tc>
        <w:tc>
          <w:tcPr>
            <w:tcW w:w="880" w:type="dxa"/>
            <w:vAlign w:val="bottom"/>
            <w:vMerge w:val="continue"/>
            <w:shd w:val="clear" w:color="auto" w:fill="005CB9"/>
          </w:tcPr>
          <w:p>
            <w:pPr>
              <w:spacing w:after="0"/>
              <w:rPr>
                <w:sz w:val="7"/>
                <w:szCs w:val="7"/>
                <w:color w:val="auto"/>
              </w:rPr>
            </w:pPr>
          </w:p>
        </w:tc>
        <w:tc>
          <w:tcPr>
            <w:tcW w:w="10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340" w:type="dxa"/>
            <w:vAlign w:val="bottom"/>
            <w:shd w:val="clear" w:color="auto" w:fill="005CB9"/>
          </w:tcPr>
          <w:p>
            <w:pPr>
              <w:spacing w:after="0"/>
              <w:rPr>
                <w:sz w:val="7"/>
                <w:szCs w:val="7"/>
                <w:color w:val="auto"/>
              </w:rPr>
            </w:pPr>
          </w:p>
        </w:tc>
        <w:tc>
          <w:tcPr>
            <w:tcW w:w="200" w:type="dxa"/>
            <w:vAlign w:val="bottom"/>
            <w:shd w:val="clear" w:color="auto" w:fill="005CB9"/>
          </w:tcPr>
          <w:p>
            <w:pPr>
              <w:spacing w:after="0"/>
              <w:rPr>
                <w:sz w:val="7"/>
                <w:szCs w:val="7"/>
                <w:color w:val="auto"/>
              </w:rPr>
            </w:pPr>
          </w:p>
        </w:tc>
        <w:tc>
          <w:tcPr>
            <w:tcW w:w="840" w:type="dxa"/>
            <w:vAlign w:val="bottom"/>
            <w:shd w:val="clear" w:color="auto" w:fill="005CB9"/>
          </w:tcPr>
          <w:p>
            <w:pPr>
              <w:spacing w:after="0"/>
              <w:rPr>
                <w:sz w:val="7"/>
                <w:szCs w:val="7"/>
                <w:color w:val="auto"/>
              </w:rPr>
            </w:pPr>
          </w:p>
        </w:tc>
        <w:tc>
          <w:tcPr>
            <w:tcW w:w="780" w:type="dxa"/>
            <w:vAlign w:val="bottom"/>
            <w:shd w:val="clear" w:color="auto" w:fill="005CB9"/>
          </w:tcPr>
          <w:p>
            <w:pPr>
              <w:spacing w:after="0"/>
              <w:rPr>
                <w:sz w:val="7"/>
                <w:szCs w:val="7"/>
                <w:color w:val="auto"/>
              </w:rPr>
            </w:pPr>
          </w:p>
        </w:tc>
        <w:tc>
          <w:tcPr>
            <w:tcW w:w="1860" w:type="dxa"/>
            <w:vAlign w:val="bottom"/>
            <w:gridSpan w:val="2"/>
            <w:vMerge w:val="continue"/>
            <w:shd w:val="clear" w:color="auto" w:fill="005CB9"/>
          </w:tcPr>
          <w:p>
            <w:pPr>
              <w:spacing w:after="0"/>
              <w:rPr>
                <w:sz w:val="7"/>
                <w:szCs w:val="7"/>
                <w:color w:val="auto"/>
              </w:rPr>
            </w:pPr>
          </w:p>
        </w:tc>
        <w:tc>
          <w:tcPr>
            <w:tcW w:w="1460" w:type="dxa"/>
            <w:vAlign w:val="bottom"/>
            <w:gridSpan w:val="2"/>
            <w:vMerge w:val="continue"/>
            <w:shd w:val="clear" w:color="auto" w:fill="005CB9"/>
          </w:tcPr>
          <w:p>
            <w:pPr>
              <w:spacing w:after="0"/>
              <w:rPr>
                <w:sz w:val="7"/>
                <w:szCs w:val="7"/>
                <w:color w:val="auto"/>
              </w:rPr>
            </w:pPr>
          </w:p>
        </w:tc>
        <w:tc>
          <w:tcPr>
            <w:tcW w:w="1460" w:type="dxa"/>
            <w:vAlign w:val="bottom"/>
            <w:vMerge w:val="restart"/>
            <w:shd w:val="clear" w:color="auto" w:fill="005CB9"/>
          </w:tcPr>
          <w:p>
            <w:pPr>
              <w:jc w:val="right"/>
              <w:ind w:right="170"/>
              <w:spacing w:after="0"/>
              <w:rPr>
                <w:sz w:val="20"/>
                <w:szCs w:val="20"/>
                <w:color w:val="auto"/>
              </w:rPr>
            </w:pPr>
            <w:r>
              <w:rPr>
                <w:rFonts w:ascii="Arial" w:cs="Arial" w:eastAsia="Arial" w:hAnsi="Arial"/>
                <w:sz w:val="14"/>
                <w:szCs w:val="14"/>
                <w:color w:val="FFFFFF"/>
              </w:rPr>
              <w:t>Awards:Number</w:t>
            </w:r>
          </w:p>
        </w:tc>
        <w:tc>
          <w:tcPr>
            <w:tcW w:w="110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Exercise or</w:t>
            </w:r>
          </w:p>
        </w:tc>
        <w:tc>
          <w:tcPr>
            <w:tcW w:w="88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Stock and</w:t>
            </w:r>
          </w:p>
        </w:tc>
        <w:tc>
          <w:tcPr>
            <w:tcW w:w="100" w:type="dxa"/>
            <w:vAlign w:val="bottom"/>
            <w:shd w:val="clear" w:color="auto" w:fill="005CB9"/>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2340" w:type="dxa"/>
            <w:vAlign w:val="bottom"/>
            <w:shd w:val="clear" w:color="auto" w:fill="005CB9"/>
          </w:tcPr>
          <w:p>
            <w:pPr>
              <w:spacing w:after="0"/>
              <w:rPr>
                <w:sz w:val="12"/>
                <w:szCs w:val="12"/>
                <w:color w:val="auto"/>
              </w:rPr>
            </w:pPr>
          </w:p>
        </w:tc>
        <w:tc>
          <w:tcPr>
            <w:tcW w:w="200" w:type="dxa"/>
            <w:vAlign w:val="bottom"/>
            <w:shd w:val="clear" w:color="auto" w:fill="005CB9"/>
          </w:tcPr>
          <w:p>
            <w:pPr>
              <w:spacing w:after="0"/>
              <w:rPr>
                <w:sz w:val="12"/>
                <w:szCs w:val="12"/>
                <w:color w:val="auto"/>
              </w:rPr>
            </w:pPr>
          </w:p>
        </w:tc>
        <w:tc>
          <w:tcPr>
            <w:tcW w:w="840" w:type="dxa"/>
            <w:vAlign w:val="bottom"/>
            <w:shd w:val="clear" w:color="auto" w:fill="005CB9"/>
          </w:tcPr>
          <w:p>
            <w:pPr>
              <w:spacing w:after="0"/>
              <w:rPr>
                <w:sz w:val="12"/>
                <w:szCs w:val="12"/>
                <w:color w:val="auto"/>
              </w:rPr>
            </w:pPr>
          </w:p>
        </w:tc>
        <w:tc>
          <w:tcPr>
            <w:tcW w:w="780" w:type="dxa"/>
            <w:vAlign w:val="bottom"/>
            <w:shd w:val="clear" w:color="auto" w:fill="005CB9"/>
          </w:tcPr>
          <w:p>
            <w:pPr>
              <w:spacing w:after="0"/>
              <w:rPr>
                <w:sz w:val="12"/>
                <w:szCs w:val="12"/>
                <w:color w:val="auto"/>
              </w:rPr>
            </w:pPr>
          </w:p>
        </w:tc>
        <w:tc>
          <w:tcPr>
            <w:tcW w:w="1860" w:type="dxa"/>
            <w:vAlign w:val="bottom"/>
            <w:gridSpan w:val="2"/>
            <w:shd w:val="clear" w:color="auto" w:fill="005CB9"/>
          </w:tcPr>
          <w:p>
            <w:pPr>
              <w:jc w:val="right"/>
              <w:ind w:right="48"/>
              <w:spacing w:after="0" w:line="145" w:lineRule="exact"/>
              <w:rPr>
                <w:sz w:val="20"/>
                <w:szCs w:val="20"/>
                <w:color w:val="auto"/>
              </w:rPr>
            </w:pPr>
            <w:r>
              <w:rPr>
                <w:rFonts w:ascii="Arial" w:cs="Arial" w:eastAsia="Arial" w:hAnsi="Arial"/>
                <w:sz w:val="14"/>
                <w:szCs w:val="14"/>
                <w:color w:val="FFFFFF"/>
              </w:rPr>
              <w:t>Incentive Plan Awards</w:t>
            </w:r>
            <w:r>
              <w:rPr>
                <w:rFonts w:ascii="Arial" w:cs="Arial" w:eastAsia="Arial" w:hAnsi="Arial"/>
                <w:sz w:val="14"/>
                <w:szCs w:val="14"/>
                <w:color w:val="FFFFFF"/>
                <w:vertAlign w:val="superscript"/>
              </w:rPr>
              <w:t>(1)</w:t>
            </w:r>
          </w:p>
        </w:tc>
        <w:tc>
          <w:tcPr>
            <w:tcW w:w="1460" w:type="dxa"/>
            <w:vAlign w:val="bottom"/>
            <w:gridSpan w:val="2"/>
            <w:shd w:val="clear" w:color="auto" w:fill="005CB9"/>
          </w:tcPr>
          <w:p>
            <w:pPr>
              <w:jc w:val="right"/>
              <w:spacing w:after="0" w:line="145" w:lineRule="exact"/>
              <w:rPr>
                <w:sz w:val="20"/>
                <w:szCs w:val="20"/>
                <w:color w:val="auto"/>
              </w:rPr>
            </w:pPr>
            <w:r>
              <w:rPr>
                <w:rFonts w:ascii="Arial" w:cs="Arial" w:eastAsia="Arial" w:hAnsi="Arial"/>
                <w:sz w:val="14"/>
                <w:szCs w:val="14"/>
                <w:color w:val="FFFFFF"/>
              </w:rPr>
              <w:t>Plan Awards</w:t>
            </w:r>
            <w:r>
              <w:rPr>
                <w:rFonts w:ascii="Arial" w:cs="Arial" w:eastAsia="Arial" w:hAnsi="Arial"/>
                <w:sz w:val="14"/>
                <w:szCs w:val="14"/>
                <w:color w:val="FFFFFF"/>
                <w:vertAlign w:val="superscript"/>
              </w:rPr>
              <w:t>(2)</w:t>
            </w:r>
          </w:p>
        </w:tc>
        <w:tc>
          <w:tcPr>
            <w:tcW w:w="1460" w:type="dxa"/>
            <w:vAlign w:val="bottom"/>
            <w:vMerge w:val="continue"/>
            <w:shd w:val="clear" w:color="auto" w:fill="005CB9"/>
          </w:tcPr>
          <w:p>
            <w:pPr>
              <w:spacing w:after="0"/>
              <w:rPr>
                <w:sz w:val="12"/>
                <w:szCs w:val="12"/>
                <w:color w:val="auto"/>
              </w:rPr>
            </w:pPr>
          </w:p>
        </w:tc>
        <w:tc>
          <w:tcPr>
            <w:tcW w:w="1100" w:type="dxa"/>
            <w:vAlign w:val="bottom"/>
            <w:vMerge w:val="continue"/>
            <w:shd w:val="clear" w:color="auto" w:fill="005CB9"/>
          </w:tcPr>
          <w:p>
            <w:pPr>
              <w:spacing w:after="0"/>
              <w:rPr>
                <w:sz w:val="12"/>
                <w:szCs w:val="12"/>
                <w:color w:val="auto"/>
              </w:rPr>
            </w:pPr>
          </w:p>
        </w:tc>
        <w:tc>
          <w:tcPr>
            <w:tcW w:w="880" w:type="dxa"/>
            <w:vAlign w:val="bottom"/>
            <w:vMerge w:val="continue"/>
            <w:shd w:val="clear" w:color="auto" w:fill="005CB9"/>
          </w:tcPr>
          <w:p>
            <w:pPr>
              <w:spacing w:after="0"/>
              <w:rPr>
                <w:sz w:val="12"/>
                <w:szCs w:val="12"/>
                <w:color w:val="auto"/>
              </w:rPr>
            </w:pPr>
          </w:p>
        </w:tc>
        <w:tc>
          <w:tcPr>
            <w:tcW w:w="10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40" w:type="dxa"/>
            <w:vAlign w:val="bottom"/>
            <w:shd w:val="clear" w:color="auto" w:fill="005CB9"/>
          </w:tcPr>
          <w:p>
            <w:pPr>
              <w:spacing w:after="0"/>
              <w:rPr>
                <w:sz w:val="5"/>
                <w:szCs w:val="5"/>
                <w:color w:val="auto"/>
              </w:rPr>
            </w:pPr>
          </w:p>
        </w:tc>
        <w:tc>
          <w:tcPr>
            <w:tcW w:w="200" w:type="dxa"/>
            <w:vAlign w:val="bottom"/>
            <w:shd w:val="clear" w:color="auto" w:fill="005CB9"/>
          </w:tcPr>
          <w:p>
            <w:pPr>
              <w:spacing w:after="0"/>
              <w:rPr>
                <w:sz w:val="5"/>
                <w:szCs w:val="5"/>
                <w:color w:val="auto"/>
              </w:rPr>
            </w:pPr>
          </w:p>
        </w:tc>
        <w:tc>
          <w:tcPr>
            <w:tcW w:w="840" w:type="dxa"/>
            <w:vAlign w:val="bottom"/>
            <w:vMerge w:val="restart"/>
            <w:shd w:val="clear" w:color="auto" w:fill="005CB9"/>
          </w:tcPr>
          <w:p>
            <w:pPr>
              <w:jc w:val="right"/>
              <w:ind w:right="28"/>
              <w:spacing w:after="0"/>
              <w:rPr>
                <w:sz w:val="20"/>
                <w:szCs w:val="20"/>
                <w:color w:val="auto"/>
              </w:rPr>
            </w:pPr>
            <w:r>
              <w:rPr>
                <w:rFonts w:ascii="Arial" w:cs="Arial" w:eastAsia="Arial" w:hAnsi="Arial"/>
                <w:sz w:val="14"/>
                <w:szCs w:val="14"/>
                <w:color w:val="FFFFFF"/>
              </w:rPr>
              <w:t>Grant</w:t>
            </w:r>
          </w:p>
        </w:tc>
        <w:tc>
          <w:tcPr>
            <w:tcW w:w="78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Threshold</w:t>
            </w:r>
          </w:p>
        </w:tc>
        <w:tc>
          <w:tcPr>
            <w:tcW w:w="980" w:type="dxa"/>
            <w:vAlign w:val="bottom"/>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Target</w:t>
            </w:r>
          </w:p>
        </w:tc>
        <w:tc>
          <w:tcPr>
            <w:tcW w:w="880" w:type="dxa"/>
            <w:vAlign w:val="bottom"/>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Maximum</w:t>
            </w:r>
          </w:p>
        </w:tc>
        <w:tc>
          <w:tcPr>
            <w:tcW w:w="860" w:type="dxa"/>
            <w:vAlign w:val="bottom"/>
            <w:vMerge w:val="restart"/>
            <w:shd w:val="clear" w:color="auto" w:fill="005CB9"/>
          </w:tcPr>
          <w:p>
            <w:pPr>
              <w:jc w:val="right"/>
              <w:ind w:right="48"/>
              <w:spacing w:after="0"/>
              <w:rPr>
                <w:sz w:val="20"/>
                <w:szCs w:val="20"/>
                <w:color w:val="auto"/>
              </w:rPr>
            </w:pPr>
            <w:r>
              <w:rPr>
                <w:rFonts w:ascii="Arial" w:cs="Arial" w:eastAsia="Arial" w:hAnsi="Arial"/>
                <w:sz w:val="14"/>
                <w:szCs w:val="14"/>
                <w:color w:val="FFFFFF"/>
              </w:rPr>
              <w:t>Threshold</w:t>
            </w:r>
          </w:p>
        </w:tc>
        <w:tc>
          <w:tcPr>
            <w:tcW w:w="600" w:type="dxa"/>
            <w:vAlign w:val="bottom"/>
            <w:vMerge w:val="restart"/>
            <w:shd w:val="clear" w:color="auto" w:fill="005CB9"/>
          </w:tcPr>
          <w:p>
            <w:pPr>
              <w:jc w:val="right"/>
              <w:spacing w:after="0"/>
              <w:rPr>
                <w:sz w:val="20"/>
                <w:szCs w:val="20"/>
                <w:color w:val="auto"/>
              </w:rPr>
            </w:pPr>
            <w:r>
              <w:rPr>
                <w:rFonts w:ascii="Arial" w:cs="Arial" w:eastAsia="Arial" w:hAnsi="Arial"/>
                <w:sz w:val="14"/>
                <w:szCs w:val="14"/>
                <w:color w:val="FFFFFF"/>
              </w:rPr>
              <w:t>Target</w:t>
            </w:r>
          </w:p>
        </w:tc>
        <w:tc>
          <w:tcPr>
            <w:tcW w:w="1460" w:type="dxa"/>
            <w:vAlign w:val="bottom"/>
            <w:vMerge w:val="restart"/>
            <w:shd w:val="clear" w:color="auto" w:fill="005CB9"/>
          </w:tcPr>
          <w:p>
            <w:pPr>
              <w:jc w:val="right"/>
              <w:ind w:right="170"/>
              <w:spacing w:after="0" w:line="99" w:lineRule="exact"/>
              <w:rPr>
                <w:sz w:val="20"/>
                <w:szCs w:val="20"/>
                <w:color w:val="auto"/>
              </w:rPr>
            </w:pPr>
            <w:r>
              <w:rPr>
                <w:rFonts w:ascii="Arial" w:cs="Arial" w:eastAsia="Arial" w:hAnsi="Arial"/>
                <w:sz w:val="11"/>
                <w:szCs w:val="11"/>
                <w:color w:val="FFFFFF"/>
              </w:rPr>
              <w:t>of Securities</w:t>
            </w:r>
          </w:p>
        </w:tc>
        <w:tc>
          <w:tcPr>
            <w:tcW w:w="1100" w:type="dxa"/>
            <w:vAlign w:val="bottom"/>
            <w:vMerge w:val="restart"/>
            <w:shd w:val="clear" w:color="auto" w:fill="005CB9"/>
          </w:tcPr>
          <w:p>
            <w:pPr>
              <w:jc w:val="right"/>
              <w:spacing w:after="0" w:line="99" w:lineRule="exact"/>
              <w:rPr>
                <w:sz w:val="20"/>
                <w:szCs w:val="20"/>
                <w:color w:val="auto"/>
              </w:rPr>
            </w:pPr>
            <w:r>
              <w:rPr>
                <w:rFonts w:ascii="Arial" w:cs="Arial" w:eastAsia="Arial" w:hAnsi="Arial"/>
                <w:sz w:val="11"/>
                <w:szCs w:val="11"/>
                <w:color w:val="FFFFFF"/>
              </w:rPr>
              <w:t>Base Price of</w:t>
            </w:r>
          </w:p>
        </w:tc>
        <w:tc>
          <w:tcPr>
            <w:tcW w:w="880" w:type="dxa"/>
            <w:vAlign w:val="bottom"/>
            <w:vMerge w:val="restart"/>
            <w:shd w:val="clear" w:color="auto" w:fill="005CB9"/>
          </w:tcPr>
          <w:p>
            <w:pPr>
              <w:jc w:val="right"/>
              <w:spacing w:after="0" w:line="99" w:lineRule="exact"/>
              <w:rPr>
                <w:sz w:val="20"/>
                <w:szCs w:val="20"/>
                <w:color w:val="auto"/>
              </w:rPr>
            </w:pPr>
            <w:r>
              <w:rPr>
                <w:rFonts w:ascii="Arial" w:cs="Arial" w:eastAsia="Arial" w:hAnsi="Arial"/>
                <w:sz w:val="11"/>
                <w:szCs w:val="11"/>
                <w:color w:val="FFFFFF"/>
              </w:rPr>
              <w:t>Option</w:t>
            </w:r>
          </w:p>
        </w:tc>
        <w:tc>
          <w:tcPr>
            <w:tcW w:w="100" w:type="dxa"/>
            <w:vAlign w:val="bottom"/>
            <w:vMerge w:val="restart"/>
            <w:shd w:val="clear" w:color="auto" w:fill="005CB9"/>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340" w:type="dxa"/>
            <w:vAlign w:val="bottom"/>
            <w:shd w:val="clear" w:color="auto" w:fill="005CB9"/>
          </w:tcPr>
          <w:p>
            <w:pPr>
              <w:spacing w:after="0"/>
              <w:rPr>
                <w:sz w:val="2"/>
                <w:szCs w:val="2"/>
                <w:color w:val="auto"/>
              </w:rPr>
            </w:pPr>
          </w:p>
        </w:tc>
        <w:tc>
          <w:tcPr>
            <w:tcW w:w="200" w:type="dxa"/>
            <w:vAlign w:val="bottom"/>
            <w:shd w:val="clear" w:color="auto" w:fill="005CB9"/>
          </w:tcPr>
          <w:p>
            <w:pPr>
              <w:spacing w:after="0"/>
              <w:rPr>
                <w:sz w:val="2"/>
                <w:szCs w:val="2"/>
                <w:color w:val="auto"/>
              </w:rPr>
            </w:pPr>
          </w:p>
        </w:tc>
        <w:tc>
          <w:tcPr>
            <w:tcW w:w="840" w:type="dxa"/>
            <w:vAlign w:val="bottom"/>
            <w:vMerge w:val="continue"/>
            <w:shd w:val="clear" w:color="auto" w:fill="005CB9"/>
          </w:tcPr>
          <w:p>
            <w:pPr>
              <w:spacing w:after="0"/>
              <w:rPr>
                <w:sz w:val="2"/>
                <w:szCs w:val="2"/>
                <w:color w:val="auto"/>
              </w:rPr>
            </w:pPr>
          </w:p>
        </w:tc>
        <w:tc>
          <w:tcPr>
            <w:tcW w:w="780" w:type="dxa"/>
            <w:vAlign w:val="bottom"/>
            <w:vMerge w:val="continue"/>
            <w:shd w:val="clear" w:color="auto" w:fill="005CB9"/>
          </w:tcPr>
          <w:p>
            <w:pPr>
              <w:spacing w:after="0"/>
              <w:rPr>
                <w:sz w:val="2"/>
                <w:szCs w:val="2"/>
                <w:color w:val="auto"/>
              </w:rPr>
            </w:pPr>
          </w:p>
        </w:tc>
        <w:tc>
          <w:tcPr>
            <w:tcW w:w="980" w:type="dxa"/>
            <w:vAlign w:val="bottom"/>
            <w:vMerge w:val="continue"/>
            <w:shd w:val="clear" w:color="auto" w:fill="005CB9"/>
          </w:tcPr>
          <w:p>
            <w:pPr>
              <w:spacing w:after="0"/>
              <w:rPr>
                <w:sz w:val="2"/>
                <w:szCs w:val="2"/>
                <w:color w:val="auto"/>
              </w:rPr>
            </w:pPr>
          </w:p>
        </w:tc>
        <w:tc>
          <w:tcPr>
            <w:tcW w:w="880" w:type="dxa"/>
            <w:vAlign w:val="bottom"/>
            <w:vMerge w:val="continue"/>
            <w:shd w:val="clear" w:color="auto" w:fill="005CB9"/>
          </w:tcPr>
          <w:p>
            <w:pPr>
              <w:spacing w:after="0"/>
              <w:rPr>
                <w:sz w:val="2"/>
                <w:szCs w:val="2"/>
                <w:color w:val="auto"/>
              </w:rPr>
            </w:pPr>
          </w:p>
        </w:tc>
        <w:tc>
          <w:tcPr>
            <w:tcW w:w="860" w:type="dxa"/>
            <w:vAlign w:val="bottom"/>
            <w:vMerge w:val="continue"/>
            <w:shd w:val="clear" w:color="auto" w:fill="005CB9"/>
          </w:tcPr>
          <w:p>
            <w:pPr>
              <w:spacing w:after="0"/>
              <w:rPr>
                <w:sz w:val="2"/>
                <w:szCs w:val="2"/>
                <w:color w:val="auto"/>
              </w:rPr>
            </w:pPr>
          </w:p>
        </w:tc>
        <w:tc>
          <w:tcPr>
            <w:tcW w:w="600" w:type="dxa"/>
            <w:vAlign w:val="bottom"/>
            <w:vMerge w:val="continue"/>
            <w:shd w:val="clear" w:color="auto" w:fill="005CB9"/>
          </w:tcPr>
          <w:p>
            <w:pPr>
              <w:spacing w:after="0"/>
              <w:rPr>
                <w:sz w:val="2"/>
                <w:szCs w:val="2"/>
                <w:color w:val="auto"/>
              </w:rPr>
            </w:pPr>
          </w:p>
        </w:tc>
        <w:tc>
          <w:tcPr>
            <w:tcW w:w="1460" w:type="dxa"/>
            <w:vAlign w:val="bottom"/>
            <w:vMerge w:val="continue"/>
            <w:shd w:val="clear" w:color="auto" w:fill="005CB9"/>
          </w:tcPr>
          <w:p>
            <w:pPr>
              <w:spacing w:after="0"/>
              <w:rPr>
                <w:sz w:val="2"/>
                <w:szCs w:val="2"/>
                <w:color w:val="auto"/>
              </w:rPr>
            </w:pPr>
          </w:p>
        </w:tc>
        <w:tc>
          <w:tcPr>
            <w:tcW w:w="1100" w:type="dxa"/>
            <w:vAlign w:val="bottom"/>
            <w:vMerge w:val="continue"/>
            <w:shd w:val="clear" w:color="auto" w:fill="005CB9"/>
          </w:tcPr>
          <w:p>
            <w:pPr>
              <w:spacing w:after="0"/>
              <w:rPr>
                <w:sz w:val="2"/>
                <w:szCs w:val="2"/>
                <w:color w:val="auto"/>
              </w:rPr>
            </w:pPr>
          </w:p>
        </w:tc>
        <w:tc>
          <w:tcPr>
            <w:tcW w:w="880" w:type="dxa"/>
            <w:vAlign w:val="bottom"/>
            <w:vMerge w:val="continue"/>
            <w:shd w:val="clear" w:color="auto" w:fill="005CB9"/>
          </w:tcPr>
          <w:p>
            <w:pPr>
              <w:spacing w:after="0"/>
              <w:rPr>
                <w:sz w:val="2"/>
                <w:szCs w:val="2"/>
                <w:color w:val="auto"/>
              </w:rPr>
            </w:pPr>
          </w:p>
        </w:tc>
        <w:tc>
          <w:tcPr>
            <w:tcW w:w="100" w:type="dxa"/>
            <w:vAlign w:val="bottom"/>
            <w:vMerge w:val="continue"/>
            <w:shd w:val="clear" w:color="auto" w:fill="005CB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340" w:type="dxa"/>
            <w:vAlign w:val="bottom"/>
            <w:shd w:val="clear" w:color="auto" w:fill="005CB9"/>
          </w:tcPr>
          <w:p>
            <w:pPr>
              <w:spacing w:after="0"/>
              <w:rPr>
                <w:sz w:val="12"/>
                <w:szCs w:val="12"/>
                <w:color w:val="auto"/>
              </w:rPr>
            </w:pPr>
          </w:p>
        </w:tc>
        <w:tc>
          <w:tcPr>
            <w:tcW w:w="200" w:type="dxa"/>
            <w:vAlign w:val="bottom"/>
            <w:shd w:val="clear" w:color="auto" w:fill="005CB9"/>
          </w:tcPr>
          <w:p>
            <w:pPr>
              <w:spacing w:after="0"/>
              <w:rPr>
                <w:sz w:val="12"/>
                <w:szCs w:val="12"/>
                <w:color w:val="auto"/>
              </w:rPr>
            </w:pPr>
          </w:p>
        </w:tc>
        <w:tc>
          <w:tcPr>
            <w:tcW w:w="840" w:type="dxa"/>
            <w:vAlign w:val="bottom"/>
            <w:vMerge w:val="continue"/>
            <w:shd w:val="clear" w:color="auto" w:fill="005CB9"/>
          </w:tcPr>
          <w:p>
            <w:pPr>
              <w:spacing w:after="0"/>
              <w:rPr>
                <w:sz w:val="12"/>
                <w:szCs w:val="12"/>
                <w:color w:val="auto"/>
              </w:rPr>
            </w:pPr>
          </w:p>
        </w:tc>
        <w:tc>
          <w:tcPr>
            <w:tcW w:w="780" w:type="dxa"/>
            <w:vAlign w:val="bottom"/>
            <w:vMerge w:val="continue"/>
            <w:shd w:val="clear" w:color="auto" w:fill="005CB9"/>
          </w:tcPr>
          <w:p>
            <w:pPr>
              <w:spacing w:after="0"/>
              <w:rPr>
                <w:sz w:val="12"/>
                <w:szCs w:val="12"/>
                <w:color w:val="auto"/>
              </w:rPr>
            </w:pPr>
          </w:p>
        </w:tc>
        <w:tc>
          <w:tcPr>
            <w:tcW w:w="980" w:type="dxa"/>
            <w:vAlign w:val="bottom"/>
            <w:vMerge w:val="continue"/>
            <w:shd w:val="clear" w:color="auto" w:fill="005CB9"/>
          </w:tcPr>
          <w:p>
            <w:pPr>
              <w:spacing w:after="0"/>
              <w:rPr>
                <w:sz w:val="12"/>
                <w:szCs w:val="12"/>
                <w:color w:val="auto"/>
              </w:rPr>
            </w:pPr>
          </w:p>
        </w:tc>
        <w:tc>
          <w:tcPr>
            <w:tcW w:w="880" w:type="dxa"/>
            <w:vAlign w:val="bottom"/>
            <w:vMerge w:val="continue"/>
            <w:shd w:val="clear" w:color="auto" w:fill="005CB9"/>
          </w:tcPr>
          <w:p>
            <w:pPr>
              <w:spacing w:after="0"/>
              <w:rPr>
                <w:sz w:val="12"/>
                <w:szCs w:val="12"/>
                <w:color w:val="auto"/>
              </w:rPr>
            </w:pPr>
          </w:p>
        </w:tc>
        <w:tc>
          <w:tcPr>
            <w:tcW w:w="860" w:type="dxa"/>
            <w:vAlign w:val="bottom"/>
            <w:vMerge w:val="continue"/>
            <w:shd w:val="clear" w:color="auto" w:fill="005CB9"/>
          </w:tcPr>
          <w:p>
            <w:pPr>
              <w:spacing w:after="0"/>
              <w:rPr>
                <w:sz w:val="12"/>
                <w:szCs w:val="12"/>
                <w:color w:val="auto"/>
              </w:rPr>
            </w:pPr>
          </w:p>
        </w:tc>
        <w:tc>
          <w:tcPr>
            <w:tcW w:w="600" w:type="dxa"/>
            <w:vAlign w:val="bottom"/>
            <w:vMerge w:val="continue"/>
            <w:shd w:val="clear" w:color="auto" w:fill="005CB9"/>
          </w:tcPr>
          <w:p>
            <w:pPr>
              <w:spacing w:after="0"/>
              <w:rPr>
                <w:sz w:val="12"/>
                <w:szCs w:val="12"/>
                <w:color w:val="auto"/>
              </w:rPr>
            </w:pPr>
          </w:p>
        </w:tc>
        <w:tc>
          <w:tcPr>
            <w:tcW w:w="1460" w:type="dxa"/>
            <w:vAlign w:val="bottom"/>
            <w:shd w:val="clear" w:color="auto" w:fill="005CB9"/>
          </w:tcPr>
          <w:p>
            <w:pPr>
              <w:jc w:val="right"/>
              <w:ind w:right="170"/>
              <w:spacing w:after="0" w:line="145" w:lineRule="exact"/>
              <w:rPr>
                <w:sz w:val="20"/>
                <w:szCs w:val="20"/>
                <w:color w:val="auto"/>
              </w:rPr>
            </w:pPr>
            <w:r>
              <w:rPr>
                <w:rFonts w:ascii="Arial" w:cs="Arial" w:eastAsia="Arial" w:hAnsi="Arial"/>
                <w:sz w:val="14"/>
                <w:szCs w:val="14"/>
                <w:color w:val="FFFFFF"/>
              </w:rPr>
              <w:t>Underlying</w:t>
            </w:r>
          </w:p>
        </w:tc>
        <w:tc>
          <w:tcPr>
            <w:tcW w:w="1100" w:type="dxa"/>
            <w:vAlign w:val="bottom"/>
            <w:shd w:val="clear" w:color="auto" w:fill="005CB9"/>
          </w:tcPr>
          <w:p>
            <w:pPr>
              <w:jc w:val="right"/>
              <w:spacing w:after="0" w:line="145" w:lineRule="exact"/>
              <w:rPr>
                <w:sz w:val="20"/>
                <w:szCs w:val="20"/>
                <w:color w:val="auto"/>
              </w:rPr>
            </w:pPr>
            <w:r>
              <w:rPr>
                <w:rFonts w:ascii="Arial" w:cs="Arial" w:eastAsia="Arial" w:hAnsi="Arial"/>
                <w:sz w:val="14"/>
                <w:szCs w:val="14"/>
                <w:color w:val="FFFFFF"/>
              </w:rPr>
              <w:t>Option Awards</w:t>
            </w:r>
          </w:p>
        </w:tc>
        <w:tc>
          <w:tcPr>
            <w:tcW w:w="880" w:type="dxa"/>
            <w:vAlign w:val="bottom"/>
            <w:shd w:val="clear" w:color="auto" w:fill="005CB9"/>
          </w:tcPr>
          <w:p>
            <w:pPr>
              <w:jc w:val="right"/>
              <w:spacing w:after="0" w:line="145" w:lineRule="exact"/>
              <w:rPr>
                <w:sz w:val="20"/>
                <w:szCs w:val="20"/>
                <w:color w:val="auto"/>
              </w:rPr>
            </w:pPr>
            <w:r>
              <w:rPr>
                <w:rFonts w:ascii="Arial" w:cs="Arial" w:eastAsia="Arial" w:hAnsi="Arial"/>
                <w:sz w:val="14"/>
                <w:szCs w:val="14"/>
                <w:color w:val="FFFFFF"/>
              </w:rPr>
              <w:t>Awards</w:t>
            </w:r>
            <w:r>
              <w:rPr>
                <w:rFonts w:ascii="Arial" w:cs="Arial" w:eastAsia="Arial" w:hAnsi="Arial"/>
                <w:sz w:val="14"/>
                <w:szCs w:val="14"/>
                <w:color w:val="FFFFFF"/>
                <w:vertAlign w:val="superscript"/>
              </w:rPr>
              <w:t>(4)</w:t>
            </w:r>
          </w:p>
        </w:tc>
        <w:tc>
          <w:tcPr>
            <w:tcW w:w="100" w:type="dxa"/>
            <w:vAlign w:val="bottom"/>
            <w:shd w:val="clear" w:color="auto" w:fill="005CB9"/>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40" w:type="dxa"/>
            <w:vAlign w:val="bottom"/>
            <w:tcBorders>
              <w:bottom w:val="single" w:sz="8" w:color="005CB9"/>
            </w:tcBorders>
            <w:shd w:val="clear" w:color="auto" w:fill="005CB9"/>
          </w:tcPr>
          <w:p>
            <w:pPr>
              <w:spacing w:after="0"/>
              <w:rPr>
                <w:sz w:val="20"/>
                <w:szCs w:val="20"/>
                <w:color w:val="auto"/>
              </w:rPr>
            </w:pPr>
            <w:r>
              <w:rPr>
                <w:rFonts w:ascii="Arial" w:cs="Arial" w:eastAsia="Arial" w:hAnsi="Arial"/>
                <w:sz w:val="14"/>
                <w:szCs w:val="14"/>
                <w:color w:val="FFFFFF"/>
              </w:rPr>
              <w:t> Name</w:t>
            </w:r>
          </w:p>
        </w:tc>
        <w:tc>
          <w:tcPr>
            <w:tcW w:w="200" w:type="dxa"/>
            <w:vAlign w:val="bottom"/>
            <w:tcBorders>
              <w:bottom w:val="single" w:sz="8" w:color="005CB9"/>
            </w:tcBorders>
            <w:shd w:val="clear" w:color="auto" w:fill="005CB9"/>
          </w:tcPr>
          <w:p>
            <w:pPr>
              <w:spacing w:after="0"/>
              <w:rPr>
                <w:sz w:val="18"/>
                <w:szCs w:val="18"/>
                <w:color w:val="auto"/>
              </w:rPr>
            </w:pPr>
          </w:p>
        </w:tc>
        <w:tc>
          <w:tcPr>
            <w:tcW w:w="840" w:type="dxa"/>
            <w:vAlign w:val="bottom"/>
            <w:tcBorders>
              <w:bottom w:val="single" w:sz="8" w:color="005CB9"/>
            </w:tcBorders>
            <w:shd w:val="clear" w:color="auto" w:fill="005CB9"/>
          </w:tcPr>
          <w:p>
            <w:pPr>
              <w:jc w:val="right"/>
              <w:ind w:right="28"/>
              <w:spacing w:after="0"/>
              <w:rPr>
                <w:sz w:val="20"/>
                <w:szCs w:val="20"/>
                <w:color w:val="auto"/>
              </w:rPr>
            </w:pPr>
            <w:r>
              <w:rPr>
                <w:rFonts w:ascii="Arial" w:cs="Arial" w:eastAsia="Arial" w:hAnsi="Arial"/>
                <w:sz w:val="14"/>
                <w:szCs w:val="14"/>
                <w:color w:val="FFFFFF"/>
              </w:rPr>
              <w:t>Date</w:t>
            </w:r>
          </w:p>
        </w:tc>
        <w:tc>
          <w:tcPr>
            <w:tcW w:w="78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980" w:type="dxa"/>
            <w:vAlign w:val="bottom"/>
            <w:tcBorders>
              <w:bottom w:val="single" w:sz="8" w:color="005CB9"/>
            </w:tcBorders>
            <w:shd w:val="clear" w:color="auto" w:fill="005CB9"/>
          </w:tcPr>
          <w:p>
            <w:pPr>
              <w:jc w:val="right"/>
              <w:ind w:right="48"/>
              <w:spacing w:after="0"/>
              <w:rPr>
                <w:sz w:val="20"/>
                <w:szCs w:val="20"/>
                <w:color w:val="auto"/>
              </w:rPr>
            </w:pPr>
            <w:r>
              <w:rPr>
                <w:rFonts w:ascii="Arial" w:cs="Arial" w:eastAsia="Arial" w:hAnsi="Arial"/>
                <w:sz w:val="14"/>
                <w:szCs w:val="14"/>
                <w:color w:val="FFFFFF"/>
              </w:rPr>
              <w:t>($)</w:t>
            </w:r>
          </w:p>
        </w:tc>
        <w:tc>
          <w:tcPr>
            <w:tcW w:w="880" w:type="dxa"/>
            <w:vAlign w:val="bottom"/>
            <w:tcBorders>
              <w:bottom w:val="single" w:sz="8" w:color="005CB9"/>
            </w:tcBorders>
            <w:shd w:val="clear" w:color="auto" w:fill="005CB9"/>
          </w:tcPr>
          <w:p>
            <w:pPr>
              <w:jc w:val="right"/>
              <w:ind w:right="48"/>
              <w:spacing w:after="0"/>
              <w:rPr>
                <w:sz w:val="20"/>
                <w:szCs w:val="20"/>
                <w:color w:val="auto"/>
              </w:rPr>
            </w:pPr>
            <w:r>
              <w:rPr>
                <w:rFonts w:ascii="Arial" w:cs="Arial" w:eastAsia="Arial" w:hAnsi="Arial"/>
                <w:sz w:val="14"/>
                <w:szCs w:val="14"/>
                <w:color w:val="FFFFFF"/>
              </w:rPr>
              <w:t>($)</w:t>
            </w:r>
          </w:p>
        </w:tc>
        <w:tc>
          <w:tcPr>
            <w:tcW w:w="860" w:type="dxa"/>
            <w:vAlign w:val="bottom"/>
            <w:tcBorders>
              <w:bottom w:val="single" w:sz="8" w:color="005CB9"/>
            </w:tcBorders>
            <w:shd w:val="clear" w:color="auto" w:fill="005CB9"/>
          </w:tcPr>
          <w:p>
            <w:pPr>
              <w:jc w:val="right"/>
              <w:ind w:right="48"/>
              <w:spacing w:after="0"/>
              <w:rPr>
                <w:sz w:val="20"/>
                <w:szCs w:val="20"/>
                <w:color w:val="auto"/>
              </w:rPr>
            </w:pPr>
            <w:r>
              <w:rPr>
                <w:rFonts w:ascii="Arial" w:cs="Arial" w:eastAsia="Arial" w:hAnsi="Arial"/>
                <w:sz w:val="14"/>
                <w:szCs w:val="14"/>
                <w:color w:val="FFFFFF"/>
              </w:rPr>
              <w:t>(#)</w:t>
            </w:r>
          </w:p>
        </w:tc>
        <w:tc>
          <w:tcPr>
            <w:tcW w:w="60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1460" w:type="dxa"/>
            <w:vAlign w:val="bottom"/>
            <w:tcBorders>
              <w:bottom w:val="single" w:sz="8" w:color="005CB9"/>
            </w:tcBorders>
            <w:shd w:val="clear" w:color="auto" w:fill="005CB9"/>
          </w:tcPr>
          <w:p>
            <w:pPr>
              <w:jc w:val="right"/>
              <w:ind w:right="170"/>
              <w:spacing w:after="0"/>
              <w:rPr>
                <w:sz w:val="20"/>
                <w:szCs w:val="20"/>
                <w:color w:val="auto"/>
              </w:rPr>
            </w:pPr>
            <w:r>
              <w:rPr>
                <w:rFonts w:ascii="Arial" w:cs="Arial" w:eastAsia="Arial" w:hAnsi="Arial"/>
                <w:sz w:val="14"/>
                <w:szCs w:val="14"/>
                <w:color w:val="FFFFFF"/>
              </w:rPr>
              <w:t>Options(#)</w:t>
            </w:r>
          </w:p>
        </w:tc>
        <w:tc>
          <w:tcPr>
            <w:tcW w:w="110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($/Sh)</w:t>
            </w:r>
          </w:p>
        </w:tc>
        <w:tc>
          <w:tcPr>
            <w:tcW w:w="88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100" w:type="dxa"/>
            <w:vAlign w:val="bottom"/>
            <w:tcBorders>
              <w:bottom w:val="single" w:sz="8" w:color="005CB9"/>
            </w:tcBorders>
            <w:shd w:val="clear" w:color="auto" w:fill="005CB9"/>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340" w:type="dxa"/>
            <w:vAlign w:val="bottom"/>
            <w:shd w:val="clear" w:color="auto" w:fill="E5EEF8"/>
          </w:tcPr>
          <w:p>
            <w:pPr>
              <w:spacing w:after="0"/>
              <w:rPr>
                <w:sz w:val="20"/>
                <w:szCs w:val="20"/>
                <w:color w:val="auto"/>
              </w:rPr>
            </w:pPr>
            <w:r>
              <w:rPr>
                <w:rFonts w:ascii="Arial" w:cs="Arial" w:eastAsia="Arial" w:hAnsi="Arial"/>
                <w:sz w:val="14"/>
                <w:szCs w:val="14"/>
                <w:color w:val="auto"/>
              </w:rPr>
              <w:t> L. Neil Hunn</w:t>
            </w:r>
          </w:p>
        </w:tc>
        <w:tc>
          <w:tcPr>
            <w:tcW w:w="1040" w:type="dxa"/>
            <w:vAlign w:val="bottom"/>
            <w:gridSpan w:val="2"/>
            <w:shd w:val="clear" w:color="auto" w:fill="E5EEF8"/>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shd w:val="clear" w:color="auto" w:fill="E5EEF8"/>
          </w:tcPr>
          <w:p>
            <w:pPr>
              <w:spacing w:after="0"/>
              <w:rPr>
                <w:sz w:val="20"/>
                <w:szCs w:val="20"/>
                <w:color w:val="auto"/>
              </w:rPr>
            </w:pPr>
          </w:p>
        </w:tc>
        <w:tc>
          <w:tcPr>
            <w:tcW w:w="98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86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5,716</w:t>
            </w:r>
          </w:p>
        </w:tc>
        <w:tc>
          <w:tcPr>
            <w:tcW w:w="6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32,665</w:t>
            </w:r>
          </w:p>
        </w:tc>
        <w:tc>
          <w:tcPr>
            <w:tcW w:w="1460" w:type="dxa"/>
            <w:vAlign w:val="bottom"/>
            <w:shd w:val="clear" w:color="auto" w:fill="E5EEF8"/>
          </w:tcPr>
          <w:p>
            <w:pPr>
              <w:spacing w:after="0"/>
              <w:rPr>
                <w:sz w:val="20"/>
                <w:szCs w:val="20"/>
                <w:color w:val="auto"/>
              </w:rPr>
            </w:pPr>
          </w:p>
        </w:tc>
        <w:tc>
          <w:tcPr>
            <w:tcW w:w="1100" w:type="dxa"/>
            <w:vAlign w:val="bottom"/>
            <w:shd w:val="clear" w:color="auto" w:fill="E5EEF8"/>
          </w:tcPr>
          <w:p>
            <w:pPr>
              <w:spacing w:after="0"/>
              <w:rPr>
                <w:sz w:val="20"/>
                <w:szCs w:val="20"/>
                <w:color w:val="auto"/>
              </w:rPr>
            </w:pPr>
          </w:p>
        </w:tc>
        <w:tc>
          <w:tcPr>
            <w:tcW w:w="980" w:type="dxa"/>
            <w:vAlign w:val="bottom"/>
            <w:gridSpan w:val="2"/>
            <w:shd w:val="clear" w:color="auto" w:fill="E5EEF8"/>
          </w:tcPr>
          <w:p>
            <w:pPr>
              <w:jc w:val="right"/>
              <w:ind w:right="100"/>
              <w:spacing w:after="0"/>
              <w:rPr>
                <w:sz w:val="20"/>
                <w:szCs w:val="20"/>
                <w:color w:val="auto"/>
              </w:rPr>
            </w:pPr>
            <w:r>
              <w:rPr>
                <w:rFonts w:ascii="Arial" w:cs="Arial" w:eastAsia="Arial" w:hAnsi="Arial"/>
                <w:sz w:val="14"/>
                <w:szCs w:val="14"/>
                <w:color w:val="auto"/>
              </w:rPr>
              <w:t>13,982,907</w:t>
            </w:r>
          </w:p>
        </w:tc>
        <w:tc>
          <w:tcPr>
            <w:tcW w:w="0" w:type="dxa"/>
            <w:vAlign w:val="bottom"/>
          </w:tcPr>
          <w:p>
            <w:pPr>
              <w:spacing w:after="0"/>
              <w:rPr>
                <w:sz w:val="1"/>
                <w:szCs w:val="1"/>
                <w:color w:val="auto"/>
              </w:rPr>
            </w:pPr>
          </w:p>
        </w:tc>
      </w:tr>
      <w:tr>
        <w:trPr>
          <w:trHeight w:val="224"/>
        </w:trPr>
        <w:tc>
          <w:tcPr>
            <w:tcW w:w="2340" w:type="dxa"/>
            <w:vAlign w:val="bottom"/>
            <w:shd w:val="clear" w:color="auto" w:fill="E5EEF8"/>
          </w:tcPr>
          <w:p>
            <w:pPr>
              <w:spacing w:after="0"/>
              <w:rPr>
                <w:sz w:val="19"/>
                <w:szCs w:val="19"/>
                <w:color w:val="auto"/>
              </w:rPr>
            </w:pPr>
          </w:p>
        </w:tc>
        <w:tc>
          <w:tcPr>
            <w:tcW w:w="200" w:type="dxa"/>
            <w:vAlign w:val="bottom"/>
            <w:shd w:val="clear" w:color="auto" w:fill="E5EEF8"/>
          </w:tcPr>
          <w:p>
            <w:pPr>
              <w:spacing w:after="0"/>
              <w:rPr>
                <w:sz w:val="19"/>
                <w:szCs w:val="19"/>
                <w:color w:val="auto"/>
              </w:rPr>
            </w:pPr>
          </w:p>
        </w:tc>
        <w:tc>
          <w:tcPr>
            <w:tcW w:w="84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shd w:val="clear" w:color="auto" w:fill="E5EEF8"/>
          </w:tcPr>
          <w:p>
            <w:pPr>
              <w:spacing w:after="0"/>
              <w:rPr>
                <w:sz w:val="19"/>
                <w:szCs w:val="19"/>
                <w:color w:val="auto"/>
              </w:rPr>
            </w:pPr>
          </w:p>
        </w:tc>
        <w:tc>
          <w:tcPr>
            <w:tcW w:w="98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860" w:type="dxa"/>
            <w:vAlign w:val="bottom"/>
            <w:shd w:val="clear" w:color="auto" w:fill="E5EEF8"/>
          </w:tcPr>
          <w:p>
            <w:pPr>
              <w:spacing w:after="0"/>
              <w:rPr>
                <w:sz w:val="19"/>
                <w:szCs w:val="19"/>
                <w:color w:val="auto"/>
              </w:rPr>
            </w:pPr>
          </w:p>
        </w:tc>
        <w:tc>
          <w:tcPr>
            <w:tcW w:w="600" w:type="dxa"/>
            <w:vAlign w:val="bottom"/>
            <w:shd w:val="clear" w:color="auto" w:fill="E5EEF8"/>
          </w:tcPr>
          <w:p>
            <w:pPr>
              <w:spacing w:after="0"/>
              <w:rPr>
                <w:sz w:val="19"/>
                <w:szCs w:val="19"/>
                <w:color w:val="auto"/>
              </w:rPr>
            </w:pPr>
          </w:p>
        </w:tc>
        <w:tc>
          <w:tcPr>
            <w:tcW w:w="1460" w:type="dxa"/>
            <w:vAlign w:val="bottom"/>
            <w:shd w:val="clear" w:color="auto" w:fill="E5EEF8"/>
          </w:tcPr>
          <w:p>
            <w:pPr>
              <w:jc w:val="right"/>
              <w:ind w:right="50"/>
              <w:spacing w:after="0" w:line="224" w:lineRule="exact"/>
              <w:rPr>
                <w:sz w:val="20"/>
                <w:szCs w:val="20"/>
                <w:color w:val="auto"/>
              </w:rPr>
            </w:pPr>
            <w:r>
              <w:rPr>
                <w:rFonts w:ascii="Arial" w:cs="Arial" w:eastAsia="Arial" w:hAnsi="Arial"/>
                <w:sz w:val="14"/>
                <w:szCs w:val="14"/>
                <w:color w:val="auto"/>
              </w:rPr>
              <w:t>35,928</w:t>
            </w:r>
            <w:r>
              <w:rPr>
                <w:rFonts w:ascii="Arial" w:cs="Arial" w:eastAsia="Arial" w:hAnsi="Arial"/>
                <w:sz w:val="21"/>
                <w:szCs w:val="21"/>
                <w:color w:val="auto"/>
                <w:vertAlign w:val="superscript"/>
              </w:rPr>
              <w:t>(3)</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428.07</w:t>
            </w:r>
          </w:p>
        </w:tc>
        <w:tc>
          <w:tcPr>
            <w:tcW w:w="980" w:type="dxa"/>
            <w:vAlign w:val="bottom"/>
            <w:gridSpan w:val="2"/>
            <w:shd w:val="clear" w:color="auto" w:fill="E5EEF8"/>
          </w:tcPr>
          <w:p>
            <w:pPr>
              <w:jc w:val="right"/>
              <w:ind w:right="100"/>
              <w:spacing w:after="0"/>
              <w:rPr>
                <w:sz w:val="20"/>
                <w:szCs w:val="20"/>
                <w:color w:val="auto"/>
              </w:rPr>
            </w:pPr>
            <w:r>
              <w:rPr>
                <w:rFonts w:ascii="Arial" w:cs="Arial" w:eastAsia="Arial" w:hAnsi="Arial"/>
                <w:sz w:val="14"/>
                <w:szCs w:val="14"/>
                <w:color w:val="auto"/>
              </w:rPr>
              <w:t>4,632,002</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E5EEF8"/>
            </w:tcBorders>
            <w:shd w:val="clear" w:color="auto" w:fill="E5EEF8"/>
          </w:tcPr>
          <w:p>
            <w:pPr>
              <w:spacing w:after="0"/>
              <w:rPr>
                <w:sz w:val="19"/>
                <w:szCs w:val="19"/>
                <w:color w:val="auto"/>
              </w:rPr>
            </w:pPr>
          </w:p>
        </w:tc>
        <w:tc>
          <w:tcPr>
            <w:tcW w:w="200" w:type="dxa"/>
            <w:vAlign w:val="bottom"/>
            <w:tcBorders>
              <w:bottom w:val="single" w:sz="8" w:color="E5EEF8"/>
            </w:tcBorders>
            <w:shd w:val="clear" w:color="auto" w:fill="E5EEF8"/>
          </w:tcPr>
          <w:p>
            <w:pPr>
              <w:spacing w:after="0"/>
              <w:rPr>
                <w:sz w:val="19"/>
                <w:szCs w:val="19"/>
                <w:color w:val="auto"/>
              </w:rPr>
            </w:pPr>
          </w:p>
        </w:tc>
        <w:tc>
          <w:tcPr>
            <w:tcW w:w="84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500,000</w:t>
            </w:r>
          </w:p>
        </w:tc>
        <w:tc>
          <w:tcPr>
            <w:tcW w:w="98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2,000,000</w:t>
            </w:r>
          </w:p>
        </w:tc>
        <w:tc>
          <w:tcPr>
            <w:tcW w:w="88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2,000,000</w:t>
            </w:r>
          </w:p>
        </w:tc>
        <w:tc>
          <w:tcPr>
            <w:tcW w:w="860" w:type="dxa"/>
            <w:vAlign w:val="bottom"/>
            <w:tcBorders>
              <w:bottom w:val="single" w:sz="8" w:color="E5EEF8"/>
            </w:tcBorders>
            <w:shd w:val="clear" w:color="auto" w:fill="E5EEF8"/>
          </w:tcPr>
          <w:p>
            <w:pPr>
              <w:spacing w:after="0"/>
              <w:rPr>
                <w:sz w:val="19"/>
                <w:szCs w:val="19"/>
                <w:color w:val="auto"/>
              </w:rPr>
            </w:pPr>
          </w:p>
        </w:tc>
        <w:tc>
          <w:tcPr>
            <w:tcW w:w="600" w:type="dxa"/>
            <w:vAlign w:val="bottom"/>
            <w:tcBorders>
              <w:bottom w:val="single" w:sz="8" w:color="E5EEF8"/>
            </w:tcBorders>
            <w:shd w:val="clear" w:color="auto" w:fill="E5EEF8"/>
          </w:tcPr>
          <w:p>
            <w:pPr>
              <w:spacing w:after="0"/>
              <w:rPr>
                <w:sz w:val="19"/>
                <w:szCs w:val="19"/>
                <w:color w:val="auto"/>
              </w:rPr>
            </w:pPr>
          </w:p>
        </w:tc>
        <w:tc>
          <w:tcPr>
            <w:tcW w:w="1460" w:type="dxa"/>
            <w:vAlign w:val="bottom"/>
            <w:tcBorders>
              <w:bottom w:val="single" w:sz="8" w:color="E5EEF8"/>
            </w:tcBorders>
            <w:shd w:val="clear" w:color="auto" w:fill="E5EEF8"/>
          </w:tcPr>
          <w:p>
            <w:pPr>
              <w:spacing w:after="0"/>
              <w:rPr>
                <w:sz w:val="19"/>
                <w:szCs w:val="19"/>
                <w:color w:val="auto"/>
              </w:rPr>
            </w:pPr>
          </w:p>
        </w:tc>
        <w:tc>
          <w:tcPr>
            <w:tcW w:w="1100" w:type="dxa"/>
            <w:vAlign w:val="bottom"/>
            <w:tcBorders>
              <w:bottom w:val="single" w:sz="8" w:color="E5EEF8"/>
            </w:tcBorders>
            <w:shd w:val="clear" w:color="auto" w:fill="E5EEF8"/>
          </w:tcPr>
          <w:p>
            <w:pPr>
              <w:spacing w:after="0"/>
              <w:rPr>
                <w:sz w:val="19"/>
                <w:szCs w:val="19"/>
                <w:color w:val="auto"/>
              </w:rPr>
            </w:pPr>
          </w:p>
        </w:tc>
        <w:tc>
          <w:tcPr>
            <w:tcW w:w="880" w:type="dxa"/>
            <w:vAlign w:val="bottom"/>
            <w:tcBorders>
              <w:bottom w:val="single" w:sz="8" w:color="E5EEF8"/>
            </w:tcBorders>
            <w:shd w:val="clear" w:color="auto" w:fill="E5EEF8"/>
          </w:tcPr>
          <w:p>
            <w:pPr>
              <w:spacing w:after="0"/>
              <w:rPr>
                <w:sz w:val="19"/>
                <w:szCs w:val="19"/>
                <w:color w:val="auto"/>
              </w:rPr>
            </w:pPr>
          </w:p>
        </w:tc>
        <w:tc>
          <w:tcPr>
            <w:tcW w:w="100" w:type="dxa"/>
            <w:vAlign w:val="bottom"/>
            <w:tcBorders>
              <w:bottom w:val="single" w:sz="8" w:color="E5EEF8"/>
            </w:tcBorders>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r>
              <w:rPr>
                <w:rFonts w:ascii="Arial" w:cs="Arial" w:eastAsia="Arial" w:hAnsi="Arial"/>
                <w:sz w:val="14"/>
                <w:szCs w:val="14"/>
                <w:color w:val="auto"/>
              </w:rPr>
              <w:t> Jason P. Conley</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1,542</w:t>
            </w:r>
          </w:p>
        </w:tc>
        <w:tc>
          <w:tcPr>
            <w:tcW w:w="600" w:type="dxa"/>
            <w:vAlign w:val="bottom"/>
          </w:tcPr>
          <w:p>
            <w:pPr>
              <w:jc w:val="right"/>
              <w:spacing w:after="0"/>
              <w:rPr>
                <w:sz w:val="20"/>
                <w:szCs w:val="20"/>
                <w:color w:val="auto"/>
              </w:rPr>
            </w:pPr>
            <w:r>
              <w:rPr>
                <w:rFonts w:ascii="Arial" w:cs="Arial" w:eastAsia="Arial" w:hAnsi="Arial"/>
                <w:sz w:val="14"/>
                <w:szCs w:val="14"/>
                <w:color w:val="auto"/>
              </w:rPr>
              <w:t>8,815</w:t>
            </w:r>
          </w:p>
        </w:tc>
        <w:tc>
          <w:tcPr>
            <w:tcW w:w="1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3,773,437</w:t>
            </w:r>
          </w:p>
        </w:tc>
        <w:tc>
          <w:tcPr>
            <w:tcW w:w="0" w:type="dxa"/>
            <w:vAlign w:val="bottom"/>
          </w:tcPr>
          <w:p>
            <w:pPr>
              <w:spacing w:after="0"/>
              <w:rPr>
                <w:sz w:val="1"/>
                <w:szCs w:val="1"/>
                <w:color w:val="auto"/>
              </w:rPr>
            </w:pPr>
          </w:p>
        </w:tc>
      </w:tr>
      <w:tr>
        <w:trPr>
          <w:trHeight w:val="242"/>
        </w:trPr>
        <w:tc>
          <w:tcPr>
            <w:tcW w:w="2340" w:type="dxa"/>
            <w:vAlign w:val="bottom"/>
          </w:tcPr>
          <w:p>
            <w:pPr>
              <w:spacing w:after="0"/>
              <w:rPr>
                <w:sz w:val="21"/>
                <w:szCs w:val="21"/>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tcPr>
          <w:p>
            <w:pPr>
              <w:jc w:val="right"/>
              <w:ind w:right="50"/>
              <w:spacing w:after="0"/>
              <w:rPr>
                <w:sz w:val="20"/>
                <w:szCs w:val="20"/>
                <w:color w:val="auto"/>
              </w:rPr>
            </w:pPr>
            <w:r>
              <w:rPr>
                <w:rFonts w:ascii="Arial" w:cs="Arial" w:eastAsia="Arial" w:hAnsi="Arial"/>
                <w:sz w:val="14"/>
                <w:szCs w:val="14"/>
                <w:color w:val="auto"/>
              </w:rPr>
              <w:t>9,696</w:t>
            </w:r>
            <w:r>
              <w:rPr>
                <w:rFonts w:ascii="Arial" w:cs="Arial" w:eastAsia="Arial" w:hAnsi="Arial"/>
                <w:sz w:val="21"/>
                <w:szCs w:val="21"/>
                <w:color w:val="auto"/>
                <w:vertAlign w:val="superscript"/>
              </w:rPr>
              <w:t>(3)</w:t>
            </w:r>
          </w:p>
        </w:tc>
        <w:tc>
          <w:tcPr>
            <w:tcW w:w="1100" w:type="dxa"/>
            <w:vAlign w:val="bottom"/>
          </w:tcPr>
          <w:p>
            <w:pPr>
              <w:jc w:val="right"/>
              <w:spacing w:after="0"/>
              <w:rPr>
                <w:sz w:val="20"/>
                <w:szCs w:val="20"/>
                <w:color w:val="auto"/>
              </w:rPr>
            </w:pPr>
            <w:r>
              <w:rPr>
                <w:rFonts w:ascii="Arial" w:cs="Arial" w:eastAsia="Arial" w:hAnsi="Arial"/>
                <w:sz w:val="14"/>
                <w:szCs w:val="14"/>
                <w:color w:val="auto"/>
              </w:rPr>
              <w:t>428.07</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1,250,053</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tcPr>
          <w:p>
            <w:pPr>
              <w:jc w:val="right"/>
              <w:spacing w:after="0"/>
              <w:rPr>
                <w:sz w:val="20"/>
                <w:szCs w:val="20"/>
                <w:color w:val="auto"/>
              </w:rPr>
            </w:pPr>
            <w:r>
              <w:rPr>
                <w:rFonts w:ascii="Arial" w:cs="Arial" w:eastAsia="Arial" w:hAnsi="Arial"/>
                <w:sz w:val="14"/>
                <w:szCs w:val="14"/>
                <w:color w:val="auto"/>
              </w:rPr>
              <w:t>210,937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843,750</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843,750</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5"/>
        </w:trPr>
        <w:tc>
          <w:tcPr>
            <w:tcW w:w="2340" w:type="dxa"/>
            <w:vAlign w:val="bottom"/>
            <w:shd w:val="clear" w:color="auto" w:fill="E5EEF8"/>
          </w:tcPr>
          <w:p>
            <w:pPr>
              <w:spacing w:after="0"/>
              <w:rPr>
                <w:sz w:val="20"/>
                <w:szCs w:val="20"/>
                <w:color w:val="auto"/>
              </w:rPr>
            </w:pPr>
            <w:r>
              <w:rPr>
                <w:rFonts w:ascii="Arial" w:cs="Arial" w:eastAsia="Arial" w:hAnsi="Arial"/>
                <w:sz w:val="14"/>
                <w:szCs w:val="14"/>
                <w:color w:val="auto"/>
              </w:rPr>
              <w:t> John K. Stipancich</w:t>
            </w:r>
          </w:p>
        </w:tc>
        <w:tc>
          <w:tcPr>
            <w:tcW w:w="1040" w:type="dxa"/>
            <w:vAlign w:val="bottom"/>
            <w:gridSpan w:val="2"/>
            <w:shd w:val="clear" w:color="auto" w:fill="E5EEF8"/>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shd w:val="clear" w:color="auto" w:fill="E5EEF8"/>
          </w:tcPr>
          <w:p>
            <w:pPr>
              <w:spacing w:after="0"/>
              <w:rPr>
                <w:sz w:val="20"/>
                <w:szCs w:val="20"/>
                <w:color w:val="auto"/>
              </w:rPr>
            </w:pPr>
          </w:p>
        </w:tc>
        <w:tc>
          <w:tcPr>
            <w:tcW w:w="980" w:type="dxa"/>
            <w:vAlign w:val="bottom"/>
            <w:shd w:val="clear" w:color="auto" w:fill="E5EEF8"/>
          </w:tcPr>
          <w:p>
            <w:pPr>
              <w:spacing w:after="0"/>
              <w:rPr>
                <w:sz w:val="20"/>
                <w:szCs w:val="20"/>
                <w:color w:val="auto"/>
              </w:rPr>
            </w:pPr>
          </w:p>
        </w:tc>
        <w:tc>
          <w:tcPr>
            <w:tcW w:w="880" w:type="dxa"/>
            <w:vAlign w:val="bottom"/>
            <w:shd w:val="clear" w:color="auto" w:fill="E5EEF8"/>
          </w:tcPr>
          <w:p>
            <w:pPr>
              <w:spacing w:after="0"/>
              <w:rPr>
                <w:sz w:val="20"/>
                <w:szCs w:val="20"/>
                <w:color w:val="auto"/>
              </w:rPr>
            </w:pPr>
          </w:p>
        </w:tc>
        <w:tc>
          <w:tcPr>
            <w:tcW w:w="860" w:type="dxa"/>
            <w:vAlign w:val="bottom"/>
            <w:shd w:val="clear" w:color="auto" w:fill="E5EEF8"/>
          </w:tcPr>
          <w:p>
            <w:pPr>
              <w:jc w:val="right"/>
              <w:ind w:right="48"/>
              <w:spacing w:after="0"/>
              <w:rPr>
                <w:sz w:val="20"/>
                <w:szCs w:val="20"/>
                <w:color w:val="auto"/>
              </w:rPr>
            </w:pPr>
            <w:r>
              <w:rPr>
                <w:rFonts w:ascii="Arial" w:cs="Arial" w:eastAsia="Arial" w:hAnsi="Arial"/>
                <w:sz w:val="14"/>
                <w:szCs w:val="14"/>
                <w:color w:val="auto"/>
              </w:rPr>
              <w:t>1,419</w:t>
            </w:r>
          </w:p>
        </w:tc>
        <w:tc>
          <w:tcPr>
            <w:tcW w:w="6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8,110</w:t>
            </w:r>
          </w:p>
        </w:tc>
        <w:tc>
          <w:tcPr>
            <w:tcW w:w="1460" w:type="dxa"/>
            <w:vAlign w:val="bottom"/>
            <w:shd w:val="clear" w:color="auto" w:fill="E5EEF8"/>
          </w:tcPr>
          <w:p>
            <w:pPr>
              <w:spacing w:after="0"/>
              <w:rPr>
                <w:sz w:val="20"/>
                <w:szCs w:val="20"/>
                <w:color w:val="auto"/>
              </w:rPr>
            </w:pPr>
          </w:p>
        </w:tc>
        <w:tc>
          <w:tcPr>
            <w:tcW w:w="1100" w:type="dxa"/>
            <w:vAlign w:val="bottom"/>
            <w:shd w:val="clear" w:color="auto" w:fill="E5EEF8"/>
          </w:tcPr>
          <w:p>
            <w:pPr>
              <w:spacing w:after="0"/>
              <w:rPr>
                <w:sz w:val="20"/>
                <w:szCs w:val="20"/>
                <w:color w:val="auto"/>
              </w:rPr>
            </w:pPr>
          </w:p>
        </w:tc>
        <w:tc>
          <w:tcPr>
            <w:tcW w:w="980" w:type="dxa"/>
            <w:vAlign w:val="bottom"/>
            <w:gridSpan w:val="2"/>
            <w:shd w:val="clear" w:color="auto" w:fill="E5EEF8"/>
          </w:tcPr>
          <w:p>
            <w:pPr>
              <w:jc w:val="right"/>
              <w:ind w:right="100"/>
              <w:spacing w:after="0"/>
              <w:rPr>
                <w:sz w:val="20"/>
                <w:szCs w:val="20"/>
                <w:color w:val="auto"/>
              </w:rPr>
            </w:pPr>
            <w:r>
              <w:rPr>
                <w:rFonts w:ascii="Arial" w:cs="Arial" w:eastAsia="Arial" w:hAnsi="Arial"/>
                <w:sz w:val="14"/>
                <w:szCs w:val="14"/>
                <w:color w:val="auto"/>
              </w:rPr>
              <w:t>3,471,648</w:t>
            </w:r>
          </w:p>
        </w:tc>
        <w:tc>
          <w:tcPr>
            <w:tcW w:w="0" w:type="dxa"/>
            <w:vAlign w:val="bottom"/>
          </w:tcPr>
          <w:p>
            <w:pPr>
              <w:spacing w:after="0"/>
              <w:rPr>
                <w:sz w:val="1"/>
                <w:szCs w:val="1"/>
                <w:color w:val="auto"/>
              </w:rPr>
            </w:pPr>
          </w:p>
        </w:tc>
      </w:tr>
      <w:tr>
        <w:trPr>
          <w:trHeight w:val="224"/>
        </w:trPr>
        <w:tc>
          <w:tcPr>
            <w:tcW w:w="2340" w:type="dxa"/>
            <w:vAlign w:val="bottom"/>
            <w:shd w:val="clear" w:color="auto" w:fill="E5EEF8"/>
          </w:tcPr>
          <w:p>
            <w:pPr>
              <w:spacing w:after="0"/>
              <w:rPr>
                <w:sz w:val="19"/>
                <w:szCs w:val="19"/>
                <w:color w:val="auto"/>
              </w:rPr>
            </w:pPr>
          </w:p>
        </w:tc>
        <w:tc>
          <w:tcPr>
            <w:tcW w:w="200" w:type="dxa"/>
            <w:vAlign w:val="bottom"/>
            <w:shd w:val="clear" w:color="auto" w:fill="E5EEF8"/>
          </w:tcPr>
          <w:p>
            <w:pPr>
              <w:spacing w:after="0"/>
              <w:rPr>
                <w:sz w:val="19"/>
                <w:szCs w:val="19"/>
                <w:color w:val="auto"/>
              </w:rPr>
            </w:pPr>
          </w:p>
        </w:tc>
        <w:tc>
          <w:tcPr>
            <w:tcW w:w="84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shd w:val="clear" w:color="auto" w:fill="E5EEF8"/>
          </w:tcPr>
          <w:p>
            <w:pPr>
              <w:spacing w:after="0"/>
              <w:rPr>
                <w:sz w:val="19"/>
                <w:szCs w:val="19"/>
                <w:color w:val="auto"/>
              </w:rPr>
            </w:pPr>
          </w:p>
        </w:tc>
        <w:tc>
          <w:tcPr>
            <w:tcW w:w="980" w:type="dxa"/>
            <w:vAlign w:val="bottom"/>
            <w:shd w:val="clear" w:color="auto" w:fill="E5EEF8"/>
          </w:tcPr>
          <w:p>
            <w:pPr>
              <w:spacing w:after="0"/>
              <w:rPr>
                <w:sz w:val="19"/>
                <w:szCs w:val="19"/>
                <w:color w:val="auto"/>
              </w:rPr>
            </w:pPr>
          </w:p>
        </w:tc>
        <w:tc>
          <w:tcPr>
            <w:tcW w:w="880" w:type="dxa"/>
            <w:vAlign w:val="bottom"/>
            <w:shd w:val="clear" w:color="auto" w:fill="E5EEF8"/>
          </w:tcPr>
          <w:p>
            <w:pPr>
              <w:spacing w:after="0"/>
              <w:rPr>
                <w:sz w:val="19"/>
                <w:szCs w:val="19"/>
                <w:color w:val="auto"/>
              </w:rPr>
            </w:pPr>
          </w:p>
        </w:tc>
        <w:tc>
          <w:tcPr>
            <w:tcW w:w="860" w:type="dxa"/>
            <w:vAlign w:val="bottom"/>
            <w:shd w:val="clear" w:color="auto" w:fill="E5EEF8"/>
          </w:tcPr>
          <w:p>
            <w:pPr>
              <w:spacing w:after="0"/>
              <w:rPr>
                <w:sz w:val="19"/>
                <w:szCs w:val="19"/>
                <w:color w:val="auto"/>
              </w:rPr>
            </w:pPr>
          </w:p>
        </w:tc>
        <w:tc>
          <w:tcPr>
            <w:tcW w:w="600" w:type="dxa"/>
            <w:vAlign w:val="bottom"/>
            <w:shd w:val="clear" w:color="auto" w:fill="E5EEF8"/>
          </w:tcPr>
          <w:p>
            <w:pPr>
              <w:spacing w:after="0"/>
              <w:rPr>
                <w:sz w:val="19"/>
                <w:szCs w:val="19"/>
                <w:color w:val="auto"/>
              </w:rPr>
            </w:pPr>
          </w:p>
        </w:tc>
        <w:tc>
          <w:tcPr>
            <w:tcW w:w="1460" w:type="dxa"/>
            <w:vAlign w:val="bottom"/>
            <w:shd w:val="clear" w:color="auto" w:fill="E5EEF8"/>
          </w:tcPr>
          <w:p>
            <w:pPr>
              <w:jc w:val="right"/>
              <w:ind w:right="50"/>
              <w:spacing w:after="0" w:line="224" w:lineRule="exact"/>
              <w:rPr>
                <w:sz w:val="20"/>
                <w:szCs w:val="20"/>
                <w:color w:val="auto"/>
              </w:rPr>
            </w:pPr>
            <w:r>
              <w:rPr>
                <w:rFonts w:ascii="Arial" w:cs="Arial" w:eastAsia="Arial" w:hAnsi="Arial"/>
                <w:sz w:val="14"/>
                <w:szCs w:val="14"/>
                <w:color w:val="auto"/>
              </w:rPr>
              <w:t>8,920</w:t>
            </w:r>
            <w:r>
              <w:rPr>
                <w:rFonts w:ascii="Arial" w:cs="Arial" w:eastAsia="Arial" w:hAnsi="Arial"/>
                <w:sz w:val="21"/>
                <w:szCs w:val="21"/>
                <w:color w:val="auto"/>
                <w:vertAlign w:val="superscript"/>
              </w:rPr>
              <w:t>(3)</w:t>
            </w:r>
          </w:p>
        </w:tc>
        <w:tc>
          <w:tcPr>
            <w:tcW w:w="11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428.07</w:t>
            </w:r>
          </w:p>
        </w:tc>
        <w:tc>
          <w:tcPr>
            <w:tcW w:w="980" w:type="dxa"/>
            <w:vAlign w:val="bottom"/>
            <w:gridSpan w:val="2"/>
            <w:shd w:val="clear" w:color="auto" w:fill="E5EEF8"/>
          </w:tcPr>
          <w:p>
            <w:pPr>
              <w:jc w:val="right"/>
              <w:ind w:right="100"/>
              <w:spacing w:after="0"/>
              <w:rPr>
                <w:sz w:val="20"/>
                <w:szCs w:val="20"/>
                <w:color w:val="auto"/>
              </w:rPr>
            </w:pPr>
            <w:r>
              <w:rPr>
                <w:rFonts w:ascii="Arial" w:cs="Arial" w:eastAsia="Arial" w:hAnsi="Arial"/>
                <w:sz w:val="14"/>
                <w:szCs w:val="14"/>
                <w:color w:val="auto"/>
              </w:rPr>
              <w:t>1,150,007</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E5EEF8"/>
            </w:tcBorders>
            <w:shd w:val="clear" w:color="auto" w:fill="E5EEF8"/>
          </w:tcPr>
          <w:p>
            <w:pPr>
              <w:spacing w:after="0"/>
              <w:rPr>
                <w:sz w:val="19"/>
                <w:szCs w:val="19"/>
                <w:color w:val="auto"/>
              </w:rPr>
            </w:pPr>
          </w:p>
        </w:tc>
        <w:tc>
          <w:tcPr>
            <w:tcW w:w="200" w:type="dxa"/>
            <w:vAlign w:val="bottom"/>
            <w:tcBorders>
              <w:bottom w:val="single" w:sz="8" w:color="E5EEF8"/>
            </w:tcBorders>
            <w:shd w:val="clear" w:color="auto" w:fill="E5EEF8"/>
          </w:tcPr>
          <w:p>
            <w:pPr>
              <w:spacing w:after="0"/>
              <w:rPr>
                <w:sz w:val="19"/>
                <w:szCs w:val="19"/>
                <w:color w:val="auto"/>
              </w:rPr>
            </w:pPr>
          </w:p>
        </w:tc>
        <w:tc>
          <w:tcPr>
            <w:tcW w:w="840" w:type="dxa"/>
            <w:vAlign w:val="bottom"/>
            <w:tcBorders>
              <w:bottom w:val="single" w:sz="8" w:color="E5EEF8"/>
            </w:tcBorders>
            <w:shd w:val="clear" w:color="auto" w:fill="E5EEF8"/>
          </w:tcPr>
          <w:p>
            <w:pPr>
              <w:jc w:val="right"/>
              <w:ind w:right="28"/>
              <w:spacing w:after="0"/>
              <w:rPr>
                <w:sz w:val="20"/>
                <w:szCs w:val="20"/>
                <w:color w:val="auto"/>
              </w:rPr>
            </w:pPr>
            <w:r>
              <w:rPr>
                <w:rFonts w:ascii="Arial" w:cs="Arial" w:eastAsia="Arial" w:hAnsi="Arial"/>
                <w:sz w:val="14"/>
                <w:szCs w:val="14"/>
                <w:color w:val="auto"/>
              </w:rPr>
              <w:t>03/14/2023</w:t>
            </w:r>
          </w:p>
        </w:tc>
        <w:tc>
          <w:tcPr>
            <w:tcW w:w="780" w:type="dxa"/>
            <w:vAlign w:val="bottom"/>
            <w:tcBorders>
              <w:bottom w:val="single" w:sz="8" w:color="E5EEF8"/>
            </w:tcBorders>
            <w:shd w:val="clear" w:color="auto" w:fill="E5EEF8"/>
          </w:tcPr>
          <w:p>
            <w:pPr>
              <w:jc w:val="right"/>
              <w:spacing w:after="0"/>
              <w:rPr>
                <w:sz w:val="20"/>
                <w:szCs w:val="20"/>
                <w:color w:val="auto"/>
              </w:rPr>
            </w:pPr>
            <w:r>
              <w:rPr>
                <w:rFonts w:ascii="Arial" w:cs="Arial" w:eastAsia="Arial" w:hAnsi="Arial"/>
                <w:sz w:val="14"/>
                <w:szCs w:val="14"/>
                <w:color w:val="auto"/>
              </w:rPr>
              <w:t>250,000</w:t>
            </w:r>
          </w:p>
        </w:tc>
        <w:tc>
          <w:tcPr>
            <w:tcW w:w="98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1,000,000</w:t>
            </w:r>
          </w:p>
        </w:tc>
        <w:tc>
          <w:tcPr>
            <w:tcW w:w="880" w:type="dxa"/>
            <w:vAlign w:val="bottom"/>
            <w:tcBorders>
              <w:bottom w:val="single" w:sz="8" w:color="E5EEF8"/>
            </w:tcBorders>
            <w:shd w:val="clear" w:color="auto" w:fill="E5EEF8"/>
          </w:tcPr>
          <w:p>
            <w:pPr>
              <w:jc w:val="right"/>
              <w:ind w:right="48"/>
              <w:spacing w:after="0"/>
              <w:rPr>
                <w:sz w:val="20"/>
                <w:szCs w:val="20"/>
                <w:color w:val="auto"/>
              </w:rPr>
            </w:pPr>
            <w:r>
              <w:rPr>
                <w:rFonts w:ascii="Arial" w:cs="Arial" w:eastAsia="Arial" w:hAnsi="Arial"/>
                <w:sz w:val="14"/>
                <w:szCs w:val="14"/>
                <w:color w:val="auto"/>
              </w:rPr>
              <w:t>1,000,000</w:t>
            </w:r>
          </w:p>
        </w:tc>
        <w:tc>
          <w:tcPr>
            <w:tcW w:w="860" w:type="dxa"/>
            <w:vAlign w:val="bottom"/>
            <w:tcBorders>
              <w:bottom w:val="single" w:sz="8" w:color="E5EEF8"/>
            </w:tcBorders>
            <w:shd w:val="clear" w:color="auto" w:fill="E5EEF8"/>
          </w:tcPr>
          <w:p>
            <w:pPr>
              <w:spacing w:after="0"/>
              <w:rPr>
                <w:sz w:val="19"/>
                <w:szCs w:val="19"/>
                <w:color w:val="auto"/>
              </w:rPr>
            </w:pPr>
          </w:p>
        </w:tc>
        <w:tc>
          <w:tcPr>
            <w:tcW w:w="600" w:type="dxa"/>
            <w:vAlign w:val="bottom"/>
            <w:tcBorders>
              <w:bottom w:val="single" w:sz="8" w:color="E5EEF8"/>
            </w:tcBorders>
            <w:shd w:val="clear" w:color="auto" w:fill="E5EEF8"/>
          </w:tcPr>
          <w:p>
            <w:pPr>
              <w:spacing w:after="0"/>
              <w:rPr>
                <w:sz w:val="19"/>
                <w:szCs w:val="19"/>
                <w:color w:val="auto"/>
              </w:rPr>
            </w:pPr>
          </w:p>
        </w:tc>
        <w:tc>
          <w:tcPr>
            <w:tcW w:w="1460" w:type="dxa"/>
            <w:vAlign w:val="bottom"/>
            <w:tcBorders>
              <w:bottom w:val="single" w:sz="8" w:color="E5EEF8"/>
            </w:tcBorders>
            <w:shd w:val="clear" w:color="auto" w:fill="E5EEF8"/>
          </w:tcPr>
          <w:p>
            <w:pPr>
              <w:spacing w:after="0"/>
              <w:rPr>
                <w:sz w:val="19"/>
                <w:szCs w:val="19"/>
                <w:color w:val="auto"/>
              </w:rPr>
            </w:pPr>
          </w:p>
        </w:tc>
        <w:tc>
          <w:tcPr>
            <w:tcW w:w="1100" w:type="dxa"/>
            <w:vAlign w:val="bottom"/>
            <w:tcBorders>
              <w:bottom w:val="single" w:sz="8" w:color="E5EEF8"/>
            </w:tcBorders>
            <w:shd w:val="clear" w:color="auto" w:fill="E5EEF8"/>
          </w:tcPr>
          <w:p>
            <w:pPr>
              <w:spacing w:after="0"/>
              <w:rPr>
                <w:sz w:val="19"/>
                <w:szCs w:val="19"/>
                <w:color w:val="auto"/>
              </w:rPr>
            </w:pPr>
          </w:p>
        </w:tc>
        <w:tc>
          <w:tcPr>
            <w:tcW w:w="880" w:type="dxa"/>
            <w:vAlign w:val="bottom"/>
            <w:tcBorders>
              <w:bottom w:val="single" w:sz="8" w:color="E5EEF8"/>
            </w:tcBorders>
            <w:shd w:val="clear" w:color="auto" w:fill="E5EEF8"/>
          </w:tcPr>
          <w:p>
            <w:pPr>
              <w:spacing w:after="0"/>
              <w:rPr>
                <w:sz w:val="19"/>
                <w:szCs w:val="19"/>
                <w:color w:val="auto"/>
              </w:rPr>
            </w:pPr>
          </w:p>
        </w:tc>
        <w:tc>
          <w:tcPr>
            <w:tcW w:w="100" w:type="dxa"/>
            <w:vAlign w:val="bottom"/>
            <w:tcBorders>
              <w:bottom w:val="single" w:sz="8" w:color="E5EEF8"/>
            </w:tcBorders>
            <w:shd w:val="clear" w:color="auto" w:fill="E5EEF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340" w:type="dxa"/>
            <w:vAlign w:val="bottom"/>
          </w:tcPr>
          <w:p>
            <w:pPr>
              <w:spacing w:after="0"/>
              <w:rPr>
                <w:sz w:val="20"/>
                <w:szCs w:val="20"/>
                <w:color w:val="auto"/>
              </w:rPr>
            </w:pPr>
            <w:r>
              <w:rPr>
                <w:rFonts w:ascii="Arial" w:cs="Arial" w:eastAsia="Arial" w:hAnsi="Arial"/>
                <w:sz w:val="14"/>
                <w:szCs w:val="14"/>
                <w:color w:val="auto"/>
              </w:rPr>
              <w:t> Robert C. Crisci</w:t>
            </w:r>
          </w:p>
        </w:tc>
        <w:tc>
          <w:tcPr>
            <w:tcW w:w="10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-1751330</wp:posOffset>
            </wp:positionV>
            <wp:extent cx="25203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60" w:lineRule="exact"/>
        <w:rPr>
          <w:sz w:val="20"/>
          <w:szCs w:val="20"/>
          <w:color w:val="auto"/>
        </w:rPr>
      </w:pPr>
    </w:p>
    <w:p>
      <w:pPr>
        <w:ind w:left="540" w:right="140" w:hanging="424"/>
        <w:spacing w:after="0" w:line="204" w:lineRule="auto"/>
        <w:tabs>
          <w:tab w:leader="none" w:pos="5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For an explanation of the material terms, refer to the CD&amp;A section above captioned “Analysis of 2023 Compensation—Annual Cash Incentive.” Amounts paid under this program for 2023 are set forth in the 2023 Summary Compensation Table.</w:t>
      </w:r>
    </w:p>
    <w:p>
      <w:pPr>
        <w:spacing w:after="0" w:line="53" w:lineRule="exact"/>
        <w:rPr>
          <w:rFonts w:ascii="Arial" w:cs="Arial" w:eastAsia="Arial" w:hAnsi="Arial"/>
          <w:sz w:val="22"/>
          <w:szCs w:val="22"/>
          <w:color w:val="auto"/>
          <w:vertAlign w:val="superscript"/>
        </w:rPr>
      </w:pPr>
    </w:p>
    <w:p>
      <w:pPr>
        <w:ind w:left="540" w:right="20" w:hanging="424"/>
        <w:spacing w:after="0" w:line="220" w:lineRule="auto"/>
        <w:tabs>
          <w:tab w:leader="none" w:pos="5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The performance restricted shares awarded to the named executive officers generally vest in March 2026. All awards are subject to the performance criteria described in the CD&amp;A under “Analysis of 2023 Compensation—Long-Term Stock Incentives.” The threshold payout represents the number of shares that would vest upon the satisfaction of the threshold level of performance for one of the two performance criteria. No maximum payout is provided as there is no incremental payout in the event the target level of performance is exceeded. Dividends on restricted shares will be paid only if the shares are earned by performance.</w:t>
      </w:r>
    </w:p>
    <w:p>
      <w:pPr>
        <w:spacing w:after="0" w:line="54" w:lineRule="exact"/>
        <w:rPr>
          <w:rFonts w:ascii="Arial" w:cs="Arial" w:eastAsia="Arial" w:hAnsi="Arial"/>
          <w:sz w:val="22"/>
          <w:szCs w:val="22"/>
          <w:color w:val="auto"/>
          <w:vertAlign w:val="superscript"/>
        </w:rPr>
      </w:pPr>
    </w:p>
    <w:p>
      <w:pPr>
        <w:ind w:left="540" w:right="160" w:hanging="424"/>
        <w:spacing w:after="0" w:line="204" w:lineRule="auto"/>
        <w:tabs>
          <w:tab w:leader="none" w:pos="5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The stock options awarded to the named executive officers generally vest in March 2026. All stock options expire on the tenth anniversary of the grant. The exercise price of the stock options is 100% of the fair market value of our common stock on the date of grant.</w:t>
      </w:r>
    </w:p>
    <w:p>
      <w:pPr>
        <w:ind w:left="540" w:hanging="424"/>
        <w:spacing w:after="0" w:line="230" w:lineRule="auto"/>
        <w:tabs>
          <w:tab w:leader="none" w:pos="540" w:val="left"/>
        </w:tabs>
        <w:numPr>
          <w:ilvl w:val="0"/>
          <w:numId w:val="58"/>
        </w:numPr>
        <w:rPr>
          <w:rFonts w:ascii="Arial" w:cs="Arial" w:eastAsia="Arial" w:hAnsi="Arial"/>
          <w:sz w:val="22"/>
          <w:szCs w:val="22"/>
          <w:color w:val="auto"/>
          <w:vertAlign w:val="superscript"/>
        </w:rPr>
      </w:pPr>
      <w:r>
        <w:rPr>
          <w:rFonts w:ascii="Arial" w:cs="Arial" w:eastAsia="Arial" w:hAnsi="Arial"/>
          <w:sz w:val="14"/>
          <w:szCs w:val="14"/>
          <w:color w:val="auto"/>
        </w:rPr>
        <w:t>The dollar values reflect the grant date fair value of the awards as calculated in accordance with ASC Topic 718.</w:t>
      </w:r>
    </w:p>
    <w:p>
      <w:pPr>
        <w:spacing w:after="0" w:line="130"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45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Outstanding Equity Awards at Fiscal Year End</w:t>
      </w:r>
    </w:p>
    <w:p>
      <w:pPr>
        <w:spacing w:after="0" w:line="98"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color w:val="auto"/>
        </w:rPr>
        <w:t>The following table sets forth certain information with respect to outstanding equity awards at December 31, 2023 for the named executive officers.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160" w:type="dxa"/>
            <w:vAlign w:val="bottom"/>
            <w:shd w:val="clear" w:color="auto" w:fill="005CB9"/>
          </w:tcPr>
          <w:p>
            <w:pPr>
              <w:spacing w:after="0"/>
              <w:rPr>
                <w:sz w:val="15"/>
                <w:szCs w:val="15"/>
                <w:color w:val="auto"/>
              </w:rPr>
            </w:pPr>
          </w:p>
        </w:tc>
        <w:tc>
          <w:tcPr>
            <w:tcW w:w="920" w:type="dxa"/>
            <w:vAlign w:val="bottom"/>
            <w:shd w:val="clear" w:color="auto" w:fill="005CB9"/>
          </w:tcPr>
          <w:p>
            <w:pPr>
              <w:spacing w:after="0"/>
              <w:rPr>
                <w:sz w:val="15"/>
                <w:szCs w:val="15"/>
                <w:color w:val="auto"/>
              </w:rPr>
            </w:pPr>
          </w:p>
        </w:tc>
        <w:tc>
          <w:tcPr>
            <w:tcW w:w="1860" w:type="dxa"/>
            <w:vAlign w:val="bottom"/>
            <w:gridSpan w:val="3"/>
            <w:shd w:val="clear" w:color="auto" w:fill="005CB9"/>
          </w:tcPr>
          <w:p>
            <w:pPr>
              <w:jc w:val="right"/>
              <w:ind w:right="408"/>
              <w:spacing w:after="0"/>
              <w:rPr>
                <w:sz w:val="20"/>
                <w:szCs w:val="20"/>
                <w:color w:val="auto"/>
              </w:rPr>
            </w:pPr>
            <w:r>
              <w:rPr>
                <w:rFonts w:ascii="Arial" w:cs="Arial" w:eastAsia="Arial" w:hAnsi="Arial"/>
                <w:sz w:val="14"/>
                <w:szCs w:val="14"/>
                <w:color w:val="FFFFFF"/>
              </w:rPr>
              <w:t>Option Awards</w:t>
            </w:r>
          </w:p>
        </w:tc>
        <w:tc>
          <w:tcPr>
            <w:tcW w:w="860" w:type="dxa"/>
            <w:vAlign w:val="bottom"/>
            <w:shd w:val="clear" w:color="auto" w:fill="005CB9"/>
          </w:tcPr>
          <w:p>
            <w:pPr>
              <w:spacing w:after="0"/>
              <w:rPr>
                <w:sz w:val="15"/>
                <w:szCs w:val="15"/>
                <w:color w:val="auto"/>
              </w:rPr>
            </w:pPr>
          </w:p>
        </w:tc>
        <w:tc>
          <w:tcPr>
            <w:tcW w:w="780" w:type="dxa"/>
            <w:vAlign w:val="bottom"/>
            <w:shd w:val="clear" w:color="auto" w:fill="005CB9"/>
          </w:tcPr>
          <w:p>
            <w:pPr>
              <w:spacing w:after="0"/>
              <w:rPr>
                <w:sz w:val="15"/>
                <w:szCs w:val="15"/>
                <w:color w:val="auto"/>
              </w:rPr>
            </w:pPr>
          </w:p>
        </w:tc>
        <w:tc>
          <w:tcPr>
            <w:tcW w:w="820" w:type="dxa"/>
            <w:vAlign w:val="bottom"/>
            <w:shd w:val="clear" w:color="auto" w:fill="005CB9"/>
          </w:tcPr>
          <w:p>
            <w:pPr>
              <w:spacing w:after="0"/>
              <w:rPr>
                <w:sz w:val="15"/>
                <w:szCs w:val="15"/>
                <w:color w:val="auto"/>
              </w:rPr>
            </w:pPr>
          </w:p>
        </w:tc>
        <w:tc>
          <w:tcPr>
            <w:tcW w:w="1340" w:type="dxa"/>
            <w:vAlign w:val="bottom"/>
            <w:shd w:val="clear" w:color="auto" w:fill="005CB9"/>
          </w:tcPr>
          <w:p>
            <w:pPr>
              <w:jc w:val="right"/>
              <w:ind w:right="333"/>
              <w:spacing w:after="0"/>
              <w:rPr>
                <w:sz w:val="20"/>
                <w:szCs w:val="20"/>
                <w:color w:val="auto"/>
              </w:rPr>
            </w:pPr>
            <w:r>
              <w:rPr>
                <w:rFonts w:ascii="Arial" w:cs="Arial" w:eastAsia="Arial" w:hAnsi="Arial"/>
                <w:sz w:val="14"/>
                <w:szCs w:val="14"/>
                <w:color w:val="FFFFFF"/>
              </w:rPr>
              <w:t>Stock Awards</w:t>
            </w:r>
          </w:p>
        </w:tc>
        <w:tc>
          <w:tcPr>
            <w:tcW w:w="1280" w:type="dxa"/>
            <w:vAlign w:val="bottom"/>
            <w:shd w:val="clear" w:color="auto" w:fill="005CB9"/>
          </w:tcPr>
          <w:p>
            <w:pPr>
              <w:spacing w:after="0"/>
              <w:rPr>
                <w:sz w:val="15"/>
                <w:szCs w:val="15"/>
                <w:color w:val="auto"/>
              </w:rPr>
            </w:pPr>
          </w:p>
        </w:tc>
      </w:tr>
      <w:tr>
        <w:trPr>
          <w:trHeight w:val="153"/>
        </w:trPr>
        <w:tc>
          <w:tcPr>
            <w:tcW w:w="3160" w:type="dxa"/>
            <w:vAlign w:val="bottom"/>
            <w:shd w:val="clear" w:color="auto" w:fill="005CB9"/>
          </w:tcPr>
          <w:p>
            <w:pPr>
              <w:spacing w:after="0"/>
              <w:rPr>
                <w:sz w:val="13"/>
                <w:szCs w:val="13"/>
                <w:color w:val="auto"/>
              </w:rPr>
            </w:pPr>
          </w:p>
        </w:tc>
        <w:tc>
          <w:tcPr>
            <w:tcW w:w="920" w:type="dxa"/>
            <w:vAlign w:val="bottom"/>
            <w:shd w:val="clear" w:color="auto" w:fill="005CB9"/>
          </w:tcPr>
          <w:p>
            <w:pPr>
              <w:spacing w:after="0"/>
              <w:rPr>
                <w:sz w:val="13"/>
                <w:szCs w:val="13"/>
                <w:color w:val="auto"/>
              </w:rPr>
            </w:pPr>
          </w:p>
        </w:tc>
        <w:tc>
          <w:tcPr>
            <w:tcW w:w="1000" w:type="dxa"/>
            <w:vAlign w:val="bottom"/>
            <w:shd w:val="clear" w:color="auto" w:fill="005CB9"/>
          </w:tcPr>
          <w:p>
            <w:pPr>
              <w:spacing w:after="0"/>
              <w:rPr>
                <w:sz w:val="13"/>
                <w:szCs w:val="13"/>
                <w:color w:val="auto"/>
              </w:rPr>
            </w:pPr>
          </w:p>
        </w:tc>
        <w:tc>
          <w:tcPr>
            <w:tcW w:w="160" w:type="dxa"/>
            <w:vAlign w:val="bottom"/>
            <w:shd w:val="clear" w:color="auto" w:fill="005CB9"/>
          </w:tcPr>
          <w:p>
            <w:pPr>
              <w:spacing w:after="0"/>
              <w:rPr>
                <w:sz w:val="13"/>
                <w:szCs w:val="13"/>
                <w:color w:val="auto"/>
              </w:rPr>
            </w:pPr>
          </w:p>
        </w:tc>
        <w:tc>
          <w:tcPr>
            <w:tcW w:w="700" w:type="dxa"/>
            <w:vAlign w:val="bottom"/>
            <w:shd w:val="clear" w:color="auto" w:fill="005CB9"/>
          </w:tcPr>
          <w:p>
            <w:pPr>
              <w:spacing w:after="0"/>
              <w:rPr>
                <w:sz w:val="13"/>
                <w:szCs w:val="13"/>
                <w:color w:val="auto"/>
              </w:rPr>
            </w:pPr>
          </w:p>
        </w:tc>
        <w:tc>
          <w:tcPr>
            <w:tcW w:w="860" w:type="dxa"/>
            <w:vAlign w:val="bottom"/>
            <w:shd w:val="clear" w:color="auto" w:fill="005CB9"/>
          </w:tcPr>
          <w:p>
            <w:pPr>
              <w:spacing w:after="0"/>
              <w:rPr>
                <w:sz w:val="13"/>
                <w:szCs w:val="13"/>
                <w:color w:val="auto"/>
              </w:rPr>
            </w:pPr>
          </w:p>
        </w:tc>
        <w:tc>
          <w:tcPr>
            <w:tcW w:w="780" w:type="dxa"/>
            <w:vAlign w:val="bottom"/>
            <w:shd w:val="clear" w:color="auto" w:fill="005CB9"/>
          </w:tcPr>
          <w:p>
            <w:pPr>
              <w:spacing w:after="0"/>
              <w:rPr>
                <w:sz w:val="13"/>
                <w:szCs w:val="13"/>
                <w:color w:val="auto"/>
              </w:rPr>
            </w:pPr>
          </w:p>
        </w:tc>
        <w:tc>
          <w:tcPr>
            <w:tcW w:w="820" w:type="dxa"/>
            <w:vAlign w:val="bottom"/>
            <w:shd w:val="clear" w:color="auto" w:fill="005CB9"/>
          </w:tcPr>
          <w:p>
            <w:pPr>
              <w:spacing w:after="0"/>
              <w:rPr>
                <w:sz w:val="13"/>
                <w:szCs w:val="13"/>
                <w:color w:val="auto"/>
              </w:rPr>
            </w:pPr>
          </w:p>
        </w:tc>
        <w:tc>
          <w:tcPr>
            <w:tcW w:w="1340" w:type="dxa"/>
            <w:vAlign w:val="bottom"/>
            <w:shd w:val="clear" w:color="auto" w:fill="005CB9"/>
          </w:tcPr>
          <w:p>
            <w:pPr>
              <w:jc w:val="right"/>
              <w:ind w:right="313"/>
              <w:spacing w:after="0" w:line="153" w:lineRule="exact"/>
              <w:rPr>
                <w:sz w:val="20"/>
                <w:szCs w:val="20"/>
                <w:color w:val="auto"/>
              </w:rPr>
            </w:pPr>
            <w:r>
              <w:rPr>
                <w:rFonts w:ascii="Arial" w:cs="Arial" w:eastAsia="Arial" w:hAnsi="Arial"/>
                <w:sz w:val="14"/>
                <w:szCs w:val="14"/>
                <w:color w:val="FFFFFF"/>
              </w:rPr>
              <w:t>Equity</w:t>
            </w:r>
          </w:p>
        </w:tc>
        <w:tc>
          <w:tcPr>
            <w:tcW w:w="1280" w:type="dxa"/>
            <w:vAlign w:val="bottom"/>
            <w:shd w:val="clear" w:color="auto" w:fill="005CB9"/>
          </w:tcPr>
          <w:p>
            <w:pPr>
              <w:spacing w:after="0"/>
              <w:rPr>
                <w:sz w:val="13"/>
                <w:szCs w:val="13"/>
                <w:color w:val="auto"/>
              </w:rPr>
            </w:pP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820" w:type="dxa"/>
            <w:vAlign w:val="bottom"/>
            <w:shd w:val="clear" w:color="auto" w:fill="005CB9"/>
          </w:tcPr>
          <w:p>
            <w:pPr>
              <w:spacing w:after="0"/>
              <w:rPr>
                <w:sz w:val="14"/>
                <w:szCs w:val="14"/>
                <w:color w:val="auto"/>
              </w:rPr>
            </w:pP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Incentive Plan</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Equity</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spacing w:after="0"/>
              <w:rPr>
                <w:sz w:val="14"/>
                <w:szCs w:val="14"/>
                <w:color w:val="auto"/>
              </w:rPr>
            </w:pP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Market</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Awards:</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Incentive Plan</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spacing w:after="0"/>
              <w:rPr>
                <w:sz w:val="14"/>
                <w:szCs w:val="14"/>
                <w:color w:val="auto"/>
              </w:rPr>
            </w:pPr>
          </w:p>
        </w:tc>
        <w:tc>
          <w:tcPr>
            <w:tcW w:w="1000" w:type="dxa"/>
            <w:vAlign w:val="bottom"/>
            <w:shd w:val="clear" w:color="auto" w:fill="005CB9"/>
          </w:tcPr>
          <w:p>
            <w:pPr>
              <w:spacing w:after="0"/>
              <w:rPr>
                <w:sz w:val="14"/>
                <w:szCs w:val="14"/>
                <w:color w:val="auto"/>
              </w:rPr>
            </w:pPr>
          </w:p>
        </w:tc>
        <w:tc>
          <w:tcPr>
            <w:tcW w:w="160" w:type="dxa"/>
            <w:vAlign w:val="bottom"/>
            <w:shd w:val="clear" w:color="auto" w:fill="005CB9"/>
          </w:tcPr>
          <w:p>
            <w:pPr>
              <w:spacing w:after="0"/>
              <w:rPr>
                <w:sz w:val="14"/>
                <w:szCs w:val="14"/>
                <w:color w:val="auto"/>
              </w:rPr>
            </w:pP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Number of</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Value of</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Number of</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Awards: Market or</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Number of</w:t>
            </w:r>
          </w:p>
        </w:tc>
        <w:tc>
          <w:tcPr>
            <w:tcW w:w="1160" w:type="dxa"/>
            <w:vAlign w:val="bottom"/>
            <w:gridSpan w:val="2"/>
            <w:shd w:val="clear" w:color="auto" w:fill="005CB9"/>
          </w:tcPr>
          <w:p>
            <w:pPr>
              <w:jc w:val="right"/>
              <w:ind w:right="106"/>
              <w:spacing w:after="0"/>
              <w:rPr>
                <w:sz w:val="20"/>
                <w:szCs w:val="20"/>
                <w:color w:val="auto"/>
              </w:rPr>
            </w:pPr>
            <w:r>
              <w:rPr>
                <w:rFonts w:ascii="Arial" w:cs="Arial" w:eastAsia="Arial" w:hAnsi="Arial"/>
                <w:sz w:val="14"/>
                <w:szCs w:val="14"/>
                <w:color w:val="FFFFFF"/>
              </w:rPr>
              <w:t>Number of</w:t>
            </w: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Shares or</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Unearned</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Payout Value</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Securities</w:t>
            </w:r>
          </w:p>
        </w:tc>
        <w:tc>
          <w:tcPr>
            <w:tcW w:w="1160" w:type="dxa"/>
            <w:vAlign w:val="bottom"/>
            <w:gridSpan w:val="2"/>
            <w:shd w:val="clear" w:color="auto" w:fill="005CB9"/>
          </w:tcPr>
          <w:p>
            <w:pPr>
              <w:jc w:val="right"/>
              <w:ind w:right="106"/>
              <w:spacing w:after="0"/>
              <w:rPr>
                <w:sz w:val="20"/>
                <w:szCs w:val="20"/>
                <w:color w:val="auto"/>
              </w:rPr>
            </w:pPr>
            <w:r>
              <w:rPr>
                <w:rFonts w:ascii="Arial" w:cs="Arial" w:eastAsia="Arial" w:hAnsi="Arial"/>
                <w:sz w:val="14"/>
                <w:szCs w:val="14"/>
                <w:color w:val="FFFFFF"/>
              </w:rPr>
              <w:t>Securities</w:t>
            </w: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or Units of</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Units of</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Shares, Units</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of Unearned</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Underlying</w:t>
            </w:r>
          </w:p>
        </w:tc>
        <w:tc>
          <w:tcPr>
            <w:tcW w:w="1160" w:type="dxa"/>
            <w:vAlign w:val="bottom"/>
            <w:gridSpan w:val="2"/>
            <w:shd w:val="clear" w:color="auto" w:fill="005CB9"/>
          </w:tcPr>
          <w:p>
            <w:pPr>
              <w:jc w:val="right"/>
              <w:ind w:right="106"/>
              <w:spacing w:after="0"/>
              <w:rPr>
                <w:sz w:val="20"/>
                <w:szCs w:val="20"/>
                <w:color w:val="auto"/>
              </w:rPr>
            </w:pPr>
            <w:r>
              <w:rPr>
                <w:rFonts w:ascii="Arial" w:cs="Arial" w:eastAsia="Arial" w:hAnsi="Arial"/>
                <w:sz w:val="14"/>
                <w:szCs w:val="14"/>
                <w:color w:val="FFFFFF"/>
              </w:rPr>
              <w:t>Underlying</w:t>
            </w:r>
          </w:p>
        </w:tc>
        <w:tc>
          <w:tcPr>
            <w:tcW w:w="700" w:type="dxa"/>
            <w:vAlign w:val="bottom"/>
            <w:shd w:val="clear" w:color="auto" w:fill="005CB9"/>
          </w:tcPr>
          <w:p>
            <w:pPr>
              <w:spacing w:after="0"/>
              <w:rPr>
                <w:sz w:val="14"/>
                <w:szCs w:val="14"/>
                <w:color w:val="auto"/>
              </w:rPr>
            </w:pPr>
          </w:p>
        </w:tc>
        <w:tc>
          <w:tcPr>
            <w:tcW w:w="860" w:type="dxa"/>
            <w:vAlign w:val="bottom"/>
            <w:shd w:val="clear" w:color="auto" w:fill="005CB9"/>
          </w:tcPr>
          <w:p>
            <w:pPr>
              <w:spacing w:after="0"/>
              <w:rPr>
                <w:sz w:val="14"/>
                <w:szCs w:val="14"/>
                <w:color w:val="auto"/>
              </w:rPr>
            </w:pP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Stock</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Stock</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or Other</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Shares, Units or</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Unexercised</w:t>
            </w:r>
          </w:p>
        </w:tc>
        <w:tc>
          <w:tcPr>
            <w:tcW w:w="1160" w:type="dxa"/>
            <w:vAlign w:val="bottom"/>
            <w:gridSpan w:val="2"/>
            <w:shd w:val="clear" w:color="auto" w:fill="005CB9"/>
          </w:tcPr>
          <w:p>
            <w:pPr>
              <w:jc w:val="right"/>
              <w:ind w:right="106"/>
              <w:spacing w:after="0"/>
              <w:rPr>
                <w:sz w:val="20"/>
                <w:szCs w:val="20"/>
                <w:color w:val="auto"/>
              </w:rPr>
            </w:pPr>
            <w:r>
              <w:rPr>
                <w:rFonts w:ascii="Arial" w:cs="Arial" w:eastAsia="Arial" w:hAnsi="Arial"/>
                <w:sz w:val="14"/>
                <w:szCs w:val="14"/>
                <w:color w:val="FFFFFF"/>
              </w:rPr>
              <w:t>Unexercised</w:t>
            </w:r>
          </w:p>
        </w:tc>
        <w:tc>
          <w:tcPr>
            <w:tcW w:w="7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Option</w:t>
            </w:r>
          </w:p>
        </w:tc>
        <w:tc>
          <w:tcPr>
            <w:tcW w:w="8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Option</w:t>
            </w: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That Have</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That Have</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Rights That</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Other Rights that</w:t>
            </w:r>
          </w:p>
        </w:tc>
      </w:tr>
      <w:tr>
        <w:trPr>
          <w:trHeight w:val="162"/>
        </w:trPr>
        <w:tc>
          <w:tcPr>
            <w:tcW w:w="3160" w:type="dxa"/>
            <w:vAlign w:val="bottom"/>
            <w:shd w:val="clear" w:color="auto" w:fill="005CB9"/>
          </w:tcPr>
          <w:p>
            <w:pPr>
              <w:spacing w:after="0"/>
              <w:rPr>
                <w:sz w:val="14"/>
                <w:szCs w:val="14"/>
                <w:color w:val="auto"/>
              </w:rPr>
            </w:pPr>
          </w:p>
        </w:tc>
        <w:tc>
          <w:tcPr>
            <w:tcW w:w="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Options#</w:t>
            </w:r>
          </w:p>
        </w:tc>
        <w:tc>
          <w:tcPr>
            <w:tcW w:w="1160" w:type="dxa"/>
            <w:vAlign w:val="bottom"/>
            <w:gridSpan w:val="2"/>
            <w:shd w:val="clear" w:color="auto" w:fill="005CB9"/>
          </w:tcPr>
          <w:p>
            <w:pPr>
              <w:jc w:val="right"/>
              <w:ind w:right="106"/>
              <w:spacing w:after="0"/>
              <w:rPr>
                <w:sz w:val="20"/>
                <w:szCs w:val="20"/>
                <w:color w:val="auto"/>
              </w:rPr>
            </w:pPr>
            <w:r>
              <w:rPr>
                <w:rFonts w:ascii="Arial" w:cs="Arial" w:eastAsia="Arial" w:hAnsi="Arial"/>
                <w:sz w:val="14"/>
                <w:szCs w:val="14"/>
                <w:color w:val="FFFFFF"/>
              </w:rPr>
              <w:t>Options(#)</w:t>
            </w:r>
          </w:p>
        </w:tc>
        <w:tc>
          <w:tcPr>
            <w:tcW w:w="7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Exercise</w:t>
            </w:r>
          </w:p>
        </w:tc>
        <w:tc>
          <w:tcPr>
            <w:tcW w:w="8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Expiration</w:t>
            </w: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Not</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Not Vested</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Have Not</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Have Not Vested</w:t>
            </w:r>
          </w:p>
        </w:tc>
      </w:tr>
      <w:tr>
        <w:trPr>
          <w:trHeight w:val="185"/>
        </w:trPr>
        <w:tc>
          <w:tcPr>
            <w:tcW w:w="316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9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Exercisable</w:t>
            </w:r>
          </w:p>
        </w:tc>
        <w:tc>
          <w:tcPr>
            <w:tcW w:w="1160" w:type="dxa"/>
            <w:vAlign w:val="bottom"/>
            <w:gridSpan w:val="2"/>
            <w:shd w:val="clear" w:color="auto" w:fill="005CB9"/>
          </w:tcPr>
          <w:p>
            <w:pPr>
              <w:jc w:val="right"/>
              <w:ind w:right="106"/>
              <w:spacing w:after="0"/>
              <w:rPr>
                <w:sz w:val="20"/>
                <w:szCs w:val="20"/>
                <w:color w:val="auto"/>
              </w:rPr>
            </w:pPr>
            <w:r>
              <w:rPr>
                <w:rFonts w:ascii="Arial" w:cs="Arial" w:eastAsia="Arial" w:hAnsi="Arial"/>
                <w:sz w:val="14"/>
                <w:szCs w:val="14"/>
                <w:color w:val="FFFFFF"/>
              </w:rPr>
              <w:t>Unexercisable</w:t>
            </w:r>
          </w:p>
        </w:tc>
        <w:tc>
          <w:tcPr>
            <w:tcW w:w="700" w:type="dxa"/>
            <w:vAlign w:val="bottom"/>
            <w:shd w:val="clear" w:color="auto" w:fill="005CB9"/>
          </w:tcPr>
          <w:p>
            <w:pPr>
              <w:jc w:val="right"/>
              <w:ind w:right="28"/>
              <w:spacing w:after="0"/>
              <w:rPr>
                <w:sz w:val="20"/>
                <w:szCs w:val="20"/>
                <w:color w:val="auto"/>
              </w:rPr>
            </w:pPr>
            <w:r>
              <w:rPr>
                <w:rFonts w:ascii="Arial" w:cs="Arial" w:eastAsia="Arial" w:hAnsi="Arial"/>
                <w:sz w:val="14"/>
                <w:szCs w:val="14"/>
                <w:color w:val="FFFFFF"/>
              </w:rPr>
              <w:t>Price ($)</w:t>
            </w:r>
          </w:p>
        </w:tc>
        <w:tc>
          <w:tcPr>
            <w:tcW w:w="86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Date</w:t>
            </w:r>
          </w:p>
        </w:tc>
        <w:tc>
          <w:tcPr>
            <w:tcW w:w="7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Vested(#)</w:t>
            </w:r>
          </w:p>
        </w:tc>
        <w:tc>
          <w:tcPr>
            <w:tcW w:w="82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w:t>
            </w:r>
          </w:p>
        </w:tc>
        <w:tc>
          <w:tcPr>
            <w:tcW w:w="1340" w:type="dxa"/>
            <w:vAlign w:val="bottom"/>
            <w:shd w:val="clear" w:color="auto" w:fill="005CB9"/>
          </w:tcPr>
          <w:p>
            <w:pPr>
              <w:jc w:val="right"/>
              <w:ind w:right="313"/>
              <w:spacing w:after="0"/>
              <w:rPr>
                <w:sz w:val="20"/>
                <w:szCs w:val="20"/>
                <w:color w:val="auto"/>
              </w:rPr>
            </w:pPr>
            <w:r>
              <w:rPr>
                <w:rFonts w:ascii="Arial" w:cs="Arial" w:eastAsia="Arial" w:hAnsi="Arial"/>
                <w:sz w:val="14"/>
                <w:szCs w:val="14"/>
                <w:color w:val="FFFFFF"/>
              </w:rPr>
              <w:t>Vested(#)</w:t>
            </w:r>
          </w:p>
        </w:tc>
        <w:tc>
          <w:tcPr>
            <w:tcW w:w="1280" w:type="dxa"/>
            <w:vAlign w:val="bottom"/>
            <w:shd w:val="clear" w:color="auto" w:fill="005CB9"/>
          </w:tcPr>
          <w:p>
            <w:pPr>
              <w:jc w:val="right"/>
              <w:ind w:right="8"/>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p>
        </w:tc>
      </w:tr>
      <w:tr>
        <w:trPr>
          <w:trHeight w:val="208"/>
        </w:trPr>
        <w:tc>
          <w:tcPr>
            <w:tcW w:w="3160" w:type="dxa"/>
            <w:vAlign w:val="bottom"/>
            <w:shd w:val="clear" w:color="auto" w:fill="E5EEF8"/>
          </w:tcPr>
          <w:p>
            <w:pPr>
              <w:spacing w:after="0"/>
              <w:rPr>
                <w:sz w:val="20"/>
                <w:szCs w:val="20"/>
                <w:color w:val="auto"/>
              </w:rPr>
            </w:pPr>
            <w:r>
              <w:rPr>
                <w:rFonts w:ascii="Arial" w:cs="Arial" w:eastAsia="Arial" w:hAnsi="Arial"/>
                <w:sz w:val="14"/>
                <w:szCs w:val="14"/>
                <w:color w:val="auto"/>
              </w:rPr>
              <w:t> L. Neil Hunn</w:t>
            </w: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156.40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11/17/2024</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30,000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185.75</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11/17/2025</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40,000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185.42</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01/19/2027</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60,000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275.69</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60,000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270.30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57,068</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372.60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24"/>
        </w:trPr>
        <w:tc>
          <w:tcPr>
            <w:tcW w:w="3160" w:type="dxa"/>
            <w:vAlign w:val="bottom"/>
            <w:shd w:val="clear" w:color="auto" w:fill="E5EEF8"/>
          </w:tcPr>
          <w:p>
            <w:pPr>
              <w:spacing w:after="0"/>
              <w:rPr>
                <w:sz w:val="19"/>
                <w:szCs w:val="19"/>
                <w:color w:val="auto"/>
              </w:rPr>
            </w:pPr>
          </w:p>
        </w:tc>
        <w:tc>
          <w:tcPr>
            <w:tcW w:w="920" w:type="dxa"/>
            <w:vAlign w:val="bottom"/>
            <w:shd w:val="clear" w:color="auto" w:fill="E5EEF8"/>
          </w:tcPr>
          <w:p>
            <w:pPr>
              <w:spacing w:after="0"/>
              <w:rPr>
                <w:sz w:val="19"/>
                <w:szCs w:val="19"/>
                <w:color w:val="auto"/>
              </w:rPr>
            </w:pPr>
          </w:p>
        </w:tc>
        <w:tc>
          <w:tcPr>
            <w:tcW w:w="1160" w:type="dxa"/>
            <w:vAlign w:val="bottom"/>
            <w:gridSpan w:val="2"/>
            <w:shd w:val="clear" w:color="auto" w:fill="E5EEF8"/>
          </w:tcPr>
          <w:p>
            <w:pPr>
              <w:jc w:val="right"/>
              <w:spacing w:after="0" w:line="224" w:lineRule="exact"/>
              <w:rPr>
                <w:sz w:val="20"/>
                <w:szCs w:val="20"/>
                <w:color w:val="auto"/>
              </w:rPr>
            </w:pPr>
            <w:r>
              <w:rPr>
                <w:rFonts w:ascii="Arial" w:cs="Arial" w:eastAsia="Arial" w:hAnsi="Arial"/>
                <w:sz w:val="14"/>
                <w:szCs w:val="14"/>
                <w:color w:val="auto"/>
              </w:rPr>
              <w:t>47,432</w:t>
            </w:r>
            <w:r>
              <w:rPr>
                <w:rFonts w:ascii="Arial" w:cs="Arial" w:eastAsia="Arial" w:hAnsi="Arial"/>
                <w:sz w:val="21"/>
                <w:szCs w:val="21"/>
                <w:color w:val="auto"/>
                <w:vertAlign w:val="superscript"/>
              </w:rPr>
              <w:t>(2)</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413.15</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01/13/2031</w:t>
            </w:r>
          </w:p>
        </w:tc>
        <w:tc>
          <w:tcPr>
            <w:tcW w:w="780" w:type="dxa"/>
            <w:vAlign w:val="bottom"/>
            <w:shd w:val="clear" w:color="auto" w:fill="E5EEF8"/>
          </w:tcPr>
          <w:p>
            <w:pPr>
              <w:spacing w:after="0"/>
              <w:rPr>
                <w:sz w:val="19"/>
                <w:szCs w:val="19"/>
                <w:color w:val="auto"/>
              </w:rPr>
            </w:pPr>
          </w:p>
        </w:tc>
        <w:tc>
          <w:tcPr>
            <w:tcW w:w="820" w:type="dxa"/>
            <w:vAlign w:val="bottom"/>
            <w:shd w:val="clear" w:color="auto" w:fill="E5EEF8"/>
          </w:tcPr>
          <w:p>
            <w:pPr>
              <w:spacing w:after="0"/>
              <w:rPr>
                <w:sz w:val="19"/>
                <w:szCs w:val="19"/>
                <w:color w:val="auto"/>
              </w:rPr>
            </w:pPr>
          </w:p>
        </w:tc>
        <w:tc>
          <w:tcPr>
            <w:tcW w:w="1340" w:type="dxa"/>
            <w:vAlign w:val="bottom"/>
            <w:shd w:val="clear" w:color="auto" w:fill="E5EEF8"/>
          </w:tcPr>
          <w:p>
            <w:pPr>
              <w:spacing w:after="0"/>
              <w:rPr>
                <w:sz w:val="19"/>
                <w:szCs w:val="19"/>
                <w:color w:val="auto"/>
              </w:rPr>
            </w:pPr>
          </w:p>
        </w:tc>
        <w:tc>
          <w:tcPr>
            <w:tcW w:w="1280" w:type="dxa"/>
            <w:vAlign w:val="bottom"/>
            <w:shd w:val="clear" w:color="auto" w:fill="E5EEF8"/>
          </w:tcPr>
          <w:p>
            <w:pPr>
              <w:spacing w:after="0"/>
              <w:rPr>
                <w:sz w:val="19"/>
                <w:szCs w:val="19"/>
                <w:color w:val="auto"/>
              </w:rPr>
            </w:pPr>
          </w:p>
        </w:tc>
      </w:tr>
      <w:tr>
        <w:trPr>
          <w:trHeight w:val="208"/>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10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41,044</w:t>
            </w:r>
          </w:p>
        </w:tc>
        <w:tc>
          <w:tcPr>
            <w:tcW w:w="160" w:type="dxa"/>
            <w:vAlign w:val="bottom"/>
            <w:shd w:val="clear" w:color="auto" w:fill="E5EEF8"/>
          </w:tcPr>
          <w:p>
            <w:pPr>
              <w:jc w:val="right"/>
              <w:spacing w:after="0"/>
              <w:rPr>
                <w:sz w:val="20"/>
                <w:szCs w:val="20"/>
                <w:color w:val="auto"/>
              </w:rPr>
            </w:pPr>
            <w:r>
              <w:rPr>
                <w:rFonts w:ascii="Arial" w:cs="Arial" w:eastAsia="Arial" w:hAnsi="Arial"/>
                <w:sz w:val="11"/>
                <w:szCs w:val="11"/>
                <w:color w:val="auto"/>
                <w:w w:val="74"/>
              </w:rPr>
              <w:t>(3)</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464.52</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01/12/2032</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1000" w:type="dxa"/>
            <w:vAlign w:val="bottom"/>
            <w:shd w:val="clear" w:color="auto" w:fill="E5EEF8"/>
          </w:tcPr>
          <w:p>
            <w:pPr>
              <w:jc w:val="right"/>
              <w:spacing w:after="0"/>
              <w:rPr>
                <w:sz w:val="20"/>
                <w:szCs w:val="20"/>
                <w:color w:val="auto"/>
              </w:rPr>
            </w:pPr>
            <w:r>
              <w:rPr>
                <w:rFonts w:ascii="Arial" w:cs="Arial" w:eastAsia="Arial" w:hAnsi="Arial"/>
                <w:sz w:val="14"/>
                <w:szCs w:val="14"/>
                <w:color w:val="auto"/>
              </w:rPr>
              <w:t>35,928</w:t>
            </w:r>
          </w:p>
        </w:tc>
        <w:tc>
          <w:tcPr>
            <w:tcW w:w="160" w:type="dxa"/>
            <w:vAlign w:val="bottom"/>
            <w:shd w:val="clear" w:color="auto" w:fill="E5EEF8"/>
          </w:tcPr>
          <w:p>
            <w:pPr>
              <w:jc w:val="right"/>
              <w:spacing w:after="0"/>
              <w:rPr>
                <w:sz w:val="20"/>
                <w:szCs w:val="20"/>
                <w:color w:val="auto"/>
              </w:rPr>
            </w:pPr>
            <w:r>
              <w:rPr>
                <w:rFonts w:ascii="Arial" w:cs="Arial" w:eastAsia="Arial" w:hAnsi="Arial"/>
                <w:sz w:val="11"/>
                <w:szCs w:val="11"/>
                <w:color w:val="auto"/>
                <w:w w:val="74"/>
              </w:rPr>
              <w:t>(4)</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428.07</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03/14/2033</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24"/>
        </w:trPr>
        <w:tc>
          <w:tcPr>
            <w:tcW w:w="3160" w:type="dxa"/>
            <w:vAlign w:val="bottom"/>
            <w:shd w:val="clear" w:color="auto" w:fill="E5EEF8"/>
          </w:tcPr>
          <w:p>
            <w:pPr>
              <w:spacing w:after="0"/>
              <w:rPr>
                <w:sz w:val="19"/>
                <w:szCs w:val="19"/>
                <w:color w:val="auto"/>
              </w:rPr>
            </w:pPr>
          </w:p>
        </w:tc>
        <w:tc>
          <w:tcPr>
            <w:tcW w:w="920" w:type="dxa"/>
            <w:vAlign w:val="bottom"/>
            <w:shd w:val="clear" w:color="auto" w:fill="E5EEF8"/>
          </w:tcPr>
          <w:p>
            <w:pPr>
              <w:spacing w:after="0"/>
              <w:rPr>
                <w:sz w:val="19"/>
                <w:szCs w:val="19"/>
                <w:color w:val="auto"/>
              </w:rPr>
            </w:pPr>
          </w:p>
        </w:tc>
        <w:tc>
          <w:tcPr>
            <w:tcW w:w="1000" w:type="dxa"/>
            <w:vAlign w:val="bottom"/>
            <w:shd w:val="clear" w:color="auto" w:fill="E5EEF8"/>
          </w:tcPr>
          <w:p>
            <w:pPr>
              <w:spacing w:after="0"/>
              <w:rPr>
                <w:sz w:val="19"/>
                <w:szCs w:val="19"/>
                <w:color w:val="auto"/>
              </w:rPr>
            </w:pPr>
          </w:p>
        </w:tc>
        <w:tc>
          <w:tcPr>
            <w:tcW w:w="160" w:type="dxa"/>
            <w:vAlign w:val="bottom"/>
            <w:shd w:val="clear" w:color="auto" w:fill="E5EEF8"/>
          </w:tcPr>
          <w:p>
            <w:pPr>
              <w:spacing w:after="0"/>
              <w:rPr>
                <w:sz w:val="19"/>
                <w:szCs w:val="19"/>
                <w:color w:val="auto"/>
              </w:rPr>
            </w:pPr>
          </w:p>
        </w:tc>
        <w:tc>
          <w:tcPr>
            <w:tcW w:w="700" w:type="dxa"/>
            <w:vAlign w:val="bottom"/>
            <w:shd w:val="clear" w:color="auto" w:fill="E5EEF8"/>
          </w:tcPr>
          <w:p>
            <w:pPr>
              <w:spacing w:after="0"/>
              <w:rPr>
                <w:sz w:val="19"/>
                <w:szCs w:val="19"/>
                <w:color w:val="auto"/>
              </w:rPr>
            </w:pPr>
          </w:p>
        </w:tc>
        <w:tc>
          <w:tcPr>
            <w:tcW w:w="860" w:type="dxa"/>
            <w:vAlign w:val="bottom"/>
            <w:shd w:val="clear" w:color="auto" w:fill="E5EEF8"/>
          </w:tcPr>
          <w:p>
            <w:pPr>
              <w:spacing w:after="0"/>
              <w:rPr>
                <w:sz w:val="19"/>
                <w:szCs w:val="19"/>
                <w:color w:val="auto"/>
              </w:rPr>
            </w:pPr>
          </w:p>
        </w:tc>
        <w:tc>
          <w:tcPr>
            <w:tcW w:w="780" w:type="dxa"/>
            <w:vAlign w:val="bottom"/>
            <w:shd w:val="clear" w:color="auto" w:fill="E5EEF8"/>
          </w:tcPr>
          <w:p>
            <w:pPr>
              <w:spacing w:after="0"/>
              <w:rPr>
                <w:sz w:val="19"/>
                <w:szCs w:val="19"/>
                <w:color w:val="auto"/>
              </w:rPr>
            </w:pPr>
          </w:p>
        </w:tc>
        <w:tc>
          <w:tcPr>
            <w:tcW w:w="820" w:type="dxa"/>
            <w:vAlign w:val="bottom"/>
            <w:shd w:val="clear" w:color="auto" w:fill="E5EEF8"/>
          </w:tcPr>
          <w:p>
            <w:pPr>
              <w:spacing w:after="0"/>
              <w:rPr>
                <w:sz w:val="19"/>
                <w:szCs w:val="19"/>
                <w:color w:val="auto"/>
              </w:rPr>
            </w:pPr>
          </w:p>
        </w:tc>
        <w:tc>
          <w:tcPr>
            <w:tcW w:w="1340" w:type="dxa"/>
            <w:vAlign w:val="bottom"/>
            <w:shd w:val="clear" w:color="auto" w:fill="E5EEF8"/>
          </w:tcPr>
          <w:p>
            <w:pPr>
              <w:jc w:val="right"/>
              <w:spacing w:after="0" w:line="224" w:lineRule="exact"/>
              <w:rPr>
                <w:sz w:val="20"/>
                <w:szCs w:val="20"/>
                <w:color w:val="auto"/>
              </w:rPr>
            </w:pPr>
            <w:r>
              <w:rPr>
                <w:rFonts w:ascii="Arial" w:cs="Arial" w:eastAsia="Arial" w:hAnsi="Arial"/>
                <w:sz w:val="25"/>
                <w:szCs w:val="25"/>
                <w:color w:val="auto"/>
                <w:vertAlign w:val="subscript"/>
              </w:rPr>
              <w:t>62,068</w:t>
            </w:r>
            <w:r>
              <w:rPr>
                <w:rFonts w:ascii="Arial" w:cs="Arial" w:eastAsia="Arial" w:hAnsi="Arial"/>
                <w:sz w:val="10"/>
                <w:szCs w:val="10"/>
                <w:color w:val="auto"/>
              </w:rPr>
              <w:t>(6)(10)</w:t>
            </w:r>
          </w:p>
        </w:tc>
        <w:tc>
          <w:tcPr>
            <w:tcW w:w="128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33,837,612</w:t>
            </w:r>
          </w:p>
        </w:tc>
      </w:tr>
      <w:tr>
        <w:trPr>
          <w:trHeight w:val="208"/>
        </w:trPr>
        <w:tc>
          <w:tcPr>
            <w:tcW w:w="3160" w:type="dxa"/>
            <w:vAlign w:val="bottom"/>
          </w:tcPr>
          <w:p>
            <w:pPr>
              <w:spacing w:after="0"/>
              <w:rPr>
                <w:sz w:val="20"/>
                <w:szCs w:val="20"/>
                <w:color w:val="auto"/>
              </w:rPr>
            </w:pPr>
            <w:r>
              <w:rPr>
                <w:rFonts w:ascii="Arial" w:cs="Arial" w:eastAsia="Arial" w:hAnsi="Arial"/>
                <w:sz w:val="14"/>
                <w:szCs w:val="14"/>
                <w:color w:val="auto"/>
              </w:rPr>
              <w:t> Jason P. Conley</w:t>
            </w:r>
          </w:p>
        </w:tc>
        <w:tc>
          <w:tcPr>
            <w:tcW w:w="920" w:type="dxa"/>
            <w:vAlign w:val="bottom"/>
          </w:tcPr>
          <w:p>
            <w:pPr>
              <w:jc w:val="right"/>
              <w:spacing w:after="0"/>
              <w:rPr>
                <w:sz w:val="20"/>
                <w:szCs w:val="20"/>
                <w:color w:val="auto"/>
              </w:rPr>
            </w:pPr>
            <w:r>
              <w:rPr>
                <w:rFonts w:ascii="Arial" w:cs="Arial" w:eastAsia="Arial" w:hAnsi="Arial"/>
                <w:sz w:val="14"/>
                <w:szCs w:val="14"/>
                <w:color w:val="auto"/>
              </w:rPr>
              <w:t>6,000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165.97</w:t>
            </w:r>
          </w:p>
        </w:tc>
        <w:tc>
          <w:tcPr>
            <w:tcW w:w="860" w:type="dxa"/>
            <w:vAlign w:val="bottom"/>
          </w:tcPr>
          <w:p>
            <w:pPr>
              <w:jc w:val="right"/>
              <w:spacing w:after="0"/>
              <w:rPr>
                <w:sz w:val="20"/>
                <w:szCs w:val="20"/>
                <w:color w:val="auto"/>
              </w:rPr>
            </w:pPr>
            <w:r>
              <w:rPr>
                <w:rFonts w:ascii="Arial" w:cs="Arial" w:eastAsia="Arial" w:hAnsi="Arial"/>
                <w:sz w:val="14"/>
                <w:szCs w:val="14"/>
                <w:color w:val="auto"/>
              </w:rPr>
              <w:t>03/11/2025</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170.61</w:t>
            </w:r>
          </w:p>
        </w:tc>
        <w:tc>
          <w:tcPr>
            <w:tcW w:w="860" w:type="dxa"/>
            <w:vAlign w:val="bottom"/>
          </w:tcPr>
          <w:p>
            <w:pPr>
              <w:jc w:val="right"/>
              <w:spacing w:after="0"/>
              <w:rPr>
                <w:sz w:val="20"/>
                <w:szCs w:val="20"/>
                <w:color w:val="auto"/>
              </w:rPr>
            </w:pPr>
            <w:r>
              <w:rPr>
                <w:rFonts w:ascii="Arial" w:cs="Arial" w:eastAsia="Arial" w:hAnsi="Arial"/>
                <w:sz w:val="14"/>
                <w:szCs w:val="14"/>
                <w:color w:val="auto"/>
              </w:rPr>
              <w:t>03/09/2026</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185.42</w:t>
            </w:r>
          </w:p>
        </w:tc>
        <w:tc>
          <w:tcPr>
            <w:tcW w:w="860" w:type="dxa"/>
            <w:vAlign w:val="bottom"/>
          </w:tcPr>
          <w:p>
            <w:pPr>
              <w:jc w:val="right"/>
              <w:spacing w:after="0"/>
              <w:rPr>
                <w:sz w:val="20"/>
                <w:szCs w:val="20"/>
                <w:color w:val="auto"/>
              </w:rPr>
            </w:pPr>
            <w:r>
              <w:rPr>
                <w:rFonts w:ascii="Arial" w:cs="Arial" w:eastAsia="Arial" w:hAnsi="Arial"/>
                <w:sz w:val="14"/>
                <w:szCs w:val="14"/>
                <w:color w:val="auto"/>
              </w:rPr>
              <w:t>01/19/2027</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12,000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275.69</w:t>
            </w:r>
          </w:p>
        </w:tc>
        <w:tc>
          <w:tcPr>
            <w:tcW w:w="860" w:type="dxa"/>
            <w:vAlign w:val="bottom"/>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270.30</w:t>
            </w:r>
          </w:p>
        </w:tc>
        <w:tc>
          <w:tcPr>
            <w:tcW w:w="860" w:type="dxa"/>
            <w:vAlign w:val="bottom"/>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11,078</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372.60</w:t>
            </w:r>
          </w:p>
        </w:tc>
        <w:tc>
          <w:tcPr>
            <w:tcW w:w="860" w:type="dxa"/>
            <w:vAlign w:val="bottom"/>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4"/>
        </w:trPr>
        <w:tc>
          <w:tcPr>
            <w:tcW w:w="3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4,555</w:t>
            </w:r>
          </w:p>
        </w:tc>
        <w:tc>
          <w:tcPr>
            <w:tcW w:w="1160" w:type="dxa"/>
            <w:vAlign w:val="bottom"/>
            <w:gridSpan w:val="2"/>
          </w:tcPr>
          <w:p>
            <w:pPr>
              <w:jc w:val="right"/>
              <w:spacing w:after="0" w:line="224" w:lineRule="exact"/>
              <w:rPr>
                <w:sz w:val="20"/>
                <w:szCs w:val="20"/>
                <w:color w:val="auto"/>
              </w:rPr>
            </w:pPr>
            <w:r>
              <w:rPr>
                <w:rFonts w:ascii="Arial" w:cs="Arial" w:eastAsia="Arial" w:hAnsi="Arial"/>
                <w:sz w:val="14"/>
                <w:szCs w:val="14"/>
                <w:color w:val="auto"/>
              </w:rPr>
              <w:t>4,556</w:t>
            </w:r>
            <w:r>
              <w:rPr>
                <w:rFonts w:ascii="Arial" w:cs="Arial" w:eastAsia="Arial" w:hAnsi="Arial"/>
                <w:sz w:val="21"/>
                <w:szCs w:val="21"/>
                <w:color w:val="auto"/>
                <w:vertAlign w:val="superscript"/>
              </w:rPr>
              <w:t>(5)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413.15</w:t>
            </w:r>
          </w:p>
        </w:tc>
        <w:tc>
          <w:tcPr>
            <w:tcW w:w="860" w:type="dxa"/>
            <w:vAlign w:val="bottom"/>
          </w:tcPr>
          <w:p>
            <w:pPr>
              <w:jc w:val="right"/>
              <w:spacing w:after="0"/>
              <w:rPr>
                <w:sz w:val="20"/>
                <w:szCs w:val="20"/>
                <w:color w:val="auto"/>
              </w:rPr>
            </w:pPr>
            <w:r>
              <w:rPr>
                <w:rFonts w:ascii="Arial" w:cs="Arial" w:eastAsia="Arial" w:hAnsi="Arial"/>
                <w:sz w:val="14"/>
                <w:szCs w:val="14"/>
                <w:color w:val="auto"/>
              </w:rPr>
              <w:t>01/13/2031</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7,753</w:t>
            </w:r>
            <w:r>
              <w:rPr>
                <w:rFonts w:ascii="Arial" w:cs="Arial" w:eastAsia="Arial" w:hAnsi="Arial"/>
                <w:sz w:val="21"/>
                <w:szCs w:val="21"/>
                <w:color w:val="auto"/>
                <w:vertAlign w:val="superscript"/>
              </w:rPr>
              <w:t>(3)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464.52</w:t>
            </w:r>
          </w:p>
        </w:tc>
        <w:tc>
          <w:tcPr>
            <w:tcW w:w="860" w:type="dxa"/>
            <w:vAlign w:val="bottom"/>
          </w:tcPr>
          <w:p>
            <w:pPr>
              <w:jc w:val="right"/>
              <w:spacing w:after="0"/>
              <w:rPr>
                <w:sz w:val="20"/>
                <w:szCs w:val="20"/>
                <w:color w:val="auto"/>
              </w:rPr>
            </w:pPr>
            <w:r>
              <w:rPr>
                <w:rFonts w:ascii="Arial" w:cs="Arial" w:eastAsia="Arial" w:hAnsi="Arial"/>
                <w:sz w:val="14"/>
                <w:szCs w:val="14"/>
                <w:color w:val="auto"/>
              </w:rPr>
              <w:t>01/12/2032</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9,696</w:t>
            </w:r>
            <w:r>
              <w:rPr>
                <w:rFonts w:ascii="Arial" w:cs="Arial" w:eastAsia="Arial" w:hAnsi="Arial"/>
                <w:sz w:val="21"/>
                <w:szCs w:val="21"/>
                <w:color w:val="auto"/>
                <w:vertAlign w:val="superscript"/>
              </w:rPr>
              <w:t>(4)</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428.07</w:t>
            </w:r>
          </w:p>
        </w:tc>
        <w:tc>
          <w:tcPr>
            <w:tcW w:w="860" w:type="dxa"/>
            <w:vAlign w:val="bottom"/>
          </w:tcPr>
          <w:p>
            <w:pPr>
              <w:jc w:val="right"/>
              <w:spacing w:after="0"/>
              <w:rPr>
                <w:sz w:val="20"/>
                <w:szCs w:val="20"/>
                <w:color w:val="auto"/>
              </w:rPr>
            </w:pPr>
            <w:r>
              <w:rPr>
                <w:rFonts w:ascii="Arial" w:cs="Arial" w:eastAsia="Arial" w:hAnsi="Arial"/>
                <w:sz w:val="14"/>
                <w:szCs w:val="14"/>
                <w:color w:val="auto"/>
              </w:rPr>
              <w:t>03/14/2033</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jc w:val="right"/>
              <w:spacing w:after="0" w:line="216" w:lineRule="exact"/>
              <w:rPr>
                <w:sz w:val="20"/>
                <w:szCs w:val="20"/>
                <w:color w:val="auto"/>
              </w:rPr>
            </w:pPr>
            <w:r>
              <w:rPr>
                <w:rFonts w:ascii="Arial" w:cs="Arial" w:eastAsia="Arial" w:hAnsi="Arial"/>
                <w:sz w:val="25"/>
                <w:szCs w:val="25"/>
                <w:color w:val="auto"/>
                <w:vertAlign w:val="subscript"/>
              </w:rPr>
              <w:t>14,422</w:t>
            </w:r>
            <w:r>
              <w:rPr>
                <w:rFonts w:ascii="Arial" w:cs="Arial" w:eastAsia="Arial" w:hAnsi="Arial"/>
                <w:sz w:val="10"/>
                <w:szCs w:val="10"/>
                <w:color w:val="auto"/>
              </w:rPr>
              <w:t>(7)(10)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7,862,442</w:t>
            </w:r>
          </w:p>
        </w:tc>
      </w:tr>
      <w:tr>
        <w:trPr>
          <w:trHeight w:val="208"/>
        </w:trPr>
        <w:tc>
          <w:tcPr>
            <w:tcW w:w="3160" w:type="dxa"/>
            <w:vAlign w:val="bottom"/>
            <w:shd w:val="clear" w:color="auto" w:fill="E5EEF8"/>
          </w:tcPr>
          <w:p>
            <w:pPr>
              <w:spacing w:after="0"/>
              <w:rPr>
                <w:sz w:val="20"/>
                <w:szCs w:val="20"/>
                <w:color w:val="auto"/>
              </w:rPr>
            </w:pPr>
            <w:r>
              <w:rPr>
                <w:rFonts w:ascii="Arial" w:cs="Arial" w:eastAsia="Arial" w:hAnsi="Arial"/>
                <w:sz w:val="14"/>
                <w:szCs w:val="14"/>
                <w:color w:val="auto"/>
              </w:rPr>
              <w:t> John K. Stipancich</w:t>
            </w: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4,500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228.84</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06/09/2027</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15,000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275.69</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01/19/2028</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15,000</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270.30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11,414</w:t>
            </w:r>
          </w:p>
        </w:tc>
        <w:tc>
          <w:tcPr>
            <w:tcW w:w="1000" w:type="dxa"/>
            <w:vAlign w:val="bottom"/>
            <w:shd w:val="clear" w:color="auto" w:fill="E5EEF8"/>
          </w:tcPr>
          <w:p>
            <w:pPr>
              <w:spacing w:after="0"/>
              <w:rPr>
                <w:sz w:val="18"/>
                <w:szCs w:val="18"/>
                <w:color w:val="auto"/>
              </w:rPr>
            </w:pPr>
          </w:p>
        </w:tc>
        <w:tc>
          <w:tcPr>
            <w:tcW w:w="160" w:type="dxa"/>
            <w:vAlign w:val="bottom"/>
            <w:shd w:val="clear" w:color="auto" w:fill="E5EEF8"/>
          </w:tcPr>
          <w:p>
            <w:pPr>
              <w:spacing w:after="0"/>
              <w:rPr>
                <w:sz w:val="18"/>
                <w:szCs w:val="18"/>
                <w:color w:val="auto"/>
              </w:rPr>
            </w:pP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372.60</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24"/>
        </w:trPr>
        <w:tc>
          <w:tcPr>
            <w:tcW w:w="3160" w:type="dxa"/>
            <w:vAlign w:val="bottom"/>
            <w:shd w:val="clear" w:color="auto" w:fill="E5EEF8"/>
          </w:tcPr>
          <w:p>
            <w:pPr>
              <w:spacing w:after="0"/>
              <w:rPr>
                <w:sz w:val="19"/>
                <w:szCs w:val="19"/>
                <w:color w:val="auto"/>
              </w:rPr>
            </w:pPr>
          </w:p>
        </w:tc>
        <w:tc>
          <w:tcPr>
            <w:tcW w:w="920" w:type="dxa"/>
            <w:vAlign w:val="bottom"/>
            <w:shd w:val="clear" w:color="auto" w:fill="E5EEF8"/>
          </w:tcPr>
          <w:p>
            <w:pPr>
              <w:jc w:val="right"/>
              <w:spacing w:after="0"/>
              <w:rPr>
                <w:sz w:val="20"/>
                <w:szCs w:val="20"/>
                <w:color w:val="auto"/>
              </w:rPr>
            </w:pPr>
            <w:r>
              <w:rPr>
                <w:rFonts w:ascii="Arial" w:cs="Arial" w:eastAsia="Arial" w:hAnsi="Arial"/>
                <w:sz w:val="14"/>
                <w:szCs w:val="14"/>
                <w:color w:val="auto"/>
              </w:rPr>
              <w:t>4,823</w:t>
            </w:r>
          </w:p>
        </w:tc>
        <w:tc>
          <w:tcPr>
            <w:tcW w:w="1160" w:type="dxa"/>
            <w:vAlign w:val="bottom"/>
            <w:gridSpan w:val="2"/>
            <w:shd w:val="clear" w:color="auto" w:fill="E5EEF8"/>
          </w:tcPr>
          <w:p>
            <w:pPr>
              <w:jc w:val="right"/>
              <w:spacing w:after="0" w:line="224" w:lineRule="exact"/>
              <w:rPr>
                <w:sz w:val="20"/>
                <w:szCs w:val="20"/>
                <w:color w:val="auto"/>
              </w:rPr>
            </w:pPr>
            <w:r>
              <w:rPr>
                <w:rFonts w:ascii="Arial" w:cs="Arial" w:eastAsia="Arial" w:hAnsi="Arial"/>
                <w:sz w:val="14"/>
                <w:szCs w:val="14"/>
                <w:color w:val="auto"/>
              </w:rPr>
              <w:t>4,824</w:t>
            </w:r>
            <w:r>
              <w:rPr>
                <w:rFonts w:ascii="Arial" w:cs="Arial" w:eastAsia="Arial" w:hAnsi="Arial"/>
                <w:sz w:val="21"/>
                <w:szCs w:val="21"/>
                <w:color w:val="auto"/>
                <w:vertAlign w:val="superscript"/>
              </w:rPr>
              <w:t>(5)</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413.15</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01/13/2031</w:t>
            </w:r>
          </w:p>
        </w:tc>
        <w:tc>
          <w:tcPr>
            <w:tcW w:w="780" w:type="dxa"/>
            <w:vAlign w:val="bottom"/>
            <w:shd w:val="clear" w:color="auto" w:fill="E5EEF8"/>
          </w:tcPr>
          <w:p>
            <w:pPr>
              <w:spacing w:after="0"/>
              <w:rPr>
                <w:sz w:val="19"/>
                <w:szCs w:val="19"/>
                <w:color w:val="auto"/>
              </w:rPr>
            </w:pPr>
          </w:p>
        </w:tc>
        <w:tc>
          <w:tcPr>
            <w:tcW w:w="820" w:type="dxa"/>
            <w:vAlign w:val="bottom"/>
            <w:shd w:val="clear" w:color="auto" w:fill="E5EEF8"/>
          </w:tcPr>
          <w:p>
            <w:pPr>
              <w:spacing w:after="0"/>
              <w:rPr>
                <w:sz w:val="19"/>
                <w:szCs w:val="19"/>
                <w:color w:val="auto"/>
              </w:rPr>
            </w:pPr>
          </w:p>
        </w:tc>
        <w:tc>
          <w:tcPr>
            <w:tcW w:w="1340" w:type="dxa"/>
            <w:vAlign w:val="bottom"/>
            <w:shd w:val="clear" w:color="auto" w:fill="E5EEF8"/>
          </w:tcPr>
          <w:p>
            <w:pPr>
              <w:spacing w:after="0"/>
              <w:rPr>
                <w:sz w:val="19"/>
                <w:szCs w:val="19"/>
                <w:color w:val="auto"/>
              </w:rPr>
            </w:pPr>
          </w:p>
        </w:tc>
        <w:tc>
          <w:tcPr>
            <w:tcW w:w="1280" w:type="dxa"/>
            <w:vAlign w:val="bottom"/>
            <w:shd w:val="clear" w:color="auto" w:fill="E5EEF8"/>
          </w:tcPr>
          <w:p>
            <w:pPr>
              <w:spacing w:after="0"/>
              <w:rPr>
                <w:sz w:val="19"/>
                <w:szCs w:val="19"/>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1160" w:type="dxa"/>
            <w:vAlign w:val="bottom"/>
            <w:gridSpan w:val="2"/>
            <w:shd w:val="clear" w:color="auto" w:fill="E5EEF8"/>
          </w:tcPr>
          <w:p>
            <w:pPr>
              <w:jc w:val="right"/>
              <w:spacing w:after="0" w:line="216" w:lineRule="exact"/>
              <w:rPr>
                <w:sz w:val="20"/>
                <w:szCs w:val="20"/>
                <w:color w:val="auto"/>
              </w:rPr>
            </w:pPr>
            <w:r>
              <w:rPr>
                <w:rFonts w:ascii="Arial" w:cs="Arial" w:eastAsia="Arial" w:hAnsi="Arial"/>
                <w:sz w:val="14"/>
                <w:szCs w:val="14"/>
                <w:color w:val="auto"/>
              </w:rPr>
              <w:t>8,152</w:t>
            </w:r>
            <w:r>
              <w:rPr>
                <w:rFonts w:ascii="Arial" w:cs="Arial" w:eastAsia="Arial" w:hAnsi="Arial"/>
                <w:sz w:val="21"/>
                <w:szCs w:val="21"/>
                <w:color w:val="auto"/>
                <w:vertAlign w:val="superscript"/>
              </w:rPr>
              <w:t>(3)</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464.52</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01/12/2032</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spacing w:after="0"/>
              <w:rPr>
                <w:sz w:val="18"/>
                <w:szCs w:val="18"/>
                <w:color w:val="auto"/>
              </w:rPr>
            </w:pPr>
          </w:p>
        </w:tc>
        <w:tc>
          <w:tcPr>
            <w:tcW w:w="1280" w:type="dxa"/>
            <w:vAlign w:val="bottom"/>
            <w:shd w:val="clear" w:color="auto" w:fill="E5EEF8"/>
          </w:tcPr>
          <w:p>
            <w:pPr>
              <w:spacing w:after="0"/>
              <w:rPr>
                <w:sz w:val="18"/>
                <w:szCs w:val="18"/>
                <w:color w:val="auto"/>
              </w:rPr>
            </w:pPr>
          </w:p>
        </w:tc>
      </w:tr>
      <w:tr>
        <w:trPr>
          <w:trHeight w:val="216"/>
        </w:trPr>
        <w:tc>
          <w:tcPr>
            <w:tcW w:w="3160" w:type="dxa"/>
            <w:vAlign w:val="bottom"/>
            <w:shd w:val="clear" w:color="auto" w:fill="E5EEF8"/>
          </w:tcPr>
          <w:p>
            <w:pPr>
              <w:spacing w:after="0"/>
              <w:rPr>
                <w:sz w:val="18"/>
                <w:szCs w:val="18"/>
                <w:color w:val="auto"/>
              </w:rPr>
            </w:pPr>
          </w:p>
        </w:tc>
        <w:tc>
          <w:tcPr>
            <w:tcW w:w="920" w:type="dxa"/>
            <w:vAlign w:val="bottom"/>
            <w:shd w:val="clear" w:color="auto" w:fill="E5EEF8"/>
          </w:tcPr>
          <w:p>
            <w:pPr>
              <w:spacing w:after="0"/>
              <w:rPr>
                <w:sz w:val="18"/>
                <w:szCs w:val="18"/>
                <w:color w:val="auto"/>
              </w:rPr>
            </w:pPr>
          </w:p>
        </w:tc>
        <w:tc>
          <w:tcPr>
            <w:tcW w:w="1160" w:type="dxa"/>
            <w:vAlign w:val="bottom"/>
            <w:gridSpan w:val="2"/>
            <w:shd w:val="clear" w:color="auto" w:fill="E5EEF8"/>
          </w:tcPr>
          <w:p>
            <w:pPr>
              <w:jc w:val="right"/>
              <w:spacing w:after="0" w:line="216" w:lineRule="exact"/>
              <w:rPr>
                <w:sz w:val="20"/>
                <w:szCs w:val="20"/>
                <w:color w:val="auto"/>
              </w:rPr>
            </w:pPr>
            <w:r>
              <w:rPr>
                <w:rFonts w:ascii="Arial" w:cs="Arial" w:eastAsia="Arial" w:hAnsi="Arial"/>
                <w:sz w:val="14"/>
                <w:szCs w:val="14"/>
                <w:color w:val="auto"/>
              </w:rPr>
              <w:t>8,920</w:t>
            </w:r>
            <w:r>
              <w:rPr>
                <w:rFonts w:ascii="Arial" w:cs="Arial" w:eastAsia="Arial" w:hAnsi="Arial"/>
                <w:sz w:val="21"/>
                <w:szCs w:val="21"/>
                <w:color w:val="auto"/>
                <w:vertAlign w:val="superscript"/>
              </w:rPr>
              <w:t>(4)</w:t>
            </w:r>
          </w:p>
        </w:tc>
        <w:tc>
          <w:tcPr>
            <w:tcW w:w="700" w:type="dxa"/>
            <w:vAlign w:val="bottom"/>
            <w:shd w:val="clear" w:color="auto" w:fill="E5EEF8"/>
          </w:tcPr>
          <w:p>
            <w:pPr>
              <w:jc w:val="right"/>
              <w:ind w:right="28"/>
              <w:spacing w:after="0"/>
              <w:rPr>
                <w:sz w:val="20"/>
                <w:szCs w:val="20"/>
                <w:color w:val="auto"/>
              </w:rPr>
            </w:pPr>
            <w:r>
              <w:rPr>
                <w:rFonts w:ascii="Arial" w:cs="Arial" w:eastAsia="Arial" w:hAnsi="Arial"/>
                <w:sz w:val="14"/>
                <w:szCs w:val="14"/>
                <w:color w:val="auto"/>
              </w:rPr>
              <w:t>428.07</w:t>
            </w:r>
          </w:p>
        </w:tc>
        <w:tc>
          <w:tcPr>
            <w:tcW w:w="860" w:type="dxa"/>
            <w:vAlign w:val="bottom"/>
            <w:shd w:val="clear" w:color="auto" w:fill="E5EEF8"/>
          </w:tcPr>
          <w:p>
            <w:pPr>
              <w:jc w:val="right"/>
              <w:spacing w:after="0"/>
              <w:rPr>
                <w:sz w:val="20"/>
                <w:szCs w:val="20"/>
                <w:color w:val="auto"/>
              </w:rPr>
            </w:pPr>
            <w:r>
              <w:rPr>
                <w:rFonts w:ascii="Arial" w:cs="Arial" w:eastAsia="Arial" w:hAnsi="Arial"/>
                <w:sz w:val="14"/>
                <w:szCs w:val="14"/>
                <w:color w:val="auto"/>
              </w:rPr>
              <w:t>03/14/2033</w:t>
            </w:r>
          </w:p>
        </w:tc>
        <w:tc>
          <w:tcPr>
            <w:tcW w:w="780" w:type="dxa"/>
            <w:vAlign w:val="bottom"/>
            <w:shd w:val="clear" w:color="auto" w:fill="E5EEF8"/>
          </w:tcPr>
          <w:p>
            <w:pPr>
              <w:spacing w:after="0"/>
              <w:rPr>
                <w:sz w:val="18"/>
                <w:szCs w:val="18"/>
                <w:color w:val="auto"/>
              </w:rPr>
            </w:pPr>
          </w:p>
        </w:tc>
        <w:tc>
          <w:tcPr>
            <w:tcW w:w="820" w:type="dxa"/>
            <w:vAlign w:val="bottom"/>
            <w:shd w:val="clear" w:color="auto" w:fill="E5EEF8"/>
          </w:tcPr>
          <w:p>
            <w:pPr>
              <w:spacing w:after="0"/>
              <w:rPr>
                <w:sz w:val="18"/>
                <w:szCs w:val="18"/>
                <w:color w:val="auto"/>
              </w:rPr>
            </w:pPr>
          </w:p>
        </w:tc>
        <w:tc>
          <w:tcPr>
            <w:tcW w:w="1340" w:type="dxa"/>
            <w:vAlign w:val="bottom"/>
            <w:shd w:val="clear" w:color="auto" w:fill="E5EEF8"/>
          </w:tcPr>
          <w:p>
            <w:pPr>
              <w:jc w:val="right"/>
              <w:spacing w:after="0" w:line="216" w:lineRule="exact"/>
              <w:rPr>
                <w:sz w:val="20"/>
                <w:szCs w:val="20"/>
                <w:color w:val="auto"/>
              </w:rPr>
            </w:pPr>
            <w:r>
              <w:rPr>
                <w:rFonts w:ascii="Arial" w:cs="Arial" w:eastAsia="Arial" w:hAnsi="Arial"/>
                <w:sz w:val="25"/>
                <w:szCs w:val="25"/>
                <w:color w:val="auto"/>
                <w:vertAlign w:val="subscript"/>
              </w:rPr>
              <w:t>13,717</w:t>
            </w:r>
            <w:r>
              <w:rPr>
                <w:rFonts w:ascii="Arial" w:cs="Arial" w:eastAsia="Arial" w:hAnsi="Arial"/>
                <w:sz w:val="10"/>
                <w:szCs w:val="10"/>
                <w:color w:val="auto"/>
              </w:rPr>
              <w:t>(8)(10)</w:t>
            </w:r>
          </w:p>
        </w:tc>
        <w:tc>
          <w:tcPr>
            <w:tcW w:w="1280" w:type="dxa"/>
            <w:vAlign w:val="bottom"/>
            <w:shd w:val="clear" w:color="auto" w:fill="E5EEF8"/>
          </w:tcPr>
          <w:p>
            <w:pPr>
              <w:jc w:val="right"/>
              <w:ind w:right="8"/>
              <w:spacing w:after="0"/>
              <w:rPr>
                <w:sz w:val="20"/>
                <w:szCs w:val="20"/>
                <w:color w:val="auto"/>
              </w:rPr>
            </w:pPr>
            <w:r>
              <w:rPr>
                <w:rFonts w:ascii="Arial" w:cs="Arial" w:eastAsia="Arial" w:hAnsi="Arial"/>
                <w:sz w:val="14"/>
                <w:szCs w:val="14"/>
                <w:color w:val="auto"/>
              </w:rPr>
              <w:t>7,478,097</w:t>
            </w:r>
          </w:p>
        </w:tc>
      </w:tr>
      <w:tr>
        <w:trPr>
          <w:trHeight w:val="208"/>
        </w:trPr>
        <w:tc>
          <w:tcPr>
            <w:tcW w:w="3160" w:type="dxa"/>
            <w:vAlign w:val="bottom"/>
          </w:tcPr>
          <w:p>
            <w:pPr>
              <w:spacing w:after="0"/>
              <w:rPr>
                <w:sz w:val="20"/>
                <w:szCs w:val="20"/>
                <w:color w:val="auto"/>
              </w:rPr>
            </w:pPr>
            <w:r>
              <w:rPr>
                <w:rFonts w:ascii="Arial" w:cs="Arial" w:eastAsia="Arial" w:hAnsi="Arial"/>
                <w:sz w:val="14"/>
                <w:szCs w:val="14"/>
                <w:color w:val="auto"/>
              </w:rPr>
              <w:t> Robert C. Crisci</w:t>
            </w:r>
          </w:p>
        </w:tc>
        <w:tc>
          <w:tcPr>
            <w:tcW w:w="920" w:type="dxa"/>
            <w:vAlign w:val="bottom"/>
          </w:tcPr>
          <w:p>
            <w:pPr>
              <w:jc w:val="right"/>
              <w:spacing w:after="0"/>
              <w:rPr>
                <w:sz w:val="20"/>
                <w:szCs w:val="20"/>
                <w:color w:val="auto"/>
              </w:rPr>
            </w:pPr>
            <w:r>
              <w:rPr>
                <w:rFonts w:ascii="Arial" w:cs="Arial" w:eastAsia="Arial" w:hAnsi="Arial"/>
                <w:sz w:val="14"/>
                <w:szCs w:val="14"/>
                <w:color w:val="auto"/>
              </w:rPr>
              <w:t>5,000</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270.30</w:t>
            </w:r>
          </w:p>
        </w:tc>
        <w:tc>
          <w:tcPr>
            <w:tcW w:w="860" w:type="dxa"/>
            <w:vAlign w:val="bottom"/>
          </w:tcPr>
          <w:p>
            <w:pPr>
              <w:jc w:val="right"/>
              <w:spacing w:after="0"/>
              <w:rPr>
                <w:sz w:val="20"/>
                <w:szCs w:val="20"/>
                <w:color w:val="auto"/>
              </w:rPr>
            </w:pPr>
            <w:r>
              <w:rPr>
                <w:rFonts w:ascii="Arial" w:cs="Arial" w:eastAsia="Arial" w:hAnsi="Arial"/>
                <w:sz w:val="14"/>
                <w:szCs w:val="14"/>
                <w:color w:val="auto"/>
              </w:rPr>
              <w:t>01/15/2029</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18,799</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372.60</w:t>
            </w:r>
          </w:p>
        </w:tc>
        <w:tc>
          <w:tcPr>
            <w:tcW w:w="860" w:type="dxa"/>
            <w:vAlign w:val="bottom"/>
          </w:tcPr>
          <w:p>
            <w:pPr>
              <w:jc w:val="right"/>
              <w:spacing w:after="0"/>
              <w:rPr>
                <w:sz w:val="20"/>
                <w:szCs w:val="20"/>
                <w:color w:val="auto"/>
              </w:rPr>
            </w:pPr>
            <w:r>
              <w:rPr>
                <w:rFonts w:ascii="Arial" w:cs="Arial" w:eastAsia="Arial" w:hAnsi="Arial"/>
                <w:sz w:val="14"/>
                <w:szCs w:val="14"/>
                <w:color w:val="auto"/>
              </w:rPr>
              <w:t>01/14/2030</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4"/>
        </w:trPr>
        <w:tc>
          <w:tcPr>
            <w:tcW w:w="3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7,771</w:t>
            </w:r>
          </w:p>
        </w:tc>
        <w:tc>
          <w:tcPr>
            <w:tcW w:w="1160" w:type="dxa"/>
            <w:vAlign w:val="bottom"/>
            <w:gridSpan w:val="2"/>
          </w:tcPr>
          <w:p>
            <w:pPr>
              <w:jc w:val="right"/>
              <w:spacing w:after="0" w:line="224" w:lineRule="exact"/>
              <w:rPr>
                <w:sz w:val="20"/>
                <w:szCs w:val="20"/>
                <w:color w:val="auto"/>
              </w:rPr>
            </w:pPr>
            <w:r>
              <w:rPr>
                <w:rFonts w:ascii="Arial" w:cs="Arial" w:eastAsia="Arial" w:hAnsi="Arial"/>
                <w:sz w:val="14"/>
                <w:szCs w:val="14"/>
                <w:color w:val="auto"/>
              </w:rPr>
              <w:t>7,772</w:t>
            </w:r>
            <w:r>
              <w:rPr>
                <w:rFonts w:ascii="Arial" w:cs="Arial" w:eastAsia="Arial" w:hAnsi="Arial"/>
                <w:sz w:val="21"/>
                <w:szCs w:val="21"/>
                <w:color w:val="auto"/>
                <w:vertAlign w:val="superscript"/>
              </w:rPr>
              <w:t>(5)</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413.15</w:t>
            </w:r>
          </w:p>
        </w:tc>
        <w:tc>
          <w:tcPr>
            <w:tcW w:w="860" w:type="dxa"/>
            <w:vAlign w:val="bottom"/>
          </w:tcPr>
          <w:p>
            <w:pPr>
              <w:jc w:val="right"/>
              <w:spacing w:after="0"/>
              <w:rPr>
                <w:sz w:val="20"/>
                <w:szCs w:val="20"/>
                <w:color w:val="auto"/>
              </w:rPr>
            </w:pPr>
            <w:r>
              <w:rPr>
                <w:rFonts w:ascii="Arial" w:cs="Arial" w:eastAsia="Arial" w:hAnsi="Arial"/>
                <w:sz w:val="14"/>
                <w:szCs w:val="14"/>
                <w:color w:val="auto"/>
              </w:rPr>
              <w:t>01/13/2031</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3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gridSpan w:val="2"/>
          </w:tcPr>
          <w:p>
            <w:pPr>
              <w:jc w:val="right"/>
              <w:spacing w:after="0" w:line="216" w:lineRule="exact"/>
              <w:rPr>
                <w:sz w:val="20"/>
                <w:szCs w:val="20"/>
                <w:color w:val="auto"/>
              </w:rPr>
            </w:pPr>
            <w:r>
              <w:rPr>
                <w:rFonts w:ascii="Arial" w:cs="Arial" w:eastAsia="Arial" w:hAnsi="Arial"/>
                <w:sz w:val="14"/>
                <w:szCs w:val="14"/>
                <w:color w:val="auto"/>
              </w:rPr>
              <w:t>13,291</w:t>
            </w:r>
            <w:r>
              <w:rPr>
                <w:rFonts w:ascii="Arial" w:cs="Arial" w:eastAsia="Arial" w:hAnsi="Arial"/>
                <w:sz w:val="21"/>
                <w:szCs w:val="21"/>
                <w:color w:val="auto"/>
                <w:vertAlign w:val="superscript"/>
              </w:rPr>
              <w:t>(3)</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464.52</w:t>
            </w:r>
          </w:p>
        </w:tc>
        <w:tc>
          <w:tcPr>
            <w:tcW w:w="860" w:type="dxa"/>
            <w:vAlign w:val="bottom"/>
          </w:tcPr>
          <w:p>
            <w:pPr>
              <w:jc w:val="right"/>
              <w:spacing w:after="0"/>
              <w:rPr>
                <w:sz w:val="20"/>
                <w:szCs w:val="20"/>
                <w:color w:val="auto"/>
              </w:rPr>
            </w:pPr>
            <w:r>
              <w:rPr>
                <w:rFonts w:ascii="Arial" w:cs="Arial" w:eastAsia="Arial" w:hAnsi="Arial"/>
                <w:sz w:val="14"/>
                <w:szCs w:val="14"/>
                <w:color w:val="auto"/>
              </w:rPr>
              <w:t>01/12/2032</w:t>
            </w: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3"/>
        </w:trPr>
        <w:tc>
          <w:tcPr>
            <w:tcW w:w="3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jc w:val="right"/>
              <w:spacing w:after="0" w:line="293" w:lineRule="exact"/>
              <w:rPr>
                <w:sz w:val="20"/>
                <w:szCs w:val="20"/>
                <w:color w:val="auto"/>
              </w:rPr>
            </w:pPr>
            <w:r>
              <w:rPr>
                <w:rFonts w:ascii="Arial" w:cs="Arial" w:eastAsia="Arial" w:hAnsi="Arial"/>
                <w:sz w:val="28"/>
                <w:szCs w:val="28"/>
                <w:color w:val="auto"/>
                <w:vertAlign w:val="subscript"/>
              </w:rPr>
              <w:t>9,310</w:t>
            </w:r>
            <w:r>
              <w:rPr>
                <w:rFonts w:ascii="Arial" w:cs="Arial" w:eastAsia="Arial" w:hAnsi="Arial"/>
                <w:sz w:val="11"/>
                <w:szCs w:val="11"/>
                <w:color w:val="auto"/>
              </w:rPr>
              <w:t>(9)(10)</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5,075,533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2131060</wp:posOffset>
            </wp:positionH>
            <wp:positionV relativeFrom="paragraph">
              <wp:posOffset>-5483860</wp:posOffset>
            </wp:positionV>
            <wp:extent cx="4894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894580" cy="8255"/>
                    </a:xfrm>
                    <a:prstGeom prst="rect">
                      <a:avLst/>
                    </a:prstGeom>
                    <a:noFill/>
                  </pic:spPr>
                </pic:pic>
              </a:graphicData>
            </a:graphic>
          </wp:anchor>
        </w:drawing>
      </w:r>
    </w:p>
    <w:p>
      <w:pPr>
        <w:ind w:left="540" w:hanging="424"/>
        <w:spacing w:after="0" w:line="192" w:lineRule="auto"/>
        <w:tabs>
          <w:tab w:leader="none" w:pos="54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Calculated by multiplying $545.17, the closing market price of our common stock on December 29, 2023, by the number of restricted shares that have not vested.</w:t>
      </w:r>
    </w:p>
    <w:p>
      <w:pPr>
        <w:spacing w:after="0" w:line="6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January 13, 2021 with unexercisable shares vesting in January 2024.</w:t>
      </w:r>
    </w:p>
    <w:p>
      <w:pPr>
        <w:spacing w:after="0" w:line="6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January 12, 2022 with unexercisable shares vesting in January 2025.</w:t>
      </w:r>
    </w:p>
    <w:p>
      <w:pPr>
        <w:spacing w:after="0" w:line="6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March 14, 2023 with unexercisable shares vesting in March 2026.</w:t>
      </w:r>
    </w:p>
    <w:p>
      <w:pPr>
        <w:spacing w:after="0" w:line="67" w:lineRule="exact"/>
        <w:rPr>
          <w:rFonts w:ascii="Arial" w:cs="Arial" w:eastAsia="Arial" w:hAnsi="Arial"/>
          <w:sz w:val="20"/>
          <w:szCs w:val="20"/>
          <w:color w:val="auto"/>
          <w:vertAlign w:val="superscript"/>
        </w:rPr>
      </w:pPr>
    </w:p>
    <w:p>
      <w:pPr>
        <w:ind w:left="540" w:hanging="424"/>
        <w:spacing w:after="0" w:line="183" w:lineRule="auto"/>
        <w:tabs>
          <w:tab w:leader="none" w:pos="540" w:val="left"/>
        </w:tabs>
        <w:numPr>
          <w:ilvl w:val="0"/>
          <w:numId w:val="59"/>
        </w:numPr>
        <w:rPr>
          <w:rFonts w:ascii="Arial" w:cs="Arial" w:eastAsia="Arial" w:hAnsi="Arial"/>
          <w:sz w:val="20"/>
          <w:szCs w:val="20"/>
          <w:color w:val="auto"/>
          <w:vertAlign w:val="superscript"/>
        </w:rPr>
      </w:pPr>
      <w:r>
        <w:rPr>
          <w:rFonts w:ascii="Arial" w:cs="Arial" w:eastAsia="Arial" w:hAnsi="Arial"/>
          <w:sz w:val="14"/>
          <w:szCs w:val="14"/>
          <w:color w:val="auto"/>
        </w:rPr>
        <w:t>These stock options were granted on January 14, 2021 with unexercisable shares vesting in January 2024.</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54" w:lineRule="exact"/>
        <w:rPr>
          <w:sz w:val="20"/>
          <w:szCs w:val="20"/>
          <w:color w:val="auto"/>
        </w:rPr>
      </w:pPr>
    </w:p>
    <w:p>
      <w:pPr>
        <w:ind w:left="540" w:right="560" w:hanging="424"/>
        <w:spacing w:after="0" w:line="204" w:lineRule="auto"/>
        <w:tabs>
          <w:tab w:leader="none" w:pos="540" w:val="left"/>
        </w:tabs>
        <w:numPr>
          <w:ilvl w:val="0"/>
          <w:numId w:val="60"/>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ind w:left="540" w:hanging="424"/>
        <w:spacing w:after="0" w:line="230" w:lineRule="auto"/>
        <w:tabs>
          <w:tab w:leader="none" w:pos="540" w:val="left"/>
        </w:tabs>
        <w:numPr>
          <w:ilvl w:val="0"/>
          <w:numId w:val="61"/>
        </w:numPr>
        <w:rPr>
          <w:rFonts w:ascii="Arial" w:cs="Arial" w:eastAsia="Arial" w:hAnsi="Arial"/>
          <w:sz w:val="22"/>
          <w:szCs w:val="22"/>
          <w:color w:val="auto"/>
          <w:vertAlign w:val="superscript"/>
        </w:rPr>
      </w:pPr>
      <w:r>
        <w:rPr>
          <w:rFonts w:ascii="Arial" w:cs="Arial" w:eastAsia="Arial" w:hAnsi="Arial"/>
          <w:sz w:val="14"/>
          <w:szCs w:val="14"/>
          <w:color w:val="auto"/>
        </w:rPr>
        <w:t>29,403 shares granted on January 12, 2022 and vesting in November 2024; and</w:t>
      </w:r>
    </w:p>
    <w:p>
      <w:pPr>
        <w:ind w:left="540" w:hanging="424"/>
        <w:spacing w:after="0" w:line="231" w:lineRule="auto"/>
        <w:tabs>
          <w:tab w:leader="none" w:pos="540" w:val="left"/>
        </w:tabs>
        <w:numPr>
          <w:ilvl w:val="0"/>
          <w:numId w:val="62"/>
        </w:numPr>
        <w:rPr>
          <w:rFonts w:ascii="Arial" w:cs="Arial" w:eastAsia="Arial" w:hAnsi="Arial"/>
          <w:sz w:val="22"/>
          <w:szCs w:val="22"/>
          <w:color w:val="auto"/>
          <w:vertAlign w:val="superscript"/>
        </w:rPr>
      </w:pPr>
      <w:r>
        <w:rPr>
          <w:rFonts w:ascii="Arial" w:cs="Arial" w:eastAsia="Arial" w:hAnsi="Arial"/>
          <w:sz w:val="14"/>
          <w:szCs w:val="14"/>
          <w:color w:val="auto"/>
        </w:rPr>
        <w:t>32,665 shares granted on March 14, 2023 and vesting in March 2026.</w:t>
      </w:r>
    </w:p>
    <w:p>
      <w:pPr>
        <w:spacing w:after="0" w:line="59" w:lineRule="exact"/>
        <w:rPr>
          <w:sz w:val="20"/>
          <w:szCs w:val="20"/>
          <w:color w:val="auto"/>
        </w:rPr>
      </w:pPr>
    </w:p>
    <w:p>
      <w:pPr>
        <w:ind w:left="540" w:right="560" w:hanging="424"/>
        <w:spacing w:after="0" w:line="200" w:lineRule="auto"/>
        <w:tabs>
          <w:tab w:leader="none" w:pos="540" w:val="left"/>
        </w:tabs>
        <w:numPr>
          <w:ilvl w:val="0"/>
          <w:numId w:val="63"/>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ind w:left="540" w:hanging="424"/>
        <w:spacing w:after="0" w:line="231" w:lineRule="auto"/>
        <w:tabs>
          <w:tab w:leader="none" w:pos="540" w:val="left"/>
        </w:tabs>
        <w:numPr>
          <w:ilvl w:val="0"/>
          <w:numId w:val="64"/>
        </w:numPr>
        <w:rPr>
          <w:rFonts w:ascii="Arial" w:cs="Arial" w:eastAsia="Arial" w:hAnsi="Arial"/>
          <w:sz w:val="22"/>
          <w:szCs w:val="22"/>
          <w:color w:val="auto"/>
          <w:vertAlign w:val="superscript"/>
        </w:rPr>
      </w:pPr>
      <w:r>
        <w:rPr>
          <w:rFonts w:ascii="Arial" w:cs="Arial" w:eastAsia="Arial" w:hAnsi="Arial"/>
          <w:sz w:val="14"/>
          <w:szCs w:val="14"/>
          <w:color w:val="auto"/>
        </w:rPr>
        <w:t>5,607 shares granted on January 12, 2022 and vesting in November 2024; and</w:t>
      </w:r>
    </w:p>
    <w:p>
      <w:pPr>
        <w:ind w:left="540" w:hanging="424"/>
        <w:spacing w:after="0" w:line="231" w:lineRule="auto"/>
        <w:tabs>
          <w:tab w:leader="none" w:pos="540" w:val="left"/>
        </w:tabs>
        <w:numPr>
          <w:ilvl w:val="0"/>
          <w:numId w:val="65"/>
        </w:numPr>
        <w:rPr>
          <w:rFonts w:ascii="Arial" w:cs="Arial" w:eastAsia="Arial" w:hAnsi="Arial"/>
          <w:sz w:val="22"/>
          <w:szCs w:val="22"/>
          <w:color w:val="auto"/>
          <w:vertAlign w:val="superscript"/>
        </w:rPr>
      </w:pPr>
      <w:r>
        <w:rPr>
          <w:rFonts w:ascii="Arial" w:cs="Arial" w:eastAsia="Arial" w:hAnsi="Arial"/>
          <w:sz w:val="14"/>
          <w:szCs w:val="14"/>
          <w:color w:val="auto"/>
        </w:rPr>
        <w:t>8,815 shares granted on March 14, 2023 and vesting in March 2026.</w:t>
      </w:r>
    </w:p>
    <w:p>
      <w:pPr>
        <w:spacing w:after="0" w:line="59" w:lineRule="exact"/>
        <w:rPr>
          <w:sz w:val="20"/>
          <w:szCs w:val="20"/>
          <w:color w:val="auto"/>
        </w:rPr>
      </w:pPr>
    </w:p>
    <w:p>
      <w:pPr>
        <w:ind w:left="540" w:right="560" w:hanging="424"/>
        <w:spacing w:after="0" w:line="200" w:lineRule="auto"/>
        <w:tabs>
          <w:tab w:leader="none" w:pos="540" w:val="left"/>
        </w:tabs>
        <w:numPr>
          <w:ilvl w:val="0"/>
          <w:numId w:val="66"/>
        </w:numPr>
        <w:rPr>
          <w:rFonts w:ascii="Arial" w:cs="Arial" w:eastAsia="Arial" w:hAnsi="Arial"/>
          <w:sz w:val="22"/>
          <w:szCs w:val="22"/>
          <w:color w:val="auto"/>
          <w:vertAlign w:val="superscript"/>
        </w:rPr>
      </w:pPr>
      <w:r>
        <w:rPr>
          <w:rFonts w:ascii="Arial" w:cs="Arial" w:eastAsia="Arial" w:hAnsi="Arial"/>
          <w:sz w:val="14"/>
          <w:szCs w:val="14"/>
          <w:color w:val="auto"/>
        </w:rPr>
        <w:t>This represents multiple restricted stock awards with the remaining shares of each grant vesting, subject to certification that applicable Company performance conditions have been met, as follows:</w:t>
      </w:r>
    </w:p>
    <w:p>
      <w:pPr>
        <w:ind w:left="540" w:hanging="424"/>
        <w:spacing w:after="0" w:line="231" w:lineRule="auto"/>
        <w:tabs>
          <w:tab w:leader="none" w:pos="540" w:val="left"/>
        </w:tabs>
        <w:numPr>
          <w:ilvl w:val="0"/>
          <w:numId w:val="67"/>
        </w:numPr>
        <w:rPr>
          <w:rFonts w:ascii="Arial" w:cs="Arial" w:eastAsia="Arial" w:hAnsi="Arial"/>
          <w:sz w:val="22"/>
          <w:szCs w:val="22"/>
          <w:color w:val="auto"/>
          <w:vertAlign w:val="superscript"/>
        </w:rPr>
      </w:pPr>
      <w:r>
        <w:rPr>
          <w:rFonts w:ascii="Arial" w:cs="Arial" w:eastAsia="Arial" w:hAnsi="Arial"/>
          <w:sz w:val="14"/>
          <w:szCs w:val="14"/>
          <w:color w:val="auto"/>
        </w:rPr>
        <w:t>5,607 shares granted on January 12, 2022 and vesting in November 2024; and</w:t>
      </w:r>
    </w:p>
    <w:p>
      <w:pPr>
        <w:ind w:left="540" w:hanging="424"/>
        <w:spacing w:after="0" w:line="231" w:lineRule="auto"/>
        <w:tabs>
          <w:tab w:leader="none" w:pos="540" w:val="left"/>
        </w:tabs>
        <w:numPr>
          <w:ilvl w:val="0"/>
          <w:numId w:val="68"/>
        </w:numPr>
        <w:rPr>
          <w:rFonts w:ascii="Arial" w:cs="Arial" w:eastAsia="Arial" w:hAnsi="Arial"/>
          <w:sz w:val="22"/>
          <w:szCs w:val="22"/>
          <w:color w:val="auto"/>
          <w:vertAlign w:val="superscript"/>
        </w:rPr>
      </w:pPr>
      <w:r>
        <w:rPr>
          <w:rFonts w:ascii="Arial" w:cs="Arial" w:eastAsia="Arial" w:hAnsi="Arial"/>
          <w:sz w:val="14"/>
          <w:szCs w:val="14"/>
          <w:color w:val="auto"/>
        </w:rPr>
        <w:t>8,110 shares granted on March 14, 2023 and vesting in March 2026.</w:t>
      </w:r>
    </w:p>
    <w:p>
      <w:pPr>
        <w:ind w:left="540" w:hanging="424"/>
        <w:spacing w:after="0" w:line="230" w:lineRule="auto"/>
        <w:tabs>
          <w:tab w:leader="none" w:pos="540" w:val="left"/>
        </w:tabs>
        <w:numPr>
          <w:ilvl w:val="0"/>
          <w:numId w:val="69"/>
        </w:numPr>
        <w:rPr>
          <w:rFonts w:ascii="Arial" w:cs="Arial" w:eastAsia="Arial" w:hAnsi="Arial"/>
          <w:sz w:val="22"/>
          <w:szCs w:val="22"/>
          <w:color w:val="auto"/>
          <w:vertAlign w:val="superscript"/>
        </w:rPr>
      </w:pPr>
      <w:r>
        <w:rPr>
          <w:rFonts w:ascii="Arial" w:cs="Arial" w:eastAsia="Arial" w:hAnsi="Arial"/>
          <w:sz w:val="14"/>
          <w:szCs w:val="14"/>
          <w:color w:val="auto"/>
        </w:rPr>
        <w:t>9,310 shares granted on January 12, 2022 and vesting in November 2024.</w:t>
      </w:r>
    </w:p>
    <w:p>
      <w:pPr>
        <w:spacing w:after="0" w:line="67"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69"/>
        </w:numPr>
        <w:rPr>
          <w:rFonts w:ascii="Arial" w:cs="Arial" w:eastAsia="Arial" w:hAnsi="Arial"/>
          <w:sz w:val="20"/>
          <w:szCs w:val="20"/>
          <w:color w:val="auto"/>
          <w:vertAlign w:val="superscript"/>
        </w:rPr>
      </w:pPr>
      <w:r>
        <w:rPr>
          <w:rFonts w:ascii="Arial" w:cs="Arial" w:eastAsia="Arial" w:hAnsi="Arial"/>
          <w:sz w:val="14"/>
          <w:szCs w:val="14"/>
          <w:color w:val="auto"/>
        </w:rPr>
        <w:t>For all restricted stock awards granted, the vesting only occurs if the Compensation Committee certifies our Company’s attainment of related performance goals.</w:t>
      </w:r>
    </w:p>
    <w:p>
      <w:pPr>
        <w:spacing w:after="0" w:line="130"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47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Option Exercises and Stock Vested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80" w:type="dxa"/>
            <w:vAlign w:val="bottom"/>
            <w:shd w:val="clear" w:color="auto" w:fill="005CB9"/>
          </w:tcPr>
          <w:p>
            <w:pPr>
              <w:spacing w:after="0"/>
              <w:rPr>
                <w:sz w:val="15"/>
                <w:szCs w:val="15"/>
                <w:color w:val="auto"/>
              </w:rPr>
            </w:pPr>
          </w:p>
        </w:tc>
        <w:tc>
          <w:tcPr>
            <w:tcW w:w="320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Option Awards</w:t>
            </w:r>
          </w:p>
        </w:tc>
        <w:tc>
          <w:tcPr>
            <w:tcW w:w="1800" w:type="dxa"/>
            <w:vAlign w:val="bottom"/>
            <w:shd w:val="clear" w:color="auto" w:fill="005CB9"/>
          </w:tcPr>
          <w:p>
            <w:pPr>
              <w:spacing w:after="0"/>
              <w:rPr>
                <w:sz w:val="15"/>
                <w:szCs w:val="15"/>
                <w:color w:val="auto"/>
              </w:rPr>
            </w:pPr>
          </w:p>
        </w:tc>
        <w:tc>
          <w:tcPr>
            <w:tcW w:w="2680" w:type="dxa"/>
            <w:vAlign w:val="bottom"/>
            <w:shd w:val="clear" w:color="auto" w:fill="005CB9"/>
          </w:tcPr>
          <w:p>
            <w:pPr>
              <w:jc w:val="right"/>
              <w:spacing w:after="0"/>
              <w:rPr>
                <w:sz w:val="20"/>
                <w:szCs w:val="20"/>
                <w:color w:val="auto"/>
              </w:rPr>
            </w:pPr>
            <w:r>
              <w:rPr>
                <w:rFonts w:ascii="Arial" w:cs="Arial" w:eastAsia="Arial" w:hAnsi="Arial"/>
                <w:sz w:val="14"/>
                <w:szCs w:val="14"/>
                <w:color w:val="FFFFFF"/>
              </w:rPr>
              <w:t>Stock Awards</w:t>
            </w:r>
          </w:p>
        </w:tc>
        <w:tc>
          <w:tcPr>
            <w:tcW w:w="1460" w:type="dxa"/>
            <w:vAlign w:val="bottom"/>
            <w:shd w:val="clear" w:color="auto" w:fill="005CB9"/>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880" w:type="dxa"/>
            <w:vAlign w:val="bottom"/>
            <w:vMerge w:val="restart"/>
            <w:shd w:val="clear" w:color="auto" w:fill="005CB9"/>
          </w:tcPr>
          <w:p>
            <w:pPr>
              <w:spacing w:after="0"/>
              <w:rPr>
                <w:sz w:val="20"/>
                <w:szCs w:val="20"/>
                <w:color w:val="auto"/>
              </w:rPr>
            </w:pPr>
            <w:r>
              <w:rPr>
                <w:rFonts w:ascii="Arial" w:cs="Arial" w:eastAsia="Arial" w:hAnsi="Arial"/>
                <w:sz w:val="14"/>
                <w:szCs w:val="14"/>
                <w:color w:val="FFFFFF"/>
              </w:rPr>
              <w:t>  Name</w:t>
            </w:r>
          </w:p>
        </w:tc>
        <w:tc>
          <w:tcPr>
            <w:tcW w:w="3200" w:type="dxa"/>
            <w:vAlign w:val="bottom"/>
            <w:shd w:val="clear" w:color="auto" w:fill="005CB9"/>
          </w:tcPr>
          <w:p>
            <w:pPr>
              <w:jc w:val="right"/>
              <w:ind w:right="620"/>
              <w:spacing w:after="0" w:line="153" w:lineRule="exact"/>
              <w:rPr>
                <w:sz w:val="20"/>
                <w:szCs w:val="20"/>
                <w:color w:val="auto"/>
              </w:rPr>
            </w:pPr>
            <w:r>
              <w:rPr>
                <w:rFonts w:ascii="Arial" w:cs="Arial" w:eastAsia="Arial" w:hAnsi="Arial"/>
                <w:sz w:val="14"/>
                <w:szCs w:val="14"/>
                <w:color w:val="FFFFFF"/>
              </w:rPr>
              <w:t>Number of Shares Acquired</w:t>
            </w:r>
          </w:p>
        </w:tc>
        <w:tc>
          <w:tcPr>
            <w:tcW w:w="1800" w:type="dxa"/>
            <w:vAlign w:val="bottom"/>
            <w:shd w:val="clear" w:color="auto" w:fill="005CB9"/>
          </w:tcPr>
          <w:p>
            <w:pPr>
              <w:jc w:val="right"/>
              <w:ind w:right="319"/>
              <w:spacing w:after="0" w:line="153" w:lineRule="exact"/>
              <w:rPr>
                <w:sz w:val="20"/>
                <w:szCs w:val="20"/>
                <w:color w:val="auto"/>
              </w:rPr>
            </w:pPr>
            <w:r>
              <w:rPr>
                <w:rFonts w:ascii="Arial" w:cs="Arial" w:eastAsia="Arial" w:hAnsi="Arial"/>
                <w:sz w:val="14"/>
                <w:szCs w:val="14"/>
                <w:color w:val="FFFFFF"/>
              </w:rPr>
              <w:t>Value Realized Upon</w:t>
            </w:r>
          </w:p>
        </w:tc>
        <w:tc>
          <w:tcPr>
            <w:tcW w:w="2680" w:type="dxa"/>
            <w:vAlign w:val="bottom"/>
            <w:shd w:val="clear" w:color="auto" w:fill="005CB9"/>
          </w:tcPr>
          <w:p>
            <w:pPr>
              <w:jc w:val="right"/>
              <w:ind w:right="440"/>
              <w:spacing w:after="0" w:line="153" w:lineRule="exact"/>
              <w:rPr>
                <w:sz w:val="20"/>
                <w:szCs w:val="20"/>
                <w:color w:val="auto"/>
              </w:rPr>
            </w:pPr>
            <w:r>
              <w:rPr>
                <w:rFonts w:ascii="Arial" w:cs="Arial" w:eastAsia="Arial" w:hAnsi="Arial"/>
                <w:sz w:val="14"/>
                <w:szCs w:val="14"/>
                <w:color w:val="FFFFFF"/>
              </w:rPr>
              <w:t>Number of Shares Acquired</w:t>
            </w:r>
          </w:p>
        </w:tc>
        <w:tc>
          <w:tcPr>
            <w:tcW w:w="1460" w:type="dxa"/>
            <w:vAlign w:val="bottom"/>
            <w:shd w:val="clear" w:color="auto" w:fill="005CB9"/>
          </w:tcPr>
          <w:p>
            <w:pPr>
              <w:jc w:val="right"/>
              <w:ind w:right="139"/>
              <w:spacing w:after="0" w:line="153" w:lineRule="exact"/>
              <w:rPr>
                <w:sz w:val="20"/>
                <w:szCs w:val="20"/>
                <w:color w:val="auto"/>
              </w:rPr>
            </w:pPr>
            <w:r>
              <w:rPr>
                <w:rFonts w:ascii="Arial" w:cs="Arial" w:eastAsia="Arial" w:hAnsi="Arial"/>
                <w:sz w:val="14"/>
                <w:szCs w:val="14"/>
                <w:color w:val="FFFFFF"/>
              </w:rPr>
              <w:t>Value Realized on</w:t>
            </w:r>
          </w:p>
        </w:tc>
        <w:tc>
          <w:tcPr>
            <w:tcW w:w="0" w:type="dxa"/>
            <w:vAlign w:val="bottom"/>
          </w:tcPr>
          <w:p>
            <w:pPr>
              <w:spacing w:after="0"/>
              <w:rPr>
                <w:sz w:val="1"/>
                <w:szCs w:val="1"/>
                <w:color w:val="auto"/>
              </w:rPr>
            </w:pPr>
          </w:p>
        </w:tc>
      </w:tr>
      <w:tr>
        <w:trPr>
          <w:trHeight w:val="171"/>
        </w:trPr>
        <w:tc>
          <w:tcPr>
            <w:tcW w:w="1880" w:type="dxa"/>
            <w:vAlign w:val="bottom"/>
            <w:vMerge w:val="continue"/>
            <w:shd w:val="clear" w:color="auto" w:fill="005CB9"/>
          </w:tcPr>
          <w:p>
            <w:pPr>
              <w:spacing w:after="0"/>
              <w:rPr>
                <w:sz w:val="14"/>
                <w:szCs w:val="14"/>
                <w:color w:val="auto"/>
              </w:rPr>
            </w:pPr>
          </w:p>
        </w:tc>
        <w:tc>
          <w:tcPr>
            <w:tcW w:w="3200" w:type="dxa"/>
            <w:vAlign w:val="bottom"/>
            <w:shd w:val="clear" w:color="auto" w:fill="005CB9"/>
          </w:tcPr>
          <w:p>
            <w:pPr>
              <w:jc w:val="right"/>
              <w:ind w:right="620"/>
              <w:spacing w:after="0"/>
              <w:rPr>
                <w:sz w:val="20"/>
                <w:szCs w:val="20"/>
                <w:color w:val="auto"/>
              </w:rPr>
            </w:pPr>
            <w:r>
              <w:rPr>
                <w:rFonts w:ascii="Arial" w:cs="Arial" w:eastAsia="Arial" w:hAnsi="Arial"/>
                <w:sz w:val="14"/>
                <w:szCs w:val="14"/>
                <w:color w:val="FFFFFF"/>
              </w:rPr>
              <w:t>on Exercise(#)</w:t>
            </w:r>
          </w:p>
        </w:tc>
        <w:tc>
          <w:tcPr>
            <w:tcW w:w="1800" w:type="dxa"/>
            <w:vAlign w:val="bottom"/>
            <w:shd w:val="clear" w:color="auto" w:fill="005CB9"/>
          </w:tcPr>
          <w:p>
            <w:pPr>
              <w:jc w:val="right"/>
              <w:ind w:right="319"/>
              <w:spacing w:after="0"/>
              <w:rPr>
                <w:sz w:val="20"/>
                <w:szCs w:val="20"/>
                <w:color w:val="auto"/>
              </w:rPr>
            </w:pPr>
            <w:r>
              <w:rPr>
                <w:rFonts w:ascii="Arial" w:cs="Arial" w:eastAsia="Arial" w:hAnsi="Arial"/>
                <w:sz w:val="14"/>
                <w:szCs w:val="14"/>
                <w:color w:val="FFFFFF"/>
              </w:rPr>
              <w:t>Exercise ($)</w:t>
            </w:r>
          </w:p>
        </w:tc>
        <w:tc>
          <w:tcPr>
            <w:tcW w:w="2680" w:type="dxa"/>
            <w:vAlign w:val="bottom"/>
            <w:shd w:val="clear" w:color="auto" w:fill="005CB9"/>
          </w:tcPr>
          <w:p>
            <w:pPr>
              <w:jc w:val="right"/>
              <w:ind w:right="440"/>
              <w:spacing w:after="0"/>
              <w:rPr>
                <w:sz w:val="20"/>
                <w:szCs w:val="20"/>
                <w:color w:val="auto"/>
              </w:rPr>
            </w:pPr>
            <w:r>
              <w:rPr>
                <w:rFonts w:ascii="Arial" w:cs="Arial" w:eastAsia="Arial" w:hAnsi="Arial"/>
                <w:sz w:val="14"/>
                <w:szCs w:val="14"/>
                <w:color w:val="FFFFFF"/>
              </w:rPr>
              <w:t>on Vesting(#)</w:t>
            </w:r>
          </w:p>
        </w:tc>
        <w:tc>
          <w:tcPr>
            <w:tcW w:w="1460" w:type="dxa"/>
            <w:vAlign w:val="bottom"/>
            <w:shd w:val="clear" w:color="auto" w:fill="005CB9"/>
          </w:tcPr>
          <w:p>
            <w:pPr>
              <w:jc w:val="right"/>
              <w:ind w:right="139"/>
              <w:spacing w:after="0"/>
              <w:rPr>
                <w:sz w:val="20"/>
                <w:szCs w:val="20"/>
                <w:color w:val="auto"/>
              </w:rPr>
            </w:pPr>
            <w:r>
              <w:rPr>
                <w:rFonts w:ascii="Arial" w:cs="Arial" w:eastAsia="Arial" w:hAnsi="Arial"/>
                <w:sz w:val="14"/>
                <w:szCs w:val="14"/>
                <w:color w:val="FFFFFF"/>
              </w:rPr>
              <w:t>Vesting ($)</w:t>
            </w:r>
          </w:p>
        </w:tc>
        <w:tc>
          <w:tcPr>
            <w:tcW w:w="0" w:type="dxa"/>
            <w:vAlign w:val="bottom"/>
          </w:tcPr>
          <w:p>
            <w:pPr>
              <w:spacing w:after="0"/>
              <w:rPr>
                <w:sz w:val="1"/>
                <w:szCs w:val="1"/>
                <w:color w:val="auto"/>
              </w:rPr>
            </w:pPr>
          </w:p>
        </w:tc>
      </w:tr>
      <w:tr>
        <w:trPr>
          <w:trHeight w:val="257"/>
        </w:trPr>
        <w:tc>
          <w:tcPr>
            <w:tcW w:w="1880" w:type="dxa"/>
            <w:vAlign w:val="bottom"/>
            <w:shd w:val="clear" w:color="auto" w:fill="CCDEF1"/>
          </w:tcPr>
          <w:p>
            <w:pPr>
              <w:spacing w:after="0"/>
              <w:rPr>
                <w:sz w:val="20"/>
                <w:szCs w:val="20"/>
                <w:color w:val="auto"/>
              </w:rPr>
            </w:pPr>
            <w:r>
              <w:rPr>
                <w:rFonts w:ascii="Arial" w:cs="Arial" w:eastAsia="Arial" w:hAnsi="Arial"/>
                <w:sz w:val="17"/>
                <w:szCs w:val="17"/>
                <w:color w:val="auto"/>
              </w:rPr>
              <w:t>  L. Neil Hunn</w:t>
            </w:r>
          </w:p>
        </w:tc>
        <w:tc>
          <w:tcPr>
            <w:tcW w:w="3200" w:type="dxa"/>
            <w:vAlign w:val="bottom"/>
            <w:shd w:val="clear" w:color="auto" w:fill="CCDEF1"/>
          </w:tcPr>
          <w:p>
            <w:pPr>
              <w:jc w:val="right"/>
              <w:ind w:right="620"/>
              <w:spacing w:after="0"/>
              <w:rPr>
                <w:sz w:val="20"/>
                <w:szCs w:val="20"/>
                <w:color w:val="auto"/>
              </w:rPr>
            </w:pPr>
            <w:r>
              <w:rPr>
                <w:rFonts w:ascii="Arial" w:cs="Arial" w:eastAsia="Arial" w:hAnsi="Arial"/>
                <w:sz w:val="17"/>
                <w:szCs w:val="17"/>
                <w:color w:val="auto"/>
              </w:rPr>
              <w:t>35,000</w:t>
            </w:r>
          </w:p>
        </w:tc>
        <w:tc>
          <w:tcPr>
            <w:tcW w:w="1800" w:type="dxa"/>
            <w:vAlign w:val="bottom"/>
            <w:shd w:val="clear" w:color="auto" w:fill="CCDEF1"/>
          </w:tcPr>
          <w:p>
            <w:pPr>
              <w:jc w:val="right"/>
              <w:ind w:right="319"/>
              <w:spacing w:after="0"/>
              <w:rPr>
                <w:sz w:val="20"/>
                <w:szCs w:val="20"/>
                <w:color w:val="auto"/>
              </w:rPr>
            </w:pPr>
            <w:r>
              <w:rPr>
                <w:rFonts w:ascii="Arial" w:cs="Arial" w:eastAsia="Arial" w:hAnsi="Arial"/>
                <w:sz w:val="17"/>
                <w:szCs w:val="17"/>
                <w:color w:val="auto"/>
              </w:rPr>
              <w:t>13,210,428</w:t>
            </w:r>
          </w:p>
        </w:tc>
        <w:tc>
          <w:tcPr>
            <w:tcW w:w="2680" w:type="dxa"/>
            <w:vAlign w:val="bottom"/>
            <w:shd w:val="clear" w:color="auto" w:fill="CCDEF1"/>
          </w:tcPr>
          <w:p>
            <w:pPr>
              <w:jc w:val="right"/>
              <w:ind w:right="440"/>
              <w:spacing w:after="0"/>
              <w:rPr>
                <w:sz w:val="20"/>
                <w:szCs w:val="20"/>
                <w:color w:val="auto"/>
              </w:rPr>
            </w:pPr>
            <w:r>
              <w:rPr>
                <w:rFonts w:ascii="Arial" w:cs="Arial" w:eastAsia="Arial" w:hAnsi="Arial"/>
                <w:sz w:val="17"/>
                <w:szCs w:val="17"/>
                <w:color w:val="auto"/>
              </w:rPr>
              <w:t>31,336</w:t>
            </w:r>
          </w:p>
        </w:tc>
        <w:tc>
          <w:tcPr>
            <w:tcW w:w="1460" w:type="dxa"/>
            <w:vAlign w:val="bottom"/>
            <w:shd w:val="clear" w:color="auto" w:fill="CCDEF1"/>
          </w:tcPr>
          <w:p>
            <w:pPr>
              <w:jc w:val="right"/>
              <w:ind w:right="139"/>
              <w:spacing w:after="0"/>
              <w:rPr>
                <w:sz w:val="20"/>
                <w:szCs w:val="20"/>
                <w:color w:val="auto"/>
              </w:rPr>
            </w:pPr>
            <w:r>
              <w:rPr>
                <w:rFonts w:ascii="Arial" w:cs="Arial" w:eastAsia="Arial" w:hAnsi="Arial"/>
                <w:sz w:val="17"/>
                <w:szCs w:val="17"/>
                <w:color w:val="auto"/>
              </w:rPr>
              <w:t>16,205,412</w:t>
            </w:r>
          </w:p>
        </w:tc>
        <w:tc>
          <w:tcPr>
            <w:tcW w:w="0" w:type="dxa"/>
            <w:vAlign w:val="bottom"/>
          </w:tcPr>
          <w:p>
            <w:pPr>
              <w:spacing w:after="0"/>
              <w:rPr>
                <w:sz w:val="1"/>
                <w:szCs w:val="1"/>
                <w:color w:val="auto"/>
              </w:rPr>
            </w:pPr>
          </w:p>
        </w:tc>
      </w:tr>
      <w:tr>
        <w:trPr>
          <w:trHeight w:val="250"/>
        </w:trPr>
        <w:tc>
          <w:tcPr>
            <w:tcW w:w="1880" w:type="dxa"/>
            <w:vAlign w:val="bottom"/>
          </w:tcPr>
          <w:p>
            <w:pPr>
              <w:spacing w:after="0"/>
              <w:rPr>
                <w:sz w:val="20"/>
                <w:szCs w:val="20"/>
                <w:color w:val="auto"/>
              </w:rPr>
            </w:pPr>
            <w:r>
              <w:rPr>
                <w:rFonts w:ascii="Arial" w:cs="Arial" w:eastAsia="Arial" w:hAnsi="Arial"/>
                <w:sz w:val="17"/>
                <w:szCs w:val="17"/>
                <w:color w:val="auto"/>
              </w:rPr>
              <w:t>  Jason P. Conley</w:t>
            </w:r>
          </w:p>
        </w:tc>
        <w:tc>
          <w:tcPr>
            <w:tcW w:w="3200" w:type="dxa"/>
            <w:vAlign w:val="bottom"/>
          </w:tcPr>
          <w:p>
            <w:pPr>
              <w:jc w:val="right"/>
              <w:ind w:right="620"/>
              <w:spacing w:after="0"/>
              <w:rPr>
                <w:sz w:val="20"/>
                <w:szCs w:val="20"/>
                <w:color w:val="auto"/>
              </w:rPr>
            </w:pPr>
            <w:r>
              <w:rPr>
                <w:rFonts w:ascii="Arial" w:cs="Arial" w:eastAsia="Arial" w:hAnsi="Arial"/>
                <w:sz w:val="17"/>
                <w:szCs w:val="17"/>
                <w:color w:val="auto"/>
              </w:rPr>
              <w:t>5,000</w:t>
            </w:r>
          </w:p>
        </w:tc>
        <w:tc>
          <w:tcPr>
            <w:tcW w:w="1800" w:type="dxa"/>
            <w:vAlign w:val="bottom"/>
          </w:tcPr>
          <w:p>
            <w:pPr>
              <w:jc w:val="right"/>
              <w:ind w:right="319"/>
              <w:spacing w:after="0"/>
              <w:rPr>
                <w:sz w:val="20"/>
                <w:szCs w:val="20"/>
                <w:color w:val="auto"/>
              </w:rPr>
            </w:pPr>
            <w:r>
              <w:rPr>
                <w:rFonts w:ascii="Arial" w:cs="Arial" w:eastAsia="Arial" w:hAnsi="Arial"/>
                <w:sz w:val="17"/>
                <w:szCs w:val="17"/>
                <w:color w:val="auto"/>
              </w:rPr>
              <w:t>1,830,414</w:t>
            </w:r>
          </w:p>
        </w:tc>
        <w:tc>
          <w:tcPr>
            <w:tcW w:w="2680" w:type="dxa"/>
            <w:vAlign w:val="bottom"/>
          </w:tcPr>
          <w:p>
            <w:pPr>
              <w:jc w:val="right"/>
              <w:ind w:right="440"/>
              <w:spacing w:after="0"/>
              <w:rPr>
                <w:sz w:val="20"/>
                <w:szCs w:val="20"/>
                <w:color w:val="auto"/>
              </w:rPr>
            </w:pPr>
            <w:r>
              <w:rPr>
                <w:rFonts w:ascii="Arial" w:cs="Arial" w:eastAsia="Arial" w:hAnsi="Arial"/>
                <w:sz w:val="17"/>
                <w:szCs w:val="17"/>
                <w:color w:val="auto"/>
              </w:rPr>
              <w:t>2,980</w:t>
            </w:r>
          </w:p>
        </w:tc>
        <w:tc>
          <w:tcPr>
            <w:tcW w:w="1460" w:type="dxa"/>
            <w:vAlign w:val="bottom"/>
          </w:tcPr>
          <w:p>
            <w:pPr>
              <w:jc w:val="right"/>
              <w:ind w:right="139"/>
              <w:spacing w:after="0"/>
              <w:rPr>
                <w:sz w:val="20"/>
                <w:szCs w:val="20"/>
                <w:color w:val="auto"/>
              </w:rPr>
            </w:pPr>
            <w:r>
              <w:rPr>
                <w:rFonts w:ascii="Arial" w:cs="Arial" w:eastAsia="Arial" w:hAnsi="Arial"/>
                <w:sz w:val="17"/>
                <w:szCs w:val="17"/>
                <w:color w:val="auto"/>
              </w:rPr>
              <w:t>1,541,107</w:t>
            </w:r>
          </w:p>
        </w:tc>
        <w:tc>
          <w:tcPr>
            <w:tcW w:w="0" w:type="dxa"/>
            <w:vAlign w:val="bottom"/>
          </w:tcPr>
          <w:p>
            <w:pPr>
              <w:spacing w:after="0"/>
              <w:rPr>
                <w:sz w:val="1"/>
                <w:szCs w:val="1"/>
                <w:color w:val="auto"/>
              </w:rPr>
            </w:pPr>
          </w:p>
        </w:tc>
      </w:tr>
      <w:tr>
        <w:trPr>
          <w:trHeight w:val="263"/>
        </w:trPr>
        <w:tc>
          <w:tcPr>
            <w:tcW w:w="1880" w:type="dxa"/>
            <w:vAlign w:val="bottom"/>
            <w:shd w:val="clear" w:color="auto" w:fill="CCDEF1"/>
          </w:tcPr>
          <w:p>
            <w:pPr>
              <w:spacing w:after="0"/>
              <w:rPr>
                <w:sz w:val="20"/>
                <w:szCs w:val="20"/>
                <w:color w:val="auto"/>
              </w:rPr>
            </w:pPr>
            <w:r>
              <w:rPr>
                <w:rFonts w:ascii="Arial" w:cs="Arial" w:eastAsia="Arial" w:hAnsi="Arial"/>
                <w:sz w:val="17"/>
                <w:szCs w:val="17"/>
                <w:color w:val="auto"/>
              </w:rPr>
              <w:t>  John K. Stipancich</w:t>
            </w:r>
          </w:p>
        </w:tc>
        <w:tc>
          <w:tcPr>
            <w:tcW w:w="3200" w:type="dxa"/>
            <w:vAlign w:val="bottom"/>
            <w:shd w:val="clear" w:color="auto" w:fill="CCDEF1"/>
          </w:tcPr>
          <w:p>
            <w:pPr>
              <w:jc w:val="right"/>
              <w:ind w:right="620"/>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DEF1"/>
          </w:tcPr>
          <w:p>
            <w:pPr>
              <w:jc w:val="right"/>
              <w:ind w:right="319"/>
              <w:spacing w:after="0"/>
              <w:rPr>
                <w:sz w:val="20"/>
                <w:szCs w:val="20"/>
                <w:color w:val="auto"/>
              </w:rPr>
            </w:pPr>
            <w:r>
              <w:rPr>
                <w:rFonts w:ascii="Arial" w:cs="Arial" w:eastAsia="Arial" w:hAnsi="Arial"/>
                <w:sz w:val="17"/>
                <w:szCs w:val="17"/>
                <w:color w:val="auto"/>
              </w:rPr>
              <w:t>-</w:t>
            </w:r>
          </w:p>
        </w:tc>
        <w:tc>
          <w:tcPr>
            <w:tcW w:w="2680" w:type="dxa"/>
            <w:vAlign w:val="bottom"/>
            <w:shd w:val="clear" w:color="auto" w:fill="CCDEF1"/>
          </w:tcPr>
          <w:p>
            <w:pPr>
              <w:jc w:val="right"/>
              <w:ind w:right="440"/>
              <w:spacing w:after="0"/>
              <w:rPr>
                <w:sz w:val="20"/>
                <w:szCs w:val="20"/>
                <w:color w:val="auto"/>
              </w:rPr>
            </w:pPr>
            <w:r>
              <w:rPr>
                <w:rFonts w:ascii="Arial" w:cs="Arial" w:eastAsia="Arial" w:hAnsi="Arial"/>
                <w:sz w:val="17"/>
                <w:szCs w:val="17"/>
                <w:color w:val="auto"/>
              </w:rPr>
              <w:t>2,951</w:t>
            </w:r>
          </w:p>
        </w:tc>
        <w:tc>
          <w:tcPr>
            <w:tcW w:w="1460" w:type="dxa"/>
            <w:vAlign w:val="bottom"/>
            <w:shd w:val="clear" w:color="auto" w:fill="CCDEF1"/>
          </w:tcPr>
          <w:p>
            <w:pPr>
              <w:jc w:val="right"/>
              <w:ind w:right="139"/>
              <w:spacing w:after="0"/>
              <w:rPr>
                <w:sz w:val="20"/>
                <w:szCs w:val="20"/>
                <w:color w:val="auto"/>
              </w:rPr>
            </w:pPr>
            <w:r>
              <w:rPr>
                <w:rFonts w:ascii="Arial" w:cs="Arial" w:eastAsia="Arial" w:hAnsi="Arial"/>
                <w:sz w:val="17"/>
                <w:szCs w:val="17"/>
                <w:color w:val="auto"/>
              </w:rPr>
              <w:t>1,526,110</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0"/>
                <w:szCs w:val="20"/>
                <w:color w:val="auto"/>
              </w:rPr>
            </w:pPr>
            <w:r>
              <w:rPr>
                <w:rFonts w:ascii="Arial" w:cs="Arial" w:eastAsia="Arial" w:hAnsi="Arial"/>
                <w:sz w:val="17"/>
                <w:szCs w:val="17"/>
                <w:color w:val="auto"/>
              </w:rPr>
              <w:t>  Robert C. Crisci</w:t>
            </w:r>
          </w:p>
        </w:tc>
        <w:tc>
          <w:tcPr>
            <w:tcW w:w="3200" w:type="dxa"/>
            <w:vAlign w:val="bottom"/>
          </w:tcPr>
          <w:p>
            <w:pPr>
              <w:jc w:val="right"/>
              <w:ind w:right="620"/>
              <w:spacing w:after="0"/>
              <w:rPr>
                <w:sz w:val="20"/>
                <w:szCs w:val="20"/>
                <w:color w:val="auto"/>
              </w:rPr>
            </w:pPr>
            <w:r>
              <w:rPr>
                <w:rFonts w:ascii="Arial" w:cs="Arial" w:eastAsia="Arial" w:hAnsi="Arial"/>
                <w:sz w:val="17"/>
                <w:szCs w:val="17"/>
                <w:color w:val="auto"/>
              </w:rPr>
              <w:t>45,000</w:t>
            </w:r>
          </w:p>
        </w:tc>
        <w:tc>
          <w:tcPr>
            <w:tcW w:w="1800" w:type="dxa"/>
            <w:vAlign w:val="bottom"/>
          </w:tcPr>
          <w:p>
            <w:pPr>
              <w:jc w:val="right"/>
              <w:ind w:right="319"/>
              <w:spacing w:after="0"/>
              <w:rPr>
                <w:sz w:val="20"/>
                <w:szCs w:val="20"/>
                <w:color w:val="auto"/>
              </w:rPr>
            </w:pPr>
            <w:r>
              <w:rPr>
                <w:rFonts w:ascii="Arial" w:cs="Arial" w:eastAsia="Arial" w:hAnsi="Arial"/>
                <w:sz w:val="17"/>
                <w:szCs w:val="17"/>
                <w:color w:val="auto"/>
              </w:rPr>
              <w:t>9,784,517</w:t>
            </w:r>
          </w:p>
        </w:tc>
        <w:tc>
          <w:tcPr>
            <w:tcW w:w="2680" w:type="dxa"/>
            <w:vAlign w:val="bottom"/>
          </w:tcPr>
          <w:p>
            <w:pPr>
              <w:jc w:val="right"/>
              <w:ind w:right="440"/>
              <w:spacing w:after="0"/>
              <w:rPr>
                <w:sz w:val="20"/>
                <w:szCs w:val="20"/>
                <w:color w:val="auto"/>
              </w:rPr>
            </w:pPr>
            <w:r>
              <w:rPr>
                <w:rFonts w:ascii="Arial" w:cs="Arial" w:eastAsia="Arial" w:hAnsi="Arial"/>
                <w:sz w:val="17"/>
                <w:szCs w:val="17"/>
                <w:color w:val="auto"/>
              </w:rPr>
              <w:t>4,957</w:t>
            </w:r>
          </w:p>
        </w:tc>
        <w:tc>
          <w:tcPr>
            <w:tcW w:w="1460" w:type="dxa"/>
            <w:vAlign w:val="bottom"/>
          </w:tcPr>
          <w:p>
            <w:pPr>
              <w:jc w:val="right"/>
              <w:ind w:right="139"/>
              <w:spacing w:after="0"/>
              <w:rPr>
                <w:sz w:val="20"/>
                <w:szCs w:val="20"/>
                <w:color w:val="auto"/>
              </w:rPr>
            </w:pPr>
            <w:r>
              <w:rPr>
                <w:rFonts w:ascii="Arial" w:cs="Arial" w:eastAsia="Arial" w:hAnsi="Arial"/>
                <w:sz w:val="17"/>
                <w:szCs w:val="17"/>
                <w:color w:val="auto"/>
              </w:rPr>
              <w:t>2,563,513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-856615</wp:posOffset>
            </wp:positionV>
            <wp:extent cx="52031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No Pension Benefits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None of our named executive officers participates in a Company-sponsored defined-benefit pension plan.</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2023 Non-Qualified Deferred Compensation</w:t>
      </w:r>
    </w:p>
    <w:p>
      <w:pPr>
        <w:spacing w:after="0" w:line="98" w:lineRule="exact"/>
        <w:rPr>
          <w:sz w:val="20"/>
          <w:szCs w:val="20"/>
          <w:color w:val="auto"/>
        </w:rPr>
      </w:pPr>
    </w:p>
    <w:p>
      <w:pPr>
        <w:jc w:val="both"/>
        <w:ind w:left="120" w:right="380"/>
        <w:spacing w:after="0" w:line="249" w:lineRule="auto"/>
        <w:rPr>
          <w:sz w:val="20"/>
          <w:szCs w:val="20"/>
          <w:color w:val="auto"/>
        </w:rPr>
      </w:pPr>
      <w:r>
        <w:rPr>
          <w:rFonts w:ascii="Arial" w:cs="Arial" w:eastAsia="Arial" w:hAnsi="Arial"/>
          <w:sz w:val="17"/>
          <w:szCs w:val="17"/>
          <w:color w:val="auto"/>
        </w:rPr>
        <w:t>Pursuant to our Company’s Non-Qualified Retirement Plan, named executive officers may defer base salary and payments earned under the cash incentive program. Deferral elections are made by eligible executives before the beginning of each year for amounts to be earned in the following year. The executive may invest such amounts in funds that are substantially similar to those available under the 401(k) plan.</w:t>
      </w:r>
    </w:p>
    <w:p>
      <w:pPr>
        <w:spacing w:after="0" w:line="67" w:lineRule="exact"/>
        <w:rPr>
          <w:sz w:val="20"/>
          <w:szCs w:val="20"/>
          <w:color w:val="auto"/>
        </w:rPr>
      </w:pPr>
    </w:p>
    <w:p>
      <w:pPr>
        <w:ind w:left="120" w:right="320"/>
        <w:spacing w:after="0" w:line="267" w:lineRule="auto"/>
        <w:rPr>
          <w:sz w:val="20"/>
          <w:szCs w:val="20"/>
          <w:color w:val="auto"/>
        </w:rPr>
      </w:pPr>
      <w:r>
        <w:rPr>
          <w:rFonts w:ascii="Arial" w:cs="Arial" w:eastAsia="Arial" w:hAnsi="Arial"/>
          <w:sz w:val="17"/>
          <w:szCs w:val="17"/>
          <w:color w:val="auto"/>
        </w:rPr>
        <w:t>The following table sets forth certain information with respect to the Non-Qualified Retirement Plan for our named executive officers during the fiscal year ended December 31, 2023.</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shd w:val="clear" w:color="auto" w:fill="005CB9"/>
          </w:tcPr>
          <w:p>
            <w:pPr>
              <w:spacing w:after="0"/>
              <w:rPr>
                <w:sz w:val="14"/>
                <w:szCs w:val="14"/>
                <w:color w:val="auto"/>
              </w:rPr>
            </w:pPr>
          </w:p>
        </w:tc>
        <w:tc>
          <w:tcPr>
            <w:tcW w:w="13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Executive</w:t>
            </w:r>
          </w:p>
        </w:tc>
        <w:tc>
          <w:tcPr>
            <w:tcW w:w="12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Registrant</w:t>
            </w:r>
          </w:p>
        </w:tc>
        <w:tc>
          <w:tcPr>
            <w:tcW w:w="11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Aggregate</w:t>
            </w:r>
          </w:p>
        </w:tc>
        <w:tc>
          <w:tcPr>
            <w:tcW w:w="12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Aggregate</w:t>
            </w:r>
          </w:p>
        </w:tc>
        <w:tc>
          <w:tcPr>
            <w:tcW w:w="1100" w:type="dxa"/>
            <w:vAlign w:val="bottom"/>
            <w:shd w:val="clear" w:color="auto" w:fill="005CB9"/>
          </w:tcPr>
          <w:p>
            <w:pPr>
              <w:jc w:val="right"/>
              <w:ind w:right="41"/>
              <w:spacing w:after="0"/>
              <w:rPr>
                <w:sz w:val="20"/>
                <w:szCs w:val="20"/>
                <w:color w:val="auto"/>
              </w:rPr>
            </w:pPr>
            <w:r>
              <w:rPr>
                <w:rFonts w:ascii="Arial" w:cs="Arial" w:eastAsia="Arial" w:hAnsi="Arial"/>
                <w:sz w:val="14"/>
                <w:szCs w:val="14"/>
                <w:color w:val="FFFFFF"/>
              </w:rPr>
              <w:t>Aggregate</w:t>
            </w:r>
          </w:p>
        </w:tc>
      </w:tr>
      <w:tr>
        <w:trPr>
          <w:trHeight w:val="162"/>
        </w:trPr>
        <w:tc>
          <w:tcPr>
            <w:tcW w:w="4960" w:type="dxa"/>
            <w:vAlign w:val="bottom"/>
            <w:shd w:val="clear" w:color="auto" w:fill="005CB9"/>
          </w:tcPr>
          <w:p>
            <w:pPr>
              <w:spacing w:after="0"/>
              <w:rPr>
                <w:sz w:val="14"/>
                <w:szCs w:val="14"/>
                <w:color w:val="auto"/>
              </w:rPr>
            </w:pPr>
          </w:p>
        </w:tc>
        <w:tc>
          <w:tcPr>
            <w:tcW w:w="13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Contributions</w:t>
            </w:r>
          </w:p>
        </w:tc>
        <w:tc>
          <w:tcPr>
            <w:tcW w:w="12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Contributions</w:t>
            </w:r>
          </w:p>
        </w:tc>
        <w:tc>
          <w:tcPr>
            <w:tcW w:w="11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Earnings</w:t>
            </w:r>
          </w:p>
        </w:tc>
        <w:tc>
          <w:tcPr>
            <w:tcW w:w="12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Withdrawals/</w:t>
            </w:r>
          </w:p>
        </w:tc>
        <w:tc>
          <w:tcPr>
            <w:tcW w:w="1100" w:type="dxa"/>
            <w:vAlign w:val="bottom"/>
            <w:shd w:val="clear" w:color="auto" w:fill="005CB9"/>
          </w:tcPr>
          <w:p>
            <w:pPr>
              <w:jc w:val="right"/>
              <w:ind w:right="41"/>
              <w:spacing w:after="0"/>
              <w:rPr>
                <w:sz w:val="20"/>
                <w:szCs w:val="20"/>
                <w:color w:val="auto"/>
              </w:rPr>
            </w:pPr>
            <w:r>
              <w:rPr>
                <w:rFonts w:ascii="Arial" w:cs="Arial" w:eastAsia="Arial" w:hAnsi="Arial"/>
                <w:sz w:val="14"/>
                <w:szCs w:val="14"/>
                <w:color w:val="FFFFFF"/>
              </w:rPr>
              <w:t>Balance</w:t>
            </w:r>
          </w:p>
        </w:tc>
      </w:tr>
      <w:tr>
        <w:trPr>
          <w:trHeight w:val="162"/>
        </w:trPr>
        <w:tc>
          <w:tcPr>
            <w:tcW w:w="4960" w:type="dxa"/>
            <w:vAlign w:val="bottom"/>
            <w:shd w:val="clear" w:color="auto" w:fill="005CB9"/>
          </w:tcPr>
          <w:p>
            <w:pPr>
              <w:spacing w:after="0"/>
              <w:rPr>
                <w:sz w:val="14"/>
                <w:szCs w:val="14"/>
                <w:color w:val="auto"/>
              </w:rPr>
            </w:pPr>
          </w:p>
        </w:tc>
        <w:tc>
          <w:tcPr>
            <w:tcW w:w="13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(1)</w:t>
            </w:r>
          </w:p>
        </w:tc>
        <w:tc>
          <w:tcPr>
            <w:tcW w:w="12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(2)</w:t>
            </w:r>
          </w:p>
        </w:tc>
        <w:tc>
          <w:tcPr>
            <w:tcW w:w="11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in Last FY</w:t>
            </w:r>
            <w:r>
              <w:rPr>
                <w:rFonts w:ascii="Arial" w:cs="Arial" w:eastAsia="Arial" w:hAnsi="Arial"/>
                <w:sz w:val="14"/>
                <w:szCs w:val="14"/>
                <w:color w:val="FFFFFF"/>
                <w:vertAlign w:val="superscript"/>
              </w:rPr>
              <w:t>(3)</w:t>
            </w:r>
          </w:p>
        </w:tc>
        <w:tc>
          <w:tcPr>
            <w:tcW w:w="12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Distributions</w:t>
            </w:r>
            <w:r>
              <w:rPr>
                <w:rFonts w:ascii="Arial" w:cs="Arial" w:eastAsia="Arial" w:hAnsi="Arial"/>
                <w:sz w:val="14"/>
                <w:szCs w:val="14"/>
                <w:color w:val="FFFFFF"/>
                <w:vertAlign w:val="superscript"/>
              </w:rPr>
              <w:t>(4)</w:t>
            </w:r>
          </w:p>
        </w:tc>
        <w:tc>
          <w:tcPr>
            <w:tcW w:w="1100" w:type="dxa"/>
            <w:vAlign w:val="bottom"/>
            <w:shd w:val="clear" w:color="auto" w:fill="005CB9"/>
          </w:tcPr>
          <w:p>
            <w:pPr>
              <w:jc w:val="right"/>
              <w:ind w:right="41"/>
              <w:spacing w:after="0"/>
              <w:rPr>
                <w:sz w:val="20"/>
                <w:szCs w:val="20"/>
                <w:color w:val="auto"/>
              </w:rPr>
            </w:pPr>
            <w:r>
              <w:rPr>
                <w:rFonts w:ascii="Arial" w:cs="Arial" w:eastAsia="Arial" w:hAnsi="Arial"/>
                <w:sz w:val="14"/>
                <w:szCs w:val="14"/>
                <w:color w:val="FFFFFF"/>
              </w:rPr>
              <w:t>at Last FYE</w:t>
            </w:r>
            <w:r>
              <w:rPr>
                <w:rFonts w:ascii="Arial" w:cs="Arial" w:eastAsia="Arial" w:hAnsi="Arial"/>
                <w:sz w:val="14"/>
                <w:szCs w:val="14"/>
                <w:color w:val="FFFFFF"/>
                <w:vertAlign w:val="superscript"/>
              </w:rPr>
              <w:t>(5)</w:t>
            </w:r>
          </w:p>
        </w:tc>
      </w:tr>
      <w:tr>
        <w:trPr>
          <w:trHeight w:val="171"/>
        </w:trPr>
        <w:tc>
          <w:tcPr>
            <w:tcW w:w="4960" w:type="dxa"/>
            <w:vAlign w:val="bottom"/>
            <w:shd w:val="clear" w:color="auto" w:fill="005CB9"/>
          </w:tcPr>
          <w:p>
            <w:pPr>
              <w:spacing w:after="0"/>
              <w:rPr>
                <w:sz w:val="20"/>
                <w:szCs w:val="20"/>
                <w:color w:val="auto"/>
              </w:rPr>
            </w:pPr>
            <w:r>
              <w:rPr>
                <w:rFonts w:ascii="Arial" w:cs="Arial" w:eastAsia="Arial" w:hAnsi="Arial"/>
                <w:sz w:val="14"/>
                <w:szCs w:val="14"/>
                <w:color w:val="FFFFFF"/>
              </w:rPr>
              <w:t>  Name</w:t>
            </w:r>
          </w:p>
        </w:tc>
        <w:tc>
          <w:tcPr>
            <w:tcW w:w="13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w:t>
            </w:r>
          </w:p>
        </w:tc>
        <w:tc>
          <w:tcPr>
            <w:tcW w:w="12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w:t>
            </w:r>
          </w:p>
        </w:tc>
        <w:tc>
          <w:tcPr>
            <w:tcW w:w="1120" w:type="dxa"/>
            <w:vAlign w:val="bottom"/>
            <w:shd w:val="clear" w:color="auto" w:fill="005CB9"/>
          </w:tcPr>
          <w:p>
            <w:pPr>
              <w:jc w:val="right"/>
              <w:ind w:right="101"/>
              <w:spacing w:after="0"/>
              <w:rPr>
                <w:sz w:val="20"/>
                <w:szCs w:val="20"/>
                <w:color w:val="auto"/>
              </w:rPr>
            </w:pPr>
            <w:r>
              <w:rPr>
                <w:rFonts w:ascii="Arial" w:cs="Arial" w:eastAsia="Arial" w:hAnsi="Arial"/>
                <w:sz w:val="14"/>
                <w:szCs w:val="14"/>
                <w:color w:val="FFFFFF"/>
              </w:rPr>
              <w:t>($)</w:t>
            </w:r>
          </w:p>
        </w:tc>
        <w:tc>
          <w:tcPr>
            <w:tcW w:w="1260" w:type="dxa"/>
            <w:vAlign w:val="bottom"/>
            <w:shd w:val="clear" w:color="auto" w:fill="005CB9"/>
          </w:tcPr>
          <w:p>
            <w:pPr>
              <w:jc w:val="right"/>
              <w:ind w:right="121"/>
              <w:spacing w:after="0"/>
              <w:rPr>
                <w:sz w:val="20"/>
                <w:szCs w:val="20"/>
                <w:color w:val="auto"/>
              </w:rPr>
            </w:pPr>
            <w:r>
              <w:rPr>
                <w:rFonts w:ascii="Arial" w:cs="Arial" w:eastAsia="Arial" w:hAnsi="Arial"/>
                <w:sz w:val="14"/>
                <w:szCs w:val="14"/>
                <w:color w:val="FFFFFF"/>
              </w:rPr>
              <w:t>($)</w:t>
            </w:r>
          </w:p>
        </w:tc>
        <w:tc>
          <w:tcPr>
            <w:tcW w:w="1100" w:type="dxa"/>
            <w:vAlign w:val="bottom"/>
            <w:shd w:val="clear" w:color="auto" w:fill="005CB9"/>
          </w:tcPr>
          <w:p>
            <w:pPr>
              <w:jc w:val="right"/>
              <w:ind w:right="41"/>
              <w:spacing w:after="0"/>
              <w:rPr>
                <w:sz w:val="20"/>
                <w:szCs w:val="20"/>
                <w:color w:val="auto"/>
              </w:rPr>
            </w:pPr>
            <w:r>
              <w:rPr>
                <w:rFonts w:ascii="Arial" w:cs="Arial" w:eastAsia="Arial" w:hAnsi="Arial"/>
                <w:sz w:val="14"/>
                <w:szCs w:val="14"/>
                <w:color w:val="FFFFFF"/>
              </w:rPr>
              <w:t>($)</w:t>
            </w:r>
          </w:p>
        </w:tc>
      </w:tr>
      <w:tr>
        <w:trPr>
          <w:trHeight w:val="256"/>
        </w:trPr>
        <w:tc>
          <w:tcPr>
            <w:tcW w:w="4960" w:type="dxa"/>
            <w:vAlign w:val="bottom"/>
            <w:shd w:val="clear" w:color="auto" w:fill="CCDEF1"/>
          </w:tcPr>
          <w:p>
            <w:pPr>
              <w:spacing w:after="0"/>
              <w:rPr>
                <w:sz w:val="20"/>
                <w:szCs w:val="20"/>
                <w:color w:val="auto"/>
              </w:rPr>
            </w:pPr>
            <w:r>
              <w:rPr>
                <w:rFonts w:ascii="Arial" w:cs="Arial" w:eastAsia="Arial" w:hAnsi="Arial"/>
                <w:sz w:val="17"/>
                <w:szCs w:val="17"/>
                <w:color w:val="auto"/>
              </w:rPr>
              <w:t>  L. Neil Hunn</w:t>
            </w:r>
          </w:p>
        </w:tc>
        <w:tc>
          <w:tcPr>
            <w:tcW w:w="1360" w:type="dxa"/>
            <w:vAlign w:val="bottom"/>
            <w:shd w:val="clear" w:color="auto" w:fill="CCDEF1"/>
          </w:tcPr>
          <w:p>
            <w:pPr>
              <w:jc w:val="right"/>
              <w:ind w:right="121"/>
              <w:spacing w:after="0"/>
              <w:rPr>
                <w:sz w:val="20"/>
                <w:szCs w:val="20"/>
                <w:color w:val="auto"/>
              </w:rPr>
            </w:pPr>
            <w:r>
              <w:rPr>
                <w:rFonts w:ascii="Arial" w:cs="Arial" w:eastAsia="Arial" w:hAnsi="Arial"/>
                <w:sz w:val="17"/>
                <w:szCs w:val="17"/>
                <w:color w:val="auto"/>
              </w:rPr>
              <w:t>370,000</w:t>
            </w:r>
          </w:p>
        </w:tc>
        <w:tc>
          <w:tcPr>
            <w:tcW w:w="122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rPr>
              <w:t>200,250</w:t>
            </w:r>
          </w:p>
        </w:tc>
        <w:tc>
          <w:tcPr>
            <w:tcW w:w="112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rPr>
              <w:t>176,944</w:t>
            </w:r>
          </w:p>
        </w:tc>
        <w:tc>
          <w:tcPr>
            <w:tcW w:w="1260" w:type="dxa"/>
            <w:vAlign w:val="bottom"/>
            <w:shd w:val="clear" w:color="auto" w:fill="CCDEF1"/>
          </w:tcPr>
          <w:p>
            <w:pPr>
              <w:jc w:val="right"/>
              <w:ind w:right="61"/>
              <w:spacing w:after="0"/>
              <w:rPr>
                <w:sz w:val="20"/>
                <w:szCs w:val="20"/>
                <w:color w:val="auto"/>
              </w:rPr>
            </w:pPr>
            <w:r>
              <w:rPr>
                <w:rFonts w:ascii="Arial" w:cs="Arial" w:eastAsia="Arial" w:hAnsi="Arial"/>
                <w:sz w:val="17"/>
                <w:szCs w:val="17"/>
                <w:color w:val="auto"/>
              </w:rPr>
              <w:t>(495,972)</w:t>
            </w:r>
          </w:p>
        </w:tc>
        <w:tc>
          <w:tcPr>
            <w:tcW w:w="1100" w:type="dxa"/>
            <w:vAlign w:val="bottom"/>
            <w:shd w:val="clear" w:color="auto" w:fill="CCDEF1"/>
          </w:tcPr>
          <w:p>
            <w:pPr>
              <w:jc w:val="right"/>
              <w:ind w:right="41"/>
              <w:spacing w:after="0"/>
              <w:rPr>
                <w:sz w:val="20"/>
                <w:szCs w:val="20"/>
                <w:color w:val="auto"/>
              </w:rPr>
            </w:pPr>
            <w:r>
              <w:rPr>
                <w:rFonts w:ascii="Arial" w:cs="Arial" w:eastAsia="Arial" w:hAnsi="Arial"/>
                <w:sz w:val="17"/>
                <w:szCs w:val="17"/>
                <w:color w:val="auto"/>
              </w:rPr>
              <w:t>1,025,751</w:t>
            </w:r>
          </w:p>
        </w:tc>
      </w:tr>
      <w:tr>
        <w:trPr>
          <w:trHeight w:val="250"/>
        </w:trPr>
        <w:tc>
          <w:tcPr>
            <w:tcW w:w="4960" w:type="dxa"/>
            <w:vAlign w:val="bottom"/>
          </w:tcPr>
          <w:p>
            <w:pPr>
              <w:spacing w:after="0"/>
              <w:rPr>
                <w:sz w:val="20"/>
                <w:szCs w:val="20"/>
                <w:color w:val="auto"/>
              </w:rPr>
            </w:pPr>
            <w:r>
              <w:rPr>
                <w:rFonts w:ascii="Arial" w:cs="Arial" w:eastAsia="Arial" w:hAnsi="Arial"/>
                <w:sz w:val="17"/>
                <w:szCs w:val="17"/>
                <w:color w:val="auto"/>
              </w:rPr>
              <w:t>  Jason P. Conley</w:t>
            </w:r>
          </w:p>
        </w:tc>
        <w:tc>
          <w:tcPr>
            <w:tcW w:w="1360" w:type="dxa"/>
            <w:vAlign w:val="bottom"/>
          </w:tcPr>
          <w:p>
            <w:pPr>
              <w:jc w:val="right"/>
              <w:ind w:right="121"/>
              <w:spacing w:after="0"/>
              <w:rPr>
                <w:sz w:val="20"/>
                <w:szCs w:val="20"/>
                <w:color w:val="auto"/>
              </w:rPr>
            </w:pPr>
            <w:r>
              <w:rPr>
                <w:rFonts w:ascii="Arial" w:cs="Arial" w:eastAsia="Arial" w:hAnsi="Arial"/>
                <w:sz w:val="17"/>
                <w:szCs w:val="17"/>
                <w:color w:val="auto"/>
              </w:rPr>
              <w:t>269,363</w:t>
            </w:r>
          </w:p>
        </w:tc>
        <w:tc>
          <w:tcPr>
            <w:tcW w:w="1220" w:type="dxa"/>
            <w:vAlign w:val="bottom"/>
          </w:tcPr>
          <w:p>
            <w:pPr>
              <w:jc w:val="right"/>
              <w:ind w:right="101"/>
              <w:spacing w:after="0"/>
              <w:rPr>
                <w:sz w:val="20"/>
                <w:szCs w:val="20"/>
                <w:color w:val="auto"/>
              </w:rPr>
            </w:pPr>
            <w:r>
              <w:rPr>
                <w:rFonts w:ascii="Arial" w:cs="Arial" w:eastAsia="Arial" w:hAnsi="Arial"/>
                <w:sz w:val="17"/>
                <w:szCs w:val="17"/>
                <w:color w:val="auto"/>
              </w:rPr>
              <w:t>82,156</w:t>
            </w:r>
          </w:p>
        </w:tc>
        <w:tc>
          <w:tcPr>
            <w:tcW w:w="1120" w:type="dxa"/>
            <w:vAlign w:val="bottom"/>
          </w:tcPr>
          <w:p>
            <w:pPr>
              <w:jc w:val="right"/>
              <w:ind w:right="101"/>
              <w:spacing w:after="0"/>
              <w:rPr>
                <w:sz w:val="20"/>
                <w:szCs w:val="20"/>
                <w:color w:val="auto"/>
              </w:rPr>
            </w:pPr>
            <w:r>
              <w:rPr>
                <w:rFonts w:ascii="Arial" w:cs="Arial" w:eastAsia="Arial" w:hAnsi="Arial"/>
                <w:sz w:val="17"/>
                <w:szCs w:val="17"/>
                <w:color w:val="auto"/>
              </w:rPr>
              <w:t>299,917</w:t>
            </w:r>
          </w:p>
        </w:tc>
        <w:tc>
          <w:tcPr>
            <w:tcW w:w="1260" w:type="dxa"/>
            <w:vAlign w:val="bottom"/>
          </w:tcPr>
          <w:p>
            <w:pPr>
              <w:jc w:val="right"/>
              <w:ind w:right="61"/>
              <w:spacing w:after="0"/>
              <w:rPr>
                <w:sz w:val="20"/>
                <w:szCs w:val="20"/>
                <w:color w:val="auto"/>
              </w:rPr>
            </w:pPr>
            <w:r>
              <w:rPr>
                <w:rFonts w:ascii="Arial" w:cs="Arial" w:eastAsia="Arial" w:hAnsi="Arial"/>
                <w:sz w:val="17"/>
                <w:szCs w:val="17"/>
                <w:color w:val="auto"/>
              </w:rPr>
              <w:t>(34,974)</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3,035,565</w:t>
            </w:r>
          </w:p>
        </w:tc>
      </w:tr>
      <w:tr>
        <w:trPr>
          <w:trHeight w:val="263"/>
        </w:trPr>
        <w:tc>
          <w:tcPr>
            <w:tcW w:w="4960" w:type="dxa"/>
            <w:vAlign w:val="bottom"/>
            <w:shd w:val="clear" w:color="auto" w:fill="CCDEF1"/>
          </w:tcPr>
          <w:p>
            <w:pPr>
              <w:spacing w:after="0"/>
              <w:rPr>
                <w:sz w:val="20"/>
                <w:szCs w:val="20"/>
                <w:color w:val="auto"/>
              </w:rPr>
            </w:pPr>
            <w:r>
              <w:rPr>
                <w:rFonts w:ascii="Arial" w:cs="Arial" w:eastAsia="Arial" w:hAnsi="Arial"/>
                <w:sz w:val="17"/>
                <w:szCs w:val="17"/>
                <w:color w:val="auto"/>
              </w:rPr>
              <w:t>  John K. Stipancich</w:t>
            </w:r>
          </w:p>
        </w:tc>
        <w:tc>
          <w:tcPr>
            <w:tcW w:w="1360" w:type="dxa"/>
            <w:vAlign w:val="bottom"/>
            <w:shd w:val="clear" w:color="auto" w:fill="CCDEF1"/>
          </w:tcPr>
          <w:p>
            <w:pPr>
              <w:jc w:val="right"/>
              <w:ind w:right="121"/>
              <w:spacing w:after="0"/>
              <w:rPr>
                <w:sz w:val="20"/>
                <w:szCs w:val="20"/>
                <w:color w:val="auto"/>
              </w:rPr>
            </w:pPr>
            <w:r>
              <w:rPr>
                <w:rFonts w:ascii="Arial" w:cs="Arial" w:eastAsia="Arial" w:hAnsi="Arial"/>
                <w:sz w:val="17"/>
                <w:szCs w:val="17"/>
                <w:color w:val="auto"/>
              </w:rPr>
              <w:t>105,750</w:t>
            </w:r>
          </w:p>
        </w:tc>
        <w:tc>
          <w:tcPr>
            <w:tcW w:w="122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rPr>
              <w:t>107,437</w:t>
            </w:r>
          </w:p>
        </w:tc>
        <w:tc>
          <w:tcPr>
            <w:tcW w:w="1120" w:type="dxa"/>
            <w:vAlign w:val="bottom"/>
            <w:shd w:val="clear" w:color="auto" w:fill="CCDEF1"/>
          </w:tcPr>
          <w:p>
            <w:pPr>
              <w:jc w:val="right"/>
              <w:ind w:right="101"/>
              <w:spacing w:after="0"/>
              <w:rPr>
                <w:sz w:val="20"/>
                <w:szCs w:val="20"/>
                <w:color w:val="auto"/>
              </w:rPr>
            </w:pPr>
            <w:r>
              <w:rPr>
                <w:rFonts w:ascii="Arial" w:cs="Arial" w:eastAsia="Arial" w:hAnsi="Arial"/>
                <w:sz w:val="17"/>
                <w:szCs w:val="17"/>
                <w:color w:val="auto"/>
              </w:rPr>
              <w:t>143,172</w:t>
            </w:r>
          </w:p>
        </w:tc>
        <w:tc>
          <w:tcPr>
            <w:tcW w:w="1260" w:type="dxa"/>
            <w:vAlign w:val="bottom"/>
            <w:shd w:val="clear" w:color="auto" w:fill="CCDEF1"/>
          </w:tcPr>
          <w:p>
            <w:pPr>
              <w:jc w:val="right"/>
              <w:ind w:right="121"/>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DEF1"/>
          </w:tcPr>
          <w:p>
            <w:pPr>
              <w:jc w:val="right"/>
              <w:ind w:right="41"/>
              <w:spacing w:after="0"/>
              <w:rPr>
                <w:sz w:val="20"/>
                <w:szCs w:val="20"/>
                <w:color w:val="auto"/>
              </w:rPr>
            </w:pPr>
            <w:r>
              <w:rPr>
                <w:rFonts w:ascii="Arial" w:cs="Arial" w:eastAsia="Arial" w:hAnsi="Arial"/>
                <w:sz w:val="17"/>
                <w:szCs w:val="17"/>
                <w:color w:val="auto"/>
              </w:rPr>
              <w:t>1,406,958</w:t>
            </w:r>
          </w:p>
        </w:tc>
      </w:tr>
      <w:tr>
        <w:trPr>
          <w:trHeight w:val="243"/>
        </w:trPr>
        <w:tc>
          <w:tcPr>
            <w:tcW w:w="4960" w:type="dxa"/>
            <w:vAlign w:val="bottom"/>
          </w:tcPr>
          <w:p>
            <w:pPr>
              <w:spacing w:after="0"/>
              <w:rPr>
                <w:sz w:val="20"/>
                <w:szCs w:val="20"/>
                <w:color w:val="auto"/>
              </w:rPr>
            </w:pPr>
            <w:r>
              <w:rPr>
                <w:rFonts w:ascii="Arial" w:cs="Arial" w:eastAsia="Arial" w:hAnsi="Arial"/>
                <w:sz w:val="17"/>
                <w:szCs w:val="17"/>
                <w:color w:val="auto"/>
              </w:rPr>
              <w:t>  Robert C. Crisci</w:t>
            </w:r>
          </w:p>
        </w:tc>
        <w:tc>
          <w:tcPr>
            <w:tcW w:w="1360" w:type="dxa"/>
            <w:vAlign w:val="bottom"/>
          </w:tcPr>
          <w:p>
            <w:pPr>
              <w:jc w:val="right"/>
              <w:ind w:right="121"/>
              <w:spacing w:after="0"/>
              <w:rPr>
                <w:sz w:val="20"/>
                <w:szCs w:val="20"/>
                <w:color w:val="auto"/>
              </w:rPr>
            </w:pPr>
            <w:r>
              <w:rPr>
                <w:rFonts w:ascii="Arial" w:cs="Arial" w:eastAsia="Arial" w:hAnsi="Arial"/>
                <w:sz w:val="17"/>
                <w:szCs w:val="17"/>
                <w:color w:val="auto"/>
              </w:rPr>
              <w:t>5,917</w:t>
            </w:r>
          </w:p>
        </w:tc>
        <w:tc>
          <w:tcPr>
            <w:tcW w:w="1220" w:type="dxa"/>
            <w:vAlign w:val="bottom"/>
          </w:tcPr>
          <w:p>
            <w:pPr>
              <w:jc w:val="right"/>
              <w:ind w:right="101"/>
              <w:spacing w:after="0"/>
              <w:rPr>
                <w:sz w:val="20"/>
                <w:szCs w:val="20"/>
                <w:color w:val="auto"/>
              </w:rPr>
            </w:pPr>
            <w:r>
              <w:rPr>
                <w:rFonts w:ascii="Arial" w:cs="Arial" w:eastAsia="Arial" w:hAnsi="Arial"/>
                <w:sz w:val="17"/>
                <w:szCs w:val="17"/>
                <w:color w:val="auto"/>
              </w:rPr>
              <w:t>444</w:t>
            </w:r>
          </w:p>
        </w:tc>
        <w:tc>
          <w:tcPr>
            <w:tcW w:w="1120" w:type="dxa"/>
            <w:vAlign w:val="bottom"/>
          </w:tcPr>
          <w:p>
            <w:pPr>
              <w:jc w:val="right"/>
              <w:ind w:right="101"/>
              <w:spacing w:after="0"/>
              <w:rPr>
                <w:sz w:val="20"/>
                <w:szCs w:val="20"/>
                <w:color w:val="auto"/>
              </w:rPr>
            </w:pPr>
            <w:r>
              <w:rPr>
                <w:rFonts w:ascii="Arial" w:cs="Arial" w:eastAsia="Arial" w:hAnsi="Arial"/>
                <w:sz w:val="17"/>
                <w:szCs w:val="17"/>
                <w:color w:val="auto"/>
              </w:rPr>
              <w:t>218,333</w:t>
            </w:r>
          </w:p>
        </w:tc>
        <w:tc>
          <w:tcPr>
            <w:tcW w:w="1260" w:type="dxa"/>
            <w:vAlign w:val="bottom"/>
          </w:tcPr>
          <w:p>
            <w:pPr>
              <w:jc w:val="right"/>
              <w:ind w:right="61"/>
              <w:spacing w:after="0"/>
              <w:rPr>
                <w:sz w:val="20"/>
                <w:szCs w:val="20"/>
                <w:color w:val="auto"/>
              </w:rPr>
            </w:pPr>
            <w:r>
              <w:rPr>
                <w:rFonts w:ascii="Arial" w:cs="Arial" w:eastAsia="Arial" w:hAnsi="Arial"/>
                <w:sz w:val="17"/>
                <w:szCs w:val="17"/>
                <w:color w:val="auto"/>
              </w:rPr>
              <w:t>(1,484,407)</w:t>
            </w:r>
          </w:p>
        </w:tc>
        <w:tc>
          <w:tcPr>
            <w:tcW w:w="1100" w:type="dxa"/>
            <w:vAlign w:val="bottom"/>
          </w:tcPr>
          <w:p>
            <w:pPr>
              <w:jc w:val="right"/>
              <w:ind w:right="41"/>
              <w:spacing w:after="0"/>
              <w:rPr>
                <w:sz w:val="20"/>
                <w:szCs w:val="20"/>
                <w:color w:val="auto"/>
              </w:rPr>
            </w:pPr>
            <w:r>
              <w:rPr>
                <w:rFonts w:ascii="Arial" w:cs="Arial" w:eastAsia="Arial" w:hAnsi="Arial"/>
                <w:sz w:val="17"/>
                <w:szCs w:val="17"/>
                <w:color w:val="auto"/>
              </w:rPr>
              <w:t>-</w:t>
            </w:r>
          </w:p>
        </w:tc>
      </w:tr>
    </w:tbl>
    <w:p>
      <w:pPr>
        <w:spacing w:after="0" w:line="4" w:lineRule="exact"/>
        <w:rPr>
          <w:sz w:val="20"/>
          <w:szCs w:val="20"/>
          <w:color w:val="auto"/>
        </w:rPr>
      </w:pPr>
    </w:p>
    <w:p>
      <w:pPr>
        <w:ind w:left="540" w:right="100" w:hanging="424"/>
        <w:spacing w:after="0" w:line="204"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Amounts reflect participant deferrals under the Non-Qualified Retirement Plan during the fiscal year ended December 31, 2023 and all of these amounts are included in the Summary Compensation Table above in the “Salary” or “Non-Equity Incentive Plan Compensation” column as applicable.</w:t>
      </w:r>
    </w:p>
    <w:p>
      <w:pPr>
        <w:ind w:left="540" w:hanging="424"/>
        <w:spacing w:after="0" w:line="230"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The amounts are included in the Summary Compensation Table in the “All Other Compensation” column.</w:t>
      </w:r>
    </w:p>
    <w:p>
      <w:pPr>
        <w:spacing w:after="0" w:line="67" w:lineRule="exact"/>
        <w:rPr>
          <w:rFonts w:ascii="Arial" w:cs="Arial" w:eastAsia="Arial" w:hAnsi="Arial"/>
          <w:sz w:val="22"/>
          <w:szCs w:val="22"/>
          <w:color w:val="auto"/>
          <w:vertAlign w:val="superscript"/>
        </w:rPr>
      </w:pPr>
    </w:p>
    <w:p>
      <w:pPr>
        <w:ind w:left="540" w:right="200" w:hanging="424"/>
        <w:spacing w:after="0" w:line="196"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No portion of these earnings was included in the Summary Compensation Table because the Non-Qualified Retirement Plan does not provide for “above-market” or preferential earnings as defined in applicable SEC rules.</w:t>
      </w:r>
    </w:p>
    <w:p>
      <w:pPr>
        <w:ind w:left="540" w:hanging="424"/>
        <w:spacing w:after="0" w:line="230"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With respect to Mr. Crisci, $1,159,579 of the amount in this column was reported in previous years’ Summary Compensation Tables.</w:t>
      </w:r>
    </w:p>
    <w:p>
      <w:pPr>
        <w:spacing w:after="0" w:line="67" w:lineRule="exact"/>
        <w:rPr>
          <w:rFonts w:ascii="Arial" w:cs="Arial" w:eastAsia="Arial" w:hAnsi="Arial"/>
          <w:sz w:val="22"/>
          <w:szCs w:val="22"/>
          <w:color w:val="auto"/>
          <w:vertAlign w:val="superscript"/>
        </w:rPr>
      </w:pPr>
    </w:p>
    <w:p>
      <w:pPr>
        <w:ind w:left="540" w:right="380" w:hanging="424"/>
        <w:spacing w:after="0" w:line="196" w:lineRule="auto"/>
        <w:tabs>
          <w:tab w:leader="none" w:pos="540" w:val="left"/>
        </w:tabs>
        <w:numPr>
          <w:ilvl w:val="0"/>
          <w:numId w:val="70"/>
        </w:numPr>
        <w:rPr>
          <w:rFonts w:ascii="Arial" w:cs="Arial" w:eastAsia="Arial" w:hAnsi="Arial"/>
          <w:sz w:val="22"/>
          <w:szCs w:val="22"/>
          <w:color w:val="auto"/>
          <w:vertAlign w:val="superscript"/>
        </w:rPr>
      </w:pPr>
      <w:r>
        <w:rPr>
          <w:rFonts w:ascii="Arial" w:cs="Arial" w:eastAsia="Arial" w:hAnsi="Arial"/>
          <w:sz w:val="14"/>
          <w:szCs w:val="14"/>
          <w:color w:val="auto"/>
        </w:rPr>
        <w:t>Of the amounts reflected in this column, the following portions were reported in previous years’ Summary Compensation Tables for the named executive officers: Mr. Hunn, $1,025,751; Mr. Conley, $1,603,746; and Mr. Stipancich, $997,078.</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Potential Payments upon Termination or Change in Control</w:t>
      </w:r>
    </w:p>
    <w:p>
      <w:pPr>
        <w:spacing w:after="0" w:line="100" w:lineRule="exact"/>
        <w:rPr>
          <w:sz w:val="20"/>
          <w:szCs w:val="20"/>
          <w:color w:val="auto"/>
        </w:rPr>
      </w:pPr>
    </w:p>
    <w:p>
      <w:pPr>
        <w:ind w:left="120" w:right="280"/>
        <w:spacing w:after="0" w:line="249" w:lineRule="auto"/>
        <w:rPr>
          <w:sz w:val="20"/>
          <w:szCs w:val="20"/>
          <w:color w:val="auto"/>
        </w:rPr>
      </w:pPr>
      <w:r>
        <w:rPr>
          <w:rFonts w:ascii="Arial" w:cs="Arial" w:eastAsia="Arial" w:hAnsi="Arial"/>
          <w:sz w:val="17"/>
          <w:szCs w:val="17"/>
          <w:color w:val="auto"/>
        </w:rPr>
        <w:t>The offer letters with Messrs. Hunn and Stipancich provide for certain benefits in the event of the termination of the officer’s employment under certain conditions. The amount of the benefits varies depending on the reason for termination, as explained below. In no event will excise tax gross-ups be paid in regard to a termination of employment related to a change in control.</w:t>
      </w:r>
    </w:p>
    <w:p>
      <w:pPr>
        <w:spacing w:after="0" w:line="129"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48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Offer Letters to Messrs. Hunn and Stipancich, and Special Long-Term Cash Incentive Arrangement with Mr. Hunn</w:t>
      </w:r>
    </w:p>
    <w:p>
      <w:pPr>
        <w:spacing w:after="0" w:line="98" w:lineRule="exact"/>
        <w:rPr>
          <w:sz w:val="20"/>
          <w:szCs w:val="20"/>
          <w:color w:val="auto"/>
        </w:rPr>
      </w:pPr>
    </w:p>
    <w:p>
      <w:pPr>
        <w:ind w:left="120" w:right="120"/>
        <w:spacing w:after="0" w:line="244" w:lineRule="auto"/>
        <w:rPr>
          <w:sz w:val="20"/>
          <w:szCs w:val="20"/>
          <w:color w:val="auto"/>
        </w:rPr>
      </w:pPr>
      <w:r>
        <w:rPr>
          <w:rFonts w:ascii="Arial" w:cs="Arial" w:eastAsia="Arial" w:hAnsi="Arial"/>
          <w:sz w:val="17"/>
          <w:szCs w:val="17"/>
          <w:i w:val="1"/>
          <w:iCs w:val="1"/>
          <w:color w:val="auto"/>
        </w:rPr>
        <w:t xml:space="preserve">Mr. Hunn. </w:t>
      </w:r>
      <w:r>
        <w:rPr>
          <w:rFonts w:ascii="Arial" w:cs="Arial" w:eastAsia="Arial" w:hAnsi="Arial"/>
          <w:sz w:val="17"/>
          <w:szCs w:val="17"/>
          <w:color w:val="auto"/>
        </w:rPr>
        <w:t>Pursuant to an offer letter dated August 18, 2011, if Mr. Hunn’s employment were to be terminated without cause, he would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one year of medical benefit coverage and a severance payment equal to his then-current annual base salary. In addition, Mr. Hunn is party to a long-term cash incentive arrangement, the material terms of which may be found in the CD&amp;A section above captioned “Analysis of 2023 Compensation—CEO Special Long-Term Cash Incentive”.</w:t>
      </w:r>
    </w:p>
    <w:p>
      <w:pPr>
        <w:spacing w:after="0" w:line="69"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7"/>
          <w:szCs w:val="17"/>
          <w:i w:val="1"/>
          <w:iCs w:val="1"/>
          <w:color w:val="auto"/>
        </w:rPr>
        <w:t>Mr. Stipancich</w:t>
      </w:r>
      <w:r>
        <w:rPr>
          <w:rFonts w:ascii="Arial" w:cs="Arial" w:eastAsia="Arial" w:hAnsi="Arial"/>
          <w:sz w:val="17"/>
          <w:szCs w:val="17"/>
          <w:color w:val="auto"/>
        </w:rPr>
        <w:t>. Pursuant to an offer letter dated June 17, 2016, if Mr. Stipancich’s employment were to be terminated without cause, he would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one year of medical benefit coverage and a severance payment equal to his then-current annual base salary, plus a pro-rated bonus based upon Company performance.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Summary of Termination Payments and Benefits</w:t>
      </w:r>
    </w:p>
    <w:p>
      <w:pPr>
        <w:spacing w:after="0" w:line="98" w:lineRule="exact"/>
        <w:rPr>
          <w:sz w:val="20"/>
          <w:szCs w:val="20"/>
          <w:color w:val="auto"/>
        </w:rPr>
      </w:pPr>
    </w:p>
    <w:p>
      <w:pPr>
        <w:ind w:left="120" w:right="40"/>
        <w:spacing w:after="0" w:line="239" w:lineRule="auto"/>
        <w:rPr>
          <w:sz w:val="20"/>
          <w:szCs w:val="20"/>
          <w:color w:val="auto"/>
        </w:rPr>
      </w:pPr>
      <w:r>
        <w:rPr>
          <w:rFonts w:ascii="Arial" w:cs="Arial" w:eastAsia="Arial" w:hAnsi="Arial"/>
          <w:sz w:val="17"/>
          <w:szCs w:val="17"/>
          <w:color w:val="auto"/>
        </w:rPr>
        <w:t>The following tables summarize the value of the termination payments and benefits that each of our named executive officers employed by Roper as of year-end would receive if he had terminated employment on December 31, 2023 under the circumstances shown. Scenarios for termination for cause, voluntary resignation, and retirement have not been included because, in those circumstances, no severance or other additional payments would be made to named executive officers. Other than with respect to Mr. Hunn’s Special Long-Term Cash Incentive Award, scenarios for termination due to death or disability have not been included because they do not discriminate in scope, terms or operation in favor of named executive officers compared to the benefits offered to all salaried employees.</w:t>
      </w:r>
    </w:p>
    <w:p>
      <w:pPr>
        <w:spacing w:after="0" w:line="137"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49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5CB9"/>
        </w:rPr>
        <w:t>L. N</w:t>
      </w:r>
      <w:r>
        <w:rPr>
          <w:rFonts w:ascii="Arial" w:cs="Arial" w:eastAsia="Arial" w:hAnsi="Arial"/>
          <w:sz w:val="14"/>
          <w:szCs w:val="14"/>
          <w:b w:val="1"/>
          <w:bCs w:val="1"/>
          <w:color w:val="005CB9"/>
        </w:rPr>
        <w:t>EIL</w:t>
      </w:r>
      <w:r>
        <w:rPr>
          <w:rFonts w:ascii="Arial" w:cs="Arial" w:eastAsia="Arial" w:hAnsi="Arial"/>
          <w:sz w:val="18"/>
          <w:szCs w:val="18"/>
          <w:b w:val="1"/>
          <w:bCs w:val="1"/>
          <w:color w:val="005CB9"/>
        </w:rPr>
        <w:t xml:space="preserve"> H</w:t>
      </w:r>
      <w:r>
        <w:rPr>
          <w:rFonts w:ascii="Arial" w:cs="Arial" w:eastAsia="Arial" w:hAnsi="Arial"/>
          <w:sz w:val="14"/>
          <w:szCs w:val="14"/>
          <w:b w:val="1"/>
          <w:bCs w:val="1"/>
          <w:color w:val="005CB9"/>
        </w:rPr>
        <w:t>UNN</w:t>
      </w:r>
    </w:p>
    <w:p>
      <w:pPr>
        <w:spacing w:after="0" w:line="13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820" w:type="dxa"/>
            <w:vAlign w:val="bottom"/>
            <w:shd w:val="clear" w:color="auto" w:fill="005CB9"/>
          </w:tcPr>
          <w:p>
            <w:pPr>
              <w:spacing w:after="0"/>
              <w:rPr>
                <w:sz w:val="15"/>
                <w:szCs w:val="15"/>
                <w:color w:val="auto"/>
              </w:rPr>
            </w:pPr>
          </w:p>
        </w:tc>
        <w:tc>
          <w:tcPr>
            <w:tcW w:w="760" w:type="dxa"/>
            <w:vAlign w:val="bottom"/>
            <w:shd w:val="clear" w:color="auto" w:fill="005CB9"/>
          </w:tcPr>
          <w:p>
            <w:pPr>
              <w:spacing w:after="0"/>
              <w:rPr>
                <w:sz w:val="15"/>
                <w:szCs w:val="15"/>
                <w:color w:val="auto"/>
              </w:rPr>
            </w:pPr>
          </w:p>
        </w:tc>
        <w:tc>
          <w:tcPr>
            <w:tcW w:w="940" w:type="dxa"/>
            <w:vAlign w:val="bottom"/>
            <w:shd w:val="clear" w:color="auto" w:fill="005CB9"/>
          </w:tcPr>
          <w:p>
            <w:pPr>
              <w:spacing w:after="0"/>
              <w:rPr>
                <w:sz w:val="15"/>
                <w:szCs w:val="15"/>
                <w:color w:val="auto"/>
              </w:rPr>
            </w:pPr>
          </w:p>
        </w:tc>
        <w:tc>
          <w:tcPr>
            <w:tcW w:w="140" w:type="dxa"/>
            <w:vAlign w:val="bottom"/>
            <w:shd w:val="clear" w:color="auto" w:fill="005CB9"/>
          </w:tcPr>
          <w:p>
            <w:pPr>
              <w:spacing w:after="0"/>
              <w:rPr>
                <w:sz w:val="15"/>
                <w:szCs w:val="15"/>
                <w:color w:val="auto"/>
              </w:rPr>
            </w:pPr>
          </w:p>
        </w:tc>
        <w:tc>
          <w:tcPr>
            <w:tcW w:w="1940" w:type="dxa"/>
            <w:vAlign w:val="bottom"/>
            <w:shd w:val="clear" w:color="auto" w:fill="005CB9"/>
          </w:tcPr>
          <w:p>
            <w:pPr>
              <w:jc w:val="center"/>
              <w:ind w:left="18"/>
              <w:spacing w:after="0"/>
              <w:rPr>
                <w:sz w:val="20"/>
                <w:szCs w:val="20"/>
                <w:color w:val="auto"/>
              </w:rPr>
            </w:pPr>
            <w:r>
              <w:rPr>
                <w:rFonts w:ascii="Arial" w:cs="Arial" w:eastAsia="Arial" w:hAnsi="Arial"/>
                <w:sz w:val="14"/>
                <w:szCs w:val="14"/>
                <w:color w:val="FFFFFF"/>
              </w:rPr>
              <w:t>Termination Scenario</w:t>
            </w:r>
          </w:p>
        </w:tc>
        <w:tc>
          <w:tcPr>
            <w:tcW w:w="440" w:type="dxa"/>
            <w:vAlign w:val="bottom"/>
            <w:shd w:val="clear" w:color="auto" w:fill="005CB9"/>
          </w:tcPr>
          <w:p>
            <w:pPr>
              <w:spacing w:after="0"/>
              <w:rPr>
                <w:sz w:val="15"/>
                <w:szCs w:val="15"/>
                <w:color w:val="auto"/>
              </w:rPr>
            </w:pPr>
          </w:p>
        </w:tc>
        <w:tc>
          <w:tcPr>
            <w:tcW w:w="980" w:type="dxa"/>
            <w:vAlign w:val="bottom"/>
            <w:shd w:val="clear" w:color="auto" w:fill="005CB9"/>
          </w:tcPr>
          <w:p>
            <w:pPr>
              <w:spacing w:after="0"/>
              <w:rPr>
                <w:sz w:val="15"/>
                <w:szCs w:val="15"/>
                <w:color w:val="auto"/>
              </w:rPr>
            </w:pPr>
          </w:p>
        </w:tc>
      </w:tr>
      <w:tr>
        <w:trPr>
          <w:trHeight w:val="153"/>
        </w:trPr>
        <w:tc>
          <w:tcPr>
            <w:tcW w:w="582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1080" w:type="dxa"/>
            <w:vAlign w:val="bottom"/>
            <w:gridSpan w:val="2"/>
            <w:shd w:val="clear" w:color="auto" w:fill="005CB9"/>
          </w:tcPr>
          <w:p>
            <w:pPr>
              <w:jc w:val="right"/>
              <w:spacing w:after="0" w:line="153" w:lineRule="exact"/>
              <w:rPr>
                <w:sz w:val="20"/>
                <w:szCs w:val="20"/>
                <w:color w:val="auto"/>
              </w:rPr>
            </w:pPr>
            <w:r>
              <w:rPr>
                <w:rFonts w:ascii="Arial" w:cs="Arial" w:eastAsia="Arial" w:hAnsi="Arial"/>
                <w:sz w:val="14"/>
                <w:szCs w:val="14"/>
                <w:color w:val="FFFFFF"/>
              </w:rPr>
              <w:t>By Employee</w:t>
            </w:r>
          </w:p>
        </w:tc>
        <w:tc>
          <w:tcPr>
            <w:tcW w:w="1940" w:type="dxa"/>
            <w:vAlign w:val="bottom"/>
            <w:shd w:val="clear" w:color="auto" w:fill="005CB9"/>
          </w:tcPr>
          <w:p>
            <w:pPr>
              <w:jc w:val="right"/>
              <w:ind w:right="338"/>
              <w:spacing w:after="0" w:line="153" w:lineRule="exact"/>
              <w:rPr>
                <w:sz w:val="20"/>
                <w:szCs w:val="20"/>
                <w:color w:val="auto"/>
              </w:rPr>
            </w:pPr>
            <w:r>
              <w:rPr>
                <w:rFonts w:ascii="Arial" w:cs="Arial" w:eastAsia="Arial" w:hAnsi="Arial"/>
                <w:sz w:val="14"/>
                <w:szCs w:val="14"/>
                <w:color w:val="FFFFFF"/>
              </w:rPr>
              <w:t>By Company</w:t>
            </w:r>
          </w:p>
        </w:tc>
        <w:tc>
          <w:tcPr>
            <w:tcW w:w="440" w:type="dxa"/>
            <w:vAlign w:val="bottom"/>
            <w:shd w:val="clear" w:color="auto" w:fill="005CB9"/>
          </w:tcPr>
          <w:p>
            <w:pPr>
              <w:spacing w:after="0"/>
              <w:rPr>
                <w:sz w:val="13"/>
                <w:szCs w:val="13"/>
                <w:color w:val="auto"/>
              </w:rPr>
            </w:pPr>
          </w:p>
        </w:tc>
        <w:tc>
          <w:tcPr>
            <w:tcW w:w="980" w:type="dxa"/>
            <w:vAlign w:val="bottom"/>
            <w:shd w:val="clear" w:color="auto" w:fill="005CB9"/>
          </w:tcPr>
          <w:p>
            <w:pPr>
              <w:jc w:val="right"/>
              <w:ind w:right="37"/>
              <w:spacing w:after="0" w:line="153" w:lineRule="exact"/>
              <w:rPr>
                <w:sz w:val="20"/>
                <w:szCs w:val="20"/>
                <w:color w:val="auto"/>
              </w:rPr>
            </w:pPr>
            <w:r>
              <w:rPr>
                <w:rFonts w:ascii="Arial" w:cs="Arial" w:eastAsia="Arial" w:hAnsi="Arial"/>
                <w:sz w:val="14"/>
                <w:szCs w:val="14"/>
                <w:color w:val="FFFFFF"/>
              </w:rPr>
              <w:t>Change in</w:t>
            </w:r>
          </w:p>
        </w:tc>
      </w:tr>
      <w:tr>
        <w:trPr>
          <w:trHeight w:val="212"/>
        </w:trPr>
        <w:tc>
          <w:tcPr>
            <w:tcW w:w="5820" w:type="dxa"/>
            <w:vAlign w:val="bottom"/>
            <w:shd w:val="clear" w:color="auto" w:fill="005CB9"/>
          </w:tcPr>
          <w:p>
            <w:pPr>
              <w:spacing w:after="0"/>
              <w:rPr>
                <w:sz w:val="20"/>
                <w:szCs w:val="20"/>
                <w:color w:val="auto"/>
              </w:rPr>
            </w:pPr>
            <w:r>
              <w:rPr>
                <w:rFonts w:ascii="Arial" w:cs="Arial" w:eastAsia="Arial" w:hAnsi="Arial"/>
                <w:sz w:val="14"/>
                <w:szCs w:val="14"/>
                <w:color w:val="FFFFFF"/>
              </w:rPr>
              <w:t>  Potential Payments Upon Termination or Change in Control</w:t>
            </w:r>
          </w:p>
        </w:tc>
        <w:tc>
          <w:tcPr>
            <w:tcW w:w="1840" w:type="dxa"/>
            <w:vAlign w:val="bottom"/>
            <w:gridSpan w:val="3"/>
            <w:shd w:val="clear" w:color="auto" w:fill="005CB9"/>
          </w:tcPr>
          <w:p>
            <w:pPr>
              <w:ind w:left="640"/>
              <w:spacing w:after="0"/>
              <w:rPr>
                <w:sz w:val="20"/>
                <w:szCs w:val="20"/>
                <w:color w:val="auto"/>
              </w:rPr>
            </w:pPr>
            <w:r>
              <w:rPr>
                <w:rFonts w:ascii="Arial" w:cs="Arial" w:eastAsia="Arial" w:hAnsi="Arial"/>
                <w:sz w:val="14"/>
                <w:szCs w:val="14"/>
                <w:color w:val="FFFFFF"/>
              </w:rPr>
              <w:t>For Good Reason</w:t>
            </w:r>
          </w:p>
        </w:tc>
        <w:tc>
          <w:tcPr>
            <w:tcW w:w="1940" w:type="dxa"/>
            <w:vAlign w:val="bottom"/>
            <w:shd w:val="clear" w:color="auto" w:fill="005CB9"/>
          </w:tcPr>
          <w:p>
            <w:pPr>
              <w:jc w:val="center"/>
              <w:ind w:left="78"/>
              <w:spacing w:after="0"/>
              <w:rPr>
                <w:sz w:val="20"/>
                <w:szCs w:val="20"/>
                <w:color w:val="auto"/>
              </w:rPr>
            </w:pPr>
            <w:r>
              <w:rPr>
                <w:rFonts w:ascii="Arial" w:cs="Arial" w:eastAsia="Arial" w:hAnsi="Arial"/>
                <w:sz w:val="14"/>
                <w:szCs w:val="14"/>
                <w:color w:val="FFFFFF"/>
              </w:rPr>
              <w:t>Without Cause</w:t>
            </w:r>
          </w:p>
        </w:tc>
        <w:tc>
          <w:tcPr>
            <w:tcW w:w="440" w:type="dxa"/>
            <w:vAlign w:val="bottom"/>
            <w:shd w:val="clear" w:color="auto" w:fill="005CB9"/>
          </w:tcPr>
          <w:p>
            <w:pPr>
              <w:spacing w:after="0"/>
              <w:rPr>
                <w:sz w:val="18"/>
                <w:szCs w:val="18"/>
                <w:color w:val="auto"/>
              </w:rPr>
            </w:pPr>
          </w:p>
        </w:tc>
        <w:tc>
          <w:tcPr>
            <w:tcW w:w="980" w:type="dxa"/>
            <w:vAlign w:val="bottom"/>
            <w:shd w:val="clear" w:color="auto" w:fill="005CB9"/>
          </w:tcPr>
          <w:p>
            <w:pPr>
              <w:jc w:val="right"/>
              <w:ind w:right="37"/>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Cash payments</w:t>
            </w:r>
          </w:p>
        </w:tc>
        <w:tc>
          <w:tcPr>
            <w:tcW w:w="760" w:type="dxa"/>
            <w:vAlign w:val="bottom"/>
            <w:shd w:val="clear" w:color="auto" w:fill="CCDEF1"/>
          </w:tcPr>
          <w:p>
            <w:pPr>
              <w:ind w:left="640"/>
              <w:spacing w:after="0"/>
              <w:rPr>
                <w:sz w:val="20"/>
                <w:szCs w:val="20"/>
                <w:color w:val="auto"/>
              </w:rPr>
            </w:pPr>
            <w:r>
              <w:rPr>
                <w:rFonts w:ascii="Arial" w:cs="Arial" w:eastAsia="Arial" w:hAnsi="Arial"/>
                <w:sz w:val="14"/>
                <w:szCs w:val="14"/>
                <w:color w:val="auto"/>
                <w:w w:val="71"/>
              </w:rPr>
              <w:t> </w:t>
            </w:r>
          </w:p>
        </w:tc>
        <w:tc>
          <w:tcPr>
            <w:tcW w:w="940" w:type="dxa"/>
            <w:vAlign w:val="bottom"/>
            <w:shd w:val="clear" w:color="auto" w:fill="CCDEF1"/>
          </w:tcPr>
          <w:p>
            <w:pPr>
              <w:jc w:val="right"/>
              <w:ind w:right="7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DEF1"/>
          </w:tcPr>
          <w:p>
            <w:pPr>
              <w:jc w:val="right"/>
              <w:ind w:right="338"/>
              <w:spacing w:after="0"/>
              <w:rPr>
                <w:sz w:val="20"/>
                <w:szCs w:val="20"/>
                <w:color w:val="auto"/>
              </w:rPr>
            </w:pPr>
            <w:r>
              <w:rPr>
                <w:rFonts w:ascii="Arial" w:cs="Arial" w:eastAsia="Arial" w:hAnsi="Arial"/>
                <w:sz w:val="17"/>
                <w:szCs w:val="17"/>
                <w:color w:val="auto"/>
              </w:rPr>
              <w:t>$ 1,000,000</w:t>
            </w:r>
          </w:p>
        </w:tc>
        <w:tc>
          <w:tcPr>
            <w:tcW w:w="4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rPr>
              <w:t>1,000,000</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1080" w:type="dxa"/>
            <w:vAlign w:val="bottom"/>
            <w:gridSpan w:val="2"/>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7"/>
                <w:szCs w:val="17"/>
                <w:color w:val="auto"/>
              </w:rPr>
              <w:t>  Payments related to Long-Term Cash Incentive Award</w:t>
            </w:r>
            <w:r>
              <w:rPr>
                <w:rFonts w:ascii="Arial" w:cs="Arial" w:eastAsia="Arial" w:hAnsi="Arial"/>
                <w:sz w:val="12"/>
                <w:szCs w:val="12"/>
                <w:color w:val="auto"/>
              </w:rPr>
              <w:t>(2)</w:t>
            </w:r>
          </w:p>
        </w:tc>
        <w:tc>
          <w:tcPr>
            <w:tcW w:w="76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17,842,000</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17,842,000</w:t>
            </w:r>
          </w:p>
        </w:tc>
        <w:tc>
          <w:tcPr>
            <w:tcW w:w="4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w w:val="98"/>
              </w:rPr>
              <w:t>17,842,000</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Accelerated Equity Awards</w:t>
            </w:r>
            <w:r>
              <w:rPr>
                <w:rFonts w:ascii="Arial" w:cs="Arial" w:eastAsia="Arial" w:hAnsi="Arial"/>
                <w:sz w:val="12"/>
                <w:szCs w:val="12"/>
                <w:color w:val="auto"/>
              </w:rPr>
              <w:t>(3)(4)</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spacing w:after="0"/>
              <w:rPr>
                <w:sz w:val="23"/>
                <w:szCs w:val="23"/>
                <w:color w:val="auto"/>
              </w:rPr>
            </w:pP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spacing w:after="0"/>
              <w:rPr>
                <w:sz w:val="23"/>
                <w:szCs w:val="23"/>
                <w:color w:val="auto"/>
              </w:rPr>
            </w:pP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spacing w:after="0"/>
              <w:rPr>
                <w:sz w:val="23"/>
                <w:szCs w:val="23"/>
                <w:color w:val="auto"/>
              </w:rPr>
            </w:pP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2021 Stock Option Grant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6,261,973</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2022 Stock Option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spacing w:after="0"/>
              <w:rPr>
                <w:sz w:val="23"/>
                <w:szCs w:val="23"/>
                <w:color w:val="auto"/>
              </w:rPr>
            </w:pPr>
          </w:p>
        </w:tc>
        <w:tc>
          <w:tcPr>
            <w:tcW w:w="1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DEF1"/>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rPr>
              <w:t>3,310,199</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2023 Stock Option Grant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4,207,169</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2022 Restricted Stock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spacing w:after="0"/>
              <w:rPr>
                <w:sz w:val="23"/>
                <w:szCs w:val="23"/>
                <w:color w:val="auto"/>
              </w:rPr>
            </w:pPr>
          </w:p>
        </w:tc>
        <w:tc>
          <w:tcPr>
            <w:tcW w:w="1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DEF1"/>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w w:val="98"/>
              </w:rPr>
              <w:t>16,029,634</w:t>
            </w:r>
          </w:p>
        </w:tc>
      </w:tr>
      <w:tr>
        <w:trPr>
          <w:trHeight w:val="67"/>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2023 Restricted Stock Grant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w w:val="98"/>
              </w:rPr>
              <w:t>17,807,978</w:t>
            </w:r>
          </w:p>
        </w:tc>
      </w:tr>
      <w:tr>
        <w:trPr>
          <w:trHeight w:val="67"/>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Continued Medical Benefits</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spacing w:after="0"/>
              <w:rPr>
                <w:sz w:val="23"/>
                <w:szCs w:val="23"/>
                <w:color w:val="auto"/>
              </w:rPr>
            </w:pPr>
          </w:p>
        </w:tc>
        <w:tc>
          <w:tcPr>
            <w:tcW w:w="1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DEF1"/>
          </w:tcPr>
          <w:p>
            <w:pPr>
              <w:jc w:val="right"/>
              <w:ind w:right="338"/>
              <w:spacing w:after="0"/>
              <w:rPr>
                <w:sz w:val="20"/>
                <w:szCs w:val="20"/>
                <w:color w:val="auto"/>
              </w:rPr>
            </w:pPr>
            <w:r>
              <w:rPr>
                <w:rFonts w:ascii="Arial" w:cs="Arial" w:eastAsia="Arial" w:hAnsi="Arial"/>
                <w:sz w:val="17"/>
                <w:szCs w:val="17"/>
                <w:color w:val="auto"/>
              </w:rPr>
              <w:t>25,835</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37"/>
              <w:spacing w:after="0"/>
              <w:rPr>
                <w:sz w:val="20"/>
                <w:szCs w:val="20"/>
                <w:color w:val="auto"/>
              </w:rPr>
            </w:pPr>
            <w:r>
              <w:rPr>
                <w:rFonts w:ascii="Arial" w:cs="Arial" w:eastAsia="Arial" w:hAnsi="Arial"/>
                <w:sz w:val="17"/>
                <w:szCs w:val="17"/>
                <w:color w:val="auto"/>
              </w:rPr>
              <w:t>25,835</w:t>
            </w:r>
          </w:p>
        </w:tc>
      </w:tr>
      <w:tr>
        <w:trPr>
          <w:trHeight w:val="67"/>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1080" w:type="dxa"/>
            <w:vAlign w:val="bottom"/>
            <w:gridSpan w:val="2"/>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1420" w:type="dxa"/>
            <w:vAlign w:val="bottom"/>
            <w:gridSpan w:val="2"/>
            <w:shd w:val="clear" w:color="auto" w:fill="CCDEF1"/>
          </w:tcPr>
          <w:p>
            <w:pPr>
              <w:spacing w:after="0"/>
              <w:rPr>
                <w:sz w:val="5"/>
                <w:szCs w:val="5"/>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7"/>
                <w:szCs w:val="17"/>
                <w:color w:val="auto"/>
              </w:rPr>
              <w:t>  Total</w:t>
            </w:r>
          </w:p>
        </w:tc>
        <w:tc>
          <w:tcPr>
            <w:tcW w:w="760" w:type="dxa"/>
            <w:vAlign w:val="bottom"/>
          </w:tcPr>
          <w:p>
            <w:pPr>
              <w:ind w:left="640"/>
              <w:spacing w:after="0"/>
              <w:rPr>
                <w:sz w:val="20"/>
                <w:szCs w:val="20"/>
                <w:color w:val="auto"/>
              </w:rPr>
            </w:pPr>
            <w:r>
              <w:rPr>
                <w:rFonts w:ascii="Arial" w:cs="Arial" w:eastAsia="Arial" w:hAnsi="Arial"/>
                <w:sz w:val="14"/>
                <w:szCs w:val="14"/>
                <w:color w:val="auto"/>
                <w:w w:val="71"/>
              </w:rPr>
              <w:t> </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$ 17,842,000</w:t>
            </w:r>
          </w:p>
        </w:tc>
        <w:tc>
          <w:tcPr>
            <w:tcW w:w="1940" w:type="dxa"/>
            <w:vAlign w:val="bottom"/>
          </w:tcPr>
          <w:p>
            <w:pPr>
              <w:jc w:val="right"/>
              <w:ind w:right="338"/>
              <w:spacing w:after="0"/>
              <w:rPr>
                <w:sz w:val="20"/>
                <w:szCs w:val="20"/>
                <w:color w:val="auto"/>
              </w:rPr>
            </w:pPr>
            <w:r>
              <w:rPr>
                <w:rFonts w:ascii="Arial" w:cs="Arial" w:eastAsia="Arial" w:hAnsi="Arial"/>
                <w:sz w:val="17"/>
                <w:szCs w:val="17"/>
                <w:color w:val="auto"/>
              </w:rPr>
              <w:t>$ 18,867,835</w:t>
            </w:r>
          </w:p>
        </w:tc>
        <w:tc>
          <w:tcPr>
            <w:tcW w:w="1420" w:type="dxa"/>
            <w:vAlign w:val="bottom"/>
            <w:gridSpan w:val="2"/>
          </w:tcPr>
          <w:p>
            <w:pPr>
              <w:jc w:val="right"/>
              <w:ind w:right="37"/>
              <w:spacing w:after="0"/>
              <w:rPr>
                <w:sz w:val="20"/>
                <w:szCs w:val="20"/>
                <w:color w:val="auto"/>
              </w:rPr>
            </w:pPr>
            <w:r>
              <w:rPr>
                <w:rFonts w:ascii="Arial" w:cs="Arial" w:eastAsia="Arial" w:hAnsi="Arial"/>
                <w:sz w:val="17"/>
                <w:szCs w:val="17"/>
                <w:color w:val="auto"/>
              </w:rPr>
              <w:t>$ 66,484,788</w:t>
            </w:r>
          </w:p>
        </w:tc>
      </w:tr>
      <w:tr>
        <w:trPr>
          <w:trHeight w:val="403"/>
        </w:trPr>
        <w:tc>
          <w:tcPr>
            <w:tcW w:w="5820" w:type="dxa"/>
            <w:vAlign w:val="bottom"/>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ASON</w:t>
            </w:r>
            <w:r>
              <w:rPr>
                <w:rFonts w:ascii="Arial" w:cs="Arial" w:eastAsia="Arial" w:hAnsi="Arial"/>
                <w:sz w:val="18"/>
                <w:szCs w:val="18"/>
                <w:b w:val="1"/>
                <w:bCs w:val="1"/>
                <w:color w:val="005CB9"/>
              </w:rPr>
              <w:t xml:space="preserve"> P. C</w:t>
            </w:r>
            <w:r>
              <w:rPr>
                <w:rFonts w:ascii="Arial" w:cs="Arial" w:eastAsia="Arial" w:hAnsi="Arial"/>
                <w:sz w:val="14"/>
                <w:szCs w:val="14"/>
                <w:b w:val="1"/>
                <w:bCs w:val="1"/>
                <w:color w:val="005CB9"/>
              </w:rPr>
              <w:t>ONLEY</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6"/>
        </w:trPr>
        <w:tc>
          <w:tcPr>
            <w:tcW w:w="5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75"/>
        </w:trPr>
        <w:tc>
          <w:tcPr>
            <w:tcW w:w="5820" w:type="dxa"/>
            <w:vAlign w:val="bottom"/>
            <w:shd w:val="clear" w:color="auto" w:fill="005CB9"/>
          </w:tcPr>
          <w:p>
            <w:pPr>
              <w:spacing w:after="0"/>
              <w:rPr>
                <w:sz w:val="15"/>
                <w:szCs w:val="15"/>
                <w:color w:val="auto"/>
              </w:rPr>
            </w:pPr>
          </w:p>
        </w:tc>
        <w:tc>
          <w:tcPr>
            <w:tcW w:w="760" w:type="dxa"/>
            <w:vAlign w:val="bottom"/>
            <w:shd w:val="clear" w:color="auto" w:fill="005CB9"/>
          </w:tcPr>
          <w:p>
            <w:pPr>
              <w:spacing w:after="0"/>
              <w:rPr>
                <w:sz w:val="15"/>
                <w:szCs w:val="15"/>
                <w:color w:val="auto"/>
              </w:rPr>
            </w:pPr>
          </w:p>
        </w:tc>
        <w:tc>
          <w:tcPr>
            <w:tcW w:w="940" w:type="dxa"/>
            <w:vAlign w:val="bottom"/>
            <w:shd w:val="clear" w:color="auto" w:fill="005CB9"/>
          </w:tcPr>
          <w:p>
            <w:pPr>
              <w:spacing w:after="0"/>
              <w:rPr>
                <w:sz w:val="15"/>
                <w:szCs w:val="15"/>
                <w:color w:val="auto"/>
              </w:rPr>
            </w:pPr>
          </w:p>
        </w:tc>
        <w:tc>
          <w:tcPr>
            <w:tcW w:w="140" w:type="dxa"/>
            <w:vAlign w:val="bottom"/>
            <w:shd w:val="clear" w:color="auto" w:fill="005CB9"/>
          </w:tcPr>
          <w:p>
            <w:pPr>
              <w:spacing w:after="0"/>
              <w:rPr>
                <w:sz w:val="15"/>
                <w:szCs w:val="15"/>
                <w:color w:val="auto"/>
              </w:rPr>
            </w:pPr>
          </w:p>
        </w:tc>
        <w:tc>
          <w:tcPr>
            <w:tcW w:w="1940" w:type="dxa"/>
            <w:vAlign w:val="bottom"/>
            <w:shd w:val="clear" w:color="auto" w:fill="005CB9"/>
          </w:tcPr>
          <w:p>
            <w:pPr>
              <w:jc w:val="right"/>
              <w:ind w:right="478"/>
              <w:spacing w:after="0"/>
              <w:rPr>
                <w:sz w:val="20"/>
                <w:szCs w:val="20"/>
                <w:color w:val="auto"/>
              </w:rPr>
            </w:pPr>
            <w:r>
              <w:rPr>
                <w:rFonts w:ascii="Arial" w:cs="Arial" w:eastAsia="Arial" w:hAnsi="Arial"/>
                <w:sz w:val="14"/>
                <w:szCs w:val="14"/>
                <w:color w:val="FFFFFF"/>
              </w:rPr>
              <w:t>Termination Scenario</w:t>
            </w:r>
          </w:p>
        </w:tc>
        <w:tc>
          <w:tcPr>
            <w:tcW w:w="440" w:type="dxa"/>
            <w:vAlign w:val="bottom"/>
            <w:shd w:val="clear" w:color="auto" w:fill="005CB9"/>
          </w:tcPr>
          <w:p>
            <w:pPr>
              <w:spacing w:after="0"/>
              <w:rPr>
                <w:sz w:val="15"/>
                <w:szCs w:val="15"/>
                <w:color w:val="auto"/>
              </w:rPr>
            </w:pPr>
          </w:p>
        </w:tc>
        <w:tc>
          <w:tcPr>
            <w:tcW w:w="980" w:type="dxa"/>
            <w:vAlign w:val="bottom"/>
            <w:shd w:val="clear" w:color="auto" w:fill="005CB9"/>
          </w:tcPr>
          <w:p>
            <w:pPr>
              <w:spacing w:after="0"/>
              <w:rPr>
                <w:sz w:val="15"/>
                <w:szCs w:val="15"/>
                <w:color w:val="auto"/>
              </w:rPr>
            </w:pPr>
          </w:p>
        </w:tc>
      </w:tr>
      <w:tr>
        <w:trPr>
          <w:trHeight w:val="153"/>
        </w:trPr>
        <w:tc>
          <w:tcPr>
            <w:tcW w:w="5820" w:type="dxa"/>
            <w:vAlign w:val="bottom"/>
            <w:shd w:val="clear" w:color="auto" w:fill="005CB9"/>
          </w:tcPr>
          <w:p>
            <w:pPr>
              <w:spacing w:after="0"/>
              <w:rPr>
                <w:sz w:val="13"/>
                <w:szCs w:val="13"/>
                <w:color w:val="auto"/>
              </w:rPr>
            </w:pPr>
          </w:p>
        </w:tc>
        <w:tc>
          <w:tcPr>
            <w:tcW w:w="1700" w:type="dxa"/>
            <w:vAlign w:val="bottom"/>
            <w:gridSpan w:val="2"/>
            <w:shd w:val="clear" w:color="auto" w:fill="005CB9"/>
          </w:tcPr>
          <w:p>
            <w:pPr>
              <w:jc w:val="right"/>
              <w:ind w:right="376"/>
              <w:spacing w:after="0" w:line="153" w:lineRule="exact"/>
              <w:rPr>
                <w:sz w:val="20"/>
                <w:szCs w:val="20"/>
                <w:color w:val="auto"/>
              </w:rPr>
            </w:pPr>
            <w:r>
              <w:rPr>
                <w:rFonts w:ascii="Arial" w:cs="Arial" w:eastAsia="Arial" w:hAnsi="Arial"/>
                <w:sz w:val="14"/>
                <w:szCs w:val="14"/>
                <w:color w:val="FFFFFF"/>
              </w:rPr>
              <w:t>By Employee</w:t>
            </w:r>
          </w:p>
        </w:tc>
        <w:tc>
          <w:tcPr>
            <w:tcW w:w="140" w:type="dxa"/>
            <w:vAlign w:val="bottom"/>
            <w:shd w:val="clear" w:color="auto" w:fill="005CB9"/>
          </w:tcPr>
          <w:p>
            <w:pPr>
              <w:spacing w:after="0"/>
              <w:rPr>
                <w:sz w:val="13"/>
                <w:szCs w:val="13"/>
                <w:color w:val="auto"/>
              </w:rPr>
            </w:pPr>
          </w:p>
        </w:tc>
        <w:tc>
          <w:tcPr>
            <w:tcW w:w="1940" w:type="dxa"/>
            <w:vAlign w:val="bottom"/>
            <w:shd w:val="clear" w:color="auto" w:fill="005CB9"/>
          </w:tcPr>
          <w:p>
            <w:pPr>
              <w:jc w:val="right"/>
              <w:ind w:right="698"/>
              <w:spacing w:after="0" w:line="153" w:lineRule="exact"/>
              <w:rPr>
                <w:sz w:val="20"/>
                <w:szCs w:val="20"/>
                <w:color w:val="auto"/>
              </w:rPr>
            </w:pPr>
            <w:r>
              <w:rPr>
                <w:rFonts w:ascii="Arial" w:cs="Arial" w:eastAsia="Arial" w:hAnsi="Arial"/>
                <w:sz w:val="14"/>
                <w:szCs w:val="14"/>
                <w:color w:val="FFFFFF"/>
              </w:rPr>
              <w:t>By Company</w:t>
            </w:r>
          </w:p>
        </w:tc>
        <w:tc>
          <w:tcPr>
            <w:tcW w:w="440" w:type="dxa"/>
            <w:vAlign w:val="bottom"/>
            <w:shd w:val="clear" w:color="auto" w:fill="005CB9"/>
          </w:tcPr>
          <w:p>
            <w:pPr>
              <w:spacing w:after="0"/>
              <w:rPr>
                <w:sz w:val="13"/>
                <w:szCs w:val="13"/>
                <w:color w:val="auto"/>
              </w:rPr>
            </w:pPr>
          </w:p>
        </w:tc>
        <w:tc>
          <w:tcPr>
            <w:tcW w:w="980" w:type="dxa"/>
            <w:vAlign w:val="bottom"/>
            <w:shd w:val="clear" w:color="auto" w:fill="005CB9"/>
          </w:tcPr>
          <w:p>
            <w:pPr>
              <w:jc w:val="right"/>
              <w:ind w:right="117"/>
              <w:spacing w:after="0" w:line="153" w:lineRule="exact"/>
              <w:rPr>
                <w:sz w:val="20"/>
                <w:szCs w:val="20"/>
                <w:color w:val="auto"/>
              </w:rPr>
            </w:pPr>
            <w:r>
              <w:rPr>
                <w:rFonts w:ascii="Arial" w:cs="Arial" w:eastAsia="Arial" w:hAnsi="Arial"/>
                <w:sz w:val="14"/>
                <w:szCs w:val="14"/>
                <w:color w:val="FFFFFF"/>
              </w:rPr>
              <w:t>Change in</w:t>
            </w:r>
          </w:p>
        </w:tc>
      </w:tr>
      <w:tr>
        <w:trPr>
          <w:trHeight w:val="212"/>
        </w:trPr>
        <w:tc>
          <w:tcPr>
            <w:tcW w:w="5820" w:type="dxa"/>
            <w:vAlign w:val="bottom"/>
            <w:shd w:val="clear" w:color="auto" w:fill="005CB9"/>
          </w:tcPr>
          <w:p>
            <w:pPr>
              <w:spacing w:after="0"/>
              <w:rPr>
                <w:sz w:val="20"/>
                <w:szCs w:val="20"/>
                <w:color w:val="auto"/>
              </w:rPr>
            </w:pPr>
            <w:r>
              <w:rPr>
                <w:rFonts w:ascii="Arial" w:cs="Arial" w:eastAsia="Arial" w:hAnsi="Arial"/>
                <w:sz w:val="14"/>
                <w:szCs w:val="14"/>
                <w:color w:val="FFFFFF"/>
              </w:rPr>
              <w:t>  Potential Payments Upon Termination or Change in Control</w:t>
            </w:r>
          </w:p>
        </w:tc>
        <w:tc>
          <w:tcPr>
            <w:tcW w:w="1700" w:type="dxa"/>
            <w:vAlign w:val="bottom"/>
            <w:gridSpan w:val="2"/>
            <w:shd w:val="clear" w:color="auto" w:fill="005CB9"/>
          </w:tcPr>
          <w:p>
            <w:pPr>
              <w:jc w:val="right"/>
              <w:ind w:right="376"/>
              <w:spacing w:after="0"/>
              <w:rPr>
                <w:sz w:val="20"/>
                <w:szCs w:val="20"/>
                <w:color w:val="auto"/>
              </w:rPr>
            </w:pPr>
            <w:r>
              <w:rPr>
                <w:rFonts w:ascii="Arial" w:cs="Arial" w:eastAsia="Arial" w:hAnsi="Arial"/>
                <w:sz w:val="14"/>
                <w:szCs w:val="14"/>
                <w:color w:val="FFFFFF"/>
              </w:rPr>
              <w:t>For Good Reason</w:t>
            </w:r>
          </w:p>
        </w:tc>
        <w:tc>
          <w:tcPr>
            <w:tcW w:w="140" w:type="dxa"/>
            <w:vAlign w:val="bottom"/>
            <w:shd w:val="clear" w:color="auto" w:fill="005CB9"/>
          </w:tcPr>
          <w:p>
            <w:pPr>
              <w:spacing w:after="0"/>
              <w:rPr>
                <w:sz w:val="18"/>
                <w:szCs w:val="18"/>
                <w:color w:val="auto"/>
              </w:rPr>
            </w:pPr>
          </w:p>
        </w:tc>
        <w:tc>
          <w:tcPr>
            <w:tcW w:w="1940" w:type="dxa"/>
            <w:vAlign w:val="bottom"/>
            <w:shd w:val="clear" w:color="auto" w:fill="005CB9"/>
          </w:tcPr>
          <w:p>
            <w:pPr>
              <w:jc w:val="right"/>
              <w:ind w:right="698"/>
              <w:spacing w:after="0"/>
              <w:rPr>
                <w:sz w:val="20"/>
                <w:szCs w:val="20"/>
                <w:color w:val="auto"/>
              </w:rPr>
            </w:pPr>
            <w:r>
              <w:rPr>
                <w:rFonts w:ascii="Arial" w:cs="Arial" w:eastAsia="Arial" w:hAnsi="Arial"/>
                <w:sz w:val="14"/>
                <w:szCs w:val="14"/>
                <w:color w:val="FFFFFF"/>
              </w:rPr>
              <w:t>Without Cause</w:t>
            </w:r>
          </w:p>
        </w:tc>
        <w:tc>
          <w:tcPr>
            <w:tcW w:w="440" w:type="dxa"/>
            <w:vAlign w:val="bottom"/>
            <w:shd w:val="clear" w:color="auto" w:fill="005CB9"/>
          </w:tcPr>
          <w:p>
            <w:pPr>
              <w:spacing w:after="0"/>
              <w:rPr>
                <w:sz w:val="18"/>
                <w:szCs w:val="18"/>
                <w:color w:val="auto"/>
              </w:rPr>
            </w:pPr>
          </w:p>
        </w:tc>
        <w:tc>
          <w:tcPr>
            <w:tcW w:w="980" w:type="dxa"/>
            <w:vAlign w:val="bottom"/>
            <w:shd w:val="clear" w:color="auto" w:fill="005CB9"/>
          </w:tcPr>
          <w:p>
            <w:pPr>
              <w:jc w:val="right"/>
              <w:ind w:right="117"/>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Cash payments</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698"/>
              <w:spacing w:after="0"/>
              <w:rPr>
                <w:sz w:val="20"/>
                <w:szCs w:val="20"/>
                <w:color w:val="auto"/>
              </w:rPr>
            </w:pPr>
            <w:r>
              <w:rPr>
                <w:rFonts w:ascii="Arial" w:cs="Arial" w:eastAsia="Arial" w:hAnsi="Arial"/>
                <w:sz w:val="17"/>
                <w:szCs w:val="17"/>
                <w:color w:val="auto"/>
              </w:rPr>
              <w:t>$  -</w:t>
            </w:r>
          </w:p>
        </w:tc>
        <w:tc>
          <w:tcPr>
            <w:tcW w:w="440" w:type="dxa"/>
            <w:vAlign w:val="bottom"/>
            <w:shd w:val="clear" w:color="auto" w:fill="CCDEF1"/>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DEF1"/>
          </w:tcPr>
          <w:p>
            <w:pPr>
              <w:jc w:val="right"/>
              <w:ind w:right="117"/>
              <w:spacing w:after="0"/>
              <w:rPr>
                <w:sz w:val="20"/>
                <w:szCs w:val="20"/>
                <w:color w:val="auto"/>
              </w:rPr>
            </w:pPr>
            <w:r>
              <w:rPr>
                <w:rFonts w:ascii="Arial" w:cs="Arial" w:eastAsia="Arial" w:hAnsi="Arial"/>
                <w:sz w:val="17"/>
                <w:szCs w:val="17"/>
                <w:color w:val="auto"/>
              </w:rPr>
              <w:t>-</w:t>
            </w:r>
          </w:p>
        </w:tc>
      </w:tr>
      <w:tr>
        <w:trPr>
          <w:trHeight w:val="67"/>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7"/>
                <w:szCs w:val="17"/>
                <w:color w:val="auto"/>
              </w:rPr>
              <w:t>  Accelerated Equity Awards</w:t>
            </w:r>
            <w:r>
              <w:rPr>
                <w:rFonts w:ascii="Arial" w:cs="Arial" w:eastAsia="Arial" w:hAnsi="Arial"/>
                <w:sz w:val="12"/>
                <w:szCs w:val="12"/>
                <w:color w:val="auto"/>
              </w:rPr>
              <w:t>(3)(4)</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67"/>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2021 Stock Option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117"/>
              <w:spacing w:after="0"/>
              <w:rPr>
                <w:sz w:val="20"/>
                <w:szCs w:val="20"/>
                <w:color w:val="auto"/>
              </w:rPr>
            </w:pPr>
            <w:r>
              <w:rPr>
                <w:rFonts w:ascii="Arial" w:cs="Arial" w:eastAsia="Arial" w:hAnsi="Arial"/>
                <w:sz w:val="17"/>
                <w:szCs w:val="17"/>
                <w:color w:val="auto"/>
              </w:rPr>
              <w:t>601,483</w:t>
            </w:r>
          </w:p>
        </w:tc>
      </w:tr>
      <w:tr>
        <w:trPr>
          <w:trHeight w:val="67"/>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2022 Stock Option Grant</w:t>
            </w:r>
          </w:p>
        </w:tc>
        <w:tc>
          <w:tcPr>
            <w:tcW w:w="760" w:type="dxa"/>
            <w:vAlign w:val="bottom"/>
          </w:tcPr>
          <w:p>
            <w:pPr>
              <w:spacing w:after="0"/>
              <w:rPr>
                <w:sz w:val="23"/>
                <w:szCs w:val="23"/>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940" w:type="dxa"/>
            <w:vAlign w:val="bottom"/>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7"/>
                <w:szCs w:val="17"/>
                <w:color w:val="auto"/>
              </w:rPr>
              <w:t>625,279</w:t>
            </w:r>
          </w:p>
        </w:tc>
      </w:tr>
      <w:tr>
        <w:trPr>
          <w:trHeight w:val="67"/>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2023 Stock Option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117"/>
              <w:spacing w:after="0"/>
              <w:rPr>
                <w:sz w:val="20"/>
                <w:szCs w:val="20"/>
                <w:color w:val="auto"/>
              </w:rPr>
            </w:pPr>
            <w:r>
              <w:rPr>
                <w:rFonts w:ascii="Arial" w:cs="Arial" w:eastAsia="Arial" w:hAnsi="Arial"/>
                <w:sz w:val="17"/>
                <w:szCs w:val="17"/>
                <w:color w:val="auto"/>
              </w:rPr>
              <w:t>1,135,402</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2022 Restricted Stock Grant</w:t>
            </w:r>
          </w:p>
        </w:tc>
        <w:tc>
          <w:tcPr>
            <w:tcW w:w="760" w:type="dxa"/>
            <w:vAlign w:val="bottom"/>
          </w:tcPr>
          <w:p>
            <w:pPr>
              <w:spacing w:after="0"/>
              <w:rPr>
                <w:sz w:val="23"/>
                <w:szCs w:val="23"/>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940" w:type="dxa"/>
            <w:vAlign w:val="bottom"/>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7"/>
                <w:szCs w:val="17"/>
                <w:color w:val="auto"/>
              </w:rPr>
              <w:t>3,056,768</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2023 Restricted Stock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117"/>
              <w:spacing w:after="0"/>
              <w:rPr>
                <w:sz w:val="20"/>
                <w:szCs w:val="20"/>
                <w:color w:val="auto"/>
              </w:rPr>
            </w:pPr>
            <w:r>
              <w:rPr>
                <w:rFonts w:ascii="Arial" w:cs="Arial" w:eastAsia="Arial" w:hAnsi="Arial"/>
                <w:sz w:val="17"/>
                <w:szCs w:val="17"/>
                <w:color w:val="auto"/>
              </w:rPr>
              <w:t>4,805,674</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7"/>
                <w:szCs w:val="17"/>
                <w:color w:val="auto"/>
              </w:rPr>
              <w:t>  Continued Medical Benefits</w:t>
            </w:r>
          </w:p>
        </w:tc>
        <w:tc>
          <w:tcPr>
            <w:tcW w:w="760" w:type="dxa"/>
            <w:vAlign w:val="bottom"/>
          </w:tcPr>
          <w:p>
            <w:pPr>
              <w:spacing w:after="0"/>
              <w:rPr>
                <w:sz w:val="23"/>
                <w:szCs w:val="23"/>
                <w:color w:val="auto"/>
              </w:rPr>
            </w:pPr>
          </w:p>
        </w:tc>
        <w:tc>
          <w:tcPr>
            <w:tcW w:w="94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3"/>
                <w:szCs w:val="23"/>
                <w:color w:val="auto"/>
              </w:rPr>
            </w:pPr>
          </w:p>
        </w:tc>
        <w:tc>
          <w:tcPr>
            <w:tcW w:w="1940" w:type="dxa"/>
            <w:vAlign w:val="bottom"/>
          </w:tcPr>
          <w:p>
            <w:pPr>
              <w:jc w:val="right"/>
              <w:ind w:right="69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420" w:type="dxa"/>
            <w:vAlign w:val="bottom"/>
            <w:gridSpan w:val="2"/>
          </w:tcPr>
          <w:p>
            <w:pPr>
              <w:spacing w:after="0"/>
              <w:rPr>
                <w:sz w:val="5"/>
                <w:szCs w:val="5"/>
                <w:color w:val="auto"/>
              </w:rPr>
            </w:pP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Total</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ind w:right="376"/>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698"/>
              <w:spacing w:after="0"/>
              <w:rPr>
                <w:sz w:val="20"/>
                <w:szCs w:val="20"/>
                <w:color w:val="auto"/>
              </w:rPr>
            </w:pPr>
            <w:r>
              <w:rPr>
                <w:rFonts w:ascii="Arial" w:cs="Arial" w:eastAsia="Arial" w:hAnsi="Arial"/>
                <w:sz w:val="17"/>
                <w:szCs w:val="17"/>
                <w:color w:val="auto"/>
              </w:rPr>
              <w:t>$  -</w:t>
            </w:r>
          </w:p>
        </w:tc>
        <w:tc>
          <w:tcPr>
            <w:tcW w:w="1420" w:type="dxa"/>
            <w:vAlign w:val="bottom"/>
            <w:gridSpan w:val="2"/>
            <w:shd w:val="clear" w:color="auto" w:fill="CCDEF1"/>
          </w:tcPr>
          <w:p>
            <w:pPr>
              <w:jc w:val="right"/>
              <w:ind w:right="117"/>
              <w:spacing w:after="0"/>
              <w:rPr>
                <w:sz w:val="20"/>
                <w:szCs w:val="20"/>
                <w:color w:val="auto"/>
              </w:rPr>
            </w:pPr>
            <w:r>
              <w:rPr>
                <w:rFonts w:ascii="Arial" w:cs="Arial" w:eastAsia="Arial" w:hAnsi="Arial"/>
                <w:sz w:val="17"/>
                <w:szCs w:val="17"/>
                <w:color w:val="auto"/>
              </w:rPr>
              <w:t>$ 10,224,606</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336"/>
        </w:trPr>
        <w:tc>
          <w:tcPr>
            <w:tcW w:w="5820" w:type="dxa"/>
            <w:vAlign w:val="bottom"/>
          </w:tcPr>
          <w:p>
            <w:pPr>
              <w:spacing w:after="0"/>
              <w:rPr>
                <w:sz w:val="20"/>
                <w:szCs w:val="20"/>
                <w:color w:val="auto"/>
              </w:rPr>
            </w:pPr>
            <w:r>
              <w:rPr>
                <w:rFonts w:ascii="Arial" w:cs="Arial" w:eastAsia="Arial" w:hAnsi="Arial"/>
                <w:sz w:val="18"/>
                <w:szCs w:val="18"/>
                <w:b w:val="1"/>
                <w:bCs w:val="1"/>
                <w:color w:val="005CB9"/>
              </w:rPr>
              <w:t>J</w:t>
            </w:r>
            <w:r>
              <w:rPr>
                <w:rFonts w:ascii="Arial" w:cs="Arial" w:eastAsia="Arial" w:hAnsi="Arial"/>
                <w:sz w:val="14"/>
                <w:szCs w:val="14"/>
                <w:b w:val="1"/>
                <w:bCs w:val="1"/>
                <w:color w:val="005CB9"/>
              </w:rPr>
              <w:t>OHN</w:t>
            </w:r>
            <w:r>
              <w:rPr>
                <w:rFonts w:ascii="Arial" w:cs="Arial" w:eastAsia="Arial" w:hAnsi="Arial"/>
                <w:sz w:val="18"/>
                <w:szCs w:val="18"/>
                <w:b w:val="1"/>
                <w:bCs w:val="1"/>
                <w:color w:val="005CB9"/>
              </w:rPr>
              <w:t xml:space="preserve"> K. S</w:t>
            </w:r>
            <w:r>
              <w:rPr>
                <w:rFonts w:ascii="Arial" w:cs="Arial" w:eastAsia="Arial" w:hAnsi="Arial"/>
                <w:sz w:val="14"/>
                <w:szCs w:val="14"/>
                <w:b w:val="1"/>
                <w:bCs w:val="1"/>
                <w:color w:val="005CB9"/>
              </w:rPr>
              <w:t>TIPANCICH</w:t>
            </w: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96"/>
        </w:trPr>
        <w:tc>
          <w:tcPr>
            <w:tcW w:w="5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tcPr>
          <w:p>
            <w:pPr>
              <w:spacing w:after="0"/>
              <w:rPr>
                <w:sz w:val="8"/>
                <w:szCs w:val="8"/>
                <w:color w:val="auto"/>
              </w:rPr>
            </w:pPr>
          </w:p>
        </w:tc>
      </w:tr>
      <w:tr>
        <w:trPr>
          <w:trHeight w:val="175"/>
        </w:trPr>
        <w:tc>
          <w:tcPr>
            <w:tcW w:w="5820" w:type="dxa"/>
            <w:vAlign w:val="bottom"/>
            <w:shd w:val="clear" w:color="auto" w:fill="005CB9"/>
          </w:tcPr>
          <w:p>
            <w:pPr>
              <w:spacing w:after="0"/>
              <w:rPr>
                <w:sz w:val="15"/>
                <w:szCs w:val="15"/>
                <w:color w:val="auto"/>
              </w:rPr>
            </w:pPr>
          </w:p>
        </w:tc>
        <w:tc>
          <w:tcPr>
            <w:tcW w:w="760" w:type="dxa"/>
            <w:vAlign w:val="bottom"/>
            <w:shd w:val="clear" w:color="auto" w:fill="005CB9"/>
          </w:tcPr>
          <w:p>
            <w:pPr>
              <w:spacing w:after="0"/>
              <w:rPr>
                <w:sz w:val="15"/>
                <w:szCs w:val="15"/>
                <w:color w:val="auto"/>
              </w:rPr>
            </w:pPr>
          </w:p>
        </w:tc>
        <w:tc>
          <w:tcPr>
            <w:tcW w:w="940" w:type="dxa"/>
            <w:vAlign w:val="bottom"/>
            <w:shd w:val="clear" w:color="auto" w:fill="005CB9"/>
          </w:tcPr>
          <w:p>
            <w:pPr>
              <w:spacing w:after="0"/>
              <w:rPr>
                <w:sz w:val="15"/>
                <w:szCs w:val="15"/>
                <w:color w:val="auto"/>
              </w:rPr>
            </w:pPr>
          </w:p>
        </w:tc>
        <w:tc>
          <w:tcPr>
            <w:tcW w:w="140" w:type="dxa"/>
            <w:vAlign w:val="bottom"/>
            <w:shd w:val="clear" w:color="auto" w:fill="005CB9"/>
          </w:tcPr>
          <w:p>
            <w:pPr>
              <w:spacing w:after="0"/>
              <w:rPr>
                <w:sz w:val="15"/>
                <w:szCs w:val="15"/>
                <w:color w:val="auto"/>
              </w:rPr>
            </w:pPr>
          </w:p>
        </w:tc>
        <w:tc>
          <w:tcPr>
            <w:tcW w:w="1940" w:type="dxa"/>
            <w:vAlign w:val="bottom"/>
            <w:shd w:val="clear" w:color="auto" w:fill="005CB9"/>
          </w:tcPr>
          <w:p>
            <w:pPr>
              <w:jc w:val="right"/>
              <w:ind w:right="278"/>
              <w:spacing w:after="0"/>
              <w:rPr>
                <w:sz w:val="20"/>
                <w:szCs w:val="20"/>
                <w:color w:val="auto"/>
              </w:rPr>
            </w:pPr>
            <w:r>
              <w:rPr>
                <w:rFonts w:ascii="Arial" w:cs="Arial" w:eastAsia="Arial" w:hAnsi="Arial"/>
                <w:sz w:val="14"/>
                <w:szCs w:val="14"/>
                <w:color w:val="FFFFFF"/>
              </w:rPr>
              <w:t>Termination Scenario</w:t>
            </w:r>
          </w:p>
        </w:tc>
        <w:tc>
          <w:tcPr>
            <w:tcW w:w="440" w:type="dxa"/>
            <w:vAlign w:val="bottom"/>
            <w:shd w:val="clear" w:color="auto" w:fill="005CB9"/>
          </w:tcPr>
          <w:p>
            <w:pPr>
              <w:spacing w:after="0"/>
              <w:rPr>
                <w:sz w:val="15"/>
                <w:szCs w:val="15"/>
                <w:color w:val="auto"/>
              </w:rPr>
            </w:pPr>
          </w:p>
        </w:tc>
        <w:tc>
          <w:tcPr>
            <w:tcW w:w="980" w:type="dxa"/>
            <w:vAlign w:val="bottom"/>
            <w:shd w:val="clear" w:color="auto" w:fill="005CB9"/>
          </w:tcPr>
          <w:p>
            <w:pPr>
              <w:spacing w:after="0"/>
              <w:rPr>
                <w:sz w:val="15"/>
                <w:szCs w:val="15"/>
                <w:color w:val="auto"/>
              </w:rPr>
            </w:pPr>
          </w:p>
        </w:tc>
      </w:tr>
      <w:tr>
        <w:trPr>
          <w:trHeight w:val="153"/>
        </w:trPr>
        <w:tc>
          <w:tcPr>
            <w:tcW w:w="5820" w:type="dxa"/>
            <w:vAlign w:val="bottom"/>
            <w:shd w:val="clear" w:color="auto" w:fill="005CB9"/>
          </w:tcPr>
          <w:p>
            <w:pPr>
              <w:spacing w:after="0"/>
              <w:rPr>
                <w:sz w:val="13"/>
                <w:szCs w:val="13"/>
                <w:color w:val="auto"/>
              </w:rPr>
            </w:pPr>
          </w:p>
        </w:tc>
        <w:tc>
          <w:tcPr>
            <w:tcW w:w="760" w:type="dxa"/>
            <w:vAlign w:val="bottom"/>
            <w:shd w:val="clear" w:color="auto" w:fill="005CB9"/>
          </w:tcPr>
          <w:p>
            <w:pPr>
              <w:spacing w:after="0"/>
              <w:rPr>
                <w:sz w:val="13"/>
                <w:szCs w:val="13"/>
                <w:color w:val="auto"/>
              </w:rPr>
            </w:pPr>
          </w:p>
        </w:tc>
        <w:tc>
          <w:tcPr>
            <w:tcW w:w="940" w:type="dxa"/>
            <w:vAlign w:val="bottom"/>
            <w:shd w:val="clear" w:color="auto" w:fill="005CB9"/>
          </w:tcPr>
          <w:p>
            <w:pPr>
              <w:jc w:val="right"/>
              <w:spacing w:after="0" w:line="153" w:lineRule="exact"/>
              <w:rPr>
                <w:sz w:val="20"/>
                <w:szCs w:val="20"/>
                <w:color w:val="auto"/>
              </w:rPr>
            </w:pPr>
            <w:r>
              <w:rPr>
                <w:rFonts w:ascii="Arial" w:cs="Arial" w:eastAsia="Arial" w:hAnsi="Arial"/>
                <w:sz w:val="14"/>
                <w:szCs w:val="14"/>
                <w:color w:val="FFFFFF"/>
              </w:rPr>
              <w:t>By Employee</w:t>
            </w:r>
          </w:p>
        </w:tc>
        <w:tc>
          <w:tcPr>
            <w:tcW w:w="140" w:type="dxa"/>
            <w:vAlign w:val="bottom"/>
            <w:shd w:val="clear" w:color="auto" w:fill="005CB9"/>
          </w:tcPr>
          <w:p>
            <w:pPr>
              <w:spacing w:after="0"/>
              <w:rPr>
                <w:sz w:val="13"/>
                <w:szCs w:val="13"/>
                <w:color w:val="auto"/>
              </w:rPr>
            </w:pPr>
          </w:p>
        </w:tc>
        <w:tc>
          <w:tcPr>
            <w:tcW w:w="1940" w:type="dxa"/>
            <w:vAlign w:val="bottom"/>
            <w:shd w:val="clear" w:color="auto" w:fill="005CB9"/>
          </w:tcPr>
          <w:p>
            <w:pPr>
              <w:jc w:val="center"/>
              <w:ind w:left="38"/>
              <w:spacing w:after="0" w:line="153" w:lineRule="exact"/>
              <w:rPr>
                <w:sz w:val="20"/>
                <w:szCs w:val="20"/>
                <w:color w:val="auto"/>
              </w:rPr>
            </w:pPr>
            <w:r>
              <w:rPr>
                <w:rFonts w:ascii="Arial" w:cs="Arial" w:eastAsia="Arial" w:hAnsi="Arial"/>
                <w:sz w:val="14"/>
                <w:szCs w:val="14"/>
                <w:color w:val="FFFFFF"/>
              </w:rPr>
              <w:t>By Company</w:t>
            </w:r>
          </w:p>
        </w:tc>
        <w:tc>
          <w:tcPr>
            <w:tcW w:w="440" w:type="dxa"/>
            <w:vAlign w:val="bottom"/>
            <w:shd w:val="clear" w:color="auto" w:fill="005CB9"/>
          </w:tcPr>
          <w:p>
            <w:pPr>
              <w:spacing w:after="0"/>
              <w:rPr>
                <w:sz w:val="13"/>
                <w:szCs w:val="13"/>
                <w:color w:val="auto"/>
              </w:rPr>
            </w:pPr>
          </w:p>
        </w:tc>
        <w:tc>
          <w:tcPr>
            <w:tcW w:w="980" w:type="dxa"/>
            <w:vAlign w:val="bottom"/>
            <w:shd w:val="clear" w:color="auto" w:fill="005CB9"/>
          </w:tcPr>
          <w:p>
            <w:pPr>
              <w:jc w:val="right"/>
              <w:ind w:right="137"/>
              <w:spacing w:after="0" w:line="153" w:lineRule="exact"/>
              <w:rPr>
                <w:sz w:val="20"/>
                <w:szCs w:val="20"/>
                <w:color w:val="auto"/>
              </w:rPr>
            </w:pPr>
            <w:r>
              <w:rPr>
                <w:rFonts w:ascii="Arial" w:cs="Arial" w:eastAsia="Arial" w:hAnsi="Arial"/>
                <w:sz w:val="14"/>
                <w:szCs w:val="14"/>
                <w:color w:val="FFFFFF"/>
              </w:rPr>
              <w:t>Change in</w:t>
            </w:r>
          </w:p>
        </w:tc>
      </w:tr>
      <w:tr>
        <w:trPr>
          <w:trHeight w:val="212"/>
        </w:trPr>
        <w:tc>
          <w:tcPr>
            <w:tcW w:w="5820" w:type="dxa"/>
            <w:vAlign w:val="bottom"/>
            <w:shd w:val="clear" w:color="auto" w:fill="005CB9"/>
          </w:tcPr>
          <w:p>
            <w:pPr>
              <w:spacing w:after="0"/>
              <w:rPr>
                <w:sz w:val="20"/>
                <w:szCs w:val="20"/>
                <w:color w:val="auto"/>
              </w:rPr>
            </w:pPr>
            <w:r>
              <w:rPr>
                <w:rFonts w:ascii="Arial" w:cs="Arial" w:eastAsia="Arial" w:hAnsi="Arial"/>
                <w:sz w:val="14"/>
                <w:szCs w:val="14"/>
                <w:color w:val="FFFFFF"/>
              </w:rPr>
              <w:t>  Potential Payments Upon Termination or Change in Control</w:t>
            </w:r>
          </w:p>
        </w:tc>
        <w:tc>
          <w:tcPr>
            <w:tcW w:w="1700" w:type="dxa"/>
            <w:vAlign w:val="bottom"/>
            <w:gridSpan w:val="2"/>
            <w:shd w:val="clear" w:color="auto" w:fill="005CB9"/>
          </w:tcPr>
          <w:p>
            <w:pPr>
              <w:jc w:val="right"/>
              <w:spacing w:after="0"/>
              <w:rPr>
                <w:sz w:val="20"/>
                <w:szCs w:val="20"/>
                <w:color w:val="auto"/>
              </w:rPr>
            </w:pPr>
            <w:r>
              <w:rPr>
                <w:rFonts w:ascii="Arial" w:cs="Arial" w:eastAsia="Arial" w:hAnsi="Arial"/>
                <w:sz w:val="14"/>
                <w:szCs w:val="14"/>
                <w:color w:val="FFFFFF"/>
              </w:rPr>
              <w:t>For Good Reason</w:t>
            </w:r>
          </w:p>
        </w:tc>
        <w:tc>
          <w:tcPr>
            <w:tcW w:w="140" w:type="dxa"/>
            <w:vAlign w:val="bottom"/>
            <w:shd w:val="clear" w:color="auto" w:fill="005CB9"/>
          </w:tcPr>
          <w:p>
            <w:pPr>
              <w:spacing w:after="0"/>
              <w:rPr>
                <w:sz w:val="18"/>
                <w:szCs w:val="18"/>
                <w:color w:val="auto"/>
              </w:rPr>
            </w:pPr>
          </w:p>
        </w:tc>
        <w:tc>
          <w:tcPr>
            <w:tcW w:w="1940" w:type="dxa"/>
            <w:vAlign w:val="bottom"/>
            <w:shd w:val="clear" w:color="auto" w:fill="005CB9"/>
          </w:tcPr>
          <w:p>
            <w:pPr>
              <w:jc w:val="right"/>
              <w:ind w:right="418"/>
              <w:spacing w:after="0"/>
              <w:rPr>
                <w:sz w:val="20"/>
                <w:szCs w:val="20"/>
                <w:color w:val="auto"/>
              </w:rPr>
            </w:pPr>
            <w:r>
              <w:rPr>
                <w:rFonts w:ascii="Arial" w:cs="Arial" w:eastAsia="Arial" w:hAnsi="Arial"/>
                <w:sz w:val="14"/>
                <w:szCs w:val="14"/>
                <w:color w:val="FFFFFF"/>
              </w:rPr>
              <w:t>Without Cause</w:t>
            </w:r>
          </w:p>
        </w:tc>
        <w:tc>
          <w:tcPr>
            <w:tcW w:w="440" w:type="dxa"/>
            <w:vAlign w:val="bottom"/>
            <w:shd w:val="clear" w:color="auto" w:fill="005CB9"/>
          </w:tcPr>
          <w:p>
            <w:pPr>
              <w:spacing w:after="0"/>
              <w:rPr>
                <w:sz w:val="18"/>
                <w:szCs w:val="18"/>
                <w:color w:val="auto"/>
              </w:rPr>
            </w:pPr>
          </w:p>
        </w:tc>
        <w:tc>
          <w:tcPr>
            <w:tcW w:w="980" w:type="dxa"/>
            <w:vAlign w:val="bottom"/>
            <w:shd w:val="clear" w:color="auto" w:fill="005CB9"/>
          </w:tcPr>
          <w:p>
            <w:pPr>
              <w:jc w:val="right"/>
              <w:ind w:right="137"/>
              <w:spacing w:after="0"/>
              <w:rPr>
                <w:sz w:val="20"/>
                <w:szCs w:val="20"/>
                <w:color w:val="auto"/>
              </w:rPr>
            </w:pPr>
            <w:r>
              <w:rPr>
                <w:rFonts w:ascii="Arial" w:cs="Arial" w:eastAsia="Arial" w:hAnsi="Arial"/>
                <w:sz w:val="14"/>
                <w:szCs w:val="14"/>
                <w:color w:val="FFFFFF"/>
              </w:rPr>
              <w:t>Control</w:t>
            </w:r>
            <w:r>
              <w:rPr>
                <w:rFonts w:ascii="Arial" w:cs="Arial" w:eastAsia="Arial" w:hAnsi="Arial"/>
                <w:sz w:val="14"/>
                <w:szCs w:val="14"/>
                <w:color w:val="FFFFFF"/>
                <w:vertAlign w:val="superscript"/>
              </w:rPr>
              <w:t>(1)</w:t>
            </w: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Cash payments</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418"/>
              <w:spacing w:after="0"/>
              <w:rPr>
                <w:sz w:val="20"/>
                <w:szCs w:val="20"/>
                <w:color w:val="auto"/>
              </w:rPr>
            </w:pPr>
            <w:r>
              <w:rPr>
                <w:rFonts w:ascii="Arial" w:cs="Arial" w:eastAsia="Arial" w:hAnsi="Arial"/>
                <w:sz w:val="17"/>
                <w:szCs w:val="17"/>
                <w:color w:val="auto"/>
              </w:rPr>
              <w:t>$1,800,000</w:t>
            </w:r>
          </w:p>
        </w:tc>
        <w:tc>
          <w:tcPr>
            <w:tcW w:w="440" w:type="dxa"/>
            <w:vAlign w:val="bottom"/>
            <w:shd w:val="clear" w:color="auto" w:fill="CCDEF1"/>
          </w:tcPr>
          <w:p>
            <w:pPr>
              <w:jc w:val="right"/>
              <w:ind w:right="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DEF1"/>
          </w:tcPr>
          <w:p>
            <w:pPr>
              <w:jc w:val="right"/>
              <w:ind w:right="137"/>
              <w:spacing w:after="0"/>
              <w:rPr>
                <w:sz w:val="20"/>
                <w:szCs w:val="20"/>
                <w:color w:val="auto"/>
              </w:rPr>
            </w:pPr>
            <w:r>
              <w:rPr>
                <w:rFonts w:ascii="Arial" w:cs="Arial" w:eastAsia="Arial" w:hAnsi="Arial"/>
                <w:sz w:val="17"/>
                <w:szCs w:val="17"/>
                <w:color w:val="auto"/>
                <w:w w:val="97"/>
              </w:rPr>
              <w:t>1,800,000</w:t>
            </w:r>
          </w:p>
        </w:tc>
      </w:tr>
      <w:tr>
        <w:trPr>
          <w:trHeight w:val="67"/>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7"/>
                <w:szCs w:val="17"/>
                <w:color w:val="auto"/>
              </w:rPr>
              <w:t>  Accelerated Equity Awards</w:t>
            </w:r>
            <w:r>
              <w:rPr>
                <w:rFonts w:ascii="Arial" w:cs="Arial" w:eastAsia="Arial" w:hAnsi="Arial"/>
                <w:sz w:val="12"/>
                <w:szCs w:val="12"/>
                <w:color w:val="auto"/>
              </w:rPr>
              <w:t>(3)(4)</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67"/>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2021 Stock Option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41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137"/>
              <w:spacing w:after="0"/>
              <w:rPr>
                <w:sz w:val="20"/>
                <w:szCs w:val="20"/>
                <w:color w:val="auto"/>
              </w:rPr>
            </w:pPr>
            <w:r>
              <w:rPr>
                <w:rFonts w:ascii="Arial" w:cs="Arial" w:eastAsia="Arial" w:hAnsi="Arial"/>
                <w:sz w:val="17"/>
                <w:szCs w:val="17"/>
                <w:color w:val="auto"/>
              </w:rPr>
              <w:t>636,864</w:t>
            </w:r>
          </w:p>
        </w:tc>
      </w:tr>
      <w:tr>
        <w:trPr>
          <w:trHeight w:val="67"/>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2022 Stock Option Grant</w:t>
            </w:r>
          </w:p>
        </w:tc>
        <w:tc>
          <w:tcPr>
            <w:tcW w:w="7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xml:space="preserve">- </w:t>
            </w:r>
          </w:p>
        </w:tc>
        <w:tc>
          <w:tcPr>
            <w:tcW w:w="140" w:type="dxa"/>
            <w:vAlign w:val="bottom"/>
          </w:tcPr>
          <w:p>
            <w:pPr>
              <w:spacing w:after="0"/>
              <w:rPr>
                <w:sz w:val="23"/>
                <w:szCs w:val="23"/>
                <w:color w:val="auto"/>
              </w:rPr>
            </w:pPr>
          </w:p>
        </w:tc>
        <w:tc>
          <w:tcPr>
            <w:tcW w:w="194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657,459</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2023 Stock Option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41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137"/>
              <w:spacing w:after="0"/>
              <w:rPr>
                <w:sz w:val="20"/>
                <w:szCs w:val="20"/>
                <w:color w:val="auto"/>
              </w:rPr>
            </w:pPr>
            <w:r>
              <w:rPr>
                <w:rFonts w:ascii="Arial" w:cs="Arial" w:eastAsia="Arial" w:hAnsi="Arial"/>
                <w:sz w:val="17"/>
                <w:szCs w:val="17"/>
                <w:color w:val="auto"/>
                <w:w w:val="97"/>
              </w:rPr>
              <w:t>1,044,532</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ind w:left="340"/>
              <w:spacing w:after="0"/>
              <w:rPr>
                <w:sz w:val="20"/>
                <w:szCs w:val="20"/>
                <w:color w:val="auto"/>
              </w:rPr>
            </w:pPr>
            <w:r>
              <w:rPr>
                <w:rFonts w:ascii="Arial" w:cs="Arial" w:eastAsia="Arial" w:hAnsi="Arial"/>
                <w:sz w:val="17"/>
                <w:szCs w:val="17"/>
                <w:color w:val="auto"/>
              </w:rPr>
              <w:t>  2022 Restricted Stock Grant</w:t>
            </w:r>
          </w:p>
        </w:tc>
        <w:tc>
          <w:tcPr>
            <w:tcW w:w="7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xml:space="preserve">- </w:t>
            </w:r>
          </w:p>
        </w:tc>
        <w:tc>
          <w:tcPr>
            <w:tcW w:w="140" w:type="dxa"/>
            <w:vAlign w:val="bottom"/>
          </w:tcPr>
          <w:p>
            <w:pPr>
              <w:spacing w:after="0"/>
              <w:rPr>
                <w:sz w:val="23"/>
                <w:szCs w:val="23"/>
                <w:color w:val="auto"/>
              </w:rPr>
            </w:pPr>
          </w:p>
        </w:tc>
        <w:tc>
          <w:tcPr>
            <w:tcW w:w="1940" w:type="dxa"/>
            <w:vAlign w:val="bottom"/>
          </w:tcPr>
          <w:p>
            <w:pPr>
              <w:jc w:val="right"/>
              <w:ind w:right="418"/>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3"/>
                <w:szCs w:val="23"/>
                <w:color w:val="auto"/>
              </w:rPr>
            </w:pPr>
          </w:p>
        </w:tc>
        <w:tc>
          <w:tcPr>
            <w:tcW w:w="980" w:type="dxa"/>
            <w:vAlign w:val="bottom"/>
          </w:tcPr>
          <w:p>
            <w:pPr>
              <w:jc w:val="right"/>
              <w:ind w:right="137"/>
              <w:spacing w:after="0"/>
              <w:rPr>
                <w:sz w:val="20"/>
                <w:szCs w:val="20"/>
                <w:color w:val="auto"/>
              </w:rPr>
            </w:pPr>
            <w:r>
              <w:rPr>
                <w:rFonts w:ascii="Arial" w:cs="Arial" w:eastAsia="Arial" w:hAnsi="Arial"/>
                <w:sz w:val="17"/>
                <w:szCs w:val="17"/>
                <w:color w:val="auto"/>
                <w:w w:val="97"/>
              </w:rPr>
              <w:t>3,056,768</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44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70"/>
        </w:trPr>
        <w:tc>
          <w:tcPr>
            <w:tcW w:w="58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  2023 Restricted Stock Grant</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418"/>
              <w:spacing w:after="0"/>
              <w:rPr>
                <w:sz w:val="20"/>
                <w:szCs w:val="20"/>
                <w:color w:val="auto"/>
              </w:rPr>
            </w:pPr>
            <w:r>
              <w:rPr>
                <w:rFonts w:ascii="Arial" w:cs="Arial" w:eastAsia="Arial" w:hAnsi="Arial"/>
                <w:sz w:val="17"/>
                <w:szCs w:val="17"/>
                <w:color w:val="auto"/>
              </w:rPr>
              <w:t>-</w:t>
            </w:r>
          </w:p>
        </w:tc>
        <w:tc>
          <w:tcPr>
            <w:tcW w:w="440" w:type="dxa"/>
            <w:vAlign w:val="bottom"/>
            <w:shd w:val="clear" w:color="auto" w:fill="CCDEF1"/>
          </w:tcPr>
          <w:p>
            <w:pPr>
              <w:spacing w:after="0"/>
              <w:rPr>
                <w:sz w:val="23"/>
                <w:szCs w:val="23"/>
                <w:color w:val="auto"/>
              </w:rPr>
            </w:pPr>
          </w:p>
        </w:tc>
        <w:tc>
          <w:tcPr>
            <w:tcW w:w="980" w:type="dxa"/>
            <w:vAlign w:val="bottom"/>
            <w:shd w:val="clear" w:color="auto" w:fill="CCDEF1"/>
          </w:tcPr>
          <w:p>
            <w:pPr>
              <w:jc w:val="right"/>
              <w:ind w:right="137"/>
              <w:spacing w:after="0"/>
              <w:rPr>
                <w:sz w:val="20"/>
                <w:szCs w:val="20"/>
                <w:color w:val="auto"/>
              </w:rPr>
            </w:pPr>
            <w:r>
              <w:rPr>
                <w:rFonts w:ascii="Arial" w:cs="Arial" w:eastAsia="Arial" w:hAnsi="Arial"/>
                <w:sz w:val="17"/>
                <w:szCs w:val="17"/>
                <w:color w:val="auto"/>
                <w:w w:val="97"/>
              </w:rPr>
              <w:t>4,421,329</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7"/>
                <w:szCs w:val="17"/>
                <w:color w:val="auto"/>
              </w:rPr>
              <w:t>  Continued Medical Benefits</w:t>
            </w:r>
          </w:p>
        </w:tc>
        <w:tc>
          <w:tcPr>
            <w:tcW w:w="7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 xml:space="preserve">- </w:t>
            </w:r>
          </w:p>
        </w:tc>
        <w:tc>
          <w:tcPr>
            <w:tcW w:w="140" w:type="dxa"/>
            <w:vAlign w:val="bottom"/>
          </w:tcPr>
          <w:p>
            <w:pPr>
              <w:spacing w:after="0"/>
              <w:rPr>
                <w:sz w:val="23"/>
                <w:szCs w:val="23"/>
                <w:color w:val="auto"/>
              </w:rPr>
            </w:pPr>
          </w:p>
        </w:tc>
        <w:tc>
          <w:tcPr>
            <w:tcW w:w="1940" w:type="dxa"/>
            <w:vAlign w:val="bottom"/>
          </w:tcPr>
          <w:p>
            <w:pPr>
              <w:jc w:val="right"/>
              <w:ind w:right="418"/>
              <w:spacing w:after="0"/>
              <w:rPr>
                <w:sz w:val="20"/>
                <w:szCs w:val="20"/>
                <w:color w:val="auto"/>
              </w:rPr>
            </w:pPr>
            <w:r>
              <w:rPr>
                <w:rFonts w:ascii="Arial" w:cs="Arial" w:eastAsia="Arial" w:hAnsi="Arial"/>
                <w:sz w:val="17"/>
                <w:szCs w:val="17"/>
                <w:color w:val="auto"/>
              </w:rPr>
              <w:t>25,835</w:t>
            </w:r>
          </w:p>
        </w:tc>
        <w:tc>
          <w:tcPr>
            <w:tcW w:w="440" w:type="dxa"/>
            <w:vAlign w:val="bottom"/>
          </w:tcPr>
          <w:p>
            <w:pPr>
              <w:spacing w:after="0"/>
              <w:rPr>
                <w:sz w:val="23"/>
                <w:szCs w:val="23"/>
                <w:color w:val="auto"/>
              </w:rPr>
            </w:pPr>
          </w:p>
        </w:tc>
        <w:tc>
          <w:tcPr>
            <w:tcW w:w="980" w:type="dxa"/>
            <w:vAlign w:val="bottom"/>
          </w:tcPr>
          <w:p>
            <w:pPr>
              <w:jc w:val="right"/>
              <w:ind w:right="137"/>
              <w:spacing w:after="0"/>
              <w:rPr>
                <w:sz w:val="20"/>
                <w:szCs w:val="20"/>
                <w:color w:val="auto"/>
              </w:rPr>
            </w:pPr>
            <w:r>
              <w:rPr>
                <w:rFonts w:ascii="Arial" w:cs="Arial" w:eastAsia="Arial" w:hAnsi="Arial"/>
                <w:sz w:val="17"/>
                <w:szCs w:val="17"/>
                <w:color w:val="auto"/>
              </w:rPr>
              <w:t>25,835</w:t>
            </w:r>
          </w:p>
        </w:tc>
      </w:tr>
      <w:tr>
        <w:trPr>
          <w:trHeight w:val="68"/>
        </w:trPr>
        <w:tc>
          <w:tcPr>
            <w:tcW w:w="5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420" w:type="dxa"/>
            <w:vAlign w:val="bottom"/>
            <w:gridSpan w:val="2"/>
          </w:tcPr>
          <w:p>
            <w:pPr>
              <w:spacing w:after="0"/>
              <w:rPr>
                <w:sz w:val="5"/>
                <w:szCs w:val="5"/>
                <w:color w:val="auto"/>
              </w:rPr>
            </w:pPr>
          </w:p>
        </w:tc>
      </w:tr>
      <w:tr>
        <w:trPr>
          <w:trHeight w:val="270"/>
        </w:trPr>
        <w:tc>
          <w:tcPr>
            <w:tcW w:w="5820" w:type="dxa"/>
            <w:vAlign w:val="bottom"/>
            <w:shd w:val="clear" w:color="auto" w:fill="CCDEF1"/>
          </w:tcPr>
          <w:p>
            <w:pPr>
              <w:spacing w:after="0"/>
              <w:rPr>
                <w:sz w:val="20"/>
                <w:szCs w:val="20"/>
                <w:color w:val="auto"/>
              </w:rPr>
            </w:pPr>
            <w:r>
              <w:rPr>
                <w:rFonts w:ascii="Arial" w:cs="Arial" w:eastAsia="Arial" w:hAnsi="Arial"/>
                <w:sz w:val="17"/>
                <w:szCs w:val="17"/>
                <w:color w:val="auto"/>
              </w:rPr>
              <w:t>  Total</w:t>
            </w:r>
          </w:p>
        </w:tc>
        <w:tc>
          <w:tcPr>
            <w:tcW w:w="760" w:type="dxa"/>
            <w:vAlign w:val="bottom"/>
            <w:shd w:val="clear" w:color="auto" w:fill="CCDEF1"/>
          </w:tcPr>
          <w:p>
            <w:pPr>
              <w:spacing w:after="0"/>
              <w:rPr>
                <w:sz w:val="23"/>
                <w:szCs w:val="23"/>
                <w:color w:val="auto"/>
              </w:rPr>
            </w:pPr>
          </w:p>
        </w:tc>
        <w:tc>
          <w:tcPr>
            <w:tcW w:w="940" w:type="dxa"/>
            <w:vAlign w:val="bottom"/>
            <w:shd w:val="clear" w:color="auto" w:fill="CCDEF1"/>
          </w:tcPr>
          <w:p>
            <w:pPr>
              <w:jc w:val="right"/>
              <w:spacing w:after="0"/>
              <w:rPr>
                <w:sz w:val="20"/>
                <w:szCs w:val="20"/>
                <w:color w:val="auto"/>
              </w:rPr>
            </w:pPr>
            <w:r>
              <w:rPr>
                <w:rFonts w:ascii="Arial" w:cs="Arial" w:eastAsia="Arial" w:hAnsi="Arial"/>
                <w:sz w:val="17"/>
                <w:szCs w:val="17"/>
                <w:color w:val="auto"/>
              </w:rPr>
              <w:t xml:space="preserve">$  - </w:t>
            </w:r>
          </w:p>
        </w:tc>
        <w:tc>
          <w:tcPr>
            <w:tcW w:w="140" w:type="dxa"/>
            <w:vAlign w:val="bottom"/>
            <w:shd w:val="clear" w:color="auto" w:fill="CCDEF1"/>
          </w:tcPr>
          <w:p>
            <w:pPr>
              <w:spacing w:after="0"/>
              <w:rPr>
                <w:sz w:val="23"/>
                <w:szCs w:val="23"/>
                <w:color w:val="auto"/>
              </w:rPr>
            </w:pPr>
          </w:p>
        </w:tc>
        <w:tc>
          <w:tcPr>
            <w:tcW w:w="1940" w:type="dxa"/>
            <w:vAlign w:val="bottom"/>
            <w:shd w:val="clear" w:color="auto" w:fill="CCDEF1"/>
          </w:tcPr>
          <w:p>
            <w:pPr>
              <w:jc w:val="right"/>
              <w:ind w:right="418"/>
              <w:spacing w:after="0"/>
              <w:rPr>
                <w:sz w:val="20"/>
                <w:szCs w:val="20"/>
                <w:color w:val="auto"/>
              </w:rPr>
            </w:pPr>
            <w:r>
              <w:rPr>
                <w:rFonts w:ascii="Arial" w:cs="Arial" w:eastAsia="Arial" w:hAnsi="Arial"/>
                <w:sz w:val="17"/>
                <w:szCs w:val="17"/>
                <w:color w:val="auto"/>
              </w:rPr>
              <w:t>$1,825,835</w:t>
            </w:r>
          </w:p>
        </w:tc>
        <w:tc>
          <w:tcPr>
            <w:tcW w:w="1420" w:type="dxa"/>
            <w:vAlign w:val="bottom"/>
            <w:gridSpan w:val="2"/>
            <w:shd w:val="clear" w:color="auto" w:fill="CCDEF1"/>
          </w:tcPr>
          <w:p>
            <w:pPr>
              <w:jc w:val="right"/>
              <w:ind w:right="137"/>
              <w:spacing w:after="0"/>
              <w:rPr>
                <w:sz w:val="20"/>
                <w:szCs w:val="20"/>
                <w:color w:val="auto"/>
              </w:rPr>
            </w:pPr>
            <w:r>
              <w:rPr>
                <w:rFonts w:ascii="Arial" w:cs="Arial" w:eastAsia="Arial" w:hAnsi="Arial"/>
                <w:sz w:val="17"/>
                <w:szCs w:val="17"/>
                <w:color w:val="auto"/>
              </w:rPr>
              <w:t>$ 11,642,787</w:t>
            </w:r>
          </w:p>
        </w:tc>
      </w:tr>
      <w:tr>
        <w:trPr>
          <w:trHeight w:val="68"/>
        </w:trPr>
        <w:tc>
          <w:tcPr>
            <w:tcW w:w="5820" w:type="dxa"/>
            <w:vAlign w:val="bottom"/>
            <w:shd w:val="clear" w:color="auto" w:fill="CCDEF1"/>
          </w:tcPr>
          <w:p>
            <w:pPr>
              <w:spacing w:after="0"/>
              <w:rPr>
                <w:sz w:val="5"/>
                <w:szCs w:val="5"/>
                <w:color w:val="auto"/>
              </w:rPr>
            </w:pPr>
          </w:p>
        </w:tc>
        <w:tc>
          <w:tcPr>
            <w:tcW w:w="760" w:type="dxa"/>
            <w:vAlign w:val="bottom"/>
            <w:shd w:val="clear" w:color="auto" w:fill="CCDEF1"/>
          </w:tcPr>
          <w:p>
            <w:pPr>
              <w:spacing w:after="0"/>
              <w:rPr>
                <w:sz w:val="5"/>
                <w:szCs w:val="5"/>
                <w:color w:val="auto"/>
              </w:rPr>
            </w:pPr>
          </w:p>
        </w:tc>
        <w:tc>
          <w:tcPr>
            <w:tcW w:w="940" w:type="dxa"/>
            <w:vAlign w:val="bottom"/>
            <w:shd w:val="clear" w:color="auto" w:fill="CCDEF1"/>
          </w:tcPr>
          <w:p>
            <w:pPr>
              <w:spacing w:after="0"/>
              <w:rPr>
                <w:sz w:val="5"/>
                <w:szCs w:val="5"/>
                <w:color w:val="auto"/>
              </w:rPr>
            </w:pPr>
          </w:p>
        </w:tc>
        <w:tc>
          <w:tcPr>
            <w:tcW w:w="140" w:type="dxa"/>
            <w:vAlign w:val="bottom"/>
            <w:shd w:val="clear" w:color="auto" w:fill="CCDEF1"/>
          </w:tcPr>
          <w:p>
            <w:pPr>
              <w:spacing w:after="0"/>
              <w:rPr>
                <w:sz w:val="5"/>
                <w:szCs w:val="5"/>
                <w:color w:val="auto"/>
              </w:rPr>
            </w:pPr>
          </w:p>
        </w:tc>
        <w:tc>
          <w:tcPr>
            <w:tcW w:w="1940" w:type="dxa"/>
            <w:vAlign w:val="bottom"/>
            <w:shd w:val="clear" w:color="auto" w:fill="CCDEF1"/>
          </w:tcPr>
          <w:p>
            <w:pPr>
              <w:spacing w:after="0"/>
              <w:rPr>
                <w:sz w:val="5"/>
                <w:szCs w:val="5"/>
                <w:color w:val="auto"/>
              </w:rPr>
            </w:pPr>
          </w:p>
        </w:tc>
        <w:tc>
          <w:tcPr>
            <w:tcW w:w="440" w:type="dxa"/>
            <w:vAlign w:val="bottom"/>
            <w:shd w:val="clear" w:color="auto" w:fill="CCDEF1"/>
          </w:tcPr>
          <w:p>
            <w:pPr>
              <w:spacing w:after="0"/>
              <w:rPr>
                <w:sz w:val="5"/>
                <w:szCs w:val="5"/>
                <w:color w:val="auto"/>
              </w:rPr>
            </w:pPr>
          </w:p>
        </w:tc>
        <w:tc>
          <w:tcPr>
            <w:tcW w:w="980" w:type="dxa"/>
            <w:vAlign w:val="bottom"/>
            <w:shd w:val="clear" w:color="auto" w:fill="CCDEF1"/>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-7474585</wp:posOffset>
            </wp:positionV>
            <wp:extent cx="28200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-4714240</wp:posOffset>
            </wp:positionV>
            <wp:extent cx="31203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203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-2167890</wp:posOffset>
            </wp:positionV>
            <wp:extent cx="28289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30"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22"/>
          <w:szCs w:val="22"/>
          <w:color w:val="auto"/>
          <w:vertAlign w:val="superscript"/>
        </w:rPr>
      </w:pPr>
      <w:r>
        <w:rPr>
          <w:rFonts w:ascii="Arial" w:cs="Arial" w:eastAsia="Arial" w:hAnsi="Arial"/>
          <w:sz w:val="14"/>
          <w:szCs w:val="14"/>
          <w:color w:val="auto"/>
        </w:rPr>
        <w:t>Assumes employment is terminated involuntarily without cause.</w:t>
      </w:r>
    </w:p>
    <w:p>
      <w:pPr>
        <w:sectPr>
          <w:pgSz w:w="11900" w:h="16838" w:orient="portrait"/>
          <w:cols w:equalWidth="0" w:num="1">
            <w:col w:w="11140"/>
          </w:cols>
          <w:pgMar w:left="320" w:top="482" w:right="439" w:bottom="1440" w:gutter="0" w:footer="0" w:header="0"/>
        </w:sectPr>
      </w:pPr>
    </w:p>
    <w:p>
      <w:pPr>
        <w:spacing w:after="0" w:line="94" w:lineRule="exact"/>
        <w:rPr>
          <w:sz w:val="20"/>
          <w:szCs w:val="20"/>
          <w:color w:val="auto"/>
        </w:rPr>
      </w:pPr>
    </w:p>
    <w:p>
      <w:pPr>
        <w:ind w:left="120"/>
        <w:spacing w:after="0"/>
        <w:tabs>
          <w:tab w:leader="none" w:pos="560" w:val="left"/>
        </w:tabs>
        <w:rPr>
          <w:sz w:val="20"/>
          <w:szCs w:val="20"/>
          <w:color w:val="auto"/>
        </w:rPr>
      </w:pPr>
      <w:r>
        <w:rPr>
          <w:rFonts w:ascii="Arial" w:cs="Arial" w:eastAsia="Arial" w:hAnsi="Arial"/>
          <w:sz w:val="16"/>
          <w:szCs w:val="16"/>
          <w:b w:val="1"/>
          <w:bCs w:val="1"/>
          <w:color w:val="005CB9"/>
        </w:rPr>
        <w:t xml:space="preserve">50 </w:t>
      </w:r>
      <w:r>
        <w:rPr>
          <w:rFonts w:ascii="Arial" w:cs="Arial" w:eastAsia="Arial" w:hAnsi="Arial"/>
          <w:sz w:val="32"/>
          <w:szCs w:val="32"/>
          <w:b w:val="1"/>
          <w:bCs w:val="1"/>
          <w:color w:val="005CB9"/>
          <w:vertAlign w:val="superscript"/>
        </w:rPr>
        <w:t xml:space="preserve"> </w:t>
      </w:r>
      <w:r>
        <w:rPr>
          <w:sz w:val="20"/>
          <w:szCs w:val="20"/>
          <w:color w:val="auto"/>
        </w:rPr>
        <w:tab/>
      </w:r>
      <w:r>
        <w:rPr>
          <w:rFonts w:ascii="Arial" w:cs="Arial" w:eastAsia="Arial" w:hAnsi="Arial"/>
          <w:sz w:val="29"/>
          <w:szCs w:val="29"/>
          <w:b w:val="1"/>
          <w:bCs w:val="1"/>
          <w:color w:val="005CB9"/>
          <w:vertAlign w:val="subscript"/>
        </w:rPr>
        <w:t xml:space="preserve">  </w:t>
      </w:r>
      <w:r>
        <w:rPr>
          <w:sz w:val="1"/>
          <w:szCs w:val="1"/>
          <w:color w:val="auto"/>
        </w:rPr>
        <w:drawing>
          <wp:inline distT="0" distB="0" distL="0" distR="0">
            <wp:extent cx="428625" cy="1714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28625" cy="171450"/>
                    </a:xfrm>
                    <a:prstGeom prst="rect">
                      <a:avLst/>
                    </a:prstGeom>
                    <a:noFill/>
                    <a:ln>
                      <a:noFill/>
                    </a:ln>
                  </pic:spPr>
                </pic:pic>
              </a:graphicData>
            </a:graphic>
          </wp:inline>
        </w:drawing>
      </w:r>
      <w:r>
        <w:rPr>
          <w:rFonts w:ascii="Arial" w:cs="Arial" w:eastAsia="Arial" w:hAnsi="Arial"/>
          <w:sz w:val="15"/>
          <w:szCs w:val="15"/>
          <w:b w:val="1"/>
          <w:bCs w:val="1"/>
          <w:color w:val="005CB9"/>
        </w:rPr>
        <w:t xml:space="preserve">    Roper Technologies, Inc. 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-210820</wp:posOffset>
            </wp:positionV>
            <wp:extent cx="8255" cy="2482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24828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54" w:lineRule="exact"/>
        <w:rPr>
          <w:sz w:val="20"/>
          <w:szCs w:val="20"/>
          <w:color w:val="auto"/>
        </w:rPr>
      </w:pPr>
    </w:p>
    <w:p>
      <w:pPr>
        <w:ind w:left="540" w:right="20" w:hanging="424"/>
        <w:spacing w:after="0" w:line="230"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The amounts in this row represent the actually earned amount of Mr. Hunn’s Special Long-Term Cash Incentive Award deemed to have been payable under the above scenarios if they had occurred on December 29, 2023 (and prior to Mr. Hunn’s actual earning of the award payout). The maximum amount to be paid under the Special Long-Term Cash Incentive Award is $18,605,000. An amount of $17,842,000 was actually earned under the award as of December 31, 2023. Mr. Hunn has deferred his receipt of a portion of the long-term incentive amount. As a result, he received an approximate 7.5% match ($1,326,782) on the amount of the special long-term cash incentive award that he earned. In general, under each scenario, disclosure is provided because Mr. Hunn was entitled to a pro-rated portion of the five-year award, which at December 29, 2023, was assumed to be the full 100% of the award. In the event of Mr. Hunn’s death or disability, the award would have remained outstanding, and upon the certification of the performance criteria by the Compensation Committee at the conclusion of the performance period, the amount earned would have been paid to Mr. Hunn’s estate.</w:t>
      </w:r>
    </w:p>
    <w:p>
      <w:pPr>
        <w:spacing w:after="0" w:line="1" w:lineRule="exact"/>
        <w:rPr>
          <w:rFonts w:ascii="Arial" w:cs="Arial" w:eastAsia="Arial" w:hAnsi="Arial"/>
          <w:sz w:val="22"/>
          <w:szCs w:val="22"/>
          <w:color w:val="auto"/>
          <w:vertAlign w:val="superscript"/>
        </w:rPr>
      </w:pPr>
    </w:p>
    <w:p>
      <w:pPr>
        <w:ind w:left="540" w:hanging="424"/>
        <w:spacing w:after="0" w:line="230"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Based on closing market price of our common stock on December 29, 2023 of $545.17 per share.</w:t>
      </w:r>
    </w:p>
    <w:p>
      <w:pPr>
        <w:spacing w:after="0" w:line="67" w:lineRule="exact"/>
        <w:rPr>
          <w:rFonts w:ascii="Arial" w:cs="Arial" w:eastAsia="Arial" w:hAnsi="Arial"/>
          <w:sz w:val="22"/>
          <w:szCs w:val="22"/>
          <w:color w:val="auto"/>
          <w:vertAlign w:val="superscript"/>
        </w:rPr>
      </w:pPr>
    </w:p>
    <w:p>
      <w:pPr>
        <w:ind w:left="540" w:right="100" w:hanging="424"/>
        <w:spacing w:after="0" w:line="215" w:lineRule="auto"/>
        <w:tabs>
          <w:tab w:leader="none" w:pos="540" w:val="left"/>
        </w:tabs>
        <w:numPr>
          <w:ilvl w:val="0"/>
          <w:numId w:val="72"/>
        </w:numPr>
        <w:rPr>
          <w:rFonts w:ascii="Arial" w:cs="Arial" w:eastAsia="Arial" w:hAnsi="Arial"/>
          <w:sz w:val="22"/>
          <w:szCs w:val="22"/>
          <w:color w:val="auto"/>
          <w:vertAlign w:val="superscript"/>
        </w:rPr>
      </w:pPr>
      <w:r>
        <w:rPr>
          <w:rFonts w:ascii="Arial" w:cs="Arial" w:eastAsia="Arial" w:hAnsi="Arial"/>
          <w:sz w:val="14"/>
          <w:szCs w:val="14"/>
          <w:color w:val="auto"/>
        </w:rPr>
        <w:t>Under the terms of our 2016 and 2021 Incentive Plans, if within two years after a change in control, employment is terminated by the employee for good reason or by the acquirer without cause, or if the acquirer does not assume the awards upon a change in control, (i) outstanding stock options become fully exercisable, (ii) time-based vesting restrictions on outstanding restricted stock awards lapse, and (iii) the target payout opportunities on outstanding performance-based restricted stock awards shall be deemed to have been fully earned (subject to the conditions provided in the 2016 and 2021 Incentive Plans).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CEO Pay Ratio</w:t>
      </w:r>
    </w:p>
    <w:p>
      <w:pPr>
        <w:spacing w:after="0" w:line="98" w:lineRule="exact"/>
        <w:rPr>
          <w:sz w:val="20"/>
          <w:szCs w:val="20"/>
          <w:color w:val="auto"/>
        </w:rPr>
      </w:pPr>
    </w:p>
    <w:p>
      <w:pPr>
        <w:ind w:left="120" w:right="60"/>
        <w:spacing w:after="0" w:line="241" w:lineRule="auto"/>
        <w:rPr>
          <w:sz w:val="20"/>
          <w:szCs w:val="20"/>
          <w:color w:val="auto"/>
        </w:rPr>
      </w:pPr>
      <w:r>
        <w:rPr>
          <w:rFonts w:ascii="Arial" w:cs="Arial" w:eastAsia="Arial" w:hAnsi="Arial"/>
          <w:sz w:val="17"/>
          <w:szCs w:val="17"/>
          <w:color w:val="auto"/>
        </w:rPr>
        <w:t>As required by SEC rules, we compared the total compensation of our CEO in 2023 to that of our median employee for the same period. Through our core human capital management system with supplementation from manual inputs, we collected information for our global workforce of</w:t>
      </w:r>
    </w:p>
    <w:p>
      <w:pPr>
        <w:spacing w:after="0" w:line="1" w:lineRule="exact"/>
        <w:rPr>
          <w:sz w:val="20"/>
          <w:szCs w:val="20"/>
          <w:color w:val="auto"/>
        </w:rPr>
      </w:pPr>
    </w:p>
    <w:p>
      <w:pPr>
        <w:ind w:left="120" w:right="240"/>
        <w:spacing w:after="0" w:line="248" w:lineRule="auto"/>
        <w:rPr>
          <w:sz w:val="20"/>
          <w:szCs w:val="20"/>
          <w:color w:val="auto"/>
        </w:rPr>
      </w:pPr>
      <w:r>
        <w:rPr>
          <w:rFonts w:ascii="Arial" w:cs="Arial" w:eastAsia="Arial" w:hAnsi="Arial"/>
          <w:sz w:val="17"/>
          <w:szCs w:val="17"/>
          <w:color w:val="auto"/>
        </w:rPr>
        <w:t>16,810 employees (10,885 of which are based in the United States), including our full-time, part-time and temporary workers, and excluded our employees in Germany (92) and France (90) under the de minimis exemption.</w:t>
      </w:r>
    </w:p>
    <w:p>
      <w:pPr>
        <w:spacing w:after="0" w:line="66" w:lineRule="exact"/>
        <w:rPr>
          <w:sz w:val="20"/>
          <w:szCs w:val="20"/>
          <w:color w:val="auto"/>
        </w:rPr>
      </w:pPr>
    </w:p>
    <w:p>
      <w:pPr>
        <w:ind w:left="120" w:right="380"/>
        <w:spacing w:after="0" w:line="239" w:lineRule="auto"/>
        <w:rPr>
          <w:sz w:val="20"/>
          <w:szCs w:val="20"/>
          <w:color w:val="auto"/>
        </w:rPr>
      </w:pPr>
      <w:r>
        <w:rPr>
          <w:rFonts w:ascii="Arial" w:cs="Arial" w:eastAsia="Arial" w:hAnsi="Arial"/>
          <w:sz w:val="17"/>
          <w:szCs w:val="17"/>
          <w:color w:val="auto"/>
        </w:rPr>
        <w:t>We identified our median employee as of December 31, 2023 by applying a consistent compensation measure for the period from January 1, 2023 to December 31, 2023 across our global employee population—annual salary or hourly pay, bonus and commissions (excluding equity compensation because inclusion of such would have had no impact on the determination of the median employee). We annualized the compensation for our full-time and part-time employees who were newly-hired in 2023. Our median employee’s total 2023 compensation was $93,861 and our CEO’s was $41,314,583 ($18,998 more than as reported in the Summary Compensation Table above due to the inclusion of certain employee benefits). Accordingly, our 2023 CEO to Median Employee Pay Ratio was 440:1.</w:t>
      </w:r>
    </w:p>
    <w:p>
      <w:pPr>
        <w:spacing w:after="0" w:line="74"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color w:val="auto"/>
        </w:rPr>
        <w:t>SEC rules for identifying the median employee permit companies to adopt a variety of methodologies, to apply certain exclusions, and to make reasonable estimates and assumptions that reflect their employee populations and compensation practices. Consequently, the pay ratios reported by other companies may not be comparable to the pay ratio reported by Roper.</w:t>
      </w:r>
    </w:p>
    <w:p>
      <w:pPr>
        <w:spacing w:after="0" w:line="129"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51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005CB9"/>
        </w:rPr>
        <w:t>Pay Versus Performance</w:t>
      </w:r>
    </w:p>
    <w:p>
      <w:pPr>
        <w:spacing w:after="0" w:line="98"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color w:val="auto"/>
        </w:rPr>
        <w:t>As required by SEC Rules, we are providing the following information about the relationship between certain executive compensation and certain financial performance of our Company, illustrating pay versus performance, or PVP. For its Company Selected Measure (“CSM”) and an additional measure to show in this table, the Company has chosen Adjusted Free Cash Flow and Adjusted EBITDA, respectively.</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PAY VERSUS PERFORMANCE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52"/>
        </w:trPr>
        <w:tc>
          <w:tcPr>
            <w:tcW w:w="2700" w:type="dxa"/>
            <w:vAlign w:val="bottom"/>
            <w:shd w:val="clear" w:color="auto" w:fill="005CB9"/>
          </w:tcPr>
          <w:p>
            <w:pPr>
              <w:spacing w:after="0"/>
              <w:rPr>
                <w:sz w:val="21"/>
                <w:szCs w:val="21"/>
                <w:color w:val="auto"/>
              </w:rPr>
            </w:pPr>
          </w:p>
        </w:tc>
        <w:tc>
          <w:tcPr>
            <w:tcW w:w="1120" w:type="dxa"/>
            <w:vAlign w:val="bottom"/>
            <w:shd w:val="clear" w:color="auto" w:fill="005CB9"/>
          </w:tcPr>
          <w:p>
            <w:pPr>
              <w:spacing w:after="0"/>
              <w:rPr>
                <w:sz w:val="21"/>
                <w:szCs w:val="21"/>
                <w:color w:val="auto"/>
              </w:rPr>
            </w:pPr>
          </w:p>
        </w:tc>
        <w:tc>
          <w:tcPr>
            <w:tcW w:w="200" w:type="dxa"/>
            <w:vAlign w:val="bottom"/>
            <w:shd w:val="clear" w:color="auto" w:fill="005CB9"/>
          </w:tcPr>
          <w:p>
            <w:pPr>
              <w:spacing w:after="0"/>
              <w:rPr>
                <w:sz w:val="21"/>
                <w:szCs w:val="21"/>
                <w:color w:val="auto"/>
              </w:rPr>
            </w:pPr>
          </w:p>
        </w:tc>
        <w:tc>
          <w:tcPr>
            <w:tcW w:w="860" w:type="dxa"/>
            <w:vAlign w:val="bottom"/>
            <w:shd w:val="clear" w:color="auto" w:fill="005CB9"/>
          </w:tcPr>
          <w:p>
            <w:pPr>
              <w:spacing w:after="0"/>
              <w:rPr>
                <w:sz w:val="21"/>
                <w:szCs w:val="21"/>
                <w:color w:val="auto"/>
              </w:rPr>
            </w:pPr>
          </w:p>
        </w:tc>
        <w:tc>
          <w:tcPr>
            <w:tcW w:w="240" w:type="dxa"/>
            <w:vAlign w:val="bottom"/>
            <w:shd w:val="clear" w:color="auto" w:fill="005CB9"/>
          </w:tcPr>
          <w:p>
            <w:pPr>
              <w:spacing w:after="0"/>
              <w:rPr>
                <w:sz w:val="21"/>
                <w:szCs w:val="21"/>
                <w:color w:val="auto"/>
              </w:rPr>
            </w:pP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Average</w:t>
            </w:r>
          </w:p>
        </w:tc>
        <w:tc>
          <w:tcPr>
            <w:tcW w:w="180" w:type="dxa"/>
            <w:vAlign w:val="bottom"/>
            <w:shd w:val="clear" w:color="auto" w:fill="005CB9"/>
          </w:tcPr>
          <w:p>
            <w:pPr>
              <w:spacing w:after="0"/>
              <w:rPr>
                <w:sz w:val="21"/>
                <w:szCs w:val="21"/>
                <w:color w:val="auto"/>
              </w:rPr>
            </w:pPr>
          </w:p>
        </w:tc>
        <w:tc>
          <w:tcPr>
            <w:tcW w:w="840" w:type="dxa"/>
            <w:vAlign w:val="bottom"/>
            <w:shd w:val="clear" w:color="auto" w:fill="005CB9"/>
          </w:tcPr>
          <w:p>
            <w:pPr>
              <w:spacing w:after="0"/>
              <w:rPr>
                <w:sz w:val="21"/>
                <w:szCs w:val="21"/>
                <w:color w:val="auto"/>
              </w:rPr>
            </w:pPr>
          </w:p>
        </w:tc>
        <w:tc>
          <w:tcPr>
            <w:tcW w:w="1800" w:type="dxa"/>
            <w:vAlign w:val="bottom"/>
            <w:gridSpan w:val="2"/>
            <w:vMerge w:val="restart"/>
            <w:shd w:val="clear" w:color="auto" w:fill="005CB9"/>
          </w:tcPr>
          <w:p>
            <w:pPr>
              <w:jc w:val="right"/>
              <w:spacing w:after="0"/>
              <w:rPr>
                <w:sz w:val="20"/>
                <w:szCs w:val="20"/>
                <w:color w:val="auto"/>
              </w:rPr>
            </w:pPr>
            <w:r>
              <w:rPr>
                <w:rFonts w:ascii="Arial" w:cs="Arial" w:eastAsia="Arial" w:hAnsi="Arial"/>
                <w:sz w:val="13"/>
                <w:szCs w:val="13"/>
                <w:color w:val="FFFFFF"/>
              </w:rPr>
              <w:t>Value of Initial Fixed $ 100</w:t>
            </w:r>
          </w:p>
        </w:tc>
        <w:tc>
          <w:tcPr>
            <w:tcW w:w="280" w:type="dxa"/>
            <w:vAlign w:val="bottom"/>
            <w:shd w:val="clear" w:color="auto" w:fill="005CB9"/>
          </w:tcPr>
          <w:p>
            <w:pPr>
              <w:spacing w:after="0"/>
              <w:rPr>
                <w:sz w:val="21"/>
                <w:szCs w:val="21"/>
                <w:color w:val="auto"/>
              </w:rPr>
            </w:pPr>
          </w:p>
        </w:tc>
        <w:tc>
          <w:tcPr>
            <w:tcW w:w="560" w:type="dxa"/>
            <w:vAlign w:val="bottom"/>
            <w:shd w:val="clear" w:color="auto" w:fill="005CB9"/>
          </w:tcPr>
          <w:p>
            <w:pPr>
              <w:spacing w:after="0"/>
              <w:rPr>
                <w:sz w:val="21"/>
                <w:szCs w:val="21"/>
                <w:color w:val="auto"/>
              </w:rPr>
            </w:pPr>
          </w:p>
        </w:tc>
        <w:tc>
          <w:tcPr>
            <w:tcW w:w="760" w:type="dxa"/>
            <w:vAlign w:val="bottom"/>
            <w:vMerge w:val="restart"/>
            <w:shd w:val="clear" w:color="auto" w:fill="005CB9"/>
          </w:tcPr>
          <w:p>
            <w:pPr>
              <w:jc w:val="right"/>
              <w:ind w:right="53"/>
              <w:spacing w:after="0"/>
              <w:rPr>
                <w:sz w:val="20"/>
                <w:szCs w:val="20"/>
                <w:color w:val="auto"/>
              </w:rPr>
            </w:pPr>
            <w:r>
              <w:rPr>
                <w:rFonts w:ascii="Arial" w:cs="Arial" w:eastAsia="Arial" w:hAnsi="Arial"/>
                <w:sz w:val="13"/>
                <w:szCs w:val="13"/>
                <w:color w:val="FFFFFF"/>
              </w:rPr>
              <w:t>Adjusted</w:t>
            </w:r>
          </w:p>
        </w:tc>
        <w:tc>
          <w:tcPr>
            <w:tcW w:w="720" w:type="dxa"/>
            <w:vAlign w:val="bottom"/>
            <w:shd w:val="clear" w:color="auto" w:fill="005CB9"/>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005CB9"/>
          </w:tcPr>
          <w:p>
            <w:pPr>
              <w:spacing w:after="0"/>
              <w:rPr>
                <w:sz w:val="10"/>
                <w:szCs w:val="10"/>
                <w:color w:val="auto"/>
              </w:rPr>
            </w:pPr>
          </w:p>
        </w:tc>
        <w:tc>
          <w:tcPr>
            <w:tcW w:w="1120" w:type="dxa"/>
            <w:vAlign w:val="bottom"/>
            <w:shd w:val="clear" w:color="auto" w:fill="005CB9"/>
          </w:tcPr>
          <w:p>
            <w:pPr>
              <w:spacing w:after="0"/>
              <w:rPr>
                <w:sz w:val="10"/>
                <w:szCs w:val="10"/>
                <w:color w:val="auto"/>
              </w:rPr>
            </w:pPr>
          </w:p>
        </w:tc>
        <w:tc>
          <w:tcPr>
            <w:tcW w:w="200" w:type="dxa"/>
            <w:vAlign w:val="bottom"/>
            <w:shd w:val="clear" w:color="auto" w:fill="005CB9"/>
          </w:tcPr>
          <w:p>
            <w:pPr>
              <w:spacing w:after="0"/>
              <w:rPr>
                <w:sz w:val="10"/>
                <w:szCs w:val="10"/>
                <w:color w:val="auto"/>
              </w:rPr>
            </w:pPr>
          </w:p>
        </w:tc>
        <w:tc>
          <w:tcPr>
            <w:tcW w:w="860" w:type="dxa"/>
            <w:vAlign w:val="bottom"/>
            <w:shd w:val="clear" w:color="auto" w:fill="005CB9"/>
          </w:tcPr>
          <w:p>
            <w:pPr>
              <w:spacing w:after="0"/>
              <w:rPr>
                <w:sz w:val="10"/>
                <w:szCs w:val="10"/>
                <w:color w:val="auto"/>
              </w:rPr>
            </w:pPr>
          </w:p>
        </w:tc>
        <w:tc>
          <w:tcPr>
            <w:tcW w:w="240" w:type="dxa"/>
            <w:vAlign w:val="bottom"/>
            <w:shd w:val="clear" w:color="auto" w:fill="005CB9"/>
          </w:tcPr>
          <w:p>
            <w:pPr>
              <w:spacing w:after="0"/>
              <w:rPr>
                <w:sz w:val="10"/>
                <w:szCs w:val="10"/>
                <w:color w:val="auto"/>
              </w:rPr>
            </w:pPr>
          </w:p>
        </w:tc>
        <w:tc>
          <w:tcPr>
            <w:tcW w:w="760" w:type="dxa"/>
            <w:vAlign w:val="bottom"/>
            <w:shd w:val="clear" w:color="auto" w:fill="005CB9"/>
          </w:tcPr>
          <w:p>
            <w:pPr>
              <w:jc w:val="right"/>
              <w:spacing w:after="0" w:line="126" w:lineRule="exact"/>
              <w:rPr>
                <w:sz w:val="20"/>
                <w:szCs w:val="20"/>
                <w:color w:val="auto"/>
              </w:rPr>
            </w:pPr>
            <w:r>
              <w:rPr>
                <w:rFonts w:ascii="Arial" w:cs="Arial" w:eastAsia="Arial" w:hAnsi="Arial"/>
                <w:sz w:val="13"/>
                <w:szCs w:val="13"/>
                <w:color w:val="FFFFFF"/>
              </w:rPr>
              <w:t>Summary</w:t>
            </w:r>
          </w:p>
        </w:tc>
        <w:tc>
          <w:tcPr>
            <w:tcW w:w="180" w:type="dxa"/>
            <w:vAlign w:val="bottom"/>
            <w:shd w:val="clear" w:color="auto" w:fill="005CB9"/>
          </w:tcPr>
          <w:p>
            <w:pPr>
              <w:spacing w:after="0"/>
              <w:rPr>
                <w:sz w:val="10"/>
                <w:szCs w:val="10"/>
                <w:color w:val="auto"/>
              </w:rPr>
            </w:pPr>
          </w:p>
        </w:tc>
        <w:tc>
          <w:tcPr>
            <w:tcW w:w="840" w:type="dxa"/>
            <w:vAlign w:val="bottom"/>
            <w:shd w:val="clear" w:color="auto" w:fill="005CB9"/>
          </w:tcPr>
          <w:p>
            <w:pPr>
              <w:jc w:val="right"/>
              <w:ind w:right="53"/>
              <w:spacing w:after="0" w:line="126" w:lineRule="exact"/>
              <w:rPr>
                <w:sz w:val="20"/>
                <w:szCs w:val="20"/>
                <w:color w:val="auto"/>
              </w:rPr>
            </w:pPr>
            <w:r>
              <w:rPr>
                <w:rFonts w:ascii="Arial" w:cs="Arial" w:eastAsia="Arial" w:hAnsi="Arial"/>
                <w:sz w:val="13"/>
                <w:szCs w:val="13"/>
                <w:color w:val="FFFFFF"/>
              </w:rPr>
              <w:t>Average</w:t>
            </w:r>
          </w:p>
        </w:tc>
        <w:tc>
          <w:tcPr>
            <w:tcW w:w="1800" w:type="dxa"/>
            <w:vAlign w:val="bottom"/>
            <w:gridSpan w:val="2"/>
            <w:vMerge w:val="continue"/>
            <w:shd w:val="clear" w:color="auto" w:fill="005CB9"/>
          </w:tcPr>
          <w:p>
            <w:pPr>
              <w:spacing w:after="0"/>
              <w:rPr>
                <w:sz w:val="10"/>
                <w:szCs w:val="10"/>
                <w:color w:val="auto"/>
              </w:rPr>
            </w:pPr>
          </w:p>
        </w:tc>
        <w:tc>
          <w:tcPr>
            <w:tcW w:w="280" w:type="dxa"/>
            <w:vAlign w:val="bottom"/>
            <w:shd w:val="clear" w:color="auto" w:fill="005CB9"/>
          </w:tcPr>
          <w:p>
            <w:pPr>
              <w:spacing w:after="0"/>
              <w:rPr>
                <w:sz w:val="10"/>
                <w:szCs w:val="10"/>
                <w:color w:val="auto"/>
              </w:rPr>
            </w:pPr>
          </w:p>
        </w:tc>
        <w:tc>
          <w:tcPr>
            <w:tcW w:w="560" w:type="dxa"/>
            <w:vAlign w:val="bottom"/>
            <w:shd w:val="clear" w:color="auto" w:fill="005CB9"/>
          </w:tcPr>
          <w:p>
            <w:pPr>
              <w:spacing w:after="0"/>
              <w:rPr>
                <w:sz w:val="10"/>
                <w:szCs w:val="10"/>
                <w:color w:val="auto"/>
              </w:rPr>
            </w:pPr>
          </w:p>
        </w:tc>
        <w:tc>
          <w:tcPr>
            <w:tcW w:w="760" w:type="dxa"/>
            <w:vAlign w:val="bottom"/>
            <w:vMerge w:val="continue"/>
            <w:shd w:val="clear" w:color="auto" w:fill="005CB9"/>
          </w:tcPr>
          <w:p>
            <w:pPr>
              <w:spacing w:after="0"/>
              <w:rPr>
                <w:sz w:val="10"/>
                <w:szCs w:val="10"/>
                <w:color w:val="auto"/>
              </w:rPr>
            </w:pPr>
          </w:p>
        </w:tc>
        <w:tc>
          <w:tcPr>
            <w:tcW w:w="720" w:type="dxa"/>
            <w:vAlign w:val="bottom"/>
            <w:shd w:val="clear" w:color="auto" w:fill="005CB9"/>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005CB9"/>
          </w:tcPr>
          <w:p>
            <w:pPr>
              <w:spacing w:after="0"/>
              <w:rPr>
                <w:sz w:val="11"/>
                <w:szCs w:val="11"/>
                <w:color w:val="auto"/>
              </w:rPr>
            </w:pPr>
          </w:p>
        </w:tc>
        <w:tc>
          <w:tcPr>
            <w:tcW w:w="112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Summary</w:t>
            </w:r>
          </w:p>
        </w:tc>
        <w:tc>
          <w:tcPr>
            <w:tcW w:w="200" w:type="dxa"/>
            <w:vAlign w:val="bottom"/>
            <w:shd w:val="clear" w:color="auto" w:fill="005CB9"/>
          </w:tcPr>
          <w:p>
            <w:pPr>
              <w:spacing w:after="0"/>
              <w:rPr>
                <w:sz w:val="11"/>
                <w:szCs w:val="11"/>
                <w:color w:val="auto"/>
              </w:rPr>
            </w:pPr>
          </w:p>
        </w:tc>
        <w:tc>
          <w:tcPr>
            <w:tcW w:w="860" w:type="dxa"/>
            <w:vAlign w:val="bottom"/>
            <w:shd w:val="clear" w:color="auto" w:fill="005CB9"/>
          </w:tcPr>
          <w:p>
            <w:pPr>
              <w:spacing w:after="0"/>
              <w:rPr>
                <w:sz w:val="11"/>
                <w:szCs w:val="11"/>
                <w:color w:val="auto"/>
              </w:rPr>
            </w:pPr>
          </w:p>
        </w:tc>
        <w:tc>
          <w:tcPr>
            <w:tcW w:w="1000" w:type="dxa"/>
            <w:vAlign w:val="bottom"/>
            <w:gridSpan w:val="2"/>
            <w:shd w:val="clear" w:color="auto" w:fill="005CB9"/>
          </w:tcPr>
          <w:p>
            <w:pPr>
              <w:ind w:left="120"/>
              <w:spacing w:after="0" w:line="135" w:lineRule="exact"/>
              <w:rPr>
                <w:sz w:val="20"/>
                <w:szCs w:val="20"/>
                <w:color w:val="auto"/>
              </w:rPr>
            </w:pPr>
            <w:r>
              <w:rPr>
                <w:rFonts w:ascii="Arial" w:cs="Arial" w:eastAsia="Arial" w:hAnsi="Arial"/>
                <w:sz w:val="13"/>
                <w:szCs w:val="13"/>
                <w:color w:val="FFFFFF"/>
              </w:rPr>
              <w:t>Compensation</w:t>
            </w:r>
          </w:p>
        </w:tc>
        <w:tc>
          <w:tcPr>
            <w:tcW w:w="1020" w:type="dxa"/>
            <w:vAlign w:val="bottom"/>
            <w:gridSpan w:val="2"/>
            <w:shd w:val="clear" w:color="auto" w:fill="005CB9"/>
          </w:tcPr>
          <w:p>
            <w:pPr>
              <w:ind w:left="100"/>
              <w:spacing w:after="0" w:line="135" w:lineRule="exact"/>
              <w:rPr>
                <w:sz w:val="20"/>
                <w:szCs w:val="20"/>
                <w:color w:val="auto"/>
              </w:rPr>
            </w:pPr>
            <w:r>
              <w:rPr>
                <w:rFonts w:ascii="Arial" w:cs="Arial" w:eastAsia="Arial" w:hAnsi="Arial"/>
                <w:sz w:val="13"/>
                <w:szCs w:val="13"/>
                <w:color w:val="FFFFFF"/>
              </w:rPr>
              <w:t>Compensation</w:t>
            </w:r>
          </w:p>
        </w:tc>
        <w:tc>
          <w:tcPr>
            <w:tcW w:w="1800" w:type="dxa"/>
            <w:vAlign w:val="bottom"/>
            <w:gridSpan w:val="2"/>
            <w:shd w:val="clear" w:color="auto" w:fill="005CB9"/>
          </w:tcPr>
          <w:p>
            <w:pPr>
              <w:jc w:val="right"/>
              <w:spacing w:after="0" w:line="135" w:lineRule="exact"/>
              <w:rPr>
                <w:sz w:val="20"/>
                <w:szCs w:val="20"/>
                <w:color w:val="auto"/>
              </w:rPr>
            </w:pPr>
            <w:r>
              <w:rPr>
                <w:rFonts w:ascii="Arial" w:cs="Arial" w:eastAsia="Arial" w:hAnsi="Arial"/>
                <w:sz w:val="13"/>
                <w:szCs w:val="13"/>
                <w:color w:val="FFFFFF"/>
              </w:rPr>
              <w:t>Investment Based On:</w:t>
            </w:r>
          </w:p>
        </w:tc>
        <w:tc>
          <w:tcPr>
            <w:tcW w:w="280" w:type="dxa"/>
            <w:vAlign w:val="bottom"/>
            <w:shd w:val="clear" w:color="auto" w:fill="005CB9"/>
          </w:tcPr>
          <w:p>
            <w:pPr>
              <w:spacing w:after="0"/>
              <w:rPr>
                <w:sz w:val="11"/>
                <w:szCs w:val="11"/>
                <w:color w:val="auto"/>
              </w:rPr>
            </w:pPr>
          </w:p>
        </w:tc>
        <w:tc>
          <w:tcPr>
            <w:tcW w:w="560" w:type="dxa"/>
            <w:vAlign w:val="bottom"/>
            <w:shd w:val="clear" w:color="auto" w:fill="005CB9"/>
          </w:tcPr>
          <w:p>
            <w:pPr>
              <w:spacing w:after="0"/>
              <w:rPr>
                <w:sz w:val="11"/>
                <w:szCs w:val="11"/>
                <w:color w:val="auto"/>
              </w:rPr>
            </w:pPr>
          </w:p>
        </w:tc>
        <w:tc>
          <w:tcPr>
            <w:tcW w:w="76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Free</w:t>
            </w:r>
          </w:p>
        </w:tc>
        <w:tc>
          <w:tcPr>
            <w:tcW w:w="720" w:type="dxa"/>
            <w:vAlign w:val="bottom"/>
            <w:shd w:val="clear" w:color="auto" w:fill="005CB9"/>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005CB9"/>
          </w:tcPr>
          <w:p>
            <w:pPr>
              <w:spacing w:after="0"/>
              <w:rPr>
                <w:sz w:val="11"/>
                <w:szCs w:val="11"/>
                <w:color w:val="auto"/>
              </w:rPr>
            </w:pPr>
          </w:p>
        </w:tc>
        <w:tc>
          <w:tcPr>
            <w:tcW w:w="112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Compensation</w:t>
            </w:r>
          </w:p>
        </w:tc>
        <w:tc>
          <w:tcPr>
            <w:tcW w:w="1060" w:type="dxa"/>
            <w:vAlign w:val="bottom"/>
            <w:gridSpan w:val="2"/>
            <w:shd w:val="clear" w:color="auto" w:fill="005CB9"/>
          </w:tcPr>
          <w:p>
            <w:pPr>
              <w:ind w:left="120"/>
              <w:spacing w:after="0" w:line="135" w:lineRule="exact"/>
              <w:rPr>
                <w:sz w:val="20"/>
                <w:szCs w:val="20"/>
                <w:color w:val="auto"/>
              </w:rPr>
            </w:pPr>
            <w:r>
              <w:rPr>
                <w:rFonts w:ascii="Arial" w:cs="Arial" w:eastAsia="Arial" w:hAnsi="Arial"/>
                <w:sz w:val="13"/>
                <w:szCs w:val="13"/>
                <w:color w:val="FFFFFF"/>
              </w:rPr>
              <w:t>Compensation</w:t>
            </w:r>
          </w:p>
        </w:tc>
        <w:tc>
          <w:tcPr>
            <w:tcW w:w="1000" w:type="dxa"/>
            <w:vAlign w:val="bottom"/>
            <w:gridSpan w:val="2"/>
            <w:shd w:val="clear" w:color="auto" w:fill="005CB9"/>
          </w:tcPr>
          <w:p>
            <w:pPr>
              <w:jc w:val="right"/>
              <w:spacing w:after="0" w:line="135" w:lineRule="exact"/>
              <w:rPr>
                <w:sz w:val="20"/>
                <w:szCs w:val="20"/>
                <w:color w:val="auto"/>
              </w:rPr>
            </w:pPr>
            <w:r>
              <w:rPr>
                <w:rFonts w:ascii="Arial" w:cs="Arial" w:eastAsia="Arial" w:hAnsi="Arial"/>
                <w:sz w:val="13"/>
                <w:szCs w:val="13"/>
                <w:color w:val="FFFFFF"/>
              </w:rPr>
              <w:t>Table Total for</w:t>
            </w:r>
          </w:p>
        </w:tc>
        <w:tc>
          <w:tcPr>
            <w:tcW w:w="180" w:type="dxa"/>
            <w:vAlign w:val="bottom"/>
            <w:shd w:val="clear" w:color="auto" w:fill="005CB9"/>
          </w:tcPr>
          <w:p>
            <w:pPr>
              <w:spacing w:after="0"/>
              <w:rPr>
                <w:sz w:val="11"/>
                <w:szCs w:val="11"/>
                <w:color w:val="auto"/>
              </w:rPr>
            </w:pPr>
          </w:p>
        </w:tc>
        <w:tc>
          <w:tcPr>
            <w:tcW w:w="84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w w:val="93"/>
              </w:rPr>
              <w:t>Actually Paid</w:t>
            </w:r>
          </w:p>
        </w:tc>
        <w:tc>
          <w:tcPr>
            <w:tcW w:w="1220" w:type="dxa"/>
            <w:vAlign w:val="bottom"/>
            <w:shd w:val="clear" w:color="auto" w:fill="005CB9"/>
          </w:tcPr>
          <w:p>
            <w:pPr>
              <w:jc w:val="right"/>
              <w:ind w:right="113"/>
              <w:spacing w:after="0" w:line="135" w:lineRule="exact"/>
              <w:rPr>
                <w:sz w:val="20"/>
                <w:szCs w:val="20"/>
                <w:color w:val="auto"/>
              </w:rPr>
            </w:pPr>
            <w:r>
              <w:rPr>
                <w:rFonts w:ascii="Arial" w:cs="Arial" w:eastAsia="Arial" w:hAnsi="Arial"/>
                <w:sz w:val="13"/>
                <w:szCs w:val="13"/>
                <w:color w:val="FFFFFF"/>
              </w:rPr>
              <w:t>Total</w:t>
            </w:r>
          </w:p>
        </w:tc>
        <w:tc>
          <w:tcPr>
            <w:tcW w:w="580" w:type="dxa"/>
            <w:vAlign w:val="bottom"/>
            <w:shd w:val="clear" w:color="auto" w:fill="005CB9"/>
          </w:tcPr>
          <w:p>
            <w:pPr>
              <w:spacing w:after="0"/>
              <w:rPr>
                <w:sz w:val="11"/>
                <w:szCs w:val="11"/>
                <w:color w:val="auto"/>
              </w:rPr>
            </w:pPr>
          </w:p>
        </w:tc>
        <w:tc>
          <w:tcPr>
            <w:tcW w:w="280" w:type="dxa"/>
            <w:vAlign w:val="bottom"/>
            <w:shd w:val="clear" w:color="auto" w:fill="005CB9"/>
          </w:tcPr>
          <w:p>
            <w:pPr>
              <w:spacing w:after="0"/>
              <w:rPr>
                <w:sz w:val="11"/>
                <w:szCs w:val="11"/>
                <w:color w:val="auto"/>
              </w:rPr>
            </w:pPr>
          </w:p>
        </w:tc>
        <w:tc>
          <w:tcPr>
            <w:tcW w:w="560" w:type="dxa"/>
            <w:vAlign w:val="bottom"/>
            <w:shd w:val="clear" w:color="auto" w:fill="005CB9"/>
          </w:tcPr>
          <w:p>
            <w:pPr>
              <w:jc w:val="right"/>
              <w:ind w:right="52"/>
              <w:spacing w:after="0" w:line="135" w:lineRule="exact"/>
              <w:rPr>
                <w:sz w:val="20"/>
                <w:szCs w:val="20"/>
                <w:color w:val="auto"/>
              </w:rPr>
            </w:pPr>
            <w:r>
              <w:rPr>
                <w:rFonts w:ascii="Arial" w:cs="Arial" w:eastAsia="Arial" w:hAnsi="Arial"/>
                <w:sz w:val="13"/>
                <w:szCs w:val="13"/>
                <w:color w:val="FFFFFF"/>
              </w:rPr>
              <w:t>Net</w:t>
            </w:r>
          </w:p>
        </w:tc>
        <w:tc>
          <w:tcPr>
            <w:tcW w:w="76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Cash</w:t>
            </w:r>
          </w:p>
        </w:tc>
        <w:tc>
          <w:tcPr>
            <w:tcW w:w="720" w:type="dxa"/>
            <w:vAlign w:val="bottom"/>
            <w:shd w:val="clear" w:color="auto" w:fill="005CB9"/>
          </w:tcPr>
          <w:p>
            <w:pPr>
              <w:jc w:val="right"/>
              <w:ind w:right="12"/>
              <w:spacing w:after="0" w:line="135" w:lineRule="exact"/>
              <w:rPr>
                <w:sz w:val="20"/>
                <w:szCs w:val="20"/>
                <w:color w:val="auto"/>
              </w:rPr>
            </w:pPr>
            <w:r>
              <w:rPr>
                <w:rFonts w:ascii="Arial" w:cs="Arial" w:eastAsia="Arial" w:hAnsi="Arial"/>
                <w:sz w:val="13"/>
                <w:szCs w:val="13"/>
                <w:color w:val="FFFFFF"/>
              </w:rPr>
              <w:t>Adjusted</w:t>
            </w:r>
          </w:p>
        </w:tc>
        <w:tc>
          <w:tcPr>
            <w:tcW w:w="0" w:type="dxa"/>
            <w:vAlign w:val="bottom"/>
          </w:tcPr>
          <w:p>
            <w:pPr>
              <w:spacing w:after="0"/>
              <w:rPr>
                <w:sz w:val="1"/>
                <w:szCs w:val="1"/>
                <w:color w:val="auto"/>
              </w:rPr>
            </w:pPr>
          </w:p>
        </w:tc>
      </w:tr>
      <w:tr>
        <w:trPr>
          <w:trHeight w:val="135"/>
        </w:trPr>
        <w:tc>
          <w:tcPr>
            <w:tcW w:w="2700" w:type="dxa"/>
            <w:vAlign w:val="bottom"/>
            <w:shd w:val="clear" w:color="auto" w:fill="005CB9"/>
          </w:tcPr>
          <w:p>
            <w:pPr>
              <w:spacing w:after="0"/>
              <w:rPr>
                <w:sz w:val="11"/>
                <w:szCs w:val="11"/>
                <w:color w:val="auto"/>
              </w:rPr>
            </w:pPr>
          </w:p>
        </w:tc>
        <w:tc>
          <w:tcPr>
            <w:tcW w:w="112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Table Total for</w:t>
            </w:r>
          </w:p>
        </w:tc>
        <w:tc>
          <w:tcPr>
            <w:tcW w:w="200" w:type="dxa"/>
            <w:vAlign w:val="bottom"/>
            <w:shd w:val="clear" w:color="auto" w:fill="005CB9"/>
          </w:tcPr>
          <w:p>
            <w:pPr>
              <w:spacing w:after="0"/>
              <w:rPr>
                <w:sz w:val="11"/>
                <w:szCs w:val="11"/>
                <w:color w:val="auto"/>
              </w:rPr>
            </w:pPr>
          </w:p>
        </w:tc>
        <w:tc>
          <w:tcPr>
            <w:tcW w:w="860" w:type="dxa"/>
            <w:vAlign w:val="bottom"/>
            <w:shd w:val="clear" w:color="auto" w:fill="005CB9"/>
          </w:tcPr>
          <w:p>
            <w:pPr>
              <w:jc w:val="right"/>
              <w:ind w:right="51"/>
              <w:spacing w:after="0" w:line="135" w:lineRule="exact"/>
              <w:rPr>
                <w:sz w:val="20"/>
                <w:szCs w:val="20"/>
                <w:color w:val="auto"/>
              </w:rPr>
            </w:pPr>
            <w:r>
              <w:rPr>
                <w:rFonts w:ascii="Arial" w:cs="Arial" w:eastAsia="Arial" w:hAnsi="Arial"/>
                <w:sz w:val="13"/>
                <w:szCs w:val="13"/>
                <w:color w:val="FFFFFF"/>
                <w:w w:val="95"/>
              </w:rPr>
              <w:t>Actually Paid</w:t>
            </w:r>
          </w:p>
        </w:tc>
        <w:tc>
          <w:tcPr>
            <w:tcW w:w="240" w:type="dxa"/>
            <w:vAlign w:val="bottom"/>
            <w:shd w:val="clear" w:color="auto" w:fill="005CB9"/>
          </w:tcPr>
          <w:p>
            <w:pPr>
              <w:spacing w:after="0"/>
              <w:rPr>
                <w:sz w:val="11"/>
                <w:szCs w:val="11"/>
                <w:color w:val="auto"/>
              </w:rPr>
            </w:pPr>
          </w:p>
        </w:tc>
        <w:tc>
          <w:tcPr>
            <w:tcW w:w="76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rPr>
              <w:t>Non-PEO</w:t>
            </w:r>
          </w:p>
        </w:tc>
        <w:tc>
          <w:tcPr>
            <w:tcW w:w="180" w:type="dxa"/>
            <w:vAlign w:val="bottom"/>
            <w:shd w:val="clear" w:color="auto" w:fill="005CB9"/>
          </w:tcPr>
          <w:p>
            <w:pPr>
              <w:spacing w:after="0"/>
              <w:rPr>
                <w:sz w:val="11"/>
                <w:szCs w:val="11"/>
                <w:color w:val="auto"/>
              </w:rPr>
            </w:pPr>
          </w:p>
        </w:tc>
        <w:tc>
          <w:tcPr>
            <w:tcW w:w="84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w w:val="99"/>
              </w:rPr>
              <w:t>to Non-PEO</w:t>
            </w:r>
          </w:p>
        </w:tc>
        <w:tc>
          <w:tcPr>
            <w:tcW w:w="1220" w:type="dxa"/>
            <w:vAlign w:val="bottom"/>
            <w:shd w:val="clear" w:color="auto" w:fill="005CB9"/>
          </w:tcPr>
          <w:p>
            <w:pPr>
              <w:jc w:val="right"/>
              <w:ind w:right="113"/>
              <w:spacing w:after="0" w:line="135" w:lineRule="exact"/>
              <w:rPr>
                <w:sz w:val="20"/>
                <w:szCs w:val="20"/>
                <w:color w:val="auto"/>
              </w:rPr>
            </w:pPr>
            <w:r>
              <w:rPr>
                <w:rFonts w:ascii="Arial" w:cs="Arial" w:eastAsia="Arial" w:hAnsi="Arial"/>
                <w:sz w:val="13"/>
                <w:szCs w:val="13"/>
                <w:color w:val="FFFFFF"/>
              </w:rPr>
              <w:t>Shareholder</w:t>
            </w:r>
          </w:p>
        </w:tc>
        <w:tc>
          <w:tcPr>
            <w:tcW w:w="580" w:type="dxa"/>
            <w:vAlign w:val="bottom"/>
            <w:shd w:val="clear" w:color="auto" w:fill="005CB9"/>
          </w:tcPr>
          <w:p>
            <w:pPr>
              <w:jc w:val="right"/>
              <w:spacing w:after="0" w:line="135" w:lineRule="exact"/>
              <w:rPr>
                <w:sz w:val="20"/>
                <w:szCs w:val="20"/>
                <w:color w:val="auto"/>
              </w:rPr>
            </w:pPr>
            <w:r>
              <w:rPr>
                <w:rFonts w:ascii="Arial" w:cs="Arial" w:eastAsia="Arial" w:hAnsi="Arial"/>
                <w:sz w:val="13"/>
                <w:szCs w:val="13"/>
                <w:color w:val="FFFFFF"/>
              </w:rPr>
              <w:t>S&amp;P</w:t>
            </w:r>
          </w:p>
        </w:tc>
        <w:tc>
          <w:tcPr>
            <w:tcW w:w="280" w:type="dxa"/>
            <w:vAlign w:val="bottom"/>
            <w:shd w:val="clear" w:color="auto" w:fill="005CB9"/>
          </w:tcPr>
          <w:p>
            <w:pPr>
              <w:spacing w:after="0"/>
              <w:rPr>
                <w:sz w:val="11"/>
                <w:szCs w:val="11"/>
                <w:color w:val="auto"/>
              </w:rPr>
            </w:pPr>
          </w:p>
        </w:tc>
        <w:tc>
          <w:tcPr>
            <w:tcW w:w="560" w:type="dxa"/>
            <w:vAlign w:val="bottom"/>
            <w:shd w:val="clear" w:color="auto" w:fill="005CB9"/>
          </w:tcPr>
          <w:p>
            <w:pPr>
              <w:jc w:val="right"/>
              <w:ind w:right="52"/>
              <w:spacing w:after="0" w:line="135" w:lineRule="exact"/>
              <w:rPr>
                <w:sz w:val="20"/>
                <w:szCs w:val="20"/>
                <w:color w:val="auto"/>
              </w:rPr>
            </w:pPr>
            <w:r>
              <w:rPr>
                <w:rFonts w:ascii="Arial" w:cs="Arial" w:eastAsia="Arial" w:hAnsi="Arial"/>
                <w:sz w:val="13"/>
                <w:szCs w:val="13"/>
                <w:color w:val="FFFFFF"/>
                <w:w w:val="98"/>
              </w:rPr>
              <w:t>Income</w:t>
            </w:r>
          </w:p>
        </w:tc>
        <w:tc>
          <w:tcPr>
            <w:tcW w:w="760" w:type="dxa"/>
            <w:vAlign w:val="bottom"/>
            <w:shd w:val="clear" w:color="auto" w:fill="005CB9"/>
          </w:tcPr>
          <w:p>
            <w:pPr>
              <w:jc w:val="right"/>
              <w:ind w:right="53"/>
              <w:spacing w:after="0" w:line="135" w:lineRule="exact"/>
              <w:rPr>
                <w:sz w:val="20"/>
                <w:szCs w:val="20"/>
                <w:color w:val="auto"/>
              </w:rPr>
            </w:pPr>
            <w:r>
              <w:rPr>
                <w:rFonts w:ascii="Arial" w:cs="Arial" w:eastAsia="Arial" w:hAnsi="Arial"/>
                <w:sz w:val="13"/>
                <w:szCs w:val="13"/>
                <w:color w:val="FFFFFF"/>
              </w:rPr>
              <w:t>Flow</w:t>
            </w:r>
          </w:p>
        </w:tc>
        <w:tc>
          <w:tcPr>
            <w:tcW w:w="720" w:type="dxa"/>
            <w:vAlign w:val="bottom"/>
            <w:shd w:val="clear" w:color="auto" w:fill="005CB9"/>
          </w:tcPr>
          <w:p>
            <w:pPr>
              <w:jc w:val="right"/>
              <w:ind w:right="12"/>
              <w:spacing w:after="0" w:line="135" w:lineRule="exact"/>
              <w:rPr>
                <w:sz w:val="20"/>
                <w:szCs w:val="20"/>
                <w:color w:val="auto"/>
              </w:rPr>
            </w:pPr>
            <w:r>
              <w:rPr>
                <w:rFonts w:ascii="Arial" w:cs="Arial" w:eastAsia="Arial" w:hAnsi="Arial"/>
                <w:sz w:val="13"/>
                <w:szCs w:val="13"/>
                <w:color w:val="FFFFFF"/>
              </w:rPr>
              <w:t>EBITDA</w:t>
            </w:r>
          </w:p>
        </w:tc>
        <w:tc>
          <w:tcPr>
            <w:tcW w:w="0" w:type="dxa"/>
            <w:vAlign w:val="bottom"/>
          </w:tcPr>
          <w:p>
            <w:pPr>
              <w:spacing w:after="0"/>
              <w:rPr>
                <w:sz w:val="1"/>
                <w:szCs w:val="1"/>
                <w:color w:val="auto"/>
              </w:rPr>
            </w:pPr>
          </w:p>
        </w:tc>
      </w:tr>
      <w:tr>
        <w:trPr>
          <w:trHeight w:val="162"/>
        </w:trPr>
        <w:tc>
          <w:tcPr>
            <w:tcW w:w="2700" w:type="dxa"/>
            <w:vAlign w:val="bottom"/>
            <w:shd w:val="clear" w:color="auto" w:fill="005CB9"/>
          </w:tcPr>
          <w:p>
            <w:pPr>
              <w:spacing w:after="0"/>
              <w:rPr>
                <w:sz w:val="20"/>
                <w:szCs w:val="20"/>
                <w:color w:val="auto"/>
              </w:rPr>
            </w:pPr>
            <w:r>
              <w:rPr>
                <w:rFonts w:ascii="Arial" w:cs="Arial" w:eastAsia="Arial" w:hAnsi="Arial"/>
                <w:sz w:val="13"/>
                <w:szCs w:val="13"/>
                <w:color w:val="FFFFFF"/>
              </w:rPr>
              <w:t> Year</w:t>
            </w:r>
          </w:p>
        </w:tc>
        <w:tc>
          <w:tcPr>
            <w:tcW w:w="112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PEO</w:t>
            </w:r>
          </w:p>
        </w:tc>
        <w:tc>
          <w:tcPr>
            <w:tcW w:w="200" w:type="dxa"/>
            <w:vAlign w:val="bottom"/>
            <w:shd w:val="clear" w:color="auto" w:fill="005CB9"/>
          </w:tcPr>
          <w:p>
            <w:pPr>
              <w:spacing w:after="0"/>
              <w:rPr>
                <w:sz w:val="14"/>
                <w:szCs w:val="14"/>
                <w:color w:val="auto"/>
              </w:rPr>
            </w:pPr>
          </w:p>
        </w:tc>
        <w:tc>
          <w:tcPr>
            <w:tcW w:w="860" w:type="dxa"/>
            <w:vAlign w:val="bottom"/>
            <w:shd w:val="clear" w:color="auto" w:fill="005CB9"/>
          </w:tcPr>
          <w:p>
            <w:pPr>
              <w:jc w:val="right"/>
              <w:ind w:right="51"/>
              <w:spacing w:after="0"/>
              <w:rPr>
                <w:sz w:val="20"/>
                <w:szCs w:val="20"/>
                <w:color w:val="auto"/>
              </w:rPr>
            </w:pPr>
            <w:r>
              <w:rPr>
                <w:rFonts w:ascii="Arial" w:cs="Arial" w:eastAsia="Arial" w:hAnsi="Arial"/>
                <w:sz w:val="13"/>
                <w:szCs w:val="13"/>
                <w:color w:val="FFFFFF"/>
              </w:rPr>
              <w:t>to PEO</w:t>
            </w:r>
          </w:p>
        </w:tc>
        <w:tc>
          <w:tcPr>
            <w:tcW w:w="240" w:type="dxa"/>
            <w:vAlign w:val="bottom"/>
            <w:shd w:val="clear" w:color="auto" w:fill="005CB9"/>
          </w:tcPr>
          <w:p>
            <w:pPr>
              <w:spacing w:after="0"/>
              <w:rPr>
                <w:sz w:val="14"/>
                <w:szCs w:val="14"/>
                <w:color w:val="auto"/>
              </w:rPr>
            </w:pPr>
          </w:p>
        </w:tc>
        <w:tc>
          <w:tcPr>
            <w:tcW w:w="76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NEOs</w:t>
            </w:r>
          </w:p>
        </w:tc>
        <w:tc>
          <w:tcPr>
            <w:tcW w:w="180" w:type="dxa"/>
            <w:vAlign w:val="bottom"/>
            <w:shd w:val="clear" w:color="auto" w:fill="005CB9"/>
          </w:tcPr>
          <w:p>
            <w:pPr>
              <w:spacing w:after="0"/>
              <w:rPr>
                <w:sz w:val="14"/>
                <w:szCs w:val="14"/>
                <w:color w:val="auto"/>
              </w:rPr>
            </w:pPr>
          </w:p>
        </w:tc>
        <w:tc>
          <w:tcPr>
            <w:tcW w:w="84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NEOs</w:t>
            </w:r>
          </w:p>
        </w:tc>
        <w:tc>
          <w:tcPr>
            <w:tcW w:w="1220" w:type="dxa"/>
            <w:vAlign w:val="bottom"/>
            <w:shd w:val="clear" w:color="auto" w:fill="005CB9"/>
          </w:tcPr>
          <w:p>
            <w:pPr>
              <w:jc w:val="right"/>
              <w:ind w:right="113"/>
              <w:spacing w:after="0"/>
              <w:rPr>
                <w:sz w:val="20"/>
                <w:szCs w:val="20"/>
                <w:color w:val="auto"/>
              </w:rPr>
            </w:pPr>
            <w:r>
              <w:rPr>
                <w:rFonts w:ascii="Arial" w:cs="Arial" w:eastAsia="Arial" w:hAnsi="Arial"/>
                <w:sz w:val="13"/>
                <w:szCs w:val="13"/>
                <w:color w:val="FFFFFF"/>
              </w:rPr>
              <w:t>Return</w:t>
            </w:r>
          </w:p>
        </w:tc>
        <w:tc>
          <w:tcPr>
            <w:tcW w:w="580" w:type="dxa"/>
            <w:vAlign w:val="bottom"/>
            <w:shd w:val="clear" w:color="auto" w:fill="005CB9"/>
          </w:tcPr>
          <w:p>
            <w:pPr>
              <w:jc w:val="right"/>
              <w:spacing w:after="0"/>
              <w:rPr>
                <w:sz w:val="20"/>
                <w:szCs w:val="20"/>
                <w:color w:val="auto"/>
              </w:rPr>
            </w:pPr>
            <w:r>
              <w:rPr>
                <w:rFonts w:ascii="Arial" w:cs="Arial" w:eastAsia="Arial" w:hAnsi="Arial"/>
                <w:sz w:val="13"/>
                <w:szCs w:val="13"/>
                <w:color w:val="FFFFFF"/>
              </w:rPr>
              <w:t>500 IT</w:t>
            </w:r>
          </w:p>
        </w:tc>
        <w:tc>
          <w:tcPr>
            <w:tcW w:w="280" w:type="dxa"/>
            <w:vAlign w:val="bottom"/>
            <w:shd w:val="clear" w:color="auto" w:fill="005CB9"/>
          </w:tcPr>
          <w:p>
            <w:pPr>
              <w:ind w:left="200"/>
              <w:spacing w:after="0"/>
              <w:rPr>
                <w:sz w:val="20"/>
                <w:szCs w:val="20"/>
                <w:color w:val="auto"/>
              </w:rPr>
            </w:pPr>
            <w:r>
              <w:rPr>
                <w:rFonts w:ascii="Arial" w:cs="Arial" w:eastAsia="Arial" w:hAnsi="Arial"/>
                <w:sz w:val="13"/>
                <w:szCs w:val="13"/>
                <w:color w:val="FFFFFF"/>
                <w:w w:val="82"/>
              </w:rPr>
              <w:t>$</w:t>
            </w:r>
          </w:p>
        </w:tc>
        <w:tc>
          <w:tcPr>
            <w:tcW w:w="560" w:type="dxa"/>
            <w:vAlign w:val="bottom"/>
            <w:shd w:val="clear" w:color="auto" w:fill="005CB9"/>
          </w:tcPr>
          <w:p>
            <w:pPr>
              <w:jc w:val="right"/>
              <w:ind w:right="52"/>
              <w:spacing w:after="0"/>
              <w:rPr>
                <w:sz w:val="20"/>
                <w:szCs w:val="20"/>
                <w:color w:val="auto"/>
              </w:rPr>
            </w:pPr>
            <w:r>
              <w:rPr>
                <w:rFonts w:ascii="Arial" w:cs="Arial" w:eastAsia="Arial" w:hAnsi="Arial"/>
                <w:sz w:val="13"/>
                <w:szCs w:val="13"/>
                <w:color w:val="FFFFFF"/>
                <w:w w:val="96"/>
              </w:rPr>
              <w:t>millions</w:t>
            </w:r>
          </w:p>
        </w:tc>
        <w:tc>
          <w:tcPr>
            <w:tcW w:w="760" w:type="dxa"/>
            <w:vAlign w:val="bottom"/>
            <w:shd w:val="clear" w:color="auto" w:fill="005CB9"/>
          </w:tcPr>
          <w:p>
            <w:pPr>
              <w:jc w:val="right"/>
              <w:ind w:right="53"/>
              <w:spacing w:after="0"/>
              <w:rPr>
                <w:sz w:val="20"/>
                <w:szCs w:val="20"/>
                <w:color w:val="auto"/>
              </w:rPr>
            </w:pPr>
            <w:r>
              <w:rPr>
                <w:rFonts w:ascii="Arial" w:cs="Arial" w:eastAsia="Arial" w:hAnsi="Arial"/>
                <w:sz w:val="13"/>
                <w:szCs w:val="13"/>
                <w:color w:val="FFFFFF"/>
              </w:rPr>
              <w:t>$ millions</w:t>
            </w:r>
          </w:p>
        </w:tc>
        <w:tc>
          <w:tcPr>
            <w:tcW w:w="720" w:type="dxa"/>
            <w:vAlign w:val="bottom"/>
            <w:shd w:val="clear" w:color="auto" w:fill="005CB9"/>
          </w:tcPr>
          <w:p>
            <w:pPr>
              <w:ind w:left="120"/>
              <w:spacing w:after="0"/>
              <w:rPr>
                <w:sz w:val="20"/>
                <w:szCs w:val="20"/>
                <w:color w:val="auto"/>
              </w:rPr>
            </w:pPr>
            <w:r>
              <w:rPr>
                <w:rFonts w:ascii="Arial" w:cs="Arial" w:eastAsia="Arial" w:hAnsi="Arial"/>
                <w:sz w:val="13"/>
                <w:szCs w:val="13"/>
                <w:color w:val="FFFFFF"/>
              </w:rPr>
              <w:t>$ millions </w:t>
            </w:r>
          </w:p>
        </w:tc>
        <w:tc>
          <w:tcPr>
            <w:tcW w:w="0" w:type="dxa"/>
            <w:vAlign w:val="bottom"/>
          </w:tcPr>
          <w:p>
            <w:pPr>
              <w:spacing w:after="0"/>
              <w:rPr>
                <w:sz w:val="1"/>
                <w:szCs w:val="1"/>
                <w:color w:val="auto"/>
              </w:rPr>
            </w:pPr>
          </w:p>
        </w:tc>
      </w:tr>
      <w:tr>
        <w:trPr>
          <w:trHeight w:val="277"/>
        </w:trPr>
        <w:tc>
          <w:tcPr>
            <w:tcW w:w="270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 2023</w:t>
            </w:r>
          </w:p>
        </w:tc>
        <w:tc>
          <w:tcPr>
            <w:tcW w:w="112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$ 41,295,585</w:t>
            </w:r>
          </w:p>
        </w:tc>
        <w:tc>
          <w:tcPr>
            <w:tcW w:w="200" w:type="dxa"/>
            <w:vAlign w:val="bottom"/>
            <w:tcBorders>
              <w:bottom w:val="single" w:sz="8" w:color="CCDEF1"/>
            </w:tcBorders>
            <w:shd w:val="clear" w:color="auto" w:fill="CCDEF1"/>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DEF1"/>
            </w:tcBorders>
            <w:shd w:val="clear" w:color="auto" w:fill="CCDEF1"/>
          </w:tcPr>
          <w:p>
            <w:pPr>
              <w:jc w:val="right"/>
              <w:ind w:right="51"/>
              <w:spacing w:after="0"/>
              <w:rPr>
                <w:sz w:val="20"/>
                <w:szCs w:val="20"/>
                <w:color w:val="auto"/>
              </w:rPr>
            </w:pPr>
            <w:r>
              <w:rPr>
                <w:rFonts w:ascii="Arial" w:cs="Arial" w:eastAsia="Arial" w:hAnsi="Arial"/>
                <w:sz w:val="14"/>
                <w:szCs w:val="14"/>
                <w:color w:val="auto"/>
              </w:rPr>
              <w:t>58,797,192</w:t>
            </w:r>
          </w:p>
        </w:tc>
        <w:tc>
          <w:tcPr>
            <w:tcW w:w="240" w:type="dxa"/>
            <w:vAlign w:val="bottom"/>
            <w:tcBorders>
              <w:bottom w:val="single" w:sz="8" w:color="CCDEF1"/>
            </w:tcBorders>
            <w:shd w:val="clear" w:color="auto" w:fill="CCDEF1"/>
          </w:tcPr>
          <w:p>
            <w:pPr>
              <w:ind w:lef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4,574,182</w:t>
            </w:r>
          </w:p>
        </w:tc>
        <w:tc>
          <w:tcPr>
            <w:tcW w:w="18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7,665,126</w:t>
            </w:r>
          </w:p>
        </w:tc>
        <w:tc>
          <w:tcPr>
            <w:tcW w:w="1220" w:type="dxa"/>
            <w:vAlign w:val="bottom"/>
            <w:tcBorders>
              <w:bottom w:val="single" w:sz="8" w:color="CCDEF1"/>
            </w:tcBorders>
            <w:shd w:val="clear" w:color="auto" w:fill="CCDEF1"/>
          </w:tcPr>
          <w:p>
            <w:pPr>
              <w:jc w:val="right"/>
              <w:ind w:right="113"/>
              <w:spacing w:after="0"/>
              <w:rPr>
                <w:sz w:val="20"/>
                <w:szCs w:val="20"/>
                <w:color w:val="auto"/>
              </w:rPr>
            </w:pPr>
            <w:r>
              <w:rPr>
                <w:rFonts w:ascii="Arial" w:cs="Arial" w:eastAsia="Arial" w:hAnsi="Arial"/>
                <w:sz w:val="14"/>
                <w:szCs w:val="14"/>
                <w:color w:val="auto"/>
              </w:rPr>
              <w:t>$157</w:t>
            </w:r>
          </w:p>
        </w:tc>
        <w:tc>
          <w:tcPr>
            <w:tcW w:w="5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DEF1"/>
            </w:tcBorders>
            <w:shd w:val="clear" w:color="auto" w:fill="CCDEF1"/>
          </w:tcPr>
          <w:p>
            <w:pPr>
              <w:jc w:val="right"/>
              <w:ind w:right="52"/>
              <w:spacing w:after="0"/>
              <w:rPr>
                <w:sz w:val="20"/>
                <w:szCs w:val="20"/>
                <w:color w:val="auto"/>
              </w:rPr>
            </w:pPr>
            <w:r>
              <w:rPr>
                <w:rFonts w:ascii="Arial" w:cs="Arial" w:eastAsia="Arial" w:hAnsi="Arial"/>
                <w:sz w:val="14"/>
                <w:szCs w:val="14"/>
                <w:color w:val="auto"/>
              </w:rPr>
              <w:t>1,384</w:t>
            </w:r>
          </w:p>
        </w:tc>
        <w:tc>
          <w:tcPr>
            <w:tcW w:w="76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$1,962</w:t>
            </w:r>
          </w:p>
        </w:tc>
        <w:tc>
          <w:tcPr>
            <w:tcW w:w="720" w:type="dxa"/>
            <w:vAlign w:val="bottom"/>
            <w:tcBorders>
              <w:bottom w:val="single" w:sz="8" w:color="CCDEF1"/>
            </w:tcBorders>
            <w:shd w:val="clear" w:color="auto" w:fill="CCDEF1"/>
          </w:tcPr>
          <w:p>
            <w:pPr>
              <w:ind w:left="220"/>
              <w:spacing w:after="0"/>
              <w:rPr>
                <w:sz w:val="20"/>
                <w:szCs w:val="20"/>
                <w:color w:val="auto"/>
              </w:rPr>
            </w:pPr>
            <w:r>
              <w:rPr>
                <w:rFonts w:ascii="Arial" w:cs="Arial" w:eastAsia="Arial" w:hAnsi="Arial"/>
                <w:sz w:val="14"/>
                <w:szCs w:val="14"/>
                <w:color w:val="auto"/>
                <w:w w:val="97"/>
              </w:rPr>
              <w:t>$2,511  </w:t>
            </w:r>
          </w:p>
        </w:tc>
        <w:tc>
          <w:tcPr>
            <w:tcW w:w="0" w:type="dxa"/>
            <w:vAlign w:val="bottom"/>
          </w:tcPr>
          <w:p>
            <w:pPr>
              <w:spacing w:after="0"/>
              <w:rPr>
                <w:sz w:val="1"/>
                <w:szCs w:val="1"/>
                <w:color w:val="auto"/>
              </w:rPr>
            </w:pPr>
          </w:p>
        </w:tc>
      </w:tr>
      <w:tr>
        <w:trPr>
          <w:trHeight w:val="248"/>
        </w:trPr>
        <w:tc>
          <w:tcPr>
            <w:tcW w:w="2700" w:type="dxa"/>
            <w:vAlign w:val="bottom"/>
          </w:tcPr>
          <w:p>
            <w:pPr>
              <w:spacing w:after="0"/>
              <w:rPr>
                <w:sz w:val="20"/>
                <w:szCs w:val="20"/>
                <w:color w:val="auto"/>
              </w:rPr>
            </w:pPr>
            <w:r>
              <w:rPr>
                <w:rFonts w:ascii="Arial" w:cs="Arial" w:eastAsia="Arial" w:hAnsi="Arial"/>
                <w:sz w:val="14"/>
                <w:szCs w:val="14"/>
                <w:color w:val="auto"/>
              </w:rPr>
              <w:t> 2022</w:t>
            </w: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$ 21,893,365</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8,358,572</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6,063,861</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3,431,516</w:t>
            </w:r>
          </w:p>
        </w:tc>
        <w:tc>
          <w:tcPr>
            <w:tcW w:w="1220" w:type="dxa"/>
            <w:vAlign w:val="bottom"/>
          </w:tcPr>
          <w:p>
            <w:pPr>
              <w:jc w:val="right"/>
              <w:ind w:right="113"/>
              <w:spacing w:after="0"/>
              <w:rPr>
                <w:sz w:val="20"/>
                <w:szCs w:val="20"/>
                <w:color w:val="auto"/>
              </w:rPr>
            </w:pPr>
            <w:r>
              <w:rPr>
                <w:rFonts w:ascii="Arial" w:cs="Arial" w:eastAsia="Arial" w:hAnsi="Arial"/>
                <w:sz w:val="14"/>
                <w:szCs w:val="14"/>
                <w:color w:val="auto"/>
              </w:rPr>
              <w:t>$124</w:t>
            </w:r>
          </w:p>
        </w:tc>
        <w:tc>
          <w:tcPr>
            <w:tcW w:w="580" w:type="dxa"/>
            <w:vAlign w:val="bottom"/>
          </w:tcPr>
          <w:p>
            <w:pPr>
              <w:jc w:val="right"/>
              <w:spacing w:after="0"/>
              <w:rPr>
                <w:sz w:val="20"/>
                <w:szCs w:val="20"/>
                <w:color w:val="auto"/>
              </w:rPr>
            </w:pPr>
            <w:r>
              <w:rPr>
                <w:rFonts w:ascii="Arial" w:cs="Arial" w:eastAsia="Arial" w:hAnsi="Arial"/>
                <w:sz w:val="14"/>
                <w:szCs w:val="14"/>
                <w:color w:val="auto"/>
              </w:rPr>
              <w:t>$139</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4,545</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$1,490</w:t>
            </w:r>
          </w:p>
        </w:tc>
        <w:tc>
          <w:tcPr>
            <w:tcW w:w="720" w:type="dxa"/>
            <w:vAlign w:val="bottom"/>
          </w:tcPr>
          <w:p>
            <w:pPr>
              <w:ind w:left="200"/>
              <w:spacing w:after="0"/>
              <w:rPr>
                <w:sz w:val="20"/>
                <w:szCs w:val="20"/>
                <w:color w:val="auto"/>
              </w:rPr>
            </w:pPr>
            <w:r>
              <w:rPr>
                <w:rFonts w:ascii="Arial" w:cs="Arial" w:eastAsia="Arial" w:hAnsi="Arial"/>
                <w:sz w:val="14"/>
                <w:szCs w:val="14"/>
                <w:color w:val="auto"/>
              </w:rPr>
              <w:t>$2,170</w:t>
            </w:r>
          </w:p>
        </w:tc>
        <w:tc>
          <w:tcPr>
            <w:tcW w:w="0" w:type="dxa"/>
            <w:vAlign w:val="bottom"/>
          </w:tcPr>
          <w:p>
            <w:pPr>
              <w:spacing w:after="0"/>
              <w:rPr>
                <w:sz w:val="1"/>
                <w:szCs w:val="1"/>
                <w:color w:val="auto"/>
              </w:rPr>
            </w:pPr>
          </w:p>
        </w:tc>
      </w:tr>
      <w:tr>
        <w:trPr>
          <w:trHeight w:val="48"/>
        </w:trPr>
        <w:tc>
          <w:tcPr>
            <w:tcW w:w="27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700" w:type="dxa"/>
            <w:vAlign w:val="bottom"/>
            <w:tcBorders>
              <w:bottom w:val="single" w:sz="8" w:color="CCDEF1"/>
            </w:tcBorders>
            <w:shd w:val="clear" w:color="auto" w:fill="CCDEF1"/>
          </w:tcPr>
          <w:p>
            <w:pPr>
              <w:spacing w:after="0"/>
              <w:rPr>
                <w:sz w:val="20"/>
                <w:szCs w:val="20"/>
                <w:color w:val="auto"/>
              </w:rPr>
            </w:pPr>
            <w:r>
              <w:rPr>
                <w:rFonts w:ascii="Arial" w:cs="Arial" w:eastAsia="Arial" w:hAnsi="Arial"/>
                <w:sz w:val="14"/>
                <w:szCs w:val="14"/>
                <w:color w:val="auto"/>
              </w:rPr>
              <w:t> 2021</w:t>
            </w:r>
          </w:p>
        </w:tc>
        <w:tc>
          <w:tcPr>
            <w:tcW w:w="112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$ 21,532,055</w:t>
            </w:r>
          </w:p>
        </w:tc>
        <w:tc>
          <w:tcPr>
            <w:tcW w:w="200" w:type="dxa"/>
            <w:vAlign w:val="bottom"/>
            <w:tcBorders>
              <w:bottom w:val="single" w:sz="8" w:color="CCDEF1"/>
            </w:tcBorders>
            <w:shd w:val="clear" w:color="auto" w:fill="CCDEF1"/>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DEF1"/>
            </w:tcBorders>
            <w:shd w:val="clear" w:color="auto" w:fill="CCDEF1"/>
          </w:tcPr>
          <w:p>
            <w:pPr>
              <w:jc w:val="right"/>
              <w:ind w:right="51"/>
              <w:spacing w:after="0"/>
              <w:rPr>
                <w:sz w:val="20"/>
                <w:szCs w:val="20"/>
                <w:color w:val="auto"/>
              </w:rPr>
            </w:pPr>
            <w:r>
              <w:rPr>
                <w:rFonts w:ascii="Arial" w:cs="Arial" w:eastAsia="Arial" w:hAnsi="Arial"/>
                <w:sz w:val="14"/>
                <w:szCs w:val="14"/>
                <w:color w:val="auto"/>
              </w:rPr>
              <w:t>34,591,237</w:t>
            </w:r>
          </w:p>
        </w:tc>
        <w:tc>
          <w:tcPr>
            <w:tcW w:w="240" w:type="dxa"/>
            <w:vAlign w:val="bottom"/>
            <w:tcBorders>
              <w:bottom w:val="single" w:sz="8" w:color="CCDEF1"/>
            </w:tcBorders>
            <w:shd w:val="clear" w:color="auto" w:fill="CCDEF1"/>
          </w:tcPr>
          <w:p>
            <w:pPr>
              <w:ind w:left="12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6,036,612</w:t>
            </w:r>
          </w:p>
        </w:tc>
        <w:tc>
          <w:tcPr>
            <w:tcW w:w="180" w:type="dxa"/>
            <w:vAlign w:val="bottom"/>
            <w:tcBorders>
              <w:bottom w:val="single" w:sz="8" w:color="CCDEF1"/>
            </w:tcBorders>
            <w:shd w:val="clear" w:color="auto" w:fill="CCDEF1"/>
          </w:tcPr>
          <w:p>
            <w:pPr>
              <w:ind w:left="8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8,448,612</w:t>
            </w:r>
          </w:p>
        </w:tc>
        <w:tc>
          <w:tcPr>
            <w:tcW w:w="1220" w:type="dxa"/>
            <w:vAlign w:val="bottom"/>
            <w:tcBorders>
              <w:bottom w:val="single" w:sz="8" w:color="CCDEF1"/>
            </w:tcBorders>
            <w:shd w:val="clear" w:color="auto" w:fill="CCDEF1"/>
          </w:tcPr>
          <w:p>
            <w:pPr>
              <w:jc w:val="right"/>
              <w:ind w:right="113"/>
              <w:spacing w:after="0"/>
              <w:rPr>
                <w:sz w:val="20"/>
                <w:szCs w:val="20"/>
                <w:color w:val="auto"/>
              </w:rPr>
            </w:pPr>
            <w:r>
              <w:rPr>
                <w:rFonts w:ascii="Arial" w:cs="Arial" w:eastAsia="Arial" w:hAnsi="Arial"/>
                <w:sz w:val="14"/>
                <w:szCs w:val="14"/>
                <w:color w:val="auto"/>
              </w:rPr>
              <w:t>$140</w:t>
            </w:r>
          </w:p>
        </w:tc>
        <w:tc>
          <w:tcPr>
            <w:tcW w:w="58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4"/>
                <w:szCs w:val="14"/>
                <w:color w:val="auto"/>
              </w:rPr>
              <w:t>$194</w:t>
            </w:r>
          </w:p>
        </w:tc>
        <w:tc>
          <w:tcPr>
            <w:tcW w:w="28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DEF1"/>
            </w:tcBorders>
            <w:shd w:val="clear" w:color="auto" w:fill="CCDEF1"/>
          </w:tcPr>
          <w:p>
            <w:pPr>
              <w:jc w:val="right"/>
              <w:ind w:right="52"/>
              <w:spacing w:after="0"/>
              <w:rPr>
                <w:sz w:val="20"/>
                <w:szCs w:val="20"/>
                <w:color w:val="auto"/>
              </w:rPr>
            </w:pPr>
            <w:r>
              <w:rPr>
                <w:rFonts w:ascii="Arial" w:cs="Arial" w:eastAsia="Arial" w:hAnsi="Arial"/>
                <w:sz w:val="14"/>
                <w:szCs w:val="14"/>
                <w:color w:val="auto"/>
              </w:rPr>
              <w:t>1,153</w:t>
            </w:r>
          </w:p>
        </w:tc>
        <w:tc>
          <w:tcPr>
            <w:tcW w:w="760" w:type="dxa"/>
            <w:vAlign w:val="bottom"/>
            <w:tcBorders>
              <w:bottom w:val="single" w:sz="8" w:color="CCDEF1"/>
            </w:tcBorders>
            <w:shd w:val="clear" w:color="auto" w:fill="CCDEF1"/>
          </w:tcPr>
          <w:p>
            <w:pPr>
              <w:jc w:val="right"/>
              <w:ind w:right="53"/>
              <w:spacing w:after="0"/>
              <w:rPr>
                <w:sz w:val="20"/>
                <w:szCs w:val="20"/>
                <w:color w:val="auto"/>
              </w:rPr>
            </w:pPr>
            <w:r>
              <w:rPr>
                <w:rFonts w:ascii="Arial" w:cs="Arial" w:eastAsia="Arial" w:hAnsi="Arial"/>
                <w:sz w:val="14"/>
                <w:szCs w:val="14"/>
                <w:color w:val="auto"/>
              </w:rPr>
              <w:t>$1,598</w:t>
            </w:r>
          </w:p>
        </w:tc>
        <w:tc>
          <w:tcPr>
            <w:tcW w:w="720" w:type="dxa"/>
            <w:vAlign w:val="bottom"/>
            <w:tcBorders>
              <w:bottom w:val="single" w:sz="8" w:color="CCDEF1"/>
            </w:tcBorders>
            <w:shd w:val="clear" w:color="auto" w:fill="CCDEF1"/>
          </w:tcPr>
          <w:p>
            <w:pPr>
              <w:ind w:left="200"/>
              <w:spacing w:after="0"/>
              <w:rPr>
                <w:sz w:val="20"/>
                <w:szCs w:val="20"/>
                <w:color w:val="auto"/>
              </w:rPr>
            </w:pPr>
            <w:r>
              <w:rPr>
                <w:rFonts w:ascii="Arial" w:cs="Arial" w:eastAsia="Arial" w:hAnsi="Arial"/>
                <w:sz w:val="14"/>
                <w:szCs w:val="14"/>
                <w:color w:val="auto"/>
              </w:rPr>
              <w:t>$1,944</w:t>
            </w:r>
          </w:p>
        </w:tc>
        <w:tc>
          <w:tcPr>
            <w:tcW w:w="0" w:type="dxa"/>
            <w:vAlign w:val="bottom"/>
          </w:tcPr>
          <w:p>
            <w:pPr>
              <w:spacing w:after="0"/>
              <w:rPr>
                <w:sz w:val="1"/>
                <w:szCs w:val="1"/>
                <w:color w:val="auto"/>
              </w:rPr>
            </w:pPr>
          </w:p>
        </w:tc>
      </w:tr>
      <w:tr>
        <w:trPr>
          <w:trHeight w:val="248"/>
        </w:trPr>
        <w:tc>
          <w:tcPr>
            <w:tcW w:w="2700" w:type="dxa"/>
            <w:vAlign w:val="bottom"/>
          </w:tcPr>
          <w:p>
            <w:pPr>
              <w:spacing w:after="0"/>
              <w:rPr>
                <w:sz w:val="20"/>
                <w:szCs w:val="20"/>
                <w:color w:val="auto"/>
              </w:rPr>
            </w:pPr>
            <w:r>
              <w:rPr>
                <w:rFonts w:ascii="Arial" w:cs="Arial" w:eastAsia="Arial" w:hAnsi="Arial"/>
                <w:sz w:val="14"/>
                <w:szCs w:val="14"/>
                <w:color w:val="auto"/>
              </w:rPr>
              <w:t> 2020</w:t>
            </w: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$ 19,078,951</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51"/>
              <w:spacing w:after="0"/>
              <w:rPr>
                <w:sz w:val="20"/>
                <w:szCs w:val="20"/>
                <w:color w:val="auto"/>
              </w:rPr>
            </w:pPr>
            <w:r>
              <w:rPr>
                <w:rFonts w:ascii="Arial" w:cs="Arial" w:eastAsia="Arial" w:hAnsi="Arial"/>
                <w:sz w:val="14"/>
                <w:szCs w:val="14"/>
                <w:color w:val="auto"/>
              </w:rPr>
              <w:t>36,516,078</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4,984,588</w:t>
            </w: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3"/>
              <w:spacing w:after="0"/>
              <w:rPr>
                <w:sz w:val="20"/>
                <w:szCs w:val="20"/>
                <w:color w:val="auto"/>
              </w:rPr>
            </w:pPr>
            <w:r>
              <w:rPr>
                <w:rFonts w:ascii="Arial" w:cs="Arial" w:eastAsia="Arial" w:hAnsi="Arial"/>
                <w:sz w:val="14"/>
                <w:szCs w:val="14"/>
                <w:color w:val="auto"/>
              </w:rPr>
              <w:t>9,144,533</w:t>
            </w:r>
          </w:p>
        </w:tc>
        <w:tc>
          <w:tcPr>
            <w:tcW w:w="1220" w:type="dxa"/>
            <w:vAlign w:val="bottom"/>
          </w:tcPr>
          <w:p>
            <w:pPr>
              <w:jc w:val="right"/>
              <w:ind w:right="113"/>
              <w:spacing w:after="0"/>
              <w:rPr>
                <w:sz w:val="20"/>
                <w:szCs w:val="20"/>
                <w:color w:val="auto"/>
              </w:rPr>
            </w:pPr>
            <w:r>
              <w:rPr>
                <w:rFonts w:ascii="Arial" w:cs="Arial" w:eastAsia="Arial" w:hAnsi="Arial"/>
                <w:sz w:val="14"/>
                <w:szCs w:val="14"/>
                <w:color w:val="auto"/>
              </w:rPr>
              <w:t>$122</w:t>
            </w:r>
          </w:p>
        </w:tc>
        <w:tc>
          <w:tcPr>
            <w:tcW w:w="580" w:type="dxa"/>
            <w:vAlign w:val="bottom"/>
          </w:tcPr>
          <w:p>
            <w:pPr>
              <w:jc w:val="right"/>
              <w:spacing w:after="0"/>
              <w:rPr>
                <w:sz w:val="20"/>
                <w:szCs w:val="20"/>
                <w:color w:val="auto"/>
              </w:rPr>
            </w:pPr>
            <w:r>
              <w:rPr>
                <w:rFonts w:ascii="Arial" w:cs="Arial" w:eastAsia="Arial" w:hAnsi="Arial"/>
                <w:sz w:val="14"/>
                <w:szCs w:val="14"/>
                <w:color w:val="auto"/>
              </w:rPr>
              <w:t>$144</w:t>
            </w:r>
          </w:p>
        </w:tc>
        <w:tc>
          <w:tcPr>
            <w:tcW w:w="280" w:type="dxa"/>
            <w:vAlign w:val="bottom"/>
          </w:tcPr>
          <w:p>
            <w:pPr>
              <w:ind w:left="20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950</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$1,273</w:t>
            </w:r>
          </w:p>
        </w:tc>
        <w:tc>
          <w:tcPr>
            <w:tcW w:w="720" w:type="dxa"/>
            <w:vAlign w:val="bottom"/>
          </w:tcPr>
          <w:p>
            <w:pPr>
              <w:ind w:left="200"/>
              <w:spacing w:after="0"/>
              <w:rPr>
                <w:sz w:val="20"/>
                <w:szCs w:val="20"/>
                <w:color w:val="auto"/>
              </w:rPr>
            </w:pPr>
            <w:r>
              <w:rPr>
                <w:rFonts w:ascii="Arial" w:cs="Arial" w:eastAsia="Arial" w:hAnsi="Arial"/>
                <w:sz w:val="14"/>
                <w:szCs w:val="14"/>
                <w:color w:val="auto"/>
              </w:rPr>
              <w:t>$1,590 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-988695</wp:posOffset>
            </wp:positionV>
            <wp:extent cx="11487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148715" cy="8255"/>
                    </a:xfrm>
                    <a:prstGeom prst="rect">
                      <a:avLst/>
                    </a:prstGeom>
                    <a:noFill/>
                  </pic:spPr>
                </pic:pic>
              </a:graphicData>
            </a:graphic>
          </wp:anchor>
        </w:drawing>
      </w:r>
    </w:p>
    <w:p>
      <w:pPr>
        <w:spacing w:after="0" w:line="84"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The principal executive officer (“PEO”) for each of 2023, 2022, 2021 and 2020 (each a “Covered Year”) is L. Neil Hunn.</w:t>
      </w:r>
    </w:p>
    <w:p>
      <w:pPr>
        <w:spacing w:after="0" w:line="52" w:lineRule="exact"/>
        <w:rPr>
          <w:rFonts w:ascii="Arial" w:cs="Arial" w:eastAsia="Arial" w:hAnsi="Arial"/>
          <w:sz w:val="18"/>
          <w:szCs w:val="18"/>
          <w:color w:val="auto"/>
          <w:vertAlign w:val="superscript"/>
        </w:rPr>
      </w:pPr>
    </w:p>
    <w:p>
      <w:pPr>
        <w:ind w:left="540" w:right="140" w:hanging="424"/>
        <w:spacing w:after="0" w:line="229" w:lineRule="auto"/>
        <w:tabs>
          <w:tab w:leader="none" w:pos="54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The non-PEO named executive officers (the “other NEOs”) for each Covered Year are Jason P. Conley, Robert C. Crisci and John K. Stipancich. Mr. Crisci served as Chief Financial Officer until February 1, 2023, at which time Mr. Conley began serving as Chief Financial Officer.</w:t>
      </w:r>
    </w:p>
    <w:p>
      <w:pPr>
        <w:spacing w:after="0" w:line="53" w:lineRule="exact"/>
        <w:rPr>
          <w:rFonts w:ascii="Arial" w:cs="Arial" w:eastAsia="Arial" w:hAnsi="Arial"/>
          <w:sz w:val="18"/>
          <w:szCs w:val="18"/>
          <w:color w:val="auto"/>
          <w:vertAlign w:val="superscript"/>
        </w:rPr>
      </w:pPr>
    </w:p>
    <w:p>
      <w:pPr>
        <w:ind w:left="540" w:right="180" w:hanging="424"/>
        <w:spacing w:after="0" w:line="229" w:lineRule="auto"/>
        <w:tabs>
          <w:tab w:leader="none" w:pos="540" w:val="left"/>
        </w:tabs>
        <w:numPr>
          <w:ilvl w:val="0"/>
          <w:numId w:val="73"/>
        </w:numPr>
        <w:rPr>
          <w:rFonts w:ascii="Arial" w:cs="Arial" w:eastAsia="Arial" w:hAnsi="Arial"/>
          <w:sz w:val="18"/>
          <w:szCs w:val="18"/>
          <w:color w:val="auto"/>
          <w:vertAlign w:val="superscript"/>
        </w:rPr>
      </w:pPr>
      <w:r>
        <w:rPr>
          <w:rFonts w:ascii="Arial" w:cs="Arial" w:eastAsia="Arial" w:hAnsi="Arial"/>
          <w:sz w:val="14"/>
          <w:szCs w:val="14"/>
          <w:color w:val="auto"/>
        </w:rPr>
        <w:t>Adjusted Free Cash Flow and Adjusted EBITDA are presented on a continuing operations basis and an adjusted (non-GAAP) basis. Reconciliations of these non-GAAP financial measures to the most comparable GAAP measures and other related information is available in “Appendix A—Reconciliations, Tables 1 and 2”.</w:t>
      </w:r>
    </w:p>
    <w:p>
      <w:pPr>
        <w:spacing w:after="0" w:line="176" w:lineRule="exact"/>
        <w:rPr>
          <w:sz w:val="20"/>
          <w:szCs w:val="20"/>
          <w:color w:val="auto"/>
        </w:rPr>
      </w:pPr>
    </w:p>
    <w:p>
      <w:pPr>
        <w:ind w:left="120" w:right="860"/>
        <w:spacing w:after="0" w:line="267" w:lineRule="auto"/>
        <w:rPr>
          <w:sz w:val="20"/>
          <w:szCs w:val="20"/>
          <w:color w:val="auto"/>
        </w:rPr>
      </w:pPr>
      <w:r>
        <w:rPr>
          <w:rFonts w:ascii="Arial" w:cs="Arial" w:eastAsia="Arial" w:hAnsi="Arial"/>
          <w:sz w:val="17"/>
          <w:szCs w:val="17"/>
          <w:color w:val="auto"/>
        </w:rPr>
        <w:t>Compensation Actually Paid (“CAP”) illustrated in the table above is calculated by making the following adjustments from the Summary Compensation Table (“SCT”) totals as follows: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9560" w:type="dxa"/>
            <w:vAlign w:val="bottom"/>
            <w:tcBorders>
              <w:bottom w:val="single" w:sz="8" w:color="005CB9"/>
            </w:tcBorders>
            <w:gridSpan w:val="5"/>
            <w:shd w:val="clear" w:color="auto" w:fill="005CB9"/>
          </w:tcPr>
          <w:p>
            <w:pPr>
              <w:spacing w:after="0"/>
              <w:rPr>
                <w:sz w:val="20"/>
                <w:szCs w:val="20"/>
                <w:color w:val="auto"/>
              </w:rPr>
            </w:pPr>
            <w:r>
              <w:rPr>
                <w:rFonts w:ascii="Arial" w:cs="Arial" w:eastAsia="Arial" w:hAnsi="Arial"/>
                <w:sz w:val="14"/>
                <w:szCs w:val="14"/>
                <w:color w:val="FFFFFF"/>
              </w:rPr>
              <w:t>  Item and Value—Added (Deducted)</w:t>
            </w:r>
          </w:p>
        </w:tc>
        <w:tc>
          <w:tcPr>
            <w:tcW w:w="1460" w:type="dxa"/>
            <w:vAlign w:val="bottom"/>
            <w:tcBorders>
              <w:bottom w:val="single" w:sz="8" w:color="005CB9"/>
            </w:tcBorders>
            <w:shd w:val="clear" w:color="auto" w:fill="005CB9"/>
          </w:tcPr>
          <w:p>
            <w:pPr>
              <w:jc w:val="right"/>
              <w:spacing w:after="0"/>
              <w:rPr>
                <w:sz w:val="20"/>
                <w:szCs w:val="20"/>
                <w:color w:val="auto"/>
              </w:rPr>
            </w:pPr>
            <w:r>
              <w:rPr>
                <w:rFonts w:ascii="Arial" w:cs="Arial" w:eastAsia="Arial" w:hAnsi="Arial"/>
                <w:sz w:val="14"/>
                <w:szCs w:val="14"/>
                <w:color w:val="FFFFFF"/>
              </w:rPr>
              <w:t>2023  </w:t>
            </w:r>
          </w:p>
        </w:tc>
        <w:tc>
          <w:tcPr>
            <w:tcW w:w="0" w:type="dxa"/>
            <w:vAlign w:val="bottom"/>
          </w:tcPr>
          <w:p>
            <w:pPr>
              <w:spacing w:after="0"/>
              <w:rPr>
                <w:sz w:val="1"/>
                <w:szCs w:val="1"/>
                <w:color w:val="auto"/>
              </w:rPr>
            </w:pPr>
          </w:p>
        </w:tc>
      </w:tr>
      <w:tr>
        <w:trPr>
          <w:trHeight w:val="304"/>
        </w:trPr>
        <w:tc>
          <w:tcPr>
            <w:tcW w:w="1200" w:type="dxa"/>
            <w:vAlign w:val="bottom"/>
            <w:tcBorders>
              <w:bottom w:val="single" w:sz="8" w:color="CCDEF1"/>
            </w:tcBorders>
            <w:gridSpan w:val="4"/>
            <w:shd w:val="clear" w:color="auto" w:fill="CCDEF1"/>
          </w:tcPr>
          <w:p>
            <w:pPr>
              <w:ind w:left="80"/>
              <w:spacing w:after="0"/>
              <w:rPr>
                <w:sz w:val="20"/>
                <w:szCs w:val="20"/>
                <w:color w:val="auto"/>
              </w:rPr>
            </w:pPr>
            <w:r>
              <w:rPr>
                <w:rFonts w:ascii="Arial" w:cs="Arial" w:eastAsia="Arial" w:hAnsi="Arial"/>
                <w:sz w:val="17"/>
                <w:szCs w:val="17"/>
                <w:b w:val="1"/>
                <w:bCs w:val="1"/>
                <w:color w:val="auto"/>
              </w:rPr>
              <w:t>For PEO:</w:t>
            </w:r>
          </w:p>
        </w:tc>
        <w:tc>
          <w:tcPr>
            <w:tcW w:w="8360" w:type="dxa"/>
            <w:vAlign w:val="bottom"/>
            <w:tcBorders>
              <w:bottom w:val="single" w:sz="8" w:color="CCDEF1"/>
            </w:tcBorders>
            <w:shd w:val="clear" w:color="auto" w:fill="CCDEF1"/>
          </w:tcPr>
          <w:p>
            <w:pPr>
              <w:spacing w:after="0"/>
              <w:rPr>
                <w:sz w:val="24"/>
                <w:szCs w:val="24"/>
                <w:color w:val="auto"/>
              </w:rPr>
            </w:pPr>
          </w:p>
        </w:tc>
        <w:tc>
          <w:tcPr>
            <w:tcW w:w="146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560" w:type="dxa"/>
            <w:vAlign w:val="bottom"/>
            <w:gridSpan w:val="5"/>
          </w:tcPr>
          <w:p>
            <w:pPr>
              <w:ind w:left="80"/>
              <w:spacing w:after="0"/>
              <w:rPr>
                <w:sz w:val="20"/>
                <w:szCs w:val="20"/>
                <w:color w:val="auto"/>
              </w:rPr>
            </w:pPr>
            <w:r>
              <w:rPr>
                <w:rFonts w:ascii="Arial" w:cs="Arial" w:eastAsia="Arial" w:hAnsi="Arial"/>
                <w:sz w:val="17"/>
                <w:szCs w:val="17"/>
                <w:color w:val="auto"/>
              </w:rPr>
              <w:t>-SCT “Stock Awards” column value</w:t>
            </w:r>
          </w:p>
        </w:tc>
        <w:tc>
          <w:tcPr>
            <w:tcW w:w="1460" w:type="dxa"/>
            <w:vAlign w:val="bottom"/>
          </w:tcPr>
          <w:p>
            <w:pPr>
              <w:jc w:val="right"/>
              <w:spacing w:after="0"/>
              <w:rPr>
                <w:sz w:val="20"/>
                <w:szCs w:val="20"/>
                <w:color w:val="auto"/>
              </w:rPr>
            </w:pPr>
            <w:r>
              <w:rPr>
                <w:rFonts w:ascii="Arial" w:cs="Arial" w:eastAsia="Arial" w:hAnsi="Arial"/>
                <w:sz w:val="17"/>
                <w:szCs w:val="17"/>
                <w:color w:val="auto"/>
              </w:rPr>
              <w:t>(13,982,907)  </w:t>
            </w:r>
          </w:p>
        </w:tc>
        <w:tc>
          <w:tcPr>
            <w:tcW w:w="0" w:type="dxa"/>
            <w:vAlign w:val="bottom"/>
          </w:tcPr>
          <w:p>
            <w:pPr>
              <w:spacing w:after="0"/>
              <w:rPr>
                <w:sz w:val="1"/>
                <w:szCs w:val="1"/>
                <w:color w:val="auto"/>
              </w:rPr>
            </w:pPr>
          </w:p>
        </w:tc>
      </w:tr>
      <w:tr>
        <w:trPr>
          <w:trHeight w:val="54"/>
        </w:trPr>
        <w:tc>
          <w:tcPr>
            <w:tcW w:w="4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9140" w:type="dxa"/>
            <w:vAlign w:val="bottom"/>
            <w:gridSpan w:val="2"/>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560" w:type="dxa"/>
            <w:vAlign w:val="bottom"/>
            <w:tcBorders>
              <w:bottom w:val="single" w:sz="8" w:color="CCDEF1"/>
            </w:tcBorders>
            <w:gridSpan w:val="5"/>
            <w:shd w:val="clear" w:color="auto" w:fill="CCDEF1"/>
          </w:tcPr>
          <w:p>
            <w:pPr>
              <w:ind w:left="80"/>
              <w:spacing w:after="0"/>
              <w:rPr>
                <w:sz w:val="20"/>
                <w:szCs w:val="20"/>
                <w:color w:val="auto"/>
              </w:rPr>
            </w:pPr>
            <w:r>
              <w:rPr>
                <w:rFonts w:ascii="Arial" w:cs="Arial" w:eastAsia="Arial" w:hAnsi="Arial"/>
                <w:sz w:val="17"/>
                <w:szCs w:val="17"/>
                <w:color w:val="auto"/>
              </w:rPr>
              <w:t>-SCT “Option Awards” column value</w:t>
            </w:r>
          </w:p>
        </w:tc>
        <w:tc>
          <w:tcPr>
            <w:tcW w:w="14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(4,632,002)  </w:t>
            </w:r>
          </w:p>
        </w:tc>
        <w:tc>
          <w:tcPr>
            <w:tcW w:w="0" w:type="dxa"/>
            <w:vAlign w:val="bottom"/>
          </w:tcPr>
          <w:p>
            <w:pPr>
              <w:spacing w:after="0"/>
              <w:rPr>
                <w:sz w:val="1"/>
                <w:szCs w:val="1"/>
                <w:color w:val="auto"/>
              </w:rPr>
            </w:pPr>
          </w:p>
        </w:tc>
      </w:tr>
      <w:tr>
        <w:trPr>
          <w:trHeight w:val="270"/>
        </w:trPr>
        <w:tc>
          <w:tcPr>
            <w:tcW w:w="9560" w:type="dxa"/>
            <w:vAlign w:val="bottom"/>
            <w:gridSpan w:val="5"/>
          </w:tcPr>
          <w:p>
            <w:pPr>
              <w:ind w:left="80"/>
              <w:spacing w:after="0"/>
              <w:rPr>
                <w:sz w:val="20"/>
                <w:szCs w:val="20"/>
                <w:color w:val="auto"/>
              </w:rPr>
            </w:pPr>
            <w:r>
              <w:rPr>
                <w:rFonts w:ascii="Arial" w:cs="Arial" w:eastAsia="Arial" w:hAnsi="Arial"/>
                <w:sz w:val="17"/>
                <w:szCs w:val="17"/>
                <w:color w:val="auto"/>
              </w:rPr>
              <w:t>+ Covered Year-end fair value of outstanding equity awards granted in Covered Year</w:t>
            </w:r>
          </w:p>
        </w:tc>
        <w:tc>
          <w:tcPr>
            <w:tcW w:w="1460" w:type="dxa"/>
            <w:vAlign w:val="bottom"/>
          </w:tcPr>
          <w:p>
            <w:pPr>
              <w:jc w:val="right"/>
              <w:spacing w:after="0"/>
              <w:rPr>
                <w:sz w:val="20"/>
                <w:szCs w:val="20"/>
                <w:color w:val="auto"/>
              </w:rPr>
            </w:pPr>
            <w:r>
              <w:rPr>
                <w:rFonts w:ascii="Arial" w:cs="Arial" w:eastAsia="Arial" w:hAnsi="Arial"/>
                <w:sz w:val="17"/>
                <w:szCs w:val="17"/>
                <w:color w:val="auto"/>
              </w:rPr>
              <w:t>25,286,777   </w:t>
            </w:r>
          </w:p>
        </w:tc>
        <w:tc>
          <w:tcPr>
            <w:tcW w:w="0" w:type="dxa"/>
            <w:vAlign w:val="bottom"/>
          </w:tcPr>
          <w:p>
            <w:pPr>
              <w:spacing w:after="0"/>
              <w:rPr>
                <w:sz w:val="1"/>
                <w:szCs w:val="1"/>
                <w:color w:val="auto"/>
              </w:rPr>
            </w:pPr>
          </w:p>
        </w:tc>
      </w:tr>
      <w:tr>
        <w:trPr>
          <w:trHeight w:val="54"/>
        </w:trPr>
        <w:tc>
          <w:tcPr>
            <w:tcW w:w="4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9140" w:type="dxa"/>
            <w:vAlign w:val="bottom"/>
            <w:gridSpan w:val="2"/>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560" w:type="dxa"/>
            <w:vAlign w:val="bottom"/>
            <w:tcBorders>
              <w:bottom w:val="single" w:sz="8" w:color="CCDEF1"/>
            </w:tcBorders>
            <w:gridSpan w:val="5"/>
            <w:shd w:val="clear" w:color="auto" w:fill="CCDEF1"/>
          </w:tcPr>
          <w:p>
            <w:pPr>
              <w:ind w:left="80"/>
              <w:spacing w:after="0"/>
              <w:rPr>
                <w:sz w:val="20"/>
                <w:szCs w:val="20"/>
                <w:color w:val="auto"/>
              </w:rPr>
            </w:pPr>
            <w:r>
              <w:rPr>
                <w:rFonts w:ascii="Arial" w:cs="Arial" w:eastAsia="Arial" w:hAnsi="Arial"/>
                <w:sz w:val="17"/>
                <w:szCs w:val="17"/>
                <w:color w:val="auto"/>
                <w:w w:val="99"/>
              </w:rPr>
              <w:t>+/- change in fair value (from prior year-end to Covered Year-end) of outstanding equity awards granted prior to Covered Year</w:t>
            </w:r>
          </w:p>
        </w:tc>
        <w:tc>
          <w:tcPr>
            <w:tcW w:w="14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8,470,421   </w:t>
            </w:r>
          </w:p>
        </w:tc>
        <w:tc>
          <w:tcPr>
            <w:tcW w:w="0" w:type="dxa"/>
            <w:vAlign w:val="bottom"/>
          </w:tcPr>
          <w:p>
            <w:pPr>
              <w:spacing w:after="0"/>
              <w:rPr>
                <w:sz w:val="1"/>
                <w:szCs w:val="1"/>
                <w:color w:val="auto"/>
              </w:rPr>
            </w:pPr>
          </w:p>
        </w:tc>
      </w:tr>
      <w:tr>
        <w:trPr>
          <w:trHeight w:val="234"/>
        </w:trPr>
        <w:tc>
          <w:tcPr>
            <w:tcW w:w="9560" w:type="dxa"/>
            <w:vAlign w:val="bottom"/>
            <w:gridSpan w:val="5"/>
          </w:tcPr>
          <w:p>
            <w:pPr>
              <w:ind w:left="80"/>
              <w:spacing w:after="0"/>
              <w:rPr>
                <w:sz w:val="20"/>
                <w:szCs w:val="20"/>
                <w:color w:val="auto"/>
              </w:rPr>
            </w:pPr>
            <w:r>
              <w:rPr>
                <w:rFonts w:ascii="Arial" w:cs="Arial" w:eastAsia="Arial" w:hAnsi="Arial"/>
                <w:sz w:val="17"/>
                <w:szCs w:val="17"/>
                <w:color w:val="auto"/>
              </w:rPr>
              <w:t>+/- change in fair value (from prior year-end to vesting date) of equity awards granted prior to Covered Year and vested in</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00" w:type="dxa"/>
            <w:vAlign w:val="bottom"/>
            <w:gridSpan w:val="4"/>
          </w:tcPr>
          <w:p>
            <w:pPr>
              <w:ind w:left="80"/>
              <w:spacing w:after="0"/>
              <w:rPr>
                <w:sz w:val="20"/>
                <w:szCs w:val="20"/>
                <w:color w:val="auto"/>
              </w:rPr>
            </w:pPr>
            <w:r>
              <w:rPr>
                <w:rFonts w:ascii="Arial" w:cs="Arial" w:eastAsia="Arial" w:hAnsi="Arial"/>
                <w:sz w:val="17"/>
                <w:szCs w:val="17"/>
                <w:color w:val="auto"/>
              </w:rPr>
              <w:t>Covered Year</w:t>
            </w:r>
          </w:p>
        </w:tc>
        <w:tc>
          <w:tcPr>
            <w:tcW w:w="8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2,359,319   </w:t>
            </w:r>
          </w:p>
        </w:tc>
        <w:tc>
          <w:tcPr>
            <w:tcW w:w="0" w:type="dxa"/>
            <w:vAlign w:val="bottom"/>
          </w:tcPr>
          <w:p>
            <w:pPr>
              <w:spacing w:after="0"/>
              <w:rPr>
                <w:sz w:val="1"/>
                <w:szCs w:val="1"/>
                <w:color w:val="auto"/>
              </w:rPr>
            </w:pPr>
          </w:p>
        </w:tc>
      </w:tr>
      <w:tr>
        <w:trPr>
          <w:trHeight w:val="54"/>
        </w:trPr>
        <w:tc>
          <w:tcPr>
            <w:tcW w:w="4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9140" w:type="dxa"/>
            <w:vAlign w:val="bottom"/>
            <w:gridSpan w:val="2"/>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560" w:type="dxa"/>
            <w:vAlign w:val="bottom"/>
            <w:tcBorders>
              <w:bottom w:val="single" w:sz="8" w:color="CCDEF1"/>
            </w:tcBorders>
            <w:gridSpan w:val="5"/>
            <w:shd w:val="clear" w:color="auto" w:fill="CCDEF1"/>
          </w:tcPr>
          <w:p>
            <w:pPr>
              <w:ind w:left="80"/>
              <w:spacing w:after="0"/>
              <w:rPr>
                <w:sz w:val="20"/>
                <w:szCs w:val="20"/>
                <w:color w:val="auto"/>
              </w:rPr>
            </w:pPr>
            <w:r>
              <w:rPr>
                <w:rFonts w:ascii="Arial" w:cs="Arial" w:eastAsia="Arial" w:hAnsi="Arial"/>
                <w:sz w:val="17"/>
                <w:szCs w:val="17"/>
                <w:b w:val="1"/>
                <w:bCs w:val="1"/>
                <w:color w:val="auto"/>
              </w:rPr>
              <w:t>For Non-PEO Named Executive Officers (Average):</w:t>
            </w:r>
          </w:p>
        </w:tc>
        <w:tc>
          <w:tcPr>
            <w:tcW w:w="1460" w:type="dxa"/>
            <w:vAlign w:val="bottom"/>
            <w:tcBorders>
              <w:bottom w:val="single" w:sz="8" w:color="CCDEF1"/>
            </w:tcBorders>
            <w:shd w:val="clear" w:color="auto" w:fill="CCDEF1"/>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9560" w:type="dxa"/>
            <w:vAlign w:val="bottom"/>
            <w:gridSpan w:val="5"/>
          </w:tcPr>
          <w:p>
            <w:pPr>
              <w:ind w:left="80"/>
              <w:spacing w:after="0"/>
              <w:rPr>
                <w:sz w:val="20"/>
                <w:szCs w:val="20"/>
                <w:color w:val="auto"/>
              </w:rPr>
            </w:pPr>
            <w:r>
              <w:rPr>
                <w:rFonts w:ascii="Arial" w:cs="Arial" w:eastAsia="Arial" w:hAnsi="Arial"/>
                <w:sz w:val="17"/>
                <w:szCs w:val="17"/>
                <w:color w:val="auto"/>
              </w:rPr>
              <w:t>-SCT “Stock Awards” column value</w:t>
            </w:r>
          </w:p>
        </w:tc>
        <w:tc>
          <w:tcPr>
            <w:tcW w:w="1460" w:type="dxa"/>
            <w:vAlign w:val="bottom"/>
          </w:tcPr>
          <w:p>
            <w:pPr>
              <w:jc w:val="right"/>
              <w:spacing w:after="0"/>
              <w:rPr>
                <w:sz w:val="20"/>
                <w:szCs w:val="20"/>
                <w:color w:val="auto"/>
              </w:rPr>
            </w:pPr>
            <w:r>
              <w:rPr>
                <w:rFonts w:ascii="Arial" w:cs="Arial" w:eastAsia="Arial" w:hAnsi="Arial"/>
                <w:sz w:val="17"/>
                <w:szCs w:val="17"/>
                <w:color w:val="auto"/>
              </w:rPr>
              <w:t>(2,415,028)  </w:t>
            </w:r>
          </w:p>
        </w:tc>
        <w:tc>
          <w:tcPr>
            <w:tcW w:w="0" w:type="dxa"/>
            <w:vAlign w:val="bottom"/>
          </w:tcPr>
          <w:p>
            <w:pPr>
              <w:spacing w:after="0"/>
              <w:rPr>
                <w:sz w:val="1"/>
                <w:szCs w:val="1"/>
                <w:color w:val="auto"/>
              </w:rPr>
            </w:pPr>
          </w:p>
        </w:tc>
      </w:tr>
      <w:tr>
        <w:trPr>
          <w:trHeight w:val="54"/>
        </w:trPr>
        <w:tc>
          <w:tcPr>
            <w:tcW w:w="4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9140" w:type="dxa"/>
            <w:vAlign w:val="bottom"/>
            <w:gridSpan w:val="2"/>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560" w:type="dxa"/>
            <w:vAlign w:val="bottom"/>
            <w:tcBorders>
              <w:bottom w:val="single" w:sz="8" w:color="CCDEF1"/>
            </w:tcBorders>
            <w:gridSpan w:val="5"/>
            <w:shd w:val="clear" w:color="auto" w:fill="CCDEF1"/>
          </w:tcPr>
          <w:p>
            <w:pPr>
              <w:ind w:left="80"/>
              <w:spacing w:after="0"/>
              <w:rPr>
                <w:sz w:val="20"/>
                <w:szCs w:val="20"/>
                <w:color w:val="auto"/>
              </w:rPr>
            </w:pPr>
            <w:r>
              <w:rPr>
                <w:rFonts w:ascii="Arial" w:cs="Arial" w:eastAsia="Arial" w:hAnsi="Arial"/>
                <w:sz w:val="17"/>
                <w:szCs w:val="17"/>
                <w:color w:val="auto"/>
              </w:rPr>
              <w:t>-SCT “Option Awards” column value</w:t>
            </w:r>
          </w:p>
        </w:tc>
        <w:tc>
          <w:tcPr>
            <w:tcW w:w="14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(800,020)  </w:t>
            </w:r>
          </w:p>
        </w:tc>
        <w:tc>
          <w:tcPr>
            <w:tcW w:w="0" w:type="dxa"/>
            <w:vAlign w:val="bottom"/>
          </w:tcPr>
          <w:p>
            <w:pPr>
              <w:spacing w:after="0"/>
              <w:rPr>
                <w:sz w:val="1"/>
                <w:szCs w:val="1"/>
                <w:color w:val="auto"/>
              </w:rPr>
            </w:pPr>
          </w:p>
        </w:tc>
      </w:tr>
      <w:tr>
        <w:trPr>
          <w:trHeight w:val="270"/>
        </w:trPr>
        <w:tc>
          <w:tcPr>
            <w:tcW w:w="9560" w:type="dxa"/>
            <w:vAlign w:val="bottom"/>
            <w:gridSpan w:val="5"/>
          </w:tcPr>
          <w:p>
            <w:pPr>
              <w:ind w:left="80"/>
              <w:spacing w:after="0"/>
              <w:rPr>
                <w:sz w:val="20"/>
                <w:szCs w:val="20"/>
                <w:color w:val="auto"/>
              </w:rPr>
            </w:pPr>
            <w:r>
              <w:rPr>
                <w:rFonts w:ascii="Arial" w:cs="Arial" w:eastAsia="Arial" w:hAnsi="Arial"/>
                <w:sz w:val="17"/>
                <w:szCs w:val="17"/>
                <w:color w:val="auto"/>
              </w:rPr>
              <w:t>+ Covered Year-end fair value of outstanding equity awards granted in Covered Year</w:t>
            </w:r>
          </w:p>
        </w:tc>
        <w:tc>
          <w:tcPr>
            <w:tcW w:w="1460" w:type="dxa"/>
            <w:vAlign w:val="bottom"/>
          </w:tcPr>
          <w:p>
            <w:pPr>
              <w:jc w:val="right"/>
              <w:spacing w:after="0"/>
              <w:rPr>
                <w:sz w:val="20"/>
                <w:szCs w:val="20"/>
                <w:color w:val="auto"/>
              </w:rPr>
            </w:pPr>
            <w:r>
              <w:rPr>
                <w:rFonts w:ascii="Arial" w:cs="Arial" w:eastAsia="Arial" w:hAnsi="Arial"/>
                <w:sz w:val="17"/>
                <w:szCs w:val="17"/>
                <w:color w:val="auto"/>
              </w:rPr>
              <w:t>4,367,374   </w:t>
            </w:r>
          </w:p>
        </w:tc>
        <w:tc>
          <w:tcPr>
            <w:tcW w:w="0" w:type="dxa"/>
            <w:vAlign w:val="bottom"/>
          </w:tcPr>
          <w:p>
            <w:pPr>
              <w:spacing w:after="0"/>
              <w:rPr>
                <w:sz w:val="1"/>
                <w:szCs w:val="1"/>
                <w:color w:val="auto"/>
              </w:rPr>
            </w:pPr>
          </w:p>
        </w:tc>
      </w:tr>
      <w:tr>
        <w:trPr>
          <w:trHeight w:val="54"/>
        </w:trPr>
        <w:tc>
          <w:tcPr>
            <w:tcW w:w="4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9140" w:type="dxa"/>
            <w:vAlign w:val="bottom"/>
            <w:gridSpan w:val="2"/>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9560" w:type="dxa"/>
            <w:vAlign w:val="bottom"/>
            <w:tcBorders>
              <w:bottom w:val="single" w:sz="8" w:color="CCDEF1"/>
            </w:tcBorders>
            <w:gridSpan w:val="5"/>
            <w:shd w:val="clear" w:color="auto" w:fill="CCDEF1"/>
          </w:tcPr>
          <w:p>
            <w:pPr>
              <w:ind w:left="80"/>
              <w:spacing w:after="0"/>
              <w:rPr>
                <w:sz w:val="20"/>
                <w:szCs w:val="20"/>
                <w:color w:val="auto"/>
              </w:rPr>
            </w:pPr>
            <w:r>
              <w:rPr>
                <w:rFonts w:ascii="Arial" w:cs="Arial" w:eastAsia="Arial" w:hAnsi="Arial"/>
                <w:sz w:val="17"/>
                <w:szCs w:val="17"/>
                <w:color w:val="auto"/>
                <w:w w:val="99"/>
              </w:rPr>
              <w:t>+/- change in fair value (from prior year-end to Covered Year-end) of outstanding equity awards granted prior to Covered Year</w:t>
            </w:r>
          </w:p>
        </w:tc>
        <w:tc>
          <w:tcPr>
            <w:tcW w:w="1460" w:type="dxa"/>
            <w:vAlign w:val="bottom"/>
            <w:tcBorders>
              <w:bottom w:val="single" w:sz="8" w:color="CCDEF1"/>
            </w:tcBorders>
            <w:shd w:val="clear" w:color="auto" w:fill="CCDEF1"/>
          </w:tcPr>
          <w:p>
            <w:pPr>
              <w:jc w:val="right"/>
              <w:spacing w:after="0"/>
              <w:rPr>
                <w:sz w:val="20"/>
                <w:szCs w:val="20"/>
                <w:color w:val="auto"/>
              </w:rPr>
            </w:pPr>
            <w:r>
              <w:rPr>
                <w:rFonts w:ascii="Arial" w:cs="Arial" w:eastAsia="Arial" w:hAnsi="Arial"/>
                <w:sz w:val="17"/>
                <w:szCs w:val="17"/>
                <w:color w:val="auto"/>
              </w:rPr>
              <w:t>1,662,753   </w:t>
            </w:r>
          </w:p>
        </w:tc>
        <w:tc>
          <w:tcPr>
            <w:tcW w:w="0" w:type="dxa"/>
            <w:vAlign w:val="bottom"/>
          </w:tcPr>
          <w:p>
            <w:pPr>
              <w:spacing w:after="0"/>
              <w:rPr>
                <w:sz w:val="1"/>
                <w:szCs w:val="1"/>
                <w:color w:val="auto"/>
              </w:rPr>
            </w:pPr>
          </w:p>
        </w:tc>
      </w:tr>
      <w:tr>
        <w:trPr>
          <w:trHeight w:val="234"/>
        </w:trPr>
        <w:tc>
          <w:tcPr>
            <w:tcW w:w="9560" w:type="dxa"/>
            <w:vAlign w:val="bottom"/>
            <w:gridSpan w:val="5"/>
          </w:tcPr>
          <w:p>
            <w:pPr>
              <w:ind w:left="80"/>
              <w:spacing w:after="0"/>
              <w:rPr>
                <w:sz w:val="20"/>
                <w:szCs w:val="20"/>
                <w:color w:val="auto"/>
              </w:rPr>
            </w:pPr>
            <w:r>
              <w:rPr>
                <w:rFonts w:ascii="Arial" w:cs="Arial" w:eastAsia="Arial" w:hAnsi="Arial"/>
                <w:sz w:val="17"/>
                <w:szCs w:val="17"/>
                <w:color w:val="auto"/>
              </w:rPr>
              <w:t>+/- change in fair value (from prior year-end to vesting date) of equity awards granted prior to Covered Year and vested in</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200" w:type="dxa"/>
            <w:vAlign w:val="bottom"/>
            <w:gridSpan w:val="4"/>
          </w:tcPr>
          <w:p>
            <w:pPr>
              <w:ind w:left="80"/>
              <w:spacing w:after="0"/>
              <w:rPr>
                <w:sz w:val="20"/>
                <w:szCs w:val="20"/>
                <w:color w:val="auto"/>
              </w:rPr>
            </w:pPr>
            <w:r>
              <w:rPr>
                <w:rFonts w:ascii="Arial" w:cs="Arial" w:eastAsia="Arial" w:hAnsi="Arial"/>
                <w:sz w:val="17"/>
                <w:szCs w:val="17"/>
                <w:color w:val="auto"/>
              </w:rPr>
              <w:t>Covered Year</w:t>
            </w:r>
          </w:p>
        </w:tc>
        <w:tc>
          <w:tcPr>
            <w:tcW w:w="8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275,866   </w:t>
            </w:r>
          </w:p>
        </w:tc>
        <w:tc>
          <w:tcPr>
            <w:tcW w:w="0" w:type="dxa"/>
            <w:vAlign w:val="bottom"/>
          </w:tcPr>
          <w:p>
            <w:pPr>
              <w:spacing w:after="0"/>
              <w:rPr>
                <w:sz w:val="1"/>
                <w:szCs w:val="1"/>
                <w:color w:val="auto"/>
              </w:rPr>
            </w:pPr>
          </w:p>
        </w:tc>
      </w:tr>
      <w:tr>
        <w:trPr>
          <w:trHeight w:val="203"/>
        </w:trPr>
        <w:tc>
          <w:tcPr>
            <w:tcW w:w="200" w:type="dxa"/>
            <w:vAlign w:val="bottom"/>
            <w:vMerge w:val="restart"/>
          </w:tcPr>
          <w:p>
            <w:pPr>
              <w:spacing w:after="0"/>
              <w:rPr>
                <w:sz w:val="20"/>
                <w:szCs w:val="20"/>
                <w:color w:val="auto"/>
              </w:rPr>
            </w:pPr>
            <w:r>
              <w:rPr>
                <w:rFonts w:ascii="Arial" w:cs="Arial" w:eastAsia="Arial" w:hAnsi="Arial"/>
                <w:sz w:val="16"/>
                <w:szCs w:val="16"/>
                <w:b w:val="1"/>
                <w:bCs w:val="1"/>
                <w:color w:val="005CB9"/>
              </w:rPr>
              <w:t>52</w:t>
            </w:r>
          </w:p>
        </w:tc>
        <w:tc>
          <w:tcPr>
            <w:tcW w:w="200" w:type="dxa"/>
            <w:vAlign w:val="bottom"/>
            <w:vMerge w:val="restart"/>
          </w:tcPr>
          <w:p>
            <w:pPr>
              <w:ind w:left="40"/>
              <w:spacing w:after="0"/>
              <w:rPr>
                <w:sz w:val="20"/>
                <w:szCs w:val="20"/>
                <w:color w:val="auto"/>
              </w:rPr>
            </w:pPr>
            <w:r>
              <w:rPr>
                <w:rFonts w:ascii="Arial" w:cs="Arial" w:eastAsia="Arial" w:hAnsi="Arial"/>
                <w:sz w:val="16"/>
                <w:szCs w:val="16"/>
                <w:b w:val="1"/>
                <w:bCs w:val="1"/>
                <w:color w:val="005CB9"/>
                <w:w w:val="87"/>
              </w:rPr>
              <w:t> </w:t>
            </w:r>
          </w:p>
        </w:tc>
        <w:tc>
          <w:tcPr>
            <w:tcW w:w="20" w:type="dxa"/>
            <w:vAlign w:val="bottom"/>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8360" w:type="dxa"/>
            <w:vAlign w:val="bottom"/>
            <w:vMerge w:val="restart"/>
          </w:tcPr>
          <w:p>
            <w:pPr>
              <w:ind w:left="80"/>
              <w:spacing w:after="0"/>
              <w:rPr>
                <w:sz w:val="20"/>
                <w:szCs w:val="20"/>
                <w:color w:val="auto"/>
              </w:rPr>
            </w:pPr>
            <w:r>
              <w:rPr>
                <w:rFonts w:ascii="Arial" w:cs="Arial" w:eastAsia="Arial" w:hAnsi="Arial"/>
                <w:sz w:val="16"/>
                <w:szCs w:val="16"/>
                <w:b w:val="1"/>
                <w:bCs w:val="1"/>
                <w:color w:val="005CB9"/>
              </w:rPr>
              <w:t>   Roper Technologies, Inc. 2024 Proxy Statement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0" w:type="dxa"/>
            <w:vAlign w:val="bottom"/>
            <w:shd w:val="clear" w:color="auto" w:fill="005CB9"/>
          </w:tcPr>
          <w:p>
            <w:pPr>
              <w:spacing w:after="0"/>
              <w:rPr>
                <w:sz w:val="18"/>
                <w:szCs w:val="18"/>
                <w:color w:val="auto"/>
              </w:rPr>
            </w:pPr>
          </w:p>
        </w:tc>
        <w:tc>
          <w:tcPr>
            <w:tcW w:w="780" w:type="dxa"/>
            <w:vAlign w:val="bottom"/>
            <w:vMerge w:val="continue"/>
          </w:tcPr>
          <w:p>
            <w:pPr>
              <w:spacing w:after="0"/>
              <w:rPr>
                <w:sz w:val="18"/>
                <w:szCs w:val="18"/>
                <w:color w:val="auto"/>
              </w:rPr>
            </w:pPr>
          </w:p>
        </w:tc>
        <w:tc>
          <w:tcPr>
            <w:tcW w:w="836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shd w:val="clear" w:color="auto" w:fill="005CB9"/>
          </w:tcPr>
          <w:p>
            <w:pPr>
              <w:spacing w:after="0"/>
              <w:rPr>
                <w:sz w:val="8"/>
                <w:szCs w:val="8"/>
                <w:color w:val="auto"/>
              </w:rPr>
            </w:pPr>
          </w:p>
        </w:tc>
        <w:tc>
          <w:tcPr>
            <w:tcW w:w="780" w:type="dxa"/>
            <w:vAlign w:val="bottom"/>
            <w:vMerge w:val="continue"/>
          </w:tcPr>
          <w:p>
            <w:pPr>
              <w:spacing w:after="0"/>
              <w:rPr>
                <w:sz w:val="8"/>
                <w:szCs w:val="8"/>
                <w:color w:val="auto"/>
              </w:rPr>
            </w:pPr>
          </w:p>
        </w:tc>
        <w:tc>
          <w:tcPr>
            <w:tcW w:w="8360" w:type="dxa"/>
            <w:vAlign w:val="bottom"/>
            <w:vMerge w:val="continue"/>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shd w:val="clear" w:color="auto" w:fill="005CB9"/>
          </w:tcPr>
          <w:p>
            <w:pPr>
              <w:spacing w:after="0"/>
              <w:rPr>
                <w:sz w:val="7"/>
                <w:szCs w:val="7"/>
                <w:color w:val="auto"/>
              </w:rPr>
            </w:pPr>
          </w:p>
        </w:tc>
        <w:tc>
          <w:tcPr>
            <w:tcW w:w="780" w:type="dxa"/>
            <w:vAlign w:val="bottom"/>
            <w:vMerge w:val="continue"/>
          </w:tcPr>
          <w:p>
            <w:pPr>
              <w:spacing w:after="0"/>
              <w:rPr>
                <w:sz w:val="7"/>
                <w:szCs w:val="7"/>
                <w:color w:val="auto"/>
              </w:rPr>
            </w:pPr>
          </w:p>
        </w:tc>
        <w:tc>
          <w:tcPr>
            <w:tcW w:w="83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141"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color w:val="auto"/>
        </w:rPr>
        <w:t>The charts below describe the relationship between the PEO and other NEOs’ CAP to Net Income, to cumulative Company Total Shareholder Return, and to the Company’s two Company-selected measures, Adjusted Free Cash Flow and Adjusted EBITDA, plus the relationship between cumulative Company Total Shareholder Return and cumulative Peer Group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5589270" cy="2468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8927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2022, the Company’s Net Income included a gain of $3,356 million related to the disposition of discontinued operations, net of tax.</w:t>
      </w:r>
    </w:p>
    <w:p>
      <w:pPr>
        <w:spacing w:after="0" w:line="82" w:lineRule="exact"/>
        <w:rPr>
          <w:rFonts w:ascii="Arial" w:cs="Arial" w:eastAsia="Arial" w:hAnsi="Arial"/>
          <w:sz w:val="14"/>
          <w:szCs w:val="14"/>
          <w:color w:val="auto"/>
        </w:rPr>
      </w:pPr>
    </w:p>
    <w:p>
      <w:pPr>
        <w:ind w:left="540" w:right="60" w:hanging="424"/>
        <w:spacing w:after="0" w:line="285" w:lineRule="auto"/>
        <w:tabs>
          <w:tab w:leader="none" w:pos="540"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 2023, the Compensation Actually Paid to the PEO includes $17.8 million earned under the five-year CEO Special Long-Term Cash Incentive, plus $1.33 million in a company matching amount based on his deferral of a portion of such award, as described above in the CD&amp;A under “CEO Special Long-Term Cash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5589270" cy="28460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58927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53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005CB9"/>
        </w:rPr>
        <w:t xml:space="preserve">EXECUTIVE COMPENSATION </w:t>
      </w:r>
      <w:r>
        <w:rPr>
          <w:rFonts w:ascii="Arial" w:cs="Arial" w:eastAsia="Arial" w:hAnsi="Arial"/>
          <w:sz w:val="18"/>
          <w:szCs w:val="18"/>
          <w:i w:val="1"/>
          <w:iCs w:val="1"/>
          <w:color w:val="005CB9"/>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5477510" cy="24771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77510"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The following table lists the three financial performance measures that we believe represent the most important financial performance measures we used to link compensation actually paid to our named executive officers for 2023 to our performance:</w:t>
      </w:r>
    </w:p>
    <w:p>
      <w:pPr>
        <w:spacing w:after="0" w:line="19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Adjusted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-95885</wp:posOffset>
            </wp:positionV>
            <wp:extent cx="6995160" cy="1028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4"/>
          <w:szCs w:val="14"/>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10287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02870"/>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4"/>
          <w:szCs w:val="14"/>
          <w:color w:val="auto"/>
        </w:rPr>
        <w:t>Adjusted Net Earnings</w:t>
      </w:r>
    </w:p>
    <w:p>
      <w:pPr>
        <w:spacing w:after="0" w:line="14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0980"/>
          </w:cols>
          <w:pgMar w:left="320" w:top="482" w:right="5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right="560"/>
        <w:spacing w:after="0" w:line="276" w:lineRule="auto"/>
        <w:rPr>
          <w:sz w:val="20"/>
          <w:szCs w:val="20"/>
          <w:color w:val="auto"/>
        </w:rPr>
      </w:pPr>
      <w:r>
        <w:rPr>
          <w:rFonts w:ascii="Arial" w:cs="Arial" w:eastAsia="Arial" w:hAnsi="Arial"/>
          <w:sz w:val="29"/>
          <w:szCs w:val="29"/>
          <w:color w:val="005CB9"/>
        </w:rPr>
        <w:t>PROPOSAL 2: ADVISORY VOTE TO APPROVE THE COMPENSATION OF THE COMPANY’S NAMED EXECUTIVE OFFICERS</w:t>
      </w:r>
    </w:p>
    <w:p>
      <w:pPr>
        <w:spacing w:after="0" w:line="242"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Pursuant to Section 14A of the Exchange Act, we are seeking your advisory vote approving the compensation of our named executive officers as disclosed in this Proxy Statement. We believe that our executive compensation program is structured in the best manner possible to support our business objectives, evidenced by the superior long-term returns we continue to deliver to our shareholders. Over the past 5 and 10 years, our compound annual return to shareholders was 16.0% and 15.3%, respectively, compared to the S&amp;P 500’s return over the same periods of 15.7% and 12.0%, respectively.</w:t>
      </w:r>
    </w:p>
    <w:p>
      <w:pPr>
        <w:spacing w:after="0" w:line="72" w:lineRule="exact"/>
        <w:rPr>
          <w:sz w:val="20"/>
          <w:szCs w:val="20"/>
          <w:color w:val="auto"/>
        </w:rPr>
      </w:pPr>
    </w:p>
    <w:p>
      <w:pPr>
        <w:ind w:left="120" w:right="620"/>
        <w:spacing w:after="0" w:line="249" w:lineRule="auto"/>
        <w:rPr>
          <w:sz w:val="20"/>
          <w:szCs w:val="20"/>
          <w:color w:val="auto"/>
        </w:rPr>
      </w:pPr>
      <w:r>
        <w:rPr>
          <w:rFonts w:ascii="Arial" w:cs="Arial" w:eastAsia="Arial" w:hAnsi="Arial"/>
          <w:sz w:val="17"/>
          <w:szCs w:val="17"/>
          <w:color w:val="auto"/>
        </w:rPr>
        <w:t>Our executive compensation program is designed to provide competitive total compensation that is tied to the achievement of Company performance objectives and to attract, motivate and retain individuals who will build long-term value for our shareholders. See the “Proxy Statement Summary” and “Compensation Discussion and Analysis” above for key characteristics of our executive compensation program.</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seeking shareholder approval of the following resolution:</w:t>
      </w:r>
    </w:p>
    <w:p>
      <w:pPr>
        <w:spacing w:after="0" w:line="102" w:lineRule="exact"/>
        <w:rPr>
          <w:sz w:val="20"/>
          <w:szCs w:val="20"/>
          <w:color w:val="auto"/>
        </w:rPr>
      </w:pPr>
    </w:p>
    <w:p>
      <w:pPr>
        <w:ind w:left="660" w:right="520"/>
        <w:spacing w:after="0" w:line="249" w:lineRule="auto"/>
        <w:rPr>
          <w:sz w:val="20"/>
          <w:szCs w:val="20"/>
          <w:color w:val="auto"/>
        </w:rPr>
      </w:pPr>
      <w:r>
        <w:rPr>
          <w:rFonts w:ascii="Arial" w:cs="Arial" w:eastAsia="Arial" w:hAnsi="Arial"/>
          <w:sz w:val="17"/>
          <w:szCs w:val="17"/>
          <w:color w:val="auto"/>
        </w:rPr>
        <w:t>RESOLVED, that the compensation paid to the Company’s named executive officers as disclosed pursuant to the compensation disclosure rules of the SEC, including the Compensation Discussion and Analysis, the compensation tables and the related material disclosed in this Proxy Statement is hereby APPROVED.</w:t>
      </w:r>
    </w:p>
    <w:p>
      <w:pPr>
        <w:spacing w:after="0" w:line="67" w:lineRule="exact"/>
        <w:rPr>
          <w:sz w:val="20"/>
          <w:szCs w:val="20"/>
          <w:color w:val="auto"/>
        </w:rPr>
      </w:pPr>
    </w:p>
    <w:p>
      <w:pPr>
        <w:ind w:left="120" w:right="260"/>
        <w:spacing w:after="0" w:line="249" w:lineRule="auto"/>
        <w:rPr>
          <w:sz w:val="20"/>
          <w:szCs w:val="20"/>
          <w:color w:val="auto"/>
        </w:rPr>
      </w:pPr>
      <w:r>
        <w:rPr>
          <w:rFonts w:ascii="Arial" w:cs="Arial" w:eastAsia="Arial" w:hAnsi="Arial"/>
          <w:sz w:val="17"/>
          <w:szCs w:val="17"/>
          <w:color w:val="auto"/>
        </w:rPr>
        <w:t>The vote on this proposal is advisory and non-binding; however, the Compensation Committee and our Board will review the results of the vote and consider them when making future determinations regarding our executive compensation program. We conduct this Say-on-Pay vote annually, and we expect to hold our next Say-on-Pay vote at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129540</wp:posOffset>
            </wp:positionV>
            <wp:extent cx="7020560" cy="3429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020560" cy="342900"/>
                    </a:xfrm>
                    <a:prstGeom prst="rect">
                      <a:avLst/>
                    </a:prstGeom>
                    <a:noFill/>
                  </pic:spPr>
                </pic:pic>
              </a:graphicData>
            </a:graphic>
          </wp:anchor>
        </w:drawing>
      </w:r>
    </w:p>
    <w:p>
      <w:pPr>
        <w:spacing w:after="0" w:line="225" w:lineRule="exact"/>
        <w:rPr>
          <w:sz w:val="20"/>
          <w:szCs w:val="20"/>
          <w:color w:val="auto"/>
        </w:rPr>
      </w:pPr>
    </w:p>
    <w:p>
      <w:pPr>
        <w:ind w:left="560" w:right="1120"/>
        <w:spacing w:after="0" w:line="281" w:lineRule="auto"/>
        <w:rPr>
          <w:sz w:val="20"/>
          <w:szCs w:val="20"/>
          <w:color w:val="auto"/>
        </w:rPr>
      </w:pPr>
      <w:r>
        <w:rPr>
          <w:rFonts w:ascii="Arial" w:cs="Arial" w:eastAsia="Arial" w:hAnsi="Arial"/>
          <w:sz w:val="18"/>
          <w:szCs w:val="18"/>
          <w:b w:val="1"/>
          <w:bCs w:val="1"/>
          <w:color w:val="auto"/>
        </w:rPr>
        <w:t>The Board recommends a vote “FOR” the resolution approving, on an advisory basis, the compensation of the Company’s named executive officers.</w:t>
      </w:r>
    </w:p>
    <w:p>
      <w:pPr>
        <w:spacing w:after="0" w:line="142"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55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AUDIT COMMITTEE REPORT</w:t>
      </w:r>
    </w:p>
    <w:p>
      <w:pPr>
        <w:spacing w:after="0" w:line="33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color w:val="auto"/>
        </w:rPr>
        <w:t>The Audit Committee of the Board of Directors is currently comprised of five non-employee directors, each of whom has been determined by the Board of Directors to be independent under the Nasdaq and SEC rules. The Audit Committee’s responsibilities are set forth in its charter.</w:t>
      </w:r>
    </w:p>
    <w:p>
      <w:pPr>
        <w:spacing w:after="0" w:line="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Audit Committee oversees and reviews with the full Board of Directors any issues with respect to the Company’s financial statements, the structure of the Company’s legal and regulatory compliance, the performance and independence of the Company’s independent registered public accounting firm and the performance of the Company’s internal audit function. The Committee retains the Company’s independent registered public accounting firm to undertake appropriate reviews and audits of the Company’s financial statements, determines the compensation of the independent registered public accounting firm, and pre-approves all of their services. The Committee also periodically reviews the work performed by other public accounting firms retained by the Company to provide various financial and information technology services. The Company’s management is primarily responsible for the Company’s financial reporting process and for the preparation of the Company’s financial statements in accordance with GAAP. The Audit Committee maintains oversight of the independent registered public accounting firm by discussing the overall scope and specific plans for their audits, the results of their examinations, their evaluations of the Company’s internal accounting controls and the overall quality of the Company’s financial reporting. The Audit Committee may delegate its duties and responsibilities to a sub-committee of the Committee.</w:t>
      </w:r>
    </w:p>
    <w:p>
      <w:pPr>
        <w:spacing w:after="0" w:line="73" w:lineRule="exact"/>
        <w:rPr>
          <w:sz w:val="20"/>
          <w:szCs w:val="20"/>
          <w:color w:val="auto"/>
        </w:rPr>
      </w:pPr>
    </w:p>
    <w:p>
      <w:pPr>
        <w:ind w:left="120" w:right="20"/>
        <w:spacing w:after="0" w:line="241" w:lineRule="auto"/>
        <w:rPr>
          <w:sz w:val="20"/>
          <w:szCs w:val="20"/>
          <w:color w:val="auto"/>
        </w:rPr>
      </w:pPr>
      <w:r>
        <w:rPr>
          <w:rFonts w:ascii="Arial" w:cs="Arial" w:eastAsia="Arial" w:hAnsi="Arial"/>
          <w:sz w:val="17"/>
          <w:szCs w:val="17"/>
          <w:color w:val="auto"/>
        </w:rPr>
        <w:t>The Audit Committee maintains oversight of the Company’s internal audit function by evaluating the appointment and performance of the Company’s Vice President of internal audit and periodically meeting with this individual to receive and review reports of the work of the Company’s internal audit department. The Audit Committee meets with management on a regular basis to discuss any significant matters, internal audit recommendations, policy or procedural changes and risks or exposures, if any, that may have a material effect on the Company’s financial statements.</w:t>
      </w:r>
    </w:p>
    <w:p>
      <w:pPr>
        <w:spacing w:after="0" w:line="7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Audit Committee: (i) appointed and retained PricewaterhouseCoopers LLP (“PwC”) as the Company’s independent registered public accounting firm for the fiscal year ended December 31, 2023; (ii) reviewed and discussed with the Company’s management the Company’s audited financial statements for the fiscal year ended December 31, 2023; (iii) discussed with PwC the matters required to be discussed by the Auditing Standard No. 1301,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issued by the Public Company Accounting Oversight Board (the “PCAOB”);</w:t>
      </w:r>
    </w:p>
    <w:p>
      <w:pPr>
        <w:spacing w:after="0" w:line="3" w:lineRule="exact"/>
        <w:rPr>
          <w:sz w:val="20"/>
          <w:szCs w:val="20"/>
          <w:color w:val="auto"/>
        </w:rPr>
      </w:pPr>
    </w:p>
    <w:p>
      <w:pPr>
        <w:ind w:left="120" w:right="380" w:hanging="4"/>
        <w:spacing w:after="0" w:line="232" w:lineRule="auto"/>
        <w:tabs>
          <w:tab w:leader="none" w:pos="405"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PwC required by PCAOB Ethics and Independence Rule 3526, “</w:t>
      </w:r>
      <w:r>
        <w:rPr>
          <w:rFonts w:ascii="Arial" w:cs="Arial" w:eastAsia="Arial" w:hAnsi="Arial"/>
          <w:sz w:val="17"/>
          <w:szCs w:val="17"/>
          <w:i w:val="1"/>
          <w:iCs w:val="1"/>
          <w:color w:val="auto"/>
        </w:rPr>
        <w:t>Communications with</w:t>
      </w:r>
      <w:r>
        <w:rPr>
          <w:rFonts w:ascii="Arial" w:cs="Arial" w:eastAsia="Arial" w:hAnsi="Arial"/>
          <w:sz w:val="17"/>
          <w:szCs w:val="17"/>
          <w:color w:val="auto"/>
        </w:rPr>
        <w:t xml:space="preserve"> </w:t>
      </w:r>
      <w:r>
        <w:rPr>
          <w:rFonts w:ascii="Arial" w:cs="Arial" w:eastAsia="Arial" w:hAnsi="Arial"/>
          <w:sz w:val="17"/>
          <w:szCs w:val="17"/>
          <w:i w:val="1"/>
          <w:iCs w:val="1"/>
          <w:color w:val="auto"/>
        </w:rPr>
        <w:t>Audit Committees Concerning Independence</w:t>
      </w:r>
      <w:r>
        <w:rPr>
          <w:rFonts w:ascii="Arial" w:cs="Arial" w:eastAsia="Arial" w:hAnsi="Arial"/>
          <w:sz w:val="17"/>
          <w:szCs w:val="17"/>
          <w:color w:val="auto"/>
        </w:rPr>
        <w:t>,” and has discussed with PwC its independence from the Company and its management;</w:t>
      </w:r>
    </w:p>
    <w:p>
      <w:pPr>
        <w:ind w:left="120" w:right="60" w:hanging="4"/>
        <w:spacing w:after="0"/>
        <w:tabs>
          <w:tab w:leader="none" w:pos="367" w:val="left"/>
        </w:tabs>
        <w:numPr>
          <w:ilvl w:val="0"/>
          <w:numId w:val="75"/>
        </w:numPr>
        <w:rPr>
          <w:rFonts w:ascii="Arial" w:cs="Arial" w:eastAsia="Arial" w:hAnsi="Arial"/>
          <w:sz w:val="17"/>
          <w:szCs w:val="17"/>
          <w:color w:val="auto"/>
        </w:rPr>
      </w:pPr>
      <w:r>
        <w:rPr>
          <w:rFonts w:ascii="Arial" w:cs="Arial" w:eastAsia="Arial" w:hAnsi="Arial"/>
          <w:sz w:val="17"/>
          <w:szCs w:val="17"/>
          <w:color w:val="auto"/>
        </w:rPr>
        <w:t>discussed matters with PwC outside the presence of management; (vi) reviewed internal audit recommendations; (vii) discussed with PwC the quality of the Company’s financial reporting; and (viii) reviewed and discussed with PwC the results of the audit of the effectiveness of internal control over financial reporting in accordance with Section 404 of the Sarbanes-Oxley Act of 2002 (the “Sarbanes-Oxley Act”).</w:t>
      </w:r>
    </w:p>
    <w:p>
      <w:pPr>
        <w:spacing w:after="0" w:line="73" w:lineRule="exact"/>
        <w:rPr>
          <w:sz w:val="20"/>
          <w:szCs w:val="20"/>
          <w:color w:val="auto"/>
        </w:rPr>
      </w:pPr>
    </w:p>
    <w:p>
      <w:pPr>
        <w:ind w:left="120" w:right="240"/>
        <w:spacing w:after="0" w:line="249" w:lineRule="auto"/>
        <w:rPr>
          <w:sz w:val="20"/>
          <w:szCs w:val="20"/>
          <w:color w:val="auto"/>
        </w:rPr>
      </w:pPr>
      <w:r>
        <w:rPr>
          <w:rFonts w:ascii="Arial" w:cs="Arial" w:eastAsia="Arial" w:hAnsi="Arial"/>
          <w:sz w:val="17"/>
          <w:szCs w:val="17"/>
          <w:color w:val="auto"/>
        </w:rPr>
        <w:t>In reliance on the reviews, reports and discussions referred to above, the Audit Committee recommended to the Board of Directors, and the Board of Directors has approved, that the audited financial statements be included in the Company’s Annual Report on Form 10-K for the fiscal year ended December 31, 2023, for filing with the SEC.</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Richard F. Wallman, Chair</w:t>
      </w:r>
    </w:p>
    <w:p>
      <w:pPr>
        <w:spacing w:after="0" w:line="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Irene M. Esteves</w:t>
      </w:r>
    </w:p>
    <w:p>
      <w:pPr>
        <w:ind w:left="560"/>
        <w:spacing w:after="0" w:line="232" w:lineRule="auto"/>
        <w:rPr>
          <w:sz w:val="20"/>
          <w:szCs w:val="20"/>
          <w:color w:val="auto"/>
        </w:rPr>
      </w:pPr>
      <w:r>
        <w:rPr>
          <w:rFonts w:ascii="Arial" w:cs="Arial" w:eastAsia="Arial" w:hAnsi="Arial"/>
          <w:sz w:val="17"/>
          <w:szCs w:val="17"/>
          <w:color w:val="auto"/>
        </w:rPr>
        <w:t>Thomas P. Joyce, Jr.</w:t>
      </w:r>
    </w:p>
    <w:p>
      <w:pPr>
        <w:ind w:left="560"/>
        <w:spacing w:after="0"/>
        <w:rPr>
          <w:sz w:val="20"/>
          <w:szCs w:val="20"/>
          <w:color w:val="auto"/>
        </w:rPr>
      </w:pPr>
      <w:r>
        <w:rPr>
          <w:rFonts w:ascii="Arial" w:cs="Arial" w:eastAsia="Arial" w:hAnsi="Arial"/>
          <w:sz w:val="17"/>
          <w:szCs w:val="17"/>
          <w:color w:val="auto"/>
        </w:rPr>
        <w:t>Christopher Wright</w:t>
      </w:r>
    </w:p>
    <w:p>
      <w:pPr>
        <w:spacing w:after="0" w:line="200" w:lineRule="exact"/>
        <w:rPr>
          <w:sz w:val="20"/>
          <w:szCs w:val="20"/>
          <w:color w:val="auto"/>
        </w:rPr>
      </w:pPr>
    </w:p>
    <w:p>
      <w:pPr>
        <w:spacing w:after="0" w:line="212"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i w:val="1"/>
          <w:iCs w:val="1"/>
          <w:color w:val="005CB9"/>
        </w:rPr>
        <w:t>The foregoing report and other information provided above regarding the Audit Committee should not be deemed incorporated by reference by any general statement incorporating by reference this Proxy Statement into any filing under the Securities Act or the Exchange Act, except to the extent that Roper specifically incorporates this information by reference, and shall not otherwise be deemed filed under either the Securities Act or the Exchange Act.</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56</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INDEPENDENT PUBLIC ACCOUNTANT’S FEES</w:t>
      </w:r>
    </w:p>
    <w:p>
      <w:pPr>
        <w:spacing w:after="0" w:line="33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color w:val="auto"/>
        </w:rPr>
        <w:t>Set forth below are the professional fees billed by PwC for the fiscal years ended December 31, 2023 and 2022. It is the Audit Committee’s policy that all services performed by and all fees paid to the independent registered public accounting firm require the Audit Committee’s prior approval. As such, all audit, audit-related, tax, and other fees were pre-approved by the Audit Committee.</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500" w:type="dxa"/>
            <w:vAlign w:val="bottom"/>
            <w:vMerge w:val="restart"/>
          </w:tcPr>
          <w:p>
            <w:pPr>
              <w:spacing w:after="0"/>
              <w:rPr>
                <w:sz w:val="20"/>
                <w:szCs w:val="20"/>
                <w:color w:val="auto"/>
              </w:rPr>
            </w:pPr>
            <w:r>
              <w:rPr>
                <w:rFonts w:ascii="Arial" w:cs="Arial" w:eastAsia="Arial" w:hAnsi="Arial"/>
                <w:sz w:val="14"/>
                <w:szCs w:val="14"/>
                <w:color w:val="auto"/>
              </w:rPr>
              <w:t>Fees</w:t>
            </w:r>
          </w:p>
        </w:tc>
        <w:tc>
          <w:tcPr>
            <w:tcW w:w="1520" w:type="dxa"/>
            <w:vAlign w:val="bottom"/>
            <w:gridSpan w:val="4"/>
          </w:tcPr>
          <w:p>
            <w:pPr>
              <w:ind w:left="60"/>
              <w:spacing w:after="0"/>
              <w:rPr>
                <w:sz w:val="20"/>
                <w:szCs w:val="20"/>
                <w:color w:val="auto"/>
              </w:rPr>
            </w:pPr>
            <w:r>
              <w:rPr>
                <w:rFonts w:ascii="Arial" w:cs="Arial" w:eastAsia="Arial" w:hAnsi="Arial"/>
                <w:sz w:val="14"/>
                <w:szCs w:val="14"/>
                <w:color w:val="auto"/>
              </w:rPr>
              <w:t>Dollars in Thousands</w:t>
            </w:r>
          </w:p>
        </w:tc>
        <w:tc>
          <w:tcPr>
            <w:tcW w:w="0" w:type="dxa"/>
            <w:vAlign w:val="bottom"/>
          </w:tcPr>
          <w:p>
            <w:pPr>
              <w:spacing w:after="0"/>
              <w:rPr>
                <w:sz w:val="1"/>
                <w:szCs w:val="1"/>
                <w:color w:val="auto"/>
              </w:rPr>
            </w:pPr>
          </w:p>
        </w:tc>
      </w:tr>
      <w:tr>
        <w:trPr>
          <w:trHeight w:val="156"/>
        </w:trPr>
        <w:tc>
          <w:tcPr>
            <w:tcW w:w="9500" w:type="dxa"/>
            <w:vAlign w:val="bottom"/>
            <w:tcBorders>
              <w:bottom w:val="single" w:sz="8" w:color="auto"/>
            </w:tcBorders>
            <w:vMerge w:val="continue"/>
          </w:tcPr>
          <w:p>
            <w:pPr>
              <w:spacing w:after="0"/>
              <w:rPr>
                <w:sz w:val="13"/>
                <w:szCs w:val="13"/>
                <w:color w:val="auto"/>
              </w:rPr>
            </w:pPr>
          </w:p>
        </w:tc>
        <w:tc>
          <w:tcPr>
            <w:tcW w:w="680" w:type="dxa"/>
            <w:vAlign w:val="bottom"/>
            <w:tcBorders>
              <w:top w:val="single" w:sz="8" w:color="auto"/>
              <w:bottom w:val="single" w:sz="8" w:color="auto"/>
            </w:tcBorders>
          </w:tcPr>
          <w:p>
            <w:pPr>
              <w:jc w:val="right"/>
              <w:ind w:right="58"/>
              <w:spacing w:after="0" w:line="155" w:lineRule="exact"/>
              <w:rPr>
                <w:sz w:val="20"/>
                <w:szCs w:val="20"/>
                <w:color w:val="auto"/>
              </w:rPr>
            </w:pPr>
            <w:r>
              <w:rPr>
                <w:rFonts w:ascii="Arial" w:cs="Arial" w:eastAsia="Arial" w:hAnsi="Arial"/>
                <w:sz w:val="14"/>
                <w:szCs w:val="14"/>
                <w:color w:val="auto"/>
                <w:w w:val="98"/>
              </w:rPr>
              <w:t>FY 2023</w:t>
            </w:r>
          </w:p>
        </w:tc>
        <w:tc>
          <w:tcPr>
            <w:tcW w:w="7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FY 2022</w:t>
            </w: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500" w:type="dxa"/>
            <w:vAlign w:val="bottom"/>
          </w:tcPr>
          <w:p>
            <w:pPr>
              <w:spacing w:after="0" w:line="160" w:lineRule="exact"/>
              <w:rPr>
                <w:sz w:val="20"/>
                <w:szCs w:val="20"/>
                <w:color w:val="auto"/>
              </w:rPr>
            </w:pPr>
            <w:r>
              <w:rPr>
                <w:rFonts w:ascii="Arial" w:cs="Arial" w:eastAsia="Arial" w:hAnsi="Arial"/>
                <w:sz w:val="17"/>
                <w:szCs w:val="17"/>
                <w:color w:val="auto"/>
              </w:rPr>
              <w:t>Audit Fees</w:t>
            </w:r>
            <w:r>
              <w:rPr>
                <w:rFonts w:ascii="Arial" w:cs="Arial" w:eastAsia="Arial" w:hAnsi="Arial"/>
                <w:sz w:val="12"/>
                <w:szCs w:val="12"/>
                <w:color w:val="auto"/>
              </w:rPr>
              <w:t>(1)</w:t>
            </w:r>
          </w:p>
        </w:tc>
        <w:tc>
          <w:tcPr>
            <w:tcW w:w="680" w:type="dxa"/>
            <w:vAlign w:val="bottom"/>
          </w:tcPr>
          <w:p>
            <w:pPr>
              <w:jc w:val="right"/>
              <w:ind w:right="38"/>
              <w:spacing w:after="0" w:line="160" w:lineRule="exact"/>
              <w:rPr>
                <w:sz w:val="20"/>
                <w:szCs w:val="20"/>
                <w:color w:val="auto"/>
              </w:rPr>
            </w:pPr>
            <w:r>
              <w:rPr>
                <w:rFonts w:ascii="Arial" w:cs="Arial" w:eastAsia="Arial" w:hAnsi="Arial"/>
                <w:sz w:val="17"/>
                <w:szCs w:val="17"/>
                <w:color w:val="auto"/>
                <w:w w:val="95"/>
              </w:rPr>
              <w:t>$ 5,546</w:t>
            </w:r>
          </w:p>
        </w:tc>
        <w:tc>
          <w:tcPr>
            <w:tcW w:w="260" w:type="dxa"/>
            <w:vAlign w:val="bottom"/>
          </w:tcPr>
          <w:p>
            <w:pPr>
              <w:jc w:val="right"/>
              <w:spacing w:after="0" w:line="160"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60"/>
              <w:spacing w:after="0" w:line="160" w:lineRule="exact"/>
              <w:rPr>
                <w:sz w:val="20"/>
                <w:szCs w:val="20"/>
                <w:color w:val="auto"/>
              </w:rPr>
            </w:pPr>
            <w:r>
              <w:rPr>
                <w:rFonts w:ascii="Arial" w:cs="Arial" w:eastAsia="Arial" w:hAnsi="Arial"/>
                <w:sz w:val="17"/>
                <w:szCs w:val="17"/>
                <w:color w:val="auto"/>
              </w:rPr>
              <w:t>6,856</w:t>
            </w:r>
          </w:p>
        </w:tc>
        <w:tc>
          <w:tcPr>
            <w:tcW w:w="0" w:type="dxa"/>
            <w:vAlign w:val="bottom"/>
          </w:tcPr>
          <w:p>
            <w:pPr>
              <w:spacing w:after="0"/>
              <w:rPr>
                <w:sz w:val="1"/>
                <w:szCs w:val="1"/>
                <w:color w:val="auto"/>
              </w:rPr>
            </w:pPr>
          </w:p>
        </w:tc>
      </w:tr>
      <w:tr>
        <w:trPr>
          <w:trHeight w:val="189"/>
        </w:trPr>
        <w:tc>
          <w:tcPr>
            <w:tcW w:w="9500" w:type="dxa"/>
            <w:vAlign w:val="bottom"/>
          </w:tcPr>
          <w:p>
            <w:pPr>
              <w:spacing w:after="0" w:line="189" w:lineRule="exact"/>
              <w:rPr>
                <w:sz w:val="20"/>
                <w:szCs w:val="20"/>
                <w:color w:val="auto"/>
              </w:rPr>
            </w:pPr>
            <w:r>
              <w:rPr>
                <w:rFonts w:ascii="Arial" w:cs="Arial" w:eastAsia="Arial" w:hAnsi="Arial"/>
                <w:sz w:val="17"/>
                <w:szCs w:val="17"/>
                <w:color w:val="auto"/>
              </w:rPr>
              <w:t>Audit-Related Fees</w:t>
            </w:r>
            <w:r>
              <w:rPr>
                <w:rFonts w:ascii="Arial" w:cs="Arial" w:eastAsia="Arial" w:hAnsi="Arial"/>
                <w:sz w:val="12"/>
                <w:szCs w:val="12"/>
                <w:color w:val="auto"/>
              </w:rPr>
              <w:t>(2)</w:t>
            </w:r>
          </w:p>
        </w:tc>
        <w:tc>
          <w:tcPr>
            <w:tcW w:w="680" w:type="dxa"/>
            <w:vAlign w:val="bottom"/>
          </w:tcPr>
          <w:p>
            <w:pPr>
              <w:jc w:val="right"/>
              <w:ind w:right="38"/>
              <w:spacing w:after="0" w:line="189" w:lineRule="exact"/>
              <w:rPr>
                <w:sz w:val="20"/>
                <w:szCs w:val="20"/>
                <w:color w:val="auto"/>
              </w:rPr>
            </w:pPr>
            <w:r>
              <w:rPr>
                <w:rFonts w:ascii="Arial" w:cs="Arial" w:eastAsia="Arial" w:hAnsi="Arial"/>
                <w:sz w:val="17"/>
                <w:szCs w:val="17"/>
                <w:color w:val="auto"/>
              </w:rPr>
              <w:t>1,934</w:t>
            </w:r>
          </w:p>
        </w:tc>
        <w:tc>
          <w:tcPr>
            <w:tcW w:w="2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4,248</w:t>
            </w:r>
          </w:p>
        </w:tc>
        <w:tc>
          <w:tcPr>
            <w:tcW w:w="0" w:type="dxa"/>
            <w:vAlign w:val="bottom"/>
          </w:tcPr>
          <w:p>
            <w:pPr>
              <w:spacing w:after="0"/>
              <w:rPr>
                <w:sz w:val="1"/>
                <w:szCs w:val="1"/>
                <w:color w:val="auto"/>
              </w:rPr>
            </w:pPr>
          </w:p>
        </w:tc>
      </w:tr>
      <w:tr>
        <w:trPr>
          <w:trHeight w:val="189"/>
        </w:trPr>
        <w:tc>
          <w:tcPr>
            <w:tcW w:w="9500" w:type="dxa"/>
            <w:vAlign w:val="bottom"/>
          </w:tcPr>
          <w:p>
            <w:pPr>
              <w:spacing w:after="0" w:line="189" w:lineRule="exact"/>
              <w:rPr>
                <w:sz w:val="20"/>
                <w:szCs w:val="20"/>
                <w:color w:val="auto"/>
              </w:rPr>
            </w:pPr>
            <w:r>
              <w:rPr>
                <w:rFonts w:ascii="Arial" w:cs="Arial" w:eastAsia="Arial" w:hAnsi="Arial"/>
                <w:sz w:val="17"/>
                <w:szCs w:val="17"/>
                <w:color w:val="auto"/>
              </w:rPr>
              <w:t>Tax Fees</w:t>
            </w:r>
            <w:r>
              <w:rPr>
                <w:rFonts w:ascii="Arial" w:cs="Arial" w:eastAsia="Arial" w:hAnsi="Arial"/>
                <w:sz w:val="12"/>
                <w:szCs w:val="12"/>
                <w:color w:val="auto"/>
              </w:rPr>
              <w:t>(3)</w:t>
            </w:r>
          </w:p>
        </w:tc>
        <w:tc>
          <w:tcPr>
            <w:tcW w:w="680" w:type="dxa"/>
            <w:vAlign w:val="bottom"/>
          </w:tcPr>
          <w:p>
            <w:pPr>
              <w:jc w:val="right"/>
              <w:ind w:right="38"/>
              <w:spacing w:after="0" w:line="189" w:lineRule="exact"/>
              <w:rPr>
                <w:sz w:val="20"/>
                <w:szCs w:val="20"/>
                <w:color w:val="auto"/>
              </w:rPr>
            </w:pPr>
            <w:r>
              <w:rPr>
                <w:rFonts w:ascii="Arial" w:cs="Arial" w:eastAsia="Arial" w:hAnsi="Arial"/>
                <w:sz w:val="17"/>
                <w:szCs w:val="17"/>
                <w:color w:val="auto"/>
              </w:rPr>
              <w:t>840</w:t>
            </w:r>
          </w:p>
        </w:tc>
        <w:tc>
          <w:tcPr>
            <w:tcW w:w="2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189"/>
        </w:trPr>
        <w:tc>
          <w:tcPr>
            <w:tcW w:w="9500" w:type="dxa"/>
            <w:vAlign w:val="bottom"/>
          </w:tcPr>
          <w:p>
            <w:pPr>
              <w:spacing w:after="0" w:line="189" w:lineRule="exact"/>
              <w:rPr>
                <w:sz w:val="20"/>
                <w:szCs w:val="20"/>
                <w:color w:val="auto"/>
              </w:rPr>
            </w:pPr>
            <w:r>
              <w:rPr>
                <w:rFonts w:ascii="Arial" w:cs="Arial" w:eastAsia="Arial" w:hAnsi="Arial"/>
                <w:sz w:val="17"/>
                <w:szCs w:val="17"/>
                <w:color w:val="auto"/>
              </w:rPr>
              <w:t>All Other Fees</w:t>
            </w:r>
            <w:r>
              <w:rPr>
                <w:rFonts w:ascii="Arial" w:cs="Arial" w:eastAsia="Arial" w:hAnsi="Arial"/>
                <w:sz w:val="12"/>
                <w:szCs w:val="12"/>
                <w:color w:val="auto"/>
              </w:rPr>
              <w:t>(4)</w:t>
            </w:r>
          </w:p>
        </w:tc>
        <w:tc>
          <w:tcPr>
            <w:tcW w:w="680" w:type="dxa"/>
            <w:vAlign w:val="bottom"/>
          </w:tcPr>
          <w:p>
            <w:pPr>
              <w:jc w:val="right"/>
              <w:ind w:right="38"/>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5"/>
        </w:trPr>
        <w:tc>
          <w:tcPr>
            <w:tcW w:w="9500" w:type="dxa"/>
            <w:vAlign w:val="bottom"/>
          </w:tcPr>
          <w:p>
            <w:pPr>
              <w:spacing w:after="0"/>
              <w:rPr>
                <w:sz w:val="20"/>
                <w:szCs w:val="20"/>
                <w:color w:val="auto"/>
              </w:rPr>
            </w:pPr>
            <w:r>
              <w:rPr>
                <w:rFonts w:ascii="Arial" w:cs="Arial" w:eastAsia="Arial" w:hAnsi="Arial"/>
                <w:sz w:val="17"/>
                <w:szCs w:val="17"/>
                <w:color w:val="auto"/>
              </w:rPr>
              <w:t>Total Fees</w:t>
            </w:r>
          </w:p>
        </w:tc>
        <w:tc>
          <w:tcPr>
            <w:tcW w:w="680" w:type="dxa"/>
            <w:vAlign w:val="bottom"/>
          </w:tcPr>
          <w:p>
            <w:pPr>
              <w:jc w:val="right"/>
              <w:ind w:right="38"/>
              <w:spacing w:after="0"/>
              <w:rPr>
                <w:sz w:val="20"/>
                <w:szCs w:val="20"/>
                <w:color w:val="auto"/>
              </w:rPr>
            </w:pPr>
            <w:r>
              <w:rPr>
                <w:rFonts w:ascii="Arial" w:cs="Arial" w:eastAsia="Arial" w:hAnsi="Arial"/>
                <w:sz w:val="17"/>
                <w:szCs w:val="17"/>
                <w:u w:val="single" w:color="auto"/>
                <w:color w:val="auto"/>
                <w:w w:val="95"/>
              </w:rPr>
              <w:t>$ 8,320</w:t>
            </w:r>
          </w:p>
        </w:tc>
        <w:tc>
          <w:tcPr>
            <w:tcW w:w="260" w:type="dxa"/>
            <w:vAlign w:val="bottom"/>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u w:val="single" w:color="auto"/>
                <w:color w:val="auto"/>
                <w:w w:val="96"/>
              </w:rPr>
              <w:t>11,559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557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ind w:left="540" w:right="260" w:hanging="424"/>
        <w:spacing w:after="0" w:line="204"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audit or review services in accordance with the standards of the PCAOB and fees for services, such as statutory audits and review of documents filed with the SEC. Audit fees also include fees paid in connection with services required for compliance with Section 404 of the Sarbanes-Oxley Act.</w:t>
      </w:r>
    </w:p>
    <w:p>
      <w:pPr>
        <w:spacing w:after="0" w:line="53" w:lineRule="exact"/>
        <w:rPr>
          <w:rFonts w:ascii="Arial" w:cs="Arial" w:eastAsia="Arial" w:hAnsi="Arial"/>
          <w:sz w:val="22"/>
          <w:szCs w:val="22"/>
          <w:color w:val="auto"/>
          <w:vertAlign w:val="superscript"/>
        </w:rPr>
      </w:pPr>
    </w:p>
    <w:p>
      <w:pPr>
        <w:ind w:left="540" w:right="20" w:hanging="424"/>
        <w:spacing w:after="0" w:line="214"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Aggregate fees from PwC for assurance and related services which primarily include, with respect to 2023, due diligence on acquisition targets and additional services related to the sale of a majority interest in our industrial businesses in 2022, and, with respect to 2022, due diligence on acquisition targets and services related to the sale of a majority interest in our industrial businesses.</w:t>
      </w:r>
    </w:p>
    <w:p>
      <w:pPr>
        <w:spacing w:after="0" w:line="1" w:lineRule="exact"/>
        <w:rPr>
          <w:rFonts w:ascii="Arial" w:cs="Arial" w:eastAsia="Arial" w:hAnsi="Arial"/>
          <w:sz w:val="22"/>
          <w:szCs w:val="22"/>
          <w:color w:val="auto"/>
          <w:vertAlign w:val="superscript"/>
        </w:rPr>
      </w:pPr>
    </w:p>
    <w:p>
      <w:pPr>
        <w:ind w:left="540" w:hanging="424"/>
        <w:spacing w:after="0" w:line="230" w:lineRule="auto"/>
        <w:tabs>
          <w:tab w:leader="none" w:pos="540" w:val="left"/>
        </w:tabs>
        <w:numPr>
          <w:ilvl w:val="0"/>
          <w:numId w:val="76"/>
        </w:numPr>
        <w:rPr>
          <w:rFonts w:ascii="Arial" w:cs="Arial" w:eastAsia="Arial" w:hAnsi="Arial"/>
          <w:sz w:val="22"/>
          <w:szCs w:val="22"/>
          <w:color w:val="auto"/>
          <w:vertAlign w:val="superscript"/>
        </w:rPr>
      </w:pPr>
      <w:r>
        <w:rPr>
          <w:rFonts w:ascii="Arial" w:cs="Arial" w:eastAsia="Arial" w:hAnsi="Arial"/>
          <w:sz w:val="14"/>
          <w:szCs w:val="14"/>
          <w:color w:val="auto"/>
        </w:rPr>
        <w:t>Tax fees include tax compliance, assistance with tax audits, tax advice and tax planning data.</w:t>
      </w:r>
    </w:p>
    <w:p>
      <w:pPr>
        <w:spacing w:after="0" w:line="67" w:lineRule="exact"/>
        <w:rPr>
          <w:rFonts w:ascii="Arial" w:cs="Arial" w:eastAsia="Arial" w:hAnsi="Arial"/>
          <w:sz w:val="22"/>
          <w:szCs w:val="22"/>
          <w:color w:val="auto"/>
          <w:vertAlign w:val="superscript"/>
        </w:rPr>
      </w:pPr>
    </w:p>
    <w:p>
      <w:pPr>
        <w:ind w:left="540" w:hanging="424"/>
        <w:spacing w:after="0" w:line="183" w:lineRule="auto"/>
        <w:tabs>
          <w:tab w:leader="none" w:pos="540" w:val="left"/>
        </w:tabs>
        <w:numPr>
          <w:ilvl w:val="0"/>
          <w:numId w:val="76"/>
        </w:numPr>
        <w:rPr>
          <w:rFonts w:ascii="Arial" w:cs="Arial" w:eastAsia="Arial" w:hAnsi="Arial"/>
          <w:sz w:val="20"/>
          <w:szCs w:val="20"/>
          <w:color w:val="auto"/>
          <w:vertAlign w:val="superscript"/>
        </w:rPr>
      </w:pPr>
      <w:r>
        <w:rPr>
          <w:rFonts w:ascii="Arial" w:cs="Arial" w:eastAsia="Arial" w:hAnsi="Arial"/>
          <w:sz w:val="14"/>
          <w:szCs w:val="14"/>
          <w:color w:val="auto"/>
        </w:rPr>
        <w:t>All other fees include XBRL tagging services.</w:t>
      </w:r>
    </w:p>
    <w:p>
      <w:pPr>
        <w:spacing w:after="0" w:line="149"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As required by Section 10A(i)(1) of the Exchange Act, all audit and non-audit services to be performed by our independent registered public accounting firm must be approved in advance by the Audit Committee, subject to certain exceptions relating to non-audit services accounting for less than five percent of the total fees paid to our independent registered public accounting firm which are subsequently ratified by the Audit Committee. In addition, pursuant to Section 10A(i)(3) of the Exchange Act, as amended, the Audit Committee has established procedures by which the Chair of the Audit Committee may pre-approve such services, provided the Chair subsequently reports the details of the services to the full Audit Committee. All audit-related fees, tax fees and all other fees, as described in the table above, were approved by the Audit Committee.</w:t>
      </w:r>
    </w:p>
    <w:p>
      <w:pPr>
        <w:spacing w:after="0" w:line="388" w:lineRule="exact"/>
        <w:rPr>
          <w:sz w:val="20"/>
          <w:szCs w:val="20"/>
          <w:color w:val="auto"/>
        </w:rPr>
      </w:pPr>
    </w:p>
    <w:p>
      <w:pPr>
        <w:ind w:left="120" w:right="800"/>
        <w:spacing w:after="0" w:line="273" w:lineRule="auto"/>
        <w:rPr>
          <w:sz w:val="20"/>
          <w:szCs w:val="20"/>
          <w:color w:val="auto"/>
        </w:rPr>
      </w:pPr>
      <w:r>
        <w:rPr>
          <w:rFonts w:ascii="Arial" w:cs="Arial" w:eastAsia="Arial" w:hAnsi="Arial"/>
          <w:sz w:val="28"/>
          <w:szCs w:val="28"/>
          <w:color w:val="005CB9"/>
        </w:rPr>
        <w:t>PROPOSAL 3: RATIFICATION OF THE APPOINTMENT OF PRICEWATERHOUSECOOPERS LLP AS OUR INDEPENDENT REGISTERED PUBLIC ACCOUNTING FIRM FOR THE YEAR ENDING DECEMBER 31, 2024</w:t>
      </w:r>
    </w:p>
    <w:p>
      <w:pPr>
        <w:spacing w:after="0" w:line="248" w:lineRule="exact"/>
        <w:rPr>
          <w:sz w:val="20"/>
          <w:szCs w:val="20"/>
          <w:color w:val="auto"/>
        </w:rPr>
      </w:pPr>
    </w:p>
    <w:p>
      <w:pPr>
        <w:ind w:left="120" w:right="160"/>
        <w:spacing w:after="0" w:line="239" w:lineRule="auto"/>
        <w:rPr>
          <w:sz w:val="20"/>
          <w:szCs w:val="20"/>
          <w:color w:val="auto"/>
        </w:rPr>
      </w:pPr>
      <w:r>
        <w:rPr>
          <w:rFonts w:ascii="Arial" w:cs="Arial" w:eastAsia="Arial" w:hAnsi="Arial"/>
          <w:sz w:val="17"/>
          <w:szCs w:val="17"/>
          <w:color w:val="auto"/>
        </w:rPr>
        <w:t>The Audit Committee has appointed PwC as our independent registered public accounting firm for the year ending December 31, 2024. Our Board of Directors recommends that the shareholders ratify this appointment. PwC has been our Company’s independent registered public accounting firm since May 2002. One or more representatives of PwC are expected to be present at the Annual Meeting and will be given the opportunity to make a statement if they so desire and respond to appropriate questions of shareholders in attendance. If this proposal does not pass, the selection of our independent registered public accounting firm will be reconsidered by the Audit Committee and the Board of Directors. Even if the proposal passes, the Audit Committee may decide to select another firm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133985</wp:posOffset>
            </wp:positionV>
            <wp:extent cx="7020560" cy="3340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0560" cy="334010"/>
                    </a:xfrm>
                    <a:prstGeom prst="rect">
                      <a:avLst/>
                    </a:prstGeom>
                    <a:noFill/>
                  </pic:spPr>
                </pic:pic>
              </a:graphicData>
            </a:graphic>
          </wp:anchor>
        </w:drawing>
      </w:r>
    </w:p>
    <w:p>
      <w:pPr>
        <w:spacing w:after="0" w:line="219" w:lineRule="exact"/>
        <w:rPr>
          <w:sz w:val="20"/>
          <w:szCs w:val="20"/>
          <w:color w:val="auto"/>
        </w:rPr>
      </w:pPr>
    </w:p>
    <w:p>
      <w:pPr>
        <w:ind w:left="560" w:right="20"/>
        <w:spacing w:after="0" w:line="311" w:lineRule="auto"/>
        <w:rPr>
          <w:sz w:val="20"/>
          <w:szCs w:val="20"/>
          <w:color w:val="auto"/>
        </w:rPr>
      </w:pPr>
      <w:r>
        <w:rPr>
          <w:rFonts w:ascii="Arial" w:cs="Arial" w:eastAsia="Arial" w:hAnsi="Arial"/>
          <w:sz w:val="17"/>
          <w:szCs w:val="17"/>
          <w:b w:val="1"/>
          <w:bCs w:val="1"/>
          <w:color w:val="auto"/>
        </w:rPr>
        <w:t>The Board of Directors recommends a vote “FOR” the approval of the ratification of the appointment of PricewaterhouseCoopers LLP as our independent registered public accounting firm for the year ending December 31, 2024.</w:t>
      </w:r>
    </w:p>
    <w:p>
      <w:pPr>
        <w:spacing w:after="0" w:line="120"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57</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PROPOSAL 4: SHAREHOLDER PROPOSAL</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Mr. John Chevedden, 2215 Nelson Avenue, No. 205, Redondo Beach, California 90278, holder of at least 10 shares of Roper Technologies, Inc.</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common stock, submitted the following proposal.</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4—Simple Majority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240665</wp:posOffset>
            </wp:positionV>
            <wp:extent cx="1423035"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2303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right="200"/>
        <w:spacing w:after="0" w:line="241" w:lineRule="auto"/>
        <w:rPr>
          <w:sz w:val="20"/>
          <w:szCs w:val="20"/>
          <w:color w:val="auto"/>
        </w:rPr>
      </w:pPr>
      <w:r>
        <w:rPr>
          <w:rFonts w:ascii="Arial" w:cs="Arial" w:eastAsia="Arial" w:hAnsi="Arial"/>
          <w:sz w:val="17"/>
          <w:szCs w:val="17"/>
          <w:color w:val="auto"/>
        </w:rPr>
        <w:t>Shareholders request that our board take each step necessary so that each voting requirement in our charter and bylaws (that is explicit or implicit due to default to state law) that calls for a greater than simple majority vote be replaced by a requirement for a majority of the votes cast for and against applicable proposals, or a simple majority in compliance with applicable laws. If necessary this means the closest standard to a majority of the votes cast for and against such proposals consistent with applicable laws. This includes making the necessary changes in plain English.</w:t>
      </w:r>
    </w:p>
    <w:p>
      <w:pPr>
        <w:spacing w:after="0" w:line="72"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initiatives supported by most shareowners but opposed by a status quo management.</w:t>
      </w:r>
    </w:p>
    <w:p>
      <w:pPr>
        <w:spacing w:after="0" w:line="69"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color w:val="auto"/>
        </w:rPr>
        <w:t>This proposal topic won from 74% to 88% support at Weyerhaeuser, Alcoa, Waste Management, Goldman Sachs, FirstEnergy, McGraw-Hill and Macy’s. These votes would have been higher than 74% to 88% if more shareholders had access to independent proxy voting advice. This proposal topic also received overwhelming 98%-support each at the 2023 annual meetings of American Airlines (AAL) and The Carlyle Group (CG).</w:t>
      </w:r>
    </w:p>
    <w:p>
      <w:pPr>
        <w:spacing w:after="0" w:line="69"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color w:val="auto"/>
        </w:rPr>
        <w:t>The overwhelming shareholder support for this proposal topic at hundreds of major companies raises the question of why Roper Technologies had not initiated this proposal topic on its own.</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Please vote yes:</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Simple Majority Vote—Proposal 4</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Response to the Shareholder Proposal</w:t>
      </w:r>
    </w:p>
    <w:p>
      <w:pPr>
        <w:spacing w:after="0" w:line="100"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color w:val="auto"/>
        </w:rPr>
        <w:t>The Board of Directors has considered the proposal set forth above relating to the removal of supermajority voting standards in our amended and restated certificate of incorporation and amended and restated by-laws and has determined to make no voting recommendation with respect to the proposal to our stockholders. The proposal is advisory in nature only. Stockholders should note that approval of this proposal would not, by itself, implement a majority voting standard as described in the proposal.</w:t>
      </w:r>
    </w:p>
    <w:p>
      <w:pPr>
        <w:spacing w:after="0" w:line="69"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The affirmative vote of a majority of the voting power of the shares present in person or represented by proxy at a meeting and entitled to vote on the subject matter is the voting standard for nearly all matters voted upon by our stockholders. The only supermajority voting standard in our governing documents is set forth in our amended and restated by-laws. That provision requires the vote of at least sixty-six and two-thirds percent (66-2/3%) of the number of shares of stock entitled to vote present in person or by proxy to amend the by-laws. We believe higher voting requirements are appropriate in limited circumstances because certain fundamental matters should require broad support and consensus from our stockholders. In addition, under a majority voting standard as proposed, holders of a minority of our outstanding shares could approve certain fundamental corporate changes without broad stockholder support, as a mere majority of the votes cast at a meeting could in many cases represent significantly less than a majority of our shares outstanding.</w:t>
      </w:r>
    </w:p>
    <w:p>
      <w:pPr>
        <w:spacing w:after="0" w:line="13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58</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right="320"/>
        <w:spacing w:after="0" w:line="244" w:lineRule="auto"/>
        <w:rPr>
          <w:sz w:val="20"/>
          <w:szCs w:val="20"/>
          <w:color w:val="auto"/>
        </w:rPr>
      </w:pPr>
      <w:r>
        <w:rPr>
          <w:rFonts w:ascii="Arial" w:cs="Arial" w:eastAsia="Arial" w:hAnsi="Arial"/>
          <w:sz w:val="17"/>
          <w:szCs w:val="17"/>
          <w:color w:val="auto"/>
        </w:rPr>
        <w:t>However, we recognize that some stockholders prefer a universal majority voting standard. As such, we want to use this proposal as an opportunity for stockholders to express their views on this subject. We will consider the voting results on this proposal, together with additional stockholder input received in the course of our regular stockholder engagement program, in our future deliberations regarding the appropriate voting standards within our amended and restated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60960</wp:posOffset>
            </wp:positionH>
            <wp:positionV relativeFrom="paragraph">
              <wp:posOffset>130810</wp:posOffset>
            </wp:positionV>
            <wp:extent cx="7020560" cy="3257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020560" cy="325755"/>
                    </a:xfrm>
                    <a:prstGeom prst="rect">
                      <a:avLst/>
                    </a:prstGeom>
                    <a:noFill/>
                  </pic:spPr>
                </pic:pic>
              </a:graphicData>
            </a:graphic>
          </wp:anchor>
        </w:drawing>
      </w:r>
    </w:p>
    <w:p>
      <w:pPr>
        <w:spacing w:after="0" w:line="225" w:lineRule="exact"/>
        <w:rPr>
          <w:sz w:val="20"/>
          <w:szCs w:val="20"/>
          <w:color w:val="auto"/>
        </w:rPr>
      </w:pPr>
    </w:p>
    <w:p>
      <w:pPr>
        <w:ind w:left="560" w:right="760"/>
        <w:spacing w:after="0" w:line="280" w:lineRule="auto"/>
        <w:rPr>
          <w:sz w:val="20"/>
          <w:szCs w:val="20"/>
          <w:color w:val="auto"/>
        </w:rPr>
      </w:pPr>
      <w:r>
        <w:rPr>
          <w:rFonts w:ascii="Arial" w:cs="Arial" w:eastAsia="Arial" w:hAnsi="Arial"/>
          <w:sz w:val="17"/>
          <w:szCs w:val="17"/>
          <w:b w:val="1"/>
          <w:bCs w:val="1"/>
          <w:color w:val="auto"/>
        </w:rPr>
        <w:t>THE BOARD OF DIRECTORS TAKES NO POSITION AND MAKES NO RECOMMENDATION ON THIS PROPOSAL. PROXIES RETURNED WITHOUT VOTING INSTRUCTIONS WILL BE VOTED ABSTAIN ON THIS PROPOSAL</w:t>
      </w:r>
      <w:r>
        <w:rPr>
          <w:rFonts w:ascii="Arial" w:cs="Arial" w:eastAsia="Arial" w:hAnsi="Arial"/>
          <w:sz w:val="17"/>
          <w:szCs w:val="17"/>
          <w:color w:val="auto"/>
        </w:rPr>
        <w:t>.</w:t>
      </w:r>
    </w:p>
    <w:p>
      <w:pPr>
        <w:spacing w:after="0" w:line="147"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59</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ANNUAL MEETING AND VOTING INFORMATION</w:t>
      </w:r>
    </w:p>
    <w:p>
      <w:pPr>
        <w:spacing w:after="0" w:line="33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color w:val="auto"/>
        </w:rPr>
        <w:t>Our Company is soliciting the enclosed proxy for use at the 2024 Annual Meeting of Shareholders. This Proxy Statement and the enclosed proxy card are being mailed or otherwise made available to shareholders on or about April 26, 2024.</w:t>
      </w:r>
    </w:p>
    <w:p>
      <w:pPr>
        <w:spacing w:after="0" w:line="159" w:lineRule="exact"/>
        <w:rPr>
          <w:sz w:val="20"/>
          <w:szCs w:val="20"/>
          <w:color w:val="auto"/>
        </w:rPr>
      </w:pPr>
    </w:p>
    <w:p>
      <w:pPr>
        <w:ind w:left="120" w:right="380"/>
        <w:spacing w:after="0" w:line="249" w:lineRule="auto"/>
        <w:rPr>
          <w:sz w:val="20"/>
          <w:szCs w:val="20"/>
          <w:color w:val="auto"/>
        </w:rPr>
      </w:pPr>
      <w:r>
        <w:rPr>
          <w:rFonts w:ascii="Arial" w:cs="Arial" w:eastAsia="Arial" w:hAnsi="Arial"/>
          <w:sz w:val="17"/>
          <w:szCs w:val="17"/>
          <w:color w:val="auto"/>
        </w:rPr>
        <w:t>We are concurrently mailing or making available to shareholders a copy of our 2023 Annual Report, which includes our Annual Report on Form 10-K for the fiscal year ended December 31, 2023. Our Annual Report on Form 10-K and its exhibits are available at www.sec.gov. Our 2023 Annual Report and Annual Report on Form 10-K are not part of these proxy soliciting materials.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Proxy Statement contains important information for you to consider when deciding how to vote. Please read this information carefully.</w:t>
      </w:r>
    </w:p>
    <w:p>
      <w:pPr>
        <w:sectPr>
          <w:pgSz w:w="11900" w:h="16838" w:orient="portrait"/>
          <w:cols w:equalWidth="0" w:num="1">
            <w:col w:w="11120"/>
          </w:cols>
          <w:pgMar w:left="320" w:top="482" w:right="459" w:bottom="1440" w:gutter="0" w:footer="0" w:header="0"/>
        </w:sect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When is the Annual Meeting?</w:t>
      </w:r>
    </w:p>
    <w:p>
      <w:pPr>
        <w:ind w:left="120"/>
        <w:spacing w:after="0"/>
        <w:tabs>
          <w:tab w:leader="none" w:pos="480" w:val="left"/>
        </w:tabs>
        <w:rPr>
          <w:sz w:val="20"/>
          <w:szCs w:val="20"/>
          <w:color w:val="auto"/>
        </w:rPr>
      </w:pPr>
      <w:r>
        <w:rPr>
          <w:rFonts w:ascii="Arial" w:cs="Arial" w:eastAsia="Arial" w:hAnsi="Arial"/>
          <w:sz w:val="49"/>
          <w:szCs w:val="49"/>
          <w:color w:val="005CB9"/>
          <w:vertAlign w:val="subscript"/>
        </w:rPr>
        <w:t>A</w:t>
      </w:r>
      <w:r>
        <w:rPr>
          <w:rFonts w:ascii="Arial" w:cs="Arial" w:eastAsia="Arial" w:hAnsi="Arial"/>
          <w:sz w:val="33"/>
          <w:szCs w:val="33"/>
          <w:color w:val="auto"/>
          <w:vertAlign w:val="subscript"/>
        </w:rPr>
        <w:t>:</w:t>
      </w:r>
      <w:r>
        <w:rPr>
          <w:sz w:val="20"/>
          <w:szCs w:val="20"/>
          <w:color w:val="auto"/>
        </w:rPr>
        <w:tab/>
      </w:r>
      <w:r>
        <w:rPr>
          <w:rFonts w:ascii="Arial" w:cs="Arial" w:eastAsia="Arial" w:hAnsi="Arial"/>
          <w:sz w:val="17"/>
          <w:szCs w:val="17"/>
          <w:b w:val="1"/>
          <w:bCs w:val="1"/>
          <w:i w:val="1"/>
          <w:iCs w:val="1"/>
          <w:color w:val="auto"/>
        </w:rPr>
        <w:t>Date &amp; Time:</w:t>
      </w:r>
    </w:p>
    <w:p>
      <w:pPr>
        <w:spacing w:after="0" w:line="1" w:lineRule="exact"/>
        <w:rPr>
          <w:sz w:val="20"/>
          <w:szCs w:val="20"/>
          <w:color w:val="auto"/>
        </w:rPr>
      </w:pPr>
    </w:p>
    <w:p>
      <w:pPr>
        <w:ind w:left="520"/>
        <w:spacing w:after="0" w:line="248" w:lineRule="auto"/>
        <w:rPr>
          <w:sz w:val="20"/>
          <w:szCs w:val="20"/>
          <w:color w:val="auto"/>
        </w:rPr>
      </w:pPr>
      <w:r>
        <w:rPr>
          <w:rFonts w:ascii="Arial" w:cs="Arial" w:eastAsia="Arial" w:hAnsi="Arial"/>
          <w:sz w:val="17"/>
          <w:szCs w:val="17"/>
          <w:color w:val="auto"/>
        </w:rPr>
        <w:t>Wednesday, June 12, 2024 at 10:00 a.m. (Eastern) (and at any postponement or adjournments thereof)</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Place:</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Westin Sarasota</w:t>
      </w:r>
    </w:p>
    <w:p>
      <w:pPr>
        <w:ind w:left="520"/>
        <w:spacing w:after="0" w:line="232" w:lineRule="auto"/>
        <w:rPr>
          <w:sz w:val="20"/>
          <w:szCs w:val="20"/>
          <w:color w:val="auto"/>
        </w:rPr>
      </w:pPr>
      <w:r>
        <w:rPr>
          <w:rFonts w:ascii="Arial" w:cs="Arial" w:eastAsia="Arial" w:hAnsi="Arial"/>
          <w:sz w:val="17"/>
          <w:szCs w:val="17"/>
          <w:color w:val="auto"/>
        </w:rPr>
        <w:t>100 Marina View Drive</w:t>
      </w:r>
    </w:p>
    <w:p>
      <w:pPr>
        <w:ind w:left="520"/>
        <w:spacing w:after="0"/>
        <w:rPr>
          <w:sz w:val="20"/>
          <w:szCs w:val="20"/>
          <w:color w:val="auto"/>
        </w:rPr>
      </w:pPr>
      <w:r>
        <w:rPr>
          <w:rFonts w:ascii="Arial" w:cs="Arial" w:eastAsia="Arial" w:hAnsi="Arial"/>
          <w:sz w:val="17"/>
          <w:szCs w:val="17"/>
          <w:color w:val="auto"/>
        </w:rPr>
        <w:t>Sarasota, Florida 34236</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left="386" w:right="1020" w:hanging="386"/>
        <w:spacing w:after="0" w:line="256" w:lineRule="auto"/>
        <w:tabs>
          <w:tab w:leader="none" w:pos="386" w:val="left"/>
        </w:tabs>
        <w:numPr>
          <w:ilvl w:val="0"/>
          <w:numId w:val="77"/>
        </w:numPr>
        <w:rPr>
          <w:rFonts w:ascii="Arial" w:cs="Arial" w:eastAsia="Arial" w:hAnsi="Arial"/>
          <w:sz w:val="22"/>
          <w:szCs w:val="22"/>
          <w:b w:val="1"/>
          <w:bCs w:val="1"/>
          <w:color w:val="005CB9"/>
        </w:rPr>
      </w:pPr>
      <w:r>
        <w:rPr>
          <w:rFonts w:ascii="Arial" w:cs="Arial" w:eastAsia="Arial" w:hAnsi="Arial"/>
          <w:sz w:val="22"/>
          <w:szCs w:val="22"/>
          <w:b w:val="1"/>
          <w:bCs w:val="1"/>
          <w:color w:val="005CB9"/>
        </w:rPr>
        <w:t>What happens if additional matters are presented at the Annual Meeting?</w:t>
      </w:r>
    </w:p>
    <w:p>
      <w:pPr>
        <w:spacing w:after="0" w:line="1" w:lineRule="exact"/>
        <w:rPr>
          <w:sz w:val="20"/>
          <w:szCs w:val="20"/>
          <w:color w:val="auto"/>
        </w:rPr>
      </w:pPr>
    </w:p>
    <w:p>
      <w:pPr>
        <w:ind w:left="386" w:right="20" w:hanging="391"/>
        <w:spacing w:after="0" w:line="210"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We are not aware of any matters to be acted upon at the Annual</w:t>
      </w:r>
      <w:r>
        <w:rPr>
          <w:rFonts w:ascii="Arial" w:cs="Arial" w:eastAsia="Arial" w:hAnsi="Arial"/>
          <w:sz w:val="25"/>
          <w:szCs w:val="25"/>
          <w:color w:val="005CB9"/>
        </w:rPr>
        <w:t xml:space="preserve"> </w:t>
      </w:r>
      <w:r>
        <w:rPr>
          <w:rFonts w:ascii="Arial" w:cs="Arial" w:eastAsia="Arial" w:hAnsi="Arial"/>
          <w:sz w:val="17"/>
          <w:szCs w:val="17"/>
          <w:color w:val="000000"/>
        </w:rPr>
        <w:t>Meeting other than the proposals described in this Proxy Statement. The Board of Directors has named Michael R. Peterson and John K. Stipancich as proxy holders for this Annual Meeting. If for any reason a director nominee is not available as a candidate, the proxy holders may vote your shares for another candidate who may be nominated by the Board, or the Board may reduce its size.</w:t>
      </w:r>
    </w:p>
    <w:p>
      <w:pPr>
        <w:spacing w:after="0" w:line="1" w:lineRule="exact"/>
        <w:rPr>
          <w:sz w:val="20"/>
          <w:szCs w:val="20"/>
          <w:color w:val="auto"/>
        </w:rPr>
      </w:pPr>
    </w:p>
    <w:p>
      <w:pPr>
        <w:sectPr>
          <w:pgSz w:w="11900" w:h="16838" w:orient="portrait"/>
          <w:cols w:equalWidth="0" w:num="2">
            <w:col w:w="5280" w:space="454"/>
            <w:col w:w="5386"/>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005CB9"/>
        </w:rPr>
        <w:t>Q: What is the purpose of this meeting?</w:t>
      </w:r>
    </w:p>
    <w:p>
      <w:pPr>
        <w:spacing w:after="0" w:line="30" w:lineRule="exact"/>
        <w:rPr>
          <w:sz w:val="20"/>
          <w:szCs w:val="20"/>
          <w:color w:val="auto"/>
        </w:rPr>
      </w:pPr>
    </w:p>
    <w:p>
      <w:pPr>
        <w:ind w:left="500" w:right="80" w:hanging="390"/>
        <w:spacing w:after="0" w:line="211" w:lineRule="auto"/>
        <w:rPr>
          <w:sz w:val="20"/>
          <w:szCs w:val="20"/>
          <w:color w:val="auto"/>
        </w:rPr>
      </w:pPr>
      <w:r>
        <w:rPr>
          <w:rFonts w:ascii="Arial" w:cs="Arial" w:eastAsia="Arial" w:hAnsi="Arial"/>
          <w:sz w:val="24"/>
          <w:szCs w:val="24"/>
          <w:color w:val="005CB9"/>
        </w:rPr>
        <w:t>A</w:t>
      </w:r>
      <w:r>
        <w:rPr>
          <w:rFonts w:ascii="Arial" w:cs="Arial" w:eastAsia="Arial" w:hAnsi="Arial"/>
          <w:sz w:val="32"/>
          <w:szCs w:val="32"/>
          <w:color w:val="000000"/>
          <w:vertAlign w:val="subscript"/>
        </w:rPr>
        <w:t>:</w:t>
      </w:r>
      <w:r>
        <w:rPr>
          <w:rFonts w:ascii="Arial" w:cs="Arial" w:eastAsia="Arial" w:hAnsi="Arial"/>
          <w:sz w:val="24"/>
          <w:szCs w:val="24"/>
          <w:color w:val="005CB9"/>
        </w:rPr>
        <w:t xml:space="preserve"> </w:t>
      </w:r>
      <w:r>
        <w:rPr>
          <w:rFonts w:ascii="Arial" w:cs="Arial" w:eastAsia="Arial" w:hAnsi="Arial"/>
          <w:sz w:val="16"/>
          <w:szCs w:val="16"/>
          <w:color w:val="000000"/>
        </w:rPr>
        <w:t>This is the Annual Meeting of our shareholders. At this meeting,</w:t>
      </w:r>
      <w:r>
        <w:rPr>
          <w:rFonts w:ascii="Arial" w:cs="Arial" w:eastAsia="Arial" w:hAnsi="Arial"/>
          <w:sz w:val="24"/>
          <w:szCs w:val="24"/>
          <w:color w:val="005CB9"/>
        </w:rPr>
        <w:t xml:space="preserve"> </w:t>
      </w:r>
      <w:r>
        <w:rPr>
          <w:rFonts w:ascii="Arial" w:cs="Arial" w:eastAsia="Arial" w:hAnsi="Arial"/>
          <w:sz w:val="16"/>
          <w:szCs w:val="16"/>
          <w:color w:val="000000"/>
        </w:rPr>
        <w:t>we will be voting on the following matters:</w:t>
      </w:r>
    </w:p>
    <w:p>
      <w:pPr>
        <w:spacing w:after="0" w:line="88" w:lineRule="exact"/>
        <w:rPr>
          <w:sz w:val="20"/>
          <w:szCs w:val="20"/>
          <w:color w:val="auto"/>
        </w:rPr>
      </w:pPr>
    </w:p>
    <w:p>
      <w:pPr>
        <w:ind w:left="880" w:hanging="373"/>
        <w:spacing w:after="0"/>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election of ten directors;</w:t>
      </w:r>
    </w:p>
    <w:p>
      <w:pPr>
        <w:spacing w:after="0" w:line="115" w:lineRule="exact"/>
        <w:rPr>
          <w:rFonts w:ascii="Arial" w:cs="Arial" w:eastAsia="Arial" w:hAnsi="Arial"/>
          <w:sz w:val="17"/>
          <w:szCs w:val="17"/>
          <w:color w:val="auto"/>
        </w:rPr>
      </w:pPr>
    </w:p>
    <w:p>
      <w:pPr>
        <w:ind w:left="880" w:right="820" w:hanging="373"/>
        <w:spacing w:after="0" w:line="267"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Approval of, on a non-binding advisory basis, the compensation of our named executive officers;</w:t>
      </w:r>
    </w:p>
    <w:p>
      <w:pPr>
        <w:spacing w:after="0" w:line="64" w:lineRule="exact"/>
        <w:rPr>
          <w:rFonts w:ascii="Arial" w:cs="Arial" w:eastAsia="Arial" w:hAnsi="Arial"/>
          <w:sz w:val="17"/>
          <w:szCs w:val="17"/>
          <w:color w:val="auto"/>
        </w:rPr>
      </w:pPr>
    </w:p>
    <w:p>
      <w:pPr>
        <w:ind w:left="880" w:right="60" w:hanging="373"/>
        <w:spacing w:after="0" w:line="249"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Ratification of the appointment of PricewaterhouseCoopers LLP as our independent registered public accounting firm for 2024; and</w:t>
      </w:r>
    </w:p>
    <w:p>
      <w:pPr>
        <w:spacing w:after="0" w:line="80" w:lineRule="exact"/>
        <w:rPr>
          <w:rFonts w:ascii="Arial" w:cs="Arial" w:eastAsia="Arial" w:hAnsi="Arial"/>
          <w:sz w:val="17"/>
          <w:szCs w:val="17"/>
          <w:color w:val="auto"/>
        </w:rPr>
      </w:pPr>
    </w:p>
    <w:p>
      <w:pPr>
        <w:ind w:left="880" w:right="60" w:hanging="373"/>
        <w:spacing w:after="0" w:line="267" w:lineRule="auto"/>
        <w:tabs>
          <w:tab w:leader="none" w:pos="8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Vote on a shareholder proposal if properly presented at the meeting.</w:t>
      </w:r>
    </w:p>
    <w:p>
      <w:pPr>
        <w:spacing w:after="0" w:line="51" w:lineRule="exact"/>
        <w:rPr>
          <w:sz w:val="20"/>
          <w:szCs w:val="20"/>
          <w:color w:val="auto"/>
        </w:rPr>
      </w:pPr>
    </w:p>
    <w:p>
      <w:pPr>
        <w:ind w:left="520" w:right="20"/>
        <w:spacing w:after="0" w:line="241" w:lineRule="auto"/>
        <w:rPr>
          <w:sz w:val="20"/>
          <w:szCs w:val="20"/>
          <w:color w:val="auto"/>
        </w:rPr>
      </w:pPr>
      <w:r>
        <w:rPr>
          <w:rFonts w:ascii="Arial" w:cs="Arial" w:eastAsia="Arial" w:hAnsi="Arial"/>
          <w:sz w:val="17"/>
          <w:szCs w:val="17"/>
          <w:color w:val="auto"/>
        </w:rPr>
        <w:t>Our Board of Directors strongly encourages you to exercise your right to vote on these matters. Your vote is important. Voting early by Internet, telephone, or mailing proxy or voting instruction card helps ensure that we receive a quorum of shares necessary to hold the meeting.</w:t>
      </w:r>
    </w:p>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60</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right="20"/>
        <w:spacing w:after="0" w:line="241" w:lineRule="auto"/>
        <w:rPr>
          <w:sz w:val="20"/>
          <w:szCs w:val="20"/>
          <w:color w:val="auto"/>
        </w:rPr>
      </w:pPr>
      <w:r>
        <w:rPr>
          <w:rFonts w:ascii="Arial" w:cs="Arial" w:eastAsia="Arial" w:hAnsi="Arial"/>
          <w:sz w:val="17"/>
          <w:szCs w:val="17"/>
          <w:color w:val="auto"/>
        </w:rPr>
        <w:t>All shares of our common stock represented by properly executed and unrevoked proxies will be voted by the person named as proxy holder in accordance with the instruction given. If no instructions are indicated on a proxy, properly executed proxies will be voted as follows: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each director nominee;</w:t>
      </w:r>
    </w:p>
    <w:p>
      <w:pPr>
        <w:spacing w:after="0" w:line="102" w:lineRule="exact"/>
        <w:rPr>
          <w:sz w:val="20"/>
          <w:szCs w:val="20"/>
          <w:color w:val="auto"/>
        </w:rPr>
      </w:pPr>
    </w:p>
    <w:p>
      <w:pPr>
        <w:ind w:right="240"/>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approval of the compensation of our named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and</w:t>
      </w:r>
    </w:p>
    <w:p>
      <w:pPr>
        <w:spacing w:after="0" w:line="51" w:lineRule="exact"/>
        <w:rPr>
          <w:sz w:val="20"/>
          <w:szCs w:val="20"/>
          <w:color w:val="auto"/>
        </w:rPr>
      </w:pPr>
    </w:p>
    <w:p>
      <w:pPr>
        <w:ind w:right="320"/>
        <w:spacing w:after="0" w:line="267" w:lineRule="auto"/>
        <w:rPr>
          <w:sz w:val="20"/>
          <w:szCs w:val="20"/>
          <w:color w:val="auto"/>
        </w:rPr>
      </w:pPr>
      <w:r>
        <w:rPr>
          <w:rFonts w:ascii="Arial" w:cs="Arial" w:eastAsia="Arial" w:hAnsi="Arial"/>
          <w:sz w:val="17"/>
          <w:szCs w:val="17"/>
          <w:b w:val="1"/>
          <w:bCs w:val="1"/>
          <w:i w:val="1"/>
          <w:iCs w:val="1"/>
          <w:color w:val="auto"/>
        </w:rPr>
        <w:t xml:space="preserve">FOR </w:t>
      </w:r>
      <w:r>
        <w:rPr>
          <w:rFonts w:ascii="Arial" w:cs="Arial" w:eastAsia="Arial" w:hAnsi="Arial"/>
          <w:sz w:val="17"/>
          <w:szCs w:val="17"/>
          <w:color w:val="auto"/>
        </w:rPr>
        <w:t>the appointment of PricewaterhouseCoopers LLP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registered public accounting firm for 2024.</w:t>
      </w:r>
    </w:p>
    <w:p>
      <w:pPr>
        <w:spacing w:after="0" w:line="51"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 xml:space="preserve">With respect to the shareholder proposal, proxies returned without voting instructions will be voted </w:t>
      </w:r>
      <w:r>
        <w:rPr>
          <w:rFonts w:ascii="Arial" w:cs="Arial" w:eastAsia="Arial" w:hAnsi="Arial"/>
          <w:sz w:val="17"/>
          <w:szCs w:val="17"/>
          <w:b w:val="1"/>
          <w:bCs w:val="1"/>
          <w:i w:val="1"/>
          <w:iCs w:val="1"/>
          <w:color w:val="auto"/>
        </w:rPr>
        <w:t>ABSTAIN</w:t>
      </w:r>
      <w:r>
        <w:rPr>
          <w:rFonts w:ascii="Arial" w:cs="Arial" w:eastAsia="Arial" w:hAnsi="Arial"/>
          <w:sz w:val="17"/>
          <w:szCs w:val="17"/>
          <w:color w:val="auto"/>
        </w:rPr>
        <w:t xml:space="preserve"> on the proposal.</w:t>
      </w:r>
    </w:p>
    <w:p>
      <w:pPr>
        <w:sectPr>
          <w:pgSz w:w="11900" w:h="16838" w:orient="portrait"/>
          <w:cols w:equalWidth="0" w:num="2">
            <w:col w:w="5400" w:space="720"/>
            <w:col w:w="5000"/>
          </w:cols>
          <w:pgMar w:left="320" w:top="482" w:right="45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Who may vote at the Annual Meeting?</w:t>
      </w:r>
    </w:p>
    <w:p>
      <w:pPr>
        <w:spacing w:after="0" w:line="45" w:lineRule="exact"/>
        <w:rPr>
          <w:sz w:val="20"/>
          <w:szCs w:val="20"/>
          <w:color w:val="auto"/>
        </w:rPr>
      </w:pPr>
    </w:p>
    <w:p>
      <w:pPr>
        <w:ind w:left="500" w:right="20" w:hanging="390"/>
        <w:spacing w:after="0" w:line="199"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Only shareholders of record at the close of business on the</w:t>
      </w:r>
      <w:r>
        <w:rPr>
          <w:rFonts w:ascii="Arial" w:cs="Arial" w:eastAsia="Arial" w:hAnsi="Arial"/>
          <w:sz w:val="25"/>
          <w:szCs w:val="25"/>
          <w:color w:val="005CB9"/>
        </w:rPr>
        <w:t xml:space="preserve"> </w:t>
      </w:r>
      <w:r>
        <w:rPr>
          <w:rFonts w:ascii="Arial" w:cs="Arial" w:eastAsia="Arial" w:hAnsi="Arial"/>
          <w:sz w:val="17"/>
          <w:szCs w:val="17"/>
          <w:color w:val="000000"/>
        </w:rPr>
        <w:t>record date will be entitled to vote at the Annual Meeting or any postponed or adjourned meeting, and these shareholders will be entitled to vote whether or not they have transferred any of their shares of Roper common stock since that date.</w:t>
      </w:r>
    </w:p>
    <w:p>
      <w:pPr>
        <w:spacing w:after="0" w:line="20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the record date?</w:t>
      </w:r>
    </w:p>
    <w:p>
      <w:pPr>
        <w:ind w:left="120"/>
        <w:spacing w:after="0" w:line="198"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Our Board has established the close of business on April 18,</w:t>
      </w:r>
    </w:p>
    <w:p>
      <w:pPr>
        <w:ind w:left="500"/>
        <w:spacing w:after="0" w:line="232" w:lineRule="auto"/>
        <w:rPr>
          <w:sz w:val="20"/>
          <w:szCs w:val="20"/>
          <w:color w:val="auto"/>
        </w:rPr>
      </w:pPr>
      <w:r>
        <w:rPr>
          <w:rFonts w:ascii="Arial" w:cs="Arial" w:eastAsia="Arial" w:hAnsi="Arial"/>
          <w:sz w:val="17"/>
          <w:szCs w:val="17"/>
          <w:color w:val="auto"/>
        </w:rPr>
        <w:t>2024 as the record date to determine the shareholders of record</w:t>
      </w:r>
    </w:p>
    <w:p>
      <w:pPr>
        <w:ind w:left="500"/>
        <w:spacing w:after="0" w:line="232" w:lineRule="auto"/>
        <w:rPr>
          <w:sz w:val="20"/>
          <w:szCs w:val="20"/>
          <w:color w:val="auto"/>
        </w:rPr>
      </w:pPr>
      <w:r>
        <w:rPr>
          <w:rFonts w:ascii="Arial" w:cs="Arial" w:eastAsia="Arial" w:hAnsi="Arial"/>
          <w:sz w:val="17"/>
          <w:szCs w:val="17"/>
          <w:color w:val="auto"/>
        </w:rPr>
        <w:t>entitled to receive a notice of, and to vote at, our Annual Meeting</w:t>
      </w:r>
    </w:p>
    <w:p>
      <w:pPr>
        <w:ind w:left="500"/>
        <w:spacing w:after="0" w:line="232" w:lineRule="auto"/>
        <w:rPr>
          <w:sz w:val="20"/>
          <w:szCs w:val="20"/>
          <w:color w:val="auto"/>
        </w:rPr>
      </w:pPr>
      <w:r>
        <w:rPr>
          <w:rFonts w:ascii="Arial" w:cs="Arial" w:eastAsia="Arial" w:hAnsi="Arial"/>
          <w:sz w:val="17"/>
          <w:szCs w:val="17"/>
          <w:color w:val="auto"/>
        </w:rPr>
        <w:t>or any postponement or adjournment thereof. On the record</w:t>
      </w:r>
    </w:p>
    <w:p>
      <w:pPr>
        <w:ind w:left="500"/>
        <w:spacing w:after="0" w:line="232" w:lineRule="auto"/>
        <w:rPr>
          <w:sz w:val="20"/>
          <w:szCs w:val="20"/>
          <w:color w:val="auto"/>
        </w:rPr>
      </w:pPr>
      <w:r>
        <w:rPr>
          <w:rFonts w:ascii="Arial" w:cs="Arial" w:eastAsia="Arial" w:hAnsi="Arial"/>
          <w:sz w:val="17"/>
          <w:szCs w:val="17"/>
          <w:color w:val="auto"/>
        </w:rPr>
        <w:t>date, there were 107,040,597 shares of our common stock,</w:t>
      </w:r>
    </w:p>
    <w:p>
      <w:pPr>
        <w:ind w:left="500"/>
        <w:spacing w:after="0" w:line="232" w:lineRule="auto"/>
        <w:rPr>
          <w:sz w:val="20"/>
          <w:szCs w:val="20"/>
          <w:color w:val="auto"/>
        </w:rPr>
      </w:pPr>
      <w:r>
        <w:rPr>
          <w:rFonts w:ascii="Arial" w:cs="Arial" w:eastAsia="Arial" w:hAnsi="Arial"/>
          <w:sz w:val="17"/>
          <w:szCs w:val="17"/>
          <w:color w:val="auto"/>
        </w:rPr>
        <w:t>$0.01 par value, outstanding and entitled to vote. Each share of</w:t>
      </w:r>
    </w:p>
    <w:p>
      <w:pPr>
        <w:ind w:left="500"/>
        <w:spacing w:after="0" w:line="232" w:lineRule="auto"/>
        <w:rPr>
          <w:sz w:val="20"/>
          <w:szCs w:val="20"/>
          <w:color w:val="auto"/>
        </w:rPr>
      </w:pPr>
      <w:r>
        <w:rPr>
          <w:rFonts w:ascii="Arial" w:cs="Arial" w:eastAsia="Arial" w:hAnsi="Arial"/>
          <w:sz w:val="17"/>
          <w:szCs w:val="17"/>
          <w:color w:val="auto"/>
        </w:rPr>
        <w:t>our common stock is entitled to one vote that may be voted on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each matter to be acted upon at this Annual Meeting.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is a shareholder of record?</w:t>
      </w:r>
    </w:p>
    <w:p>
      <w:pPr>
        <w:spacing w:after="0" w:line="45" w:lineRule="exact"/>
        <w:rPr>
          <w:sz w:val="20"/>
          <w:szCs w:val="20"/>
          <w:color w:val="auto"/>
        </w:rPr>
      </w:pPr>
    </w:p>
    <w:p>
      <w:pPr>
        <w:ind w:left="500" w:right="160" w:hanging="390"/>
        <w:spacing w:after="0" w:line="204"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A shareholder of record or a registered shareholder is a</w:t>
      </w:r>
      <w:r>
        <w:rPr>
          <w:rFonts w:ascii="Arial" w:cs="Arial" w:eastAsia="Arial" w:hAnsi="Arial"/>
          <w:sz w:val="25"/>
          <w:szCs w:val="25"/>
          <w:color w:val="005CB9"/>
        </w:rPr>
        <w:t xml:space="preserve"> </w:t>
      </w:r>
      <w:r>
        <w:rPr>
          <w:rFonts w:ascii="Arial" w:cs="Arial" w:eastAsia="Arial" w:hAnsi="Arial"/>
          <w:sz w:val="17"/>
          <w:szCs w:val="17"/>
          <w:color w:val="000000"/>
        </w:rPr>
        <w:t>shareholder whose ownership of Roper Technologies, Inc. common stock is reflected directly on the books and records of our transfer agent, Computershare Trust Company, N.A. If you are a shareholder of record, we are providing these materials directly to you.</w:t>
      </w:r>
    </w:p>
    <w:p>
      <w:pPr>
        <w:spacing w:after="0" w:line="74" w:lineRule="exact"/>
        <w:rPr>
          <w:sz w:val="20"/>
          <w:szCs w:val="20"/>
          <w:color w:val="auto"/>
        </w:rPr>
      </w:pPr>
    </w:p>
    <w:p>
      <w:pPr>
        <w:ind w:left="520"/>
        <w:spacing w:after="0" w:line="236" w:lineRule="auto"/>
        <w:rPr>
          <w:sz w:val="20"/>
          <w:szCs w:val="20"/>
          <w:color w:val="auto"/>
        </w:rPr>
      </w:pPr>
      <w:r>
        <w:rPr>
          <w:rFonts w:ascii="Arial" w:cs="Arial" w:eastAsia="Arial" w:hAnsi="Arial"/>
          <w:sz w:val="17"/>
          <w:szCs w:val="17"/>
          <w:color w:val="auto"/>
        </w:rPr>
        <w:t>If you hold your shares of common stock through a bank, broker, or other intermediary, you are considered the “beneficial owner” of those shares held in “street name,” and you are not a shareholder of record. The shareholder of record of the shares is your bank, broker, or other intermediary. If your shares are held in street name, these proxy materials have been forwarded to you by your bank, broker, or other intermediary. As the beneficial owner, you have the right to instruct that institution on how to vote the shares you beneficially own.</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How can I submit my vote?</w:t>
      </w:r>
    </w:p>
    <w:p>
      <w:pPr>
        <w:spacing w:after="0" w:line="45" w:lineRule="exact"/>
        <w:rPr>
          <w:sz w:val="20"/>
          <w:szCs w:val="20"/>
          <w:color w:val="auto"/>
        </w:rPr>
      </w:pPr>
    </w:p>
    <w:p>
      <w:pPr>
        <w:ind w:left="500" w:right="60" w:hanging="390"/>
        <w:spacing w:after="0" w:line="215"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There are four ways to vote: by Internet, by telephone, by mail</w:t>
      </w:r>
      <w:r>
        <w:rPr>
          <w:rFonts w:ascii="Arial" w:cs="Arial" w:eastAsia="Arial" w:hAnsi="Arial"/>
          <w:sz w:val="25"/>
          <w:szCs w:val="25"/>
          <w:color w:val="005CB9"/>
        </w:rPr>
        <w:t xml:space="preserve"> </w:t>
      </w:r>
      <w:r>
        <w:rPr>
          <w:rFonts w:ascii="Arial" w:cs="Arial" w:eastAsia="Arial" w:hAnsi="Arial"/>
          <w:sz w:val="17"/>
          <w:szCs w:val="17"/>
          <w:color w:val="000000"/>
        </w:rPr>
        <w:t>or in person. Submitting your proxy by Internet, telephone, or mail will not affect your right to attend the Annual Meeting and change your vote. Unless you are voting in person, your vote must be received by 11:59 p.m. Eastern Time on June 11,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720" w:right="300" w:hanging="294"/>
        <w:spacing w:after="0" w:line="267" w:lineRule="auto"/>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By Internet. </w:t>
      </w:r>
      <w:r>
        <w:rPr>
          <w:rFonts w:ascii="Arial" w:cs="Arial" w:eastAsia="Arial" w:hAnsi="Arial"/>
          <w:sz w:val="17"/>
          <w:szCs w:val="17"/>
          <w:color w:val="auto"/>
        </w:rPr>
        <w:t>Have your proxy card available and log on to</w:t>
      </w:r>
      <w:r>
        <w:rPr>
          <w:rFonts w:ascii="Arial" w:cs="Arial" w:eastAsia="Arial" w:hAnsi="Arial"/>
          <w:sz w:val="17"/>
          <w:szCs w:val="17"/>
          <w:b w:val="1"/>
          <w:bCs w:val="1"/>
          <w:color w:val="auto"/>
        </w:rPr>
        <w:t xml:space="preserve"> </w:t>
      </w:r>
      <w:r>
        <w:rPr>
          <w:rFonts w:ascii="Arial" w:cs="Arial" w:eastAsia="Arial" w:hAnsi="Arial"/>
          <w:sz w:val="17"/>
          <w:szCs w:val="17"/>
          <w:color w:val="auto"/>
        </w:rPr>
        <w:t>www.proxypush.com/ROP.</w:t>
      </w:r>
    </w:p>
    <w:p>
      <w:pPr>
        <w:spacing w:after="0" w:line="64" w:lineRule="exact"/>
        <w:rPr>
          <w:rFonts w:ascii="Arial" w:cs="Arial" w:eastAsia="Arial" w:hAnsi="Arial"/>
          <w:sz w:val="17"/>
          <w:szCs w:val="17"/>
          <w:color w:val="auto"/>
        </w:rPr>
      </w:pPr>
    </w:p>
    <w:p>
      <w:pPr>
        <w:ind w:left="720" w:hanging="294"/>
        <w:spacing w:after="0"/>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By Telephone. </w:t>
      </w:r>
      <w:r>
        <w:rPr>
          <w:rFonts w:ascii="Arial" w:cs="Arial" w:eastAsia="Arial" w:hAnsi="Arial"/>
          <w:sz w:val="17"/>
          <w:szCs w:val="17"/>
          <w:color w:val="auto"/>
        </w:rPr>
        <w:t>Have your proxy card available and call</w:t>
      </w:r>
    </w:p>
    <w:p>
      <w:pPr>
        <w:spacing w:after="0" w:line="9"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7"/>
          <w:szCs w:val="17"/>
          <w:color w:val="auto"/>
        </w:rPr>
        <w:t>866-829-5176 toll free (US only) from a touchtone telephone.</w:t>
      </w:r>
    </w:p>
    <w:p>
      <w:pPr>
        <w:spacing w:after="0" w:line="99" w:lineRule="exact"/>
        <w:rPr>
          <w:rFonts w:ascii="Arial" w:cs="Arial" w:eastAsia="Arial" w:hAnsi="Arial"/>
          <w:sz w:val="17"/>
          <w:szCs w:val="17"/>
          <w:color w:val="auto"/>
        </w:rPr>
      </w:pPr>
    </w:p>
    <w:p>
      <w:pPr>
        <w:ind w:left="720" w:right="100" w:hanging="294"/>
        <w:spacing w:after="0" w:line="249" w:lineRule="auto"/>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Mark, date, sign, and promptly mail the enclosed</w:t>
      </w:r>
      <w:r>
        <w:rPr>
          <w:rFonts w:ascii="Arial" w:cs="Arial" w:eastAsia="Arial" w:hAnsi="Arial"/>
          <w:sz w:val="17"/>
          <w:szCs w:val="17"/>
          <w:b w:val="1"/>
          <w:bCs w:val="1"/>
          <w:color w:val="auto"/>
        </w:rPr>
        <w:t xml:space="preserve"> </w:t>
      </w:r>
      <w:r>
        <w:rPr>
          <w:rFonts w:ascii="Arial" w:cs="Arial" w:eastAsia="Arial" w:hAnsi="Arial"/>
          <w:sz w:val="17"/>
          <w:szCs w:val="17"/>
          <w:color w:val="auto"/>
        </w:rPr>
        <w:t>proxy card in the postage-paid envelope provided for mailing in the United States.</w:t>
      </w:r>
    </w:p>
    <w:p>
      <w:pPr>
        <w:spacing w:after="0" w:line="80" w:lineRule="exact"/>
        <w:rPr>
          <w:rFonts w:ascii="Arial" w:cs="Arial" w:eastAsia="Arial" w:hAnsi="Arial"/>
          <w:sz w:val="17"/>
          <w:szCs w:val="17"/>
          <w:color w:val="auto"/>
        </w:rPr>
      </w:pPr>
    </w:p>
    <w:p>
      <w:pPr>
        <w:jc w:val="both"/>
        <w:ind w:left="720" w:right="240" w:hanging="294"/>
        <w:spacing w:after="0" w:line="244" w:lineRule="auto"/>
        <w:tabs>
          <w:tab w:leader="none" w:pos="72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xml:space="preserve">In Person. </w:t>
      </w:r>
      <w:r>
        <w:rPr>
          <w:rFonts w:ascii="Arial" w:cs="Arial" w:eastAsia="Arial" w:hAnsi="Arial"/>
          <w:sz w:val="17"/>
          <w:szCs w:val="17"/>
          <w:color w:val="auto"/>
        </w:rPr>
        <w:t>You may vote by ballot in person at the Annual</w:t>
      </w:r>
      <w:r>
        <w:rPr>
          <w:rFonts w:ascii="Arial" w:cs="Arial" w:eastAsia="Arial" w:hAnsi="Arial"/>
          <w:sz w:val="17"/>
          <w:szCs w:val="17"/>
          <w:b w:val="1"/>
          <w:bCs w:val="1"/>
          <w:color w:val="auto"/>
        </w:rPr>
        <w:t xml:space="preserve"> </w:t>
      </w:r>
      <w:r>
        <w:rPr>
          <w:rFonts w:ascii="Arial" w:cs="Arial" w:eastAsia="Arial" w:hAnsi="Arial"/>
          <w:sz w:val="17"/>
          <w:szCs w:val="17"/>
          <w:color w:val="auto"/>
        </w:rPr>
        <w:t>Meeting. Bring your proxy card if you received one by mail, otherwise we will provide shareholders of record a ballot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-2153285</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ind w:left="380" w:right="20"/>
        <w:spacing w:after="0" w:line="237" w:lineRule="auto"/>
        <w:rPr>
          <w:sz w:val="20"/>
          <w:szCs w:val="20"/>
          <w:color w:val="auto"/>
        </w:rPr>
      </w:pPr>
      <w:r>
        <w:rPr>
          <w:rFonts w:ascii="Arial" w:cs="Arial" w:eastAsia="Arial" w:hAnsi="Arial"/>
          <w:sz w:val="17"/>
          <w:szCs w:val="17"/>
          <w:color w:val="auto"/>
        </w:rPr>
        <w:t>If your shares are held by a bank, broker, or other intermediary, that institution will provide voting instructions with the proxy materials. Please follow the voting instructions that you receive from that institution. Additionally, if you plan to vote in person at the Annual Meeting and your shares are held by a bank, broker, or other intermediary, you must obtain proof of stock ownership as of the record date and have a valid legal proxy from the institution that holds your shares.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Q: What is a broker non-vote?</w:t>
      </w:r>
    </w:p>
    <w:p>
      <w:pPr>
        <w:spacing w:after="0" w:line="45" w:lineRule="exact"/>
        <w:rPr>
          <w:sz w:val="20"/>
          <w:szCs w:val="20"/>
          <w:color w:val="auto"/>
        </w:rPr>
      </w:pPr>
    </w:p>
    <w:p>
      <w:pPr>
        <w:ind w:left="380" w:right="100" w:hanging="391"/>
        <w:spacing w:after="0" w:line="207"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If your shares are held in street name through a bank, broker, or</w:t>
      </w:r>
      <w:r>
        <w:rPr>
          <w:rFonts w:ascii="Arial" w:cs="Arial" w:eastAsia="Arial" w:hAnsi="Arial"/>
          <w:sz w:val="25"/>
          <w:szCs w:val="25"/>
          <w:color w:val="005CB9"/>
        </w:rPr>
        <w:t xml:space="preserve"> </w:t>
      </w:r>
      <w:r>
        <w:rPr>
          <w:rFonts w:ascii="Arial" w:cs="Arial" w:eastAsia="Arial" w:hAnsi="Arial"/>
          <w:sz w:val="17"/>
          <w:szCs w:val="17"/>
          <w:color w:val="000000"/>
        </w:rPr>
        <w:t>other intermediary, you must provide voting instructions to that institution. Under the rules of the Nasdaq Global Select Market, if you do not provide voting instructions, the institution may vote in its discretion on routine proposals, but not on non-routine proposals, or leave the shares unvoted, which is called a “broker non-vote.”</w:t>
      </w:r>
    </w:p>
    <w:p>
      <w:pPr>
        <w:spacing w:after="0" w:line="76" w:lineRule="exact"/>
        <w:rPr>
          <w:sz w:val="20"/>
          <w:szCs w:val="20"/>
          <w:color w:val="auto"/>
        </w:rPr>
      </w:pPr>
    </w:p>
    <w:p>
      <w:pPr>
        <w:ind w:left="380" w:right="120"/>
        <w:spacing w:after="0" w:line="236" w:lineRule="auto"/>
        <w:rPr>
          <w:sz w:val="20"/>
          <w:szCs w:val="20"/>
          <w:color w:val="auto"/>
        </w:rPr>
      </w:pPr>
      <w:r>
        <w:rPr>
          <w:rFonts w:ascii="Arial" w:cs="Arial" w:eastAsia="Arial" w:hAnsi="Arial"/>
          <w:sz w:val="17"/>
          <w:szCs w:val="17"/>
          <w:color w:val="auto"/>
        </w:rPr>
        <w:t>The following proposals are not considered routine proposals, so banks, brokers, and other intermediaries do not have discretionary authority to vote on these matters if they have not received voting instructions from you: (i) the election of directors;</w:t>
      </w:r>
    </w:p>
    <w:p>
      <w:pPr>
        <w:spacing w:after="0" w:line="3" w:lineRule="exact"/>
        <w:rPr>
          <w:sz w:val="20"/>
          <w:szCs w:val="20"/>
          <w:color w:val="auto"/>
        </w:rPr>
      </w:pPr>
    </w:p>
    <w:p>
      <w:pPr>
        <w:ind w:left="380" w:right="100" w:firstLine="10"/>
        <w:spacing w:after="0" w:line="235" w:lineRule="auto"/>
        <w:tabs>
          <w:tab w:leader="none" w:pos="617"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advisory vote on the approval of the compensation of our named executive officers; and (iii) the shareholder proposal. The ratification of the appointment of the independent registered public accounting firm is considered a routine proposal, so if you do not provide voting instructions, the institution holding your shares may either leave the shares unvoted or vote the shares in its discretion. If your shares are held through a bank, broker, or other intermediary, please follow the voting instructions that you</w:t>
      </w:r>
    </w:p>
    <w:p>
      <w:pPr>
        <w:spacing w:after="0" w:line="200" w:lineRule="exact"/>
        <w:rPr>
          <w:sz w:val="20"/>
          <w:szCs w:val="20"/>
          <w:color w:val="auto"/>
        </w:rPr>
      </w:pPr>
    </w:p>
    <w:p>
      <w:pPr>
        <w:spacing w:after="0" w:line="246" w:lineRule="exact"/>
        <w:rPr>
          <w:sz w:val="20"/>
          <w:szCs w:val="20"/>
          <w:color w:val="auto"/>
        </w:rPr>
      </w:pPr>
    </w:p>
    <w:tbl>
      <w:tblPr>
        <w:tblLayout w:type="fixed"/>
        <w:tblInd w:w="26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61</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-205105</wp:posOffset>
            </wp:positionV>
            <wp:extent cx="428625" cy="1714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400" w:space="340"/>
            <w:col w:w="5400"/>
          </w:cols>
          <w:pgMar w:left="320" w:top="482"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0" w:lineRule="exact"/>
        <w:rPr>
          <w:sz w:val="20"/>
          <w:szCs w:val="20"/>
          <w:color w:val="auto"/>
        </w:rPr>
      </w:pPr>
    </w:p>
    <w:p>
      <w:pPr>
        <w:ind w:left="500" w:right="20"/>
        <w:spacing w:after="0" w:line="249" w:lineRule="auto"/>
        <w:rPr>
          <w:sz w:val="20"/>
          <w:szCs w:val="20"/>
          <w:color w:val="auto"/>
        </w:rPr>
      </w:pPr>
      <w:r>
        <w:rPr>
          <w:rFonts w:ascii="Arial" w:cs="Arial" w:eastAsia="Arial" w:hAnsi="Arial"/>
          <w:sz w:val="17"/>
          <w:szCs w:val="17"/>
          <w:color w:val="auto"/>
        </w:rPr>
        <w:t>receive from that institution. The institution will be unable to vote your shares on any of the proposals except the appointment of PwC unless you have provided voting instructions.</w:t>
      </w:r>
    </w:p>
    <w:p>
      <w:pPr>
        <w:spacing w:after="0" w:line="195" w:lineRule="exact"/>
        <w:rPr>
          <w:sz w:val="20"/>
          <w:szCs w:val="20"/>
          <w:color w:val="auto"/>
        </w:rPr>
      </w:pPr>
    </w:p>
    <w:p>
      <w:pPr>
        <w:ind w:left="500" w:right="500" w:hanging="384"/>
        <w:spacing w:after="0" w:line="256" w:lineRule="auto"/>
        <w:tabs>
          <w:tab w:leader="none" w:pos="500" w:val="left"/>
        </w:tabs>
        <w:numPr>
          <w:ilvl w:val="0"/>
          <w:numId w:val="81"/>
        </w:numPr>
        <w:rPr>
          <w:rFonts w:ascii="Arial" w:cs="Arial" w:eastAsia="Arial" w:hAnsi="Arial"/>
          <w:sz w:val="22"/>
          <w:szCs w:val="22"/>
          <w:b w:val="1"/>
          <w:bCs w:val="1"/>
          <w:color w:val="005CB9"/>
        </w:rPr>
      </w:pPr>
      <w:r>
        <w:rPr>
          <w:rFonts w:ascii="Arial" w:cs="Arial" w:eastAsia="Arial" w:hAnsi="Arial"/>
          <w:sz w:val="22"/>
          <w:szCs w:val="22"/>
          <w:b w:val="1"/>
          <w:bCs w:val="1"/>
          <w:color w:val="005CB9"/>
        </w:rPr>
        <w:t>How are broker non-votes and abstentions treated?</w:t>
      </w:r>
    </w:p>
    <w:p>
      <w:pPr>
        <w:spacing w:after="0" w:line="1" w:lineRule="exact"/>
        <w:rPr>
          <w:sz w:val="20"/>
          <w:szCs w:val="20"/>
          <w:color w:val="auto"/>
        </w:rPr>
      </w:pPr>
    </w:p>
    <w:p>
      <w:pPr>
        <w:ind w:left="500" w:hanging="390"/>
        <w:spacing w:after="0" w:line="213"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Broker non-votes are not treated as votes cast for purposes of</w:t>
      </w:r>
      <w:r>
        <w:rPr>
          <w:rFonts w:ascii="Arial" w:cs="Arial" w:eastAsia="Arial" w:hAnsi="Arial"/>
          <w:sz w:val="25"/>
          <w:szCs w:val="25"/>
          <w:color w:val="005CB9"/>
        </w:rPr>
        <w:t xml:space="preserve"> </w:t>
      </w:r>
      <w:r>
        <w:rPr>
          <w:rFonts w:ascii="Arial" w:cs="Arial" w:eastAsia="Arial" w:hAnsi="Arial"/>
          <w:sz w:val="17"/>
          <w:szCs w:val="17"/>
          <w:color w:val="000000"/>
        </w:rPr>
        <w:t>the election of directors, so they will have no effect on the election of directors. Broker non-votes are not treated as entitled to vote for all other matters proposed for a vote at the meeting, so they will have no effect on those matters. Abstentions are not treated as votes cast for purposes of the election of directors, so they will have no effect on the election of directors. Abstentions are treated as present and entitled to vote so they will have the effect of a vote cast against the approval for all other matters proposed for a vote at the meeting.</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005CB9"/>
        </w:rPr>
        <w:t>Q: What constitutes a quorum?</w:t>
      </w:r>
    </w:p>
    <w:p>
      <w:pPr>
        <w:spacing w:after="0" w:line="45" w:lineRule="exact"/>
        <w:rPr>
          <w:sz w:val="20"/>
          <w:szCs w:val="20"/>
          <w:color w:val="auto"/>
        </w:rPr>
      </w:pPr>
    </w:p>
    <w:p>
      <w:pPr>
        <w:ind w:left="500" w:right="20" w:hanging="390"/>
        <w:spacing w:after="0" w:line="212"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To conduct business at our Annual Meeting, we must have a</w:t>
      </w:r>
      <w:r>
        <w:rPr>
          <w:rFonts w:ascii="Arial" w:cs="Arial" w:eastAsia="Arial" w:hAnsi="Arial"/>
          <w:sz w:val="25"/>
          <w:szCs w:val="25"/>
          <w:color w:val="005CB9"/>
        </w:rPr>
        <w:t xml:space="preserve"> </w:t>
      </w:r>
      <w:r>
        <w:rPr>
          <w:rFonts w:ascii="Arial" w:cs="Arial" w:eastAsia="Arial" w:hAnsi="Arial"/>
          <w:sz w:val="17"/>
          <w:szCs w:val="17"/>
          <w:color w:val="000000"/>
        </w:rPr>
        <w:t>quorum of shareholders present. A quorum is present when a majority of the outstanding shares of stock entitled to vote as of the record date are represented in person or by proxy. Broker non-votes and abstentions will be counted toward the establishment of the quorum. If there is an insufficient number of shares represented for a quorum or to approve any proposal at the Annual Meeting, the Annual Meeting may be postponed or adjourned to permit the further solicitation of proxies.</w:t>
      </w:r>
    </w:p>
    <w:p>
      <w:pPr>
        <w:spacing w:after="0" w:line="203" w:lineRule="exact"/>
        <w:rPr>
          <w:sz w:val="20"/>
          <w:szCs w:val="20"/>
          <w:color w:val="auto"/>
        </w:rPr>
      </w:pPr>
    </w:p>
    <w:p>
      <w:pPr>
        <w:ind w:left="500" w:right="1060" w:hanging="384"/>
        <w:spacing w:after="0" w:line="256" w:lineRule="auto"/>
        <w:tabs>
          <w:tab w:leader="none" w:pos="500" w:val="left"/>
        </w:tabs>
        <w:numPr>
          <w:ilvl w:val="0"/>
          <w:numId w:val="82"/>
        </w:numPr>
        <w:rPr>
          <w:rFonts w:ascii="Arial" w:cs="Arial" w:eastAsia="Arial" w:hAnsi="Arial"/>
          <w:sz w:val="22"/>
          <w:szCs w:val="22"/>
          <w:b w:val="1"/>
          <w:bCs w:val="1"/>
          <w:color w:val="005CB9"/>
        </w:rPr>
      </w:pPr>
      <w:r>
        <w:rPr>
          <w:rFonts w:ascii="Arial" w:cs="Arial" w:eastAsia="Arial" w:hAnsi="Arial"/>
          <w:sz w:val="22"/>
          <w:szCs w:val="22"/>
          <w:b w:val="1"/>
          <w:bCs w:val="1"/>
          <w:color w:val="005CB9"/>
        </w:rPr>
        <w:t>How many votes are needed for each proposal?</w:t>
      </w:r>
    </w:p>
    <w:p>
      <w:pPr>
        <w:spacing w:after="0" w:line="1" w:lineRule="exact"/>
        <w:rPr>
          <w:sz w:val="20"/>
          <w:szCs w:val="20"/>
          <w:color w:val="auto"/>
        </w:rPr>
      </w:pPr>
    </w:p>
    <w:p>
      <w:pPr>
        <w:ind w:left="500" w:hanging="390"/>
        <w:spacing w:after="0" w:line="218"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Our By-laws provide that each director will be elected by a</w:t>
      </w:r>
      <w:r>
        <w:rPr>
          <w:rFonts w:ascii="Arial" w:cs="Arial" w:eastAsia="Arial" w:hAnsi="Arial"/>
          <w:sz w:val="25"/>
          <w:szCs w:val="25"/>
          <w:color w:val="005CB9"/>
        </w:rPr>
        <w:t xml:space="preserve"> </w:t>
      </w:r>
      <w:r>
        <w:rPr>
          <w:rFonts w:ascii="Arial" w:cs="Arial" w:eastAsia="Arial" w:hAnsi="Arial"/>
          <w:sz w:val="17"/>
          <w:szCs w:val="17"/>
          <w:color w:val="000000"/>
        </w:rPr>
        <w:t>majority of the votes cast with respect to such director (except in the case of contested elections, in which case directors are elected by a plurality). A “majority of the votes cast” means that the number of votes cast “for” a director exceeds the number of votes cast “against” that director. Broker non-votes and abstentions will have no impact as they are not counted as votes cast for the election of directors. If an incumbent director fails to receive a majority of the votes cast, the director will tender his or her resignation to the Board. The Nominating and Governance Committee or another committee will consider the director’s resignation and recommend to the Board whether to accept or reject the resignation. The Board will publicly disclose its decision regarding</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380" w:right="580"/>
        <w:spacing w:after="0" w:line="267" w:lineRule="auto"/>
        <w:rPr>
          <w:sz w:val="20"/>
          <w:szCs w:val="20"/>
          <w:color w:val="auto"/>
        </w:rPr>
      </w:pPr>
      <w:r>
        <w:rPr>
          <w:rFonts w:ascii="Arial" w:cs="Arial" w:eastAsia="Arial" w:hAnsi="Arial"/>
          <w:sz w:val="17"/>
          <w:szCs w:val="17"/>
          <w:color w:val="auto"/>
        </w:rPr>
        <w:t>the resignation within 90 days after the election results are certified.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-852805</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1" w:lineRule="exact"/>
        <w:rPr>
          <w:sz w:val="20"/>
          <w:szCs w:val="20"/>
          <w:color w:val="auto"/>
        </w:rPr>
      </w:pPr>
    </w:p>
    <w:p>
      <w:pPr>
        <w:ind w:left="380" w:right="160"/>
        <w:spacing w:after="0" w:line="237" w:lineRule="auto"/>
        <w:rPr>
          <w:sz w:val="20"/>
          <w:szCs w:val="20"/>
          <w:color w:val="auto"/>
        </w:rPr>
      </w:pPr>
      <w:r>
        <w:rPr>
          <w:rFonts w:ascii="Arial" w:cs="Arial" w:eastAsia="Arial" w:hAnsi="Arial"/>
          <w:sz w:val="17"/>
          <w:szCs w:val="17"/>
          <w:color w:val="auto"/>
        </w:rPr>
        <w:t>The vote on the approval of compensation of our named executive officers is an advisory vote and non-binding on the Company. If the majority of the shares present in person or represented by proxy and entitled to vote are cast in favor of the proposal, then it will be deemed to be the approval of the shareholders. Abstentions will have the effect of a vote against the proposal. Broker non-votes will be excluded from the calculation and will have no effect on the outcome of the voting.</w:t>
      </w:r>
    </w:p>
    <w:p>
      <w:pPr>
        <w:spacing w:after="0" w:line="76" w:lineRule="exact"/>
        <w:rPr>
          <w:sz w:val="20"/>
          <w:szCs w:val="20"/>
          <w:color w:val="auto"/>
        </w:rPr>
      </w:pPr>
    </w:p>
    <w:p>
      <w:pPr>
        <w:ind w:left="380"/>
        <w:spacing w:after="0" w:line="236" w:lineRule="auto"/>
        <w:rPr>
          <w:sz w:val="20"/>
          <w:szCs w:val="20"/>
          <w:color w:val="auto"/>
        </w:rPr>
      </w:pPr>
      <w:r>
        <w:rPr>
          <w:rFonts w:ascii="Arial" w:cs="Arial" w:eastAsia="Arial" w:hAnsi="Arial"/>
          <w:sz w:val="17"/>
          <w:szCs w:val="17"/>
          <w:color w:val="auto"/>
        </w:rPr>
        <w:t>The affirmative vote of a majority of the shares present in person or represented by proxy and entitled to vote is required to approve the ratification of the appointment of PwC as the independent registered accounting firm of the Company. Abstentions will have the effect of a vote against this proposal. This proposal is considered a routine matter on which the broker will have discretionary authority to vote on the proposal should a beneficial owner not provide voting instructions. For that reason, if you are a beneficial owner and you wish to vote “for,” “against” or “abstain” on this proposal, you will have to provide your broker with such instruction. Otherwise, your broker will vote in its discretion.</w:t>
      </w:r>
    </w:p>
    <w:p>
      <w:pPr>
        <w:spacing w:after="0" w:line="73" w:lineRule="exact"/>
        <w:rPr>
          <w:sz w:val="20"/>
          <w:szCs w:val="20"/>
          <w:color w:val="auto"/>
        </w:rPr>
      </w:pPr>
    </w:p>
    <w:p>
      <w:pPr>
        <w:ind w:left="380" w:right="40"/>
        <w:spacing w:after="0" w:line="239" w:lineRule="auto"/>
        <w:rPr>
          <w:sz w:val="20"/>
          <w:szCs w:val="20"/>
          <w:color w:val="auto"/>
        </w:rPr>
      </w:pPr>
      <w:r>
        <w:rPr>
          <w:rFonts w:ascii="Arial" w:cs="Arial" w:eastAsia="Arial" w:hAnsi="Arial"/>
          <w:sz w:val="17"/>
          <w:szCs w:val="17"/>
          <w:color w:val="auto"/>
        </w:rPr>
        <w:t>For all other matters proposed for a vote at the meeting, including the shareholder proposal, the affirmative vote of a majority of the shares present in person or represented by proxy and entitled to vote is required to approve the matter. Abstentions will have the effect of a vote against these proposals. Broker non-votes will have no effect on the outcome of the voting.</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005CB9"/>
        </w:rPr>
        <w:t>Q: Is my proxy revocable?</w:t>
      </w:r>
    </w:p>
    <w:p>
      <w:pPr>
        <w:spacing w:after="0" w:line="45" w:lineRule="exact"/>
        <w:rPr>
          <w:sz w:val="20"/>
          <w:szCs w:val="20"/>
          <w:color w:val="auto"/>
        </w:rPr>
      </w:pPr>
    </w:p>
    <w:p>
      <w:pPr>
        <w:ind w:left="380" w:right="140" w:hanging="391"/>
        <w:spacing w:after="0" w:line="199"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You may revoke your proxy before it is exercised by voting in</w:t>
      </w:r>
      <w:r>
        <w:rPr>
          <w:rFonts w:ascii="Arial" w:cs="Arial" w:eastAsia="Arial" w:hAnsi="Arial"/>
          <w:sz w:val="25"/>
          <w:szCs w:val="25"/>
          <w:color w:val="005CB9"/>
        </w:rPr>
        <w:t xml:space="preserve"> </w:t>
      </w:r>
      <w:r>
        <w:rPr>
          <w:rFonts w:ascii="Arial" w:cs="Arial" w:eastAsia="Arial" w:hAnsi="Arial"/>
          <w:sz w:val="17"/>
          <w:szCs w:val="17"/>
          <w:color w:val="000000"/>
        </w:rPr>
        <w:t>person at the Annual Meeting, by timely delivering a subsequent proxy or by notifying us in writing of such revocation to the attention of the Corporate Secretary, Roper Technologies, Inc., 6496 University Parkway, Sarasota, Florida 34240.</w:t>
      </w:r>
    </w:p>
    <w:p>
      <w:pPr>
        <w:spacing w:after="0" w:line="78" w:lineRule="exact"/>
        <w:rPr>
          <w:sz w:val="20"/>
          <w:szCs w:val="20"/>
          <w:color w:val="auto"/>
        </w:rPr>
      </w:pPr>
    </w:p>
    <w:p>
      <w:pPr>
        <w:ind w:left="380" w:right="100"/>
        <w:spacing w:after="0" w:line="244" w:lineRule="auto"/>
        <w:rPr>
          <w:sz w:val="20"/>
          <w:szCs w:val="20"/>
          <w:color w:val="auto"/>
        </w:rPr>
      </w:pPr>
      <w:r>
        <w:rPr>
          <w:rFonts w:ascii="Arial" w:cs="Arial" w:eastAsia="Arial" w:hAnsi="Arial"/>
          <w:sz w:val="17"/>
          <w:szCs w:val="17"/>
          <w:color w:val="auto"/>
        </w:rPr>
        <w:t>If you are not the shareholder of record, you will need documentation from your record holder stating your ownership to vote personally at the Annual Meeting. See “What is a shareholder of record?” above.</w:t>
      </w:r>
    </w:p>
    <w:p>
      <w:pPr>
        <w:sectPr>
          <w:pgSz w:w="11900" w:h="16838" w:orient="portrait"/>
          <w:cols w:equalWidth="0" w:num="2">
            <w:col w:w="5380" w:space="360"/>
            <w:col w:w="5380"/>
          </w:cols>
          <w:pgMar w:left="320" w:top="482"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3" w:lineRule="exact"/>
        <w:rPr>
          <w:sz w:val="20"/>
          <w:szCs w:val="20"/>
          <w:color w:val="auto"/>
        </w:rPr>
      </w:pPr>
    </w:p>
    <w:p>
      <w:pPr>
        <w:ind w:left="500" w:right="20" w:hanging="384"/>
        <w:spacing w:after="0" w:line="256" w:lineRule="auto"/>
        <w:tabs>
          <w:tab w:leader="none" w:pos="500" w:val="left"/>
        </w:tabs>
        <w:numPr>
          <w:ilvl w:val="0"/>
          <w:numId w:val="83"/>
        </w:numPr>
        <w:rPr>
          <w:rFonts w:ascii="Arial" w:cs="Arial" w:eastAsia="Arial" w:hAnsi="Arial"/>
          <w:sz w:val="22"/>
          <w:szCs w:val="22"/>
          <w:b w:val="1"/>
          <w:bCs w:val="1"/>
          <w:color w:val="005CB9"/>
        </w:rPr>
      </w:pPr>
      <w:r>
        <w:rPr>
          <w:rFonts w:ascii="Arial" w:cs="Arial" w:eastAsia="Arial" w:hAnsi="Arial"/>
          <w:sz w:val="22"/>
          <w:szCs w:val="22"/>
          <w:b w:val="1"/>
          <w:bCs w:val="1"/>
          <w:color w:val="005CB9"/>
        </w:rPr>
        <w:t>What is “householding” and how does it affect me?</w:t>
      </w:r>
    </w:p>
    <w:p>
      <w:pPr>
        <w:spacing w:after="0" w:line="1" w:lineRule="exact"/>
        <w:rPr>
          <w:sz w:val="20"/>
          <w:szCs w:val="20"/>
          <w:color w:val="auto"/>
        </w:rPr>
      </w:pPr>
    </w:p>
    <w:p>
      <w:pPr>
        <w:ind w:left="500" w:right="80" w:hanging="390"/>
        <w:spacing w:after="0" w:line="207"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 proxy rules of the SEC permit companies and</w:t>
      </w:r>
      <w:r>
        <w:rPr>
          <w:rFonts w:ascii="Arial" w:cs="Arial" w:eastAsia="Arial" w:hAnsi="Arial"/>
          <w:sz w:val="25"/>
          <w:szCs w:val="25"/>
          <w:color w:val="005CB9"/>
        </w:rPr>
        <w:t xml:space="preserve"> </w:t>
      </w:r>
      <w:r>
        <w:rPr>
          <w:rFonts w:ascii="Arial" w:cs="Arial" w:eastAsia="Arial" w:hAnsi="Arial"/>
          <w:sz w:val="17"/>
          <w:szCs w:val="17"/>
          <w:color w:val="000000"/>
        </w:rPr>
        <w:t>intermediaries, such as brokers and banks, to satisfy Proxy Statement delivery requirements for two or more shareholders sharing an address by delivering one set of proxy materials to those shareholders. This procedure, known as “householding,” reduces the amount of duplicate information that shareholders receive and lowers our printing and mailing costs.</w:t>
      </w:r>
    </w:p>
    <w:p>
      <w:pPr>
        <w:spacing w:after="0" w:line="76" w:lineRule="exact"/>
        <w:rPr>
          <w:sz w:val="20"/>
          <w:szCs w:val="20"/>
          <w:color w:val="auto"/>
        </w:rPr>
      </w:pPr>
    </w:p>
    <w:p>
      <w:pPr>
        <w:ind w:left="520"/>
        <w:spacing w:after="0" w:line="235" w:lineRule="auto"/>
        <w:rPr>
          <w:sz w:val="20"/>
          <w:szCs w:val="20"/>
          <w:color w:val="auto"/>
        </w:rPr>
      </w:pPr>
      <w:r>
        <w:rPr>
          <w:rFonts w:ascii="Arial" w:cs="Arial" w:eastAsia="Arial" w:hAnsi="Arial"/>
          <w:sz w:val="17"/>
          <w:szCs w:val="17"/>
          <w:color w:val="auto"/>
        </w:rPr>
        <w:t>Certain intermediaries use householding for our proxy materials and our 2023 Annual Report. Therefore, only one set of materials may have been delivered to your address if multiple shareholders share the same address. If you share an address with another shareholder and wish to receive a separate set of materials in the future, or if you would like to receive only one set of materials, you should contact your bank, broker, or other intermediary or us at the address and telephone number below. We will promptly send a separate copy of this Proxy Statement or the 2023 Annual Report if you call us at 941-556-2601 or direct your request in writing to the attention of the Corporate Secretary, Roper Technologies, Inc., 6496 University Parkway, Sarasota, Florida 34240.</w:t>
      </w:r>
    </w:p>
    <w:p>
      <w:pPr>
        <w:spacing w:after="0" w:line="205" w:lineRule="exact"/>
        <w:rPr>
          <w:sz w:val="20"/>
          <w:szCs w:val="20"/>
          <w:color w:val="auto"/>
        </w:rPr>
      </w:pPr>
    </w:p>
    <w:p>
      <w:pPr>
        <w:ind w:left="500" w:right="40" w:hanging="384"/>
        <w:spacing w:after="0" w:line="256" w:lineRule="auto"/>
        <w:tabs>
          <w:tab w:leader="none" w:pos="500" w:val="left"/>
        </w:tabs>
        <w:numPr>
          <w:ilvl w:val="0"/>
          <w:numId w:val="84"/>
        </w:numPr>
        <w:rPr>
          <w:rFonts w:ascii="Arial" w:cs="Arial" w:eastAsia="Arial" w:hAnsi="Arial"/>
          <w:sz w:val="22"/>
          <w:szCs w:val="22"/>
          <w:b w:val="1"/>
          <w:bCs w:val="1"/>
          <w:color w:val="005CB9"/>
        </w:rPr>
      </w:pPr>
      <w:r>
        <w:rPr>
          <w:rFonts w:ascii="Arial" w:cs="Arial" w:eastAsia="Arial" w:hAnsi="Arial"/>
          <w:sz w:val="22"/>
          <w:szCs w:val="22"/>
          <w:b w:val="1"/>
          <w:bCs w:val="1"/>
          <w:color w:val="005CB9"/>
        </w:rPr>
        <w:t>How can I find the voting results of the Annual Meeting?</w:t>
      </w:r>
    </w:p>
    <w:p>
      <w:pPr>
        <w:spacing w:after="0" w:line="1" w:lineRule="exact"/>
        <w:rPr>
          <w:sz w:val="20"/>
          <w:szCs w:val="20"/>
          <w:color w:val="auto"/>
        </w:rPr>
      </w:pPr>
    </w:p>
    <w:p>
      <w:pPr>
        <w:ind w:left="500" w:right="80" w:hanging="390"/>
        <w:spacing w:after="0" w:line="194"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The Board of Directors has designated an inspector of election</w:t>
      </w:r>
      <w:r>
        <w:rPr>
          <w:rFonts w:ascii="Arial" w:cs="Arial" w:eastAsia="Arial" w:hAnsi="Arial"/>
          <w:sz w:val="25"/>
          <w:szCs w:val="25"/>
          <w:color w:val="005CB9"/>
        </w:rPr>
        <w:t xml:space="preserve"> </w:t>
      </w:r>
      <w:r>
        <w:rPr>
          <w:rFonts w:ascii="Arial" w:cs="Arial" w:eastAsia="Arial" w:hAnsi="Arial"/>
          <w:sz w:val="17"/>
          <w:szCs w:val="17"/>
          <w:color w:val="000000"/>
        </w:rPr>
        <w:t>who will tabulate the votes submitted by proxy and by ballot. Preliminary voting results will be announced at the Annual Meeting. Final voting results will 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386" w:right="80"/>
        <w:spacing w:after="0" w:line="239" w:lineRule="auto"/>
        <w:rPr>
          <w:sz w:val="20"/>
          <w:szCs w:val="20"/>
          <w:color w:val="auto"/>
        </w:rPr>
      </w:pPr>
      <w:r>
        <w:rPr>
          <w:rFonts w:ascii="Arial" w:cs="Arial" w:eastAsia="Arial" w:hAnsi="Arial"/>
          <w:sz w:val="17"/>
          <w:szCs w:val="17"/>
          <w:color w:val="auto"/>
        </w:rPr>
        <w:t>published in a Current Report on Form 8-K to be filed with the SEC within four business days after the Annual Meeting. If the official voting results are not available at that time, we will provide preliminary voting results in the Current Report on Form 8-K and will provide the final results in an amendment to the Current Report on Form 8-K as soon as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-1318260</wp:posOffset>
            </wp:positionV>
            <wp:extent cx="717486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183" w:lineRule="exact"/>
        <w:rPr>
          <w:sz w:val="20"/>
          <w:szCs w:val="20"/>
          <w:color w:val="auto"/>
        </w:rPr>
      </w:pPr>
    </w:p>
    <w:p>
      <w:pPr>
        <w:ind w:left="386" w:right="420" w:hanging="386"/>
        <w:spacing w:after="0" w:line="268" w:lineRule="auto"/>
        <w:tabs>
          <w:tab w:leader="none" w:pos="386" w:val="left"/>
        </w:tabs>
        <w:numPr>
          <w:ilvl w:val="0"/>
          <w:numId w:val="85"/>
        </w:numPr>
        <w:rPr>
          <w:rFonts w:ascii="Arial" w:cs="Arial" w:eastAsia="Arial" w:hAnsi="Arial"/>
          <w:sz w:val="21"/>
          <w:szCs w:val="21"/>
          <w:b w:val="1"/>
          <w:bCs w:val="1"/>
          <w:color w:val="005CB9"/>
        </w:rPr>
      </w:pPr>
      <w:r>
        <w:rPr>
          <w:rFonts w:ascii="Arial" w:cs="Arial" w:eastAsia="Arial" w:hAnsi="Arial"/>
          <w:sz w:val="21"/>
          <w:szCs w:val="21"/>
          <w:b w:val="1"/>
          <w:bCs w:val="1"/>
          <w:color w:val="005CB9"/>
        </w:rPr>
        <w:t>Who is paying for the expenses involved in preparing and mailing this Proxy Statement?</w:t>
      </w:r>
    </w:p>
    <w:p>
      <w:pPr>
        <w:jc w:val="center"/>
        <w:ind w:right="174"/>
        <w:spacing w:after="0" w:line="182" w:lineRule="auto"/>
        <w:rPr>
          <w:sz w:val="20"/>
          <w:szCs w:val="20"/>
          <w:color w:val="auto"/>
        </w:rPr>
      </w:pPr>
      <w:r>
        <w:rPr>
          <w:rFonts w:ascii="Arial" w:cs="Arial" w:eastAsia="Arial" w:hAnsi="Arial"/>
          <w:sz w:val="24"/>
          <w:szCs w:val="24"/>
          <w:color w:val="005CB9"/>
        </w:rPr>
        <w:t>A</w:t>
      </w:r>
      <w:r>
        <w:rPr>
          <w:rFonts w:ascii="Arial" w:cs="Arial" w:eastAsia="Arial" w:hAnsi="Arial"/>
          <w:sz w:val="32"/>
          <w:szCs w:val="32"/>
          <w:color w:val="000000"/>
          <w:vertAlign w:val="subscript"/>
        </w:rPr>
        <w:t>:</w:t>
      </w:r>
      <w:r>
        <w:rPr>
          <w:rFonts w:ascii="Arial" w:cs="Arial" w:eastAsia="Arial" w:hAnsi="Arial"/>
          <w:sz w:val="24"/>
          <w:szCs w:val="24"/>
          <w:color w:val="005CB9"/>
        </w:rPr>
        <w:t xml:space="preserve">  </w:t>
      </w:r>
      <w:r>
        <w:rPr>
          <w:rFonts w:ascii="Arial" w:cs="Arial" w:eastAsia="Arial" w:hAnsi="Arial"/>
          <w:sz w:val="16"/>
          <w:szCs w:val="16"/>
          <w:color w:val="000000"/>
        </w:rPr>
        <w:t>Roper is paying the expenses involved in preparing, assembling</w:t>
      </w:r>
    </w:p>
    <w:p>
      <w:pPr>
        <w:ind w:left="386" w:right="20"/>
        <w:spacing w:after="0" w:line="234" w:lineRule="auto"/>
        <w:rPr>
          <w:sz w:val="20"/>
          <w:szCs w:val="20"/>
          <w:color w:val="auto"/>
        </w:rPr>
      </w:pPr>
      <w:r>
        <w:rPr>
          <w:rFonts w:ascii="Arial" w:cs="Arial" w:eastAsia="Arial" w:hAnsi="Arial"/>
          <w:sz w:val="17"/>
          <w:szCs w:val="17"/>
          <w:color w:val="auto"/>
        </w:rPr>
        <w:t>and mailing these proxy materials and all costs of soliciting proxies. Our directors, executive officers and other employees may solicit proxies, without additional compensation, personally or by telephone, email or other means of communication. We have also engaged MacKenzie Partners as the proxy solicitor for this Annual Meeting for a fee of approximately $12,500 plus reasonable expenses. We will reimburse banks, brokers, and other intermediaries, such as custodians, nominees and fiduciaries, that hold our common stock in their names or in the names of their nominees for their reasonable expenses in forwarding proxy materials to beneficial owners.</w:t>
      </w:r>
    </w:p>
    <w:p>
      <w:pPr>
        <w:spacing w:after="0" w:line="20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005CB9"/>
        </w:rPr>
        <w:t>Q: What is your website for additional information?</w:t>
      </w:r>
    </w:p>
    <w:p>
      <w:pPr>
        <w:spacing w:after="0" w:line="45" w:lineRule="exact"/>
        <w:rPr>
          <w:sz w:val="20"/>
          <w:szCs w:val="20"/>
          <w:color w:val="auto"/>
        </w:rPr>
      </w:pPr>
    </w:p>
    <w:p>
      <w:pPr>
        <w:ind w:left="386" w:right="40" w:hanging="391"/>
        <w:spacing w:after="0" w:line="185" w:lineRule="auto"/>
        <w:rPr>
          <w:sz w:val="20"/>
          <w:szCs w:val="20"/>
          <w:color w:val="auto"/>
        </w:rPr>
      </w:pPr>
      <w:r>
        <w:rPr>
          <w:rFonts w:ascii="Arial" w:cs="Arial" w:eastAsia="Arial" w:hAnsi="Arial"/>
          <w:sz w:val="25"/>
          <w:szCs w:val="25"/>
          <w:color w:val="005CB9"/>
        </w:rPr>
        <w:t>A</w:t>
      </w:r>
      <w:r>
        <w:rPr>
          <w:rFonts w:ascii="Arial" w:cs="Arial" w:eastAsia="Arial" w:hAnsi="Arial"/>
          <w:sz w:val="34"/>
          <w:szCs w:val="34"/>
          <w:color w:val="000000"/>
          <w:vertAlign w:val="subscript"/>
        </w:rPr>
        <w:t>:</w:t>
      </w:r>
      <w:r>
        <w:rPr>
          <w:rFonts w:ascii="Arial" w:cs="Arial" w:eastAsia="Arial" w:hAnsi="Arial"/>
          <w:sz w:val="25"/>
          <w:szCs w:val="25"/>
          <w:color w:val="005CB9"/>
        </w:rPr>
        <w:t xml:space="preserve"> </w:t>
      </w:r>
      <w:r>
        <w:rPr>
          <w:rFonts w:ascii="Arial" w:cs="Arial" w:eastAsia="Arial" w:hAnsi="Arial"/>
          <w:sz w:val="17"/>
          <w:szCs w:val="17"/>
          <w:color w:val="000000"/>
        </w:rPr>
        <w:t>We maintain a website at www.ropertech.com. The information on</w:t>
      </w:r>
      <w:r>
        <w:rPr>
          <w:rFonts w:ascii="Arial" w:cs="Arial" w:eastAsia="Arial" w:hAnsi="Arial"/>
          <w:sz w:val="25"/>
          <w:szCs w:val="25"/>
          <w:color w:val="005CB9"/>
        </w:rPr>
        <w:t xml:space="preserve"> </w:t>
      </w:r>
      <w:r>
        <w:rPr>
          <w:rFonts w:ascii="Arial" w:cs="Arial" w:eastAsia="Arial" w:hAnsi="Arial"/>
          <w:sz w:val="17"/>
          <w:szCs w:val="17"/>
          <w:color w:val="000000"/>
        </w:rPr>
        <w:t>our website is not part of this Proxy Statement, and it is not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66"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63</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-205105</wp:posOffset>
            </wp:positionV>
            <wp:extent cx="428625" cy="1714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2">
            <w:col w:w="5320" w:space="414"/>
            <w:col w:w="5406"/>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INFORMATION REGARDING THE 2025 ANNUAL MEETING OF SHAREHOLDERS</w:t>
      </w:r>
    </w:p>
    <w:p>
      <w:pPr>
        <w:spacing w:after="0" w:line="338" w:lineRule="exact"/>
        <w:rPr>
          <w:sz w:val="20"/>
          <w:szCs w:val="20"/>
          <w:color w:val="auto"/>
        </w:rPr>
      </w:pPr>
    </w:p>
    <w:p>
      <w:pPr>
        <w:ind w:left="120" w:right="480"/>
        <w:spacing w:after="0" w:line="267" w:lineRule="auto"/>
        <w:rPr>
          <w:sz w:val="20"/>
          <w:szCs w:val="20"/>
          <w:color w:val="auto"/>
        </w:rPr>
      </w:pPr>
      <w:r>
        <w:rPr>
          <w:rFonts w:ascii="Arial" w:cs="Arial" w:eastAsia="Arial" w:hAnsi="Arial"/>
          <w:sz w:val="17"/>
          <w:szCs w:val="17"/>
          <w:color w:val="auto"/>
        </w:rPr>
        <w:t>If you wish to submit a matter to be considered at the 2025 Annual Meeting of Shareholders, you must comply with the procedures set forth below. Any proposal or nomination to be made to the Company should be sent to:</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Roper Technologies, Inc.</w:t>
      </w:r>
    </w:p>
    <w:p>
      <w:pPr>
        <w:spacing w:after="0" w:line="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6496 University Parkway</w:t>
      </w:r>
    </w:p>
    <w:p>
      <w:pPr>
        <w:ind w:left="620"/>
        <w:spacing w:after="0" w:line="232" w:lineRule="auto"/>
        <w:rPr>
          <w:sz w:val="20"/>
          <w:szCs w:val="20"/>
          <w:color w:val="auto"/>
        </w:rPr>
      </w:pPr>
      <w:r>
        <w:rPr>
          <w:rFonts w:ascii="Arial" w:cs="Arial" w:eastAsia="Arial" w:hAnsi="Arial"/>
          <w:sz w:val="17"/>
          <w:szCs w:val="17"/>
          <w:color w:val="auto"/>
        </w:rPr>
        <w:t>Sarasota, Florida 34240</w:t>
      </w:r>
    </w:p>
    <w:p>
      <w:pPr>
        <w:ind w:left="620"/>
        <w:spacing w:after="0" w:line="232" w:lineRule="auto"/>
        <w:rPr>
          <w:sz w:val="20"/>
          <w:szCs w:val="20"/>
          <w:color w:val="auto"/>
        </w:rPr>
      </w:pPr>
      <w:r>
        <w:rPr>
          <w:rFonts w:ascii="Arial" w:cs="Arial" w:eastAsia="Arial" w:hAnsi="Arial"/>
          <w:sz w:val="17"/>
          <w:szCs w:val="17"/>
          <w:color w:val="auto"/>
        </w:rPr>
        <w:t>Attention: Corporate Secretary</w:t>
      </w:r>
    </w:p>
    <w:p>
      <w:pPr>
        <w:ind w:left="620"/>
        <w:spacing w:after="0"/>
        <w:rPr>
          <w:sz w:val="20"/>
          <w:szCs w:val="20"/>
          <w:color w:val="auto"/>
        </w:rPr>
      </w:pPr>
      <w:r>
        <w:rPr>
          <w:rFonts w:ascii="Arial" w:cs="Arial" w:eastAsia="Arial" w:hAnsi="Arial"/>
          <w:sz w:val="17"/>
          <w:szCs w:val="17"/>
          <w:color w:val="auto"/>
        </w:rPr>
        <w:t>jstipancich@ropertech.com</w:t>
      </w:r>
    </w:p>
    <w:p>
      <w:pPr>
        <w:spacing w:after="0" w:line="113" w:lineRule="exact"/>
        <w:rPr>
          <w:sz w:val="20"/>
          <w:szCs w:val="20"/>
          <w:color w:val="auto"/>
        </w:rPr>
      </w:pPr>
    </w:p>
    <w:p>
      <w:pPr>
        <w:ind w:left="340" w:right="320" w:hanging="224"/>
        <w:spacing w:after="0" w:line="249"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Proxy Statement Proposals. </w:t>
      </w:r>
      <w:r>
        <w:rPr>
          <w:rFonts w:ascii="Arial" w:cs="Arial" w:eastAsia="Arial" w:hAnsi="Arial"/>
          <w:sz w:val="17"/>
          <w:szCs w:val="17"/>
          <w:color w:val="auto"/>
        </w:rPr>
        <w:t>If you intend to submit a proposal to be included in the Proxy Statement for the 2025 Annual Meeting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we must receive your proposal no later than December 27, 2024. All proposals must comply with the SEC regulations under Rule 14a-8 for including shareholder proposals in a company’s proxy material.</w:t>
      </w:r>
    </w:p>
    <w:p>
      <w:pPr>
        <w:spacing w:after="0" w:line="201" w:lineRule="exact"/>
        <w:rPr>
          <w:rFonts w:ascii="Arial" w:cs="Arial" w:eastAsia="Arial" w:hAnsi="Arial"/>
          <w:sz w:val="17"/>
          <w:szCs w:val="17"/>
          <w:color w:val="auto"/>
        </w:rPr>
      </w:pPr>
    </w:p>
    <w:p>
      <w:pPr>
        <w:ind w:left="340" w:right="640" w:hanging="224"/>
        <w:spacing w:after="0" w:line="267" w:lineRule="auto"/>
        <w:tabs>
          <w:tab w:leader="none" w:pos="34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 xml:space="preserve">Director Candidate Nomination. </w:t>
      </w:r>
      <w:r>
        <w:rPr>
          <w:rFonts w:ascii="Arial" w:cs="Arial" w:eastAsia="Arial" w:hAnsi="Arial"/>
          <w:sz w:val="17"/>
          <w:szCs w:val="17"/>
          <w:color w:val="auto"/>
        </w:rPr>
        <w:t>Our By-laws set forth the procedures you must follow if you wish to nominate a director candidate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2025 Annual Meeting of Shareholders.</w:t>
      </w:r>
    </w:p>
    <w:p>
      <w:pPr>
        <w:spacing w:after="0" w:line="51" w:lineRule="exact"/>
        <w:rPr>
          <w:sz w:val="20"/>
          <w:szCs w:val="20"/>
          <w:color w:val="auto"/>
        </w:rPr>
      </w:pPr>
    </w:p>
    <w:p>
      <w:pPr>
        <w:ind w:left="560" w:right="100"/>
        <w:spacing w:after="0" w:line="237" w:lineRule="auto"/>
        <w:rPr>
          <w:sz w:val="20"/>
          <w:szCs w:val="20"/>
          <w:color w:val="auto"/>
        </w:rPr>
      </w:pPr>
      <w:r>
        <w:rPr>
          <w:rFonts w:ascii="Arial" w:cs="Arial" w:eastAsia="Arial" w:hAnsi="Arial"/>
          <w:sz w:val="17"/>
          <w:szCs w:val="17"/>
          <w:i w:val="1"/>
          <w:iCs w:val="1"/>
          <w:color w:val="auto"/>
        </w:rPr>
        <w:t xml:space="preserve">Proxy Access to Include Nominees in our 2025 Proxy Statement. </w:t>
      </w:r>
      <w:r>
        <w:rPr>
          <w:rFonts w:ascii="Arial" w:cs="Arial" w:eastAsia="Arial" w:hAnsi="Arial"/>
          <w:sz w:val="17"/>
          <w:szCs w:val="17"/>
          <w:color w:val="auto"/>
        </w:rPr>
        <w:t>If you are a shareholder, or a group of up to 20 shareholders, owning 3%</w:t>
      </w:r>
      <w:r>
        <w:rPr>
          <w:rFonts w:ascii="Arial" w:cs="Arial" w:eastAsia="Arial" w:hAnsi="Arial"/>
          <w:sz w:val="17"/>
          <w:szCs w:val="17"/>
          <w:i w:val="1"/>
          <w:iCs w:val="1"/>
          <w:color w:val="auto"/>
        </w:rPr>
        <w:t xml:space="preserve"> </w:t>
      </w:r>
      <w:r>
        <w:rPr>
          <w:rFonts w:ascii="Arial" w:cs="Arial" w:eastAsia="Arial" w:hAnsi="Arial"/>
          <w:sz w:val="17"/>
          <w:szCs w:val="17"/>
          <w:color w:val="auto"/>
        </w:rPr>
        <w:t>or more of our outstanding common stock continuously for at least three years and wish to nominate a director candidate and require us to include such nominee in our Proxy Statement and form of proxy, you must submit your request so it is received by the Company between November 27, 2024 and December 27, 2024, in accordance with our By-laws. The number of candidates that may be so nominated is limited to the greater of two or the largest whole number that does not exceed 20% of our Board, provided that the shareholder(s) and nominee(s) satisfy the requirements set forth in our By-laws. All proxy access nominations must be accompanied by information about the nominating shareholders as well as the nominees and meet the requirements specified in our By-laws, including the information specified under “Nominees Not for Inclusion in our 2025 Proxy Statement” below.</w:t>
      </w:r>
    </w:p>
    <w:p>
      <w:pPr>
        <w:spacing w:after="0" w:line="76"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i w:val="1"/>
          <w:iCs w:val="1"/>
          <w:color w:val="auto"/>
        </w:rPr>
        <w:t xml:space="preserve">Nominees Not for Inclusion in our 2025 Proxy Statement. </w:t>
      </w:r>
      <w:r>
        <w:rPr>
          <w:rFonts w:ascii="Arial" w:cs="Arial" w:eastAsia="Arial" w:hAnsi="Arial"/>
          <w:sz w:val="17"/>
          <w:szCs w:val="17"/>
          <w:color w:val="auto"/>
        </w:rPr>
        <w:t>If you wish to nominate a director candidate in connection with the 2025 Annual</w:t>
      </w:r>
      <w:r>
        <w:rPr>
          <w:rFonts w:ascii="Arial" w:cs="Arial" w:eastAsia="Arial" w:hAnsi="Arial"/>
          <w:sz w:val="17"/>
          <w:szCs w:val="17"/>
          <w:i w:val="1"/>
          <w:iCs w:val="1"/>
          <w:color w:val="auto"/>
        </w:rPr>
        <w:t xml:space="preserve"> </w:t>
      </w:r>
      <w:r>
        <w:rPr>
          <w:rFonts w:ascii="Arial" w:cs="Arial" w:eastAsia="Arial" w:hAnsi="Arial"/>
          <w:sz w:val="17"/>
          <w:szCs w:val="17"/>
          <w:color w:val="auto"/>
        </w:rPr>
        <w:t>Meeting of Shareholders and are not requiring that the nominee be included in our Proxy Statement, you must submit the nomination so it is received by the Company between February 12, 2025 and March 14, 2025, in accordance with our By-laws</w:t>
      </w:r>
      <w:r>
        <w:rPr>
          <w:rFonts w:ascii="Arial" w:cs="Arial" w:eastAsia="Arial" w:hAnsi="Arial"/>
          <w:sz w:val="17"/>
          <w:szCs w:val="17"/>
          <w:i w:val="1"/>
          <w:iCs w:val="1"/>
          <w:color w:val="auto"/>
        </w:rPr>
        <w:t>.</w:t>
      </w:r>
      <w:r>
        <w:rPr>
          <w:rFonts w:ascii="Arial" w:cs="Arial" w:eastAsia="Arial" w:hAnsi="Arial"/>
          <w:sz w:val="17"/>
          <w:szCs w:val="17"/>
          <w:color w:val="auto"/>
        </w:rPr>
        <w:t xml:space="preserve"> The notice to nominate a person for election as a Company director must include a written statement setting forth: (i) the name of the person to be nominated; (ii) the number and class of all shares of each class of Company stock owned of record and beneficially by such person, as reported by such person to you; (iii) such other information regarding each nominee proposed by you as would have been required to be included in a Proxy Statement filed pursuant to the proxy rules of the SEC if the nominee had been nominated by the Board of Directors; (iv) such person’s signed consent to serve as a director of our Company if elected; (v) your name and address; (vi) the number and class of all shares of each class of Company stock owned of record and beneficially by such shareholder (and any beneficial owner on whose behalf the nomination is made); and (vii)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w:t>
      </w:r>
    </w:p>
    <w:p>
      <w:pPr>
        <w:spacing w:after="0" w:line="74" w:lineRule="exact"/>
        <w:rPr>
          <w:sz w:val="20"/>
          <w:szCs w:val="20"/>
          <w:color w:val="auto"/>
        </w:rPr>
      </w:pPr>
    </w:p>
    <w:p>
      <w:pPr>
        <w:ind w:left="560" w:right="80"/>
        <w:spacing w:after="0" w:line="239" w:lineRule="auto"/>
        <w:rPr>
          <w:sz w:val="20"/>
          <w:szCs w:val="20"/>
          <w:color w:val="auto"/>
        </w:rPr>
      </w:pPr>
      <w:r>
        <w:rPr>
          <w:rFonts w:ascii="Arial" w:cs="Arial" w:eastAsia="Arial" w:hAnsi="Arial"/>
          <w:sz w:val="17"/>
          <w:szCs w:val="17"/>
          <w:i w:val="1"/>
          <w:iCs w:val="1"/>
          <w:color w:val="auto"/>
        </w:rPr>
        <w:t xml:space="preserve">Universal Proxy Rules for Nominees. </w:t>
      </w:r>
      <w:r>
        <w:rPr>
          <w:rFonts w:ascii="Arial" w:cs="Arial" w:eastAsia="Arial" w:hAnsi="Arial"/>
          <w:sz w:val="17"/>
          <w:szCs w:val="17"/>
          <w:color w:val="auto"/>
        </w:rPr>
        <w:t>For all nominees, whether included in our Proxy Statement or otherwise, in addition to satisfying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under our By-laws, if a shareholder intends to comply with the SEC’s universal proxy rules and to solicit proxies in support of director nominees other than the Company nominees, the shareholder must provide notice that sets forth the information required by Rule 14a-19 under the Exchange Act, which notice must be postmarked or transmitted electronically to us at our principal executive office no later than 60 calendar days prior to the one-year anniversary date of the Annual Meeting (for the 2025 Annual Meeting of Shareholders, no later than April 13, 2025).</w:t>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005CB9"/>
                <w:w w:val="89"/>
              </w:rPr>
              <w:t>64</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-205105</wp:posOffset>
            </wp:positionV>
            <wp:extent cx="428625" cy="1714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jc w:val="both"/>
        <w:ind w:left="560" w:right="300"/>
        <w:spacing w:after="0" w:line="249" w:lineRule="auto"/>
        <w:rPr>
          <w:sz w:val="20"/>
          <w:szCs w:val="20"/>
          <w:color w:val="auto"/>
        </w:rPr>
      </w:pPr>
      <w:r>
        <w:rPr>
          <w:rFonts w:ascii="Arial" w:cs="Arial" w:eastAsia="Arial" w:hAnsi="Arial"/>
          <w:sz w:val="17"/>
          <w:szCs w:val="17"/>
          <w:color w:val="auto"/>
        </w:rPr>
        <w:t>If the date of the Annual Meeting is changed by more than 30 calendar days from such anniversary date, however, then the shareholder must provide notice by the later of 60 calendar days prior to the date of the 2025 Annual Meeting and the 10</w:t>
      </w:r>
      <w:r>
        <w:rPr>
          <w:rFonts w:ascii="Arial" w:cs="Arial" w:eastAsia="Arial" w:hAnsi="Arial"/>
          <w:sz w:val="12"/>
          <w:szCs w:val="12"/>
          <w:color w:val="auto"/>
        </w:rPr>
        <w:t>th</w:t>
      </w:r>
      <w:r>
        <w:rPr>
          <w:rFonts w:ascii="Arial" w:cs="Arial" w:eastAsia="Arial" w:hAnsi="Arial"/>
          <w:sz w:val="17"/>
          <w:szCs w:val="17"/>
          <w:color w:val="auto"/>
        </w:rPr>
        <w:t xml:space="preserve"> calendar day following the date on which public announcement of the date of the 2025 Annual Meeting is first made.</w:t>
      </w:r>
    </w:p>
    <w:p>
      <w:pPr>
        <w:spacing w:after="0" w:line="202" w:lineRule="exact"/>
        <w:rPr>
          <w:sz w:val="20"/>
          <w:szCs w:val="20"/>
          <w:color w:val="auto"/>
        </w:rPr>
      </w:pPr>
    </w:p>
    <w:p>
      <w:pPr>
        <w:ind w:left="340" w:right="20" w:hanging="224"/>
        <w:spacing w:after="0" w:line="236" w:lineRule="auto"/>
        <w:tabs>
          <w:tab w:leader="none" w:pos="34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Matters for Annual Meeting Agenda. </w:t>
      </w:r>
      <w:r>
        <w:rPr>
          <w:rFonts w:ascii="Arial" w:cs="Arial" w:eastAsia="Arial" w:hAnsi="Arial"/>
          <w:sz w:val="17"/>
          <w:szCs w:val="17"/>
          <w:color w:val="auto"/>
        </w:rPr>
        <w:t>If you wish to have other business (not the nomination of a director candidate) brought before the 2025</w:t>
      </w:r>
      <w:r>
        <w:rPr>
          <w:rFonts w:ascii="Arial" w:cs="Arial" w:eastAsia="Arial" w:hAnsi="Arial"/>
          <w:sz w:val="17"/>
          <w:szCs w:val="17"/>
          <w:b w:val="1"/>
          <w:bCs w:val="1"/>
          <w:color w:val="auto"/>
        </w:rPr>
        <w:t xml:space="preserve"> </w:t>
      </w:r>
      <w:r>
        <w:rPr>
          <w:rFonts w:ascii="Arial" w:cs="Arial" w:eastAsia="Arial" w:hAnsi="Arial"/>
          <w:sz w:val="17"/>
          <w:szCs w:val="17"/>
          <w:color w:val="auto"/>
        </w:rPr>
        <w:t>Annual Meeting of Shareholders, you must submit the proposal between February 12, 2025 and March 14, 2025, in accordance with our By-laws. If you intend to present the matter directly at the 2025 Annual Meeting of Shareholders, the notice must include: (a) the text of the proposal; (b) a brief statement of the reasons why you favor the proposal; (c) your name and address; (d) the number and class of all shares of each class of Company stock owned of record and beneficially by you (and any beneficial owner on whose behalf the proposal is made); (e) a description of any agreement, arrangement or understanding (including any derivative or short positions, profit interests, options, warrants, stock appreciation or similar rights, hedging transactions and borrowed or loaned shares) that has been entered into by or on behalf of, or any other agreement, arrangement or understanding that has been made, the effect or intent of which is to mitigate loss to, manage risk or benefit of share price changes for, or increase or decrease the voting power of, you (and any beneficial owner on whose behalf the proposal is made) with respect to Roper’s securities; and (f) if applicable, any material interest of you and such beneficial owner in the matter proposed (other than as a shareholder).</w:t>
      </w:r>
    </w:p>
    <w:p>
      <w:pPr>
        <w:spacing w:after="0" w:line="18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With respect to matters not included in the Proxy Statement but properly presented at the 2025 Annual Meeting of Shareholders, management generally will be able to vote proxies in its discretion if it receives notice of the proposal during the period specified above and advises shareholders in the Proxy Statement for the 2025 Annual Meeting of Shareholders about the nature of the matter and how management intends to vote on the matter, unless the proponent of the shareholder proposal: (a) provides us with a timely written statement that the proponent intends to deliver a Proxy Statement to at least the percentage of our voting shares required to carry the proposal; (b) includes the same statement in the proponent’s own proxy materials; and (c) provides us with a statement from a solicitor confirming that the necessary steps have been taken to deliver the Proxy Statement to at least the percentage of our voting shares required to carry the proposal.</w:t>
      </w:r>
    </w:p>
    <w:p>
      <w:pPr>
        <w:spacing w:after="0" w:line="388"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OTHER MATTERS</w:t>
      </w:r>
    </w:p>
    <w:p>
      <w:pPr>
        <w:spacing w:after="0" w:line="338" w:lineRule="exact"/>
        <w:rPr>
          <w:sz w:val="20"/>
          <w:szCs w:val="20"/>
          <w:color w:val="auto"/>
        </w:rPr>
      </w:pPr>
    </w:p>
    <w:p>
      <w:pPr>
        <w:ind w:left="120" w:right="500"/>
        <w:spacing w:after="0" w:line="267" w:lineRule="auto"/>
        <w:rPr>
          <w:sz w:val="20"/>
          <w:szCs w:val="20"/>
          <w:color w:val="auto"/>
        </w:rPr>
      </w:pPr>
      <w:r>
        <w:rPr>
          <w:rFonts w:ascii="Arial" w:cs="Arial" w:eastAsia="Arial" w:hAnsi="Arial"/>
          <w:sz w:val="17"/>
          <w:szCs w:val="17"/>
          <w:color w:val="auto"/>
        </w:rPr>
        <w:t>As of the date of this Proxy Statement, the Board of Directors knows of no other business which will be or is intended to be presented at the Annual Meeting.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the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1508760" cy="3429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5087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Amy Woods Brinkley</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 of the Board of Directors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26, 2024</w:t>
      </w:r>
    </w:p>
    <w:p>
      <w:pPr>
        <w:spacing w:after="0" w:line="163" w:lineRule="exact"/>
        <w:rPr>
          <w:sz w:val="20"/>
          <w:szCs w:val="20"/>
          <w:color w:val="auto"/>
        </w:rPr>
      </w:pPr>
    </w:p>
    <w:tbl>
      <w:tblPr>
        <w:tblLayout w:type="fixed"/>
        <w:tblInd w:w="6000" w:type="dxa"/>
        <w:tblCellMar>
          <w:top w:w="0" w:type="dxa"/>
          <w:left w:w="0" w:type="dxa"/>
          <w:bottom w:w="0" w:type="dxa"/>
          <w:right w:w="0" w:type="dxa"/>
        </w:tblCellMar>
      </w:tblPr>
      <w:tr>
        <w:trPr>
          <w:trHeight w:val="243"/>
        </w:trPr>
        <w:tc>
          <w:tcPr>
            <w:tcW w:w="440" w:type="dxa"/>
            <w:vAlign w:val="bottom"/>
            <w:vMerge w:val="restart"/>
          </w:tcPr>
          <w:p>
            <w:pPr>
              <w:spacing w:after="0"/>
              <w:rPr>
                <w:sz w:val="20"/>
                <w:szCs w:val="20"/>
                <w:color w:val="auto"/>
              </w:rPr>
            </w:pPr>
            <w:r>
              <w:rPr>
                <w:rFonts w:ascii="Arial" w:cs="Arial" w:eastAsia="Arial" w:hAnsi="Arial"/>
                <w:sz w:val="16"/>
                <w:szCs w:val="16"/>
                <w:b w:val="1"/>
                <w:bCs w:val="1"/>
                <w:color w:val="005CB9"/>
              </w:rPr>
              <w:t xml:space="preserve">  </w:t>
            </w:r>
          </w:p>
        </w:tc>
        <w:tc>
          <w:tcPr>
            <w:tcW w:w="4200" w:type="dxa"/>
            <w:vAlign w:val="bottom"/>
            <w:vMerge w:val="restart"/>
          </w:tcPr>
          <w:p>
            <w:pPr>
              <w:ind w:left="380"/>
              <w:spacing w:after="0"/>
              <w:rPr>
                <w:sz w:val="20"/>
                <w:szCs w:val="20"/>
                <w:color w:val="auto"/>
              </w:rPr>
            </w:pPr>
            <w:r>
              <w:rPr>
                <w:rFonts w:ascii="Arial" w:cs="Arial" w:eastAsia="Arial" w:hAnsi="Arial"/>
                <w:sz w:val="16"/>
                <w:szCs w:val="16"/>
                <w:b w:val="1"/>
                <w:bCs w:val="1"/>
                <w:color w:val="005CB9"/>
                <w:w w:val="98"/>
              </w:rPr>
              <w:t>   Roper Technologies, Inc. 2024 Proxy Statement</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280" w:type="dxa"/>
            <w:vAlign w:val="bottom"/>
            <w:vMerge w:val="restart"/>
          </w:tcPr>
          <w:p>
            <w:pPr>
              <w:ind w:left="60"/>
              <w:spacing w:after="0"/>
              <w:rPr>
                <w:sz w:val="20"/>
                <w:szCs w:val="20"/>
                <w:color w:val="auto"/>
              </w:rPr>
            </w:pPr>
            <w:r>
              <w:rPr>
                <w:rFonts w:ascii="Arial" w:cs="Arial" w:eastAsia="Arial" w:hAnsi="Arial"/>
                <w:sz w:val="16"/>
                <w:szCs w:val="16"/>
                <w:b w:val="1"/>
                <w:bCs w:val="1"/>
                <w:color w:val="005CB9"/>
                <w:w w:val="95"/>
              </w:rPr>
              <w:t> 65</w:t>
            </w:r>
          </w:p>
        </w:tc>
        <w:tc>
          <w:tcPr>
            <w:tcW w:w="0" w:type="dxa"/>
            <w:vAlign w:val="bottom"/>
          </w:tcPr>
          <w:p>
            <w:pPr>
              <w:spacing w:after="0"/>
              <w:rPr>
                <w:sz w:val="1"/>
                <w:szCs w:val="1"/>
                <w:color w:val="auto"/>
              </w:rPr>
            </w:pPr>
          </w:p>
        </w:tc>
      </w:tr>
      <w:tr>
        <w:trPr>
          <w:trHeight w:val="60"/>
        </w:trPr>
        <w:tc>
          <w:tcPr>
            <w:tcW w:w="440" w:type="dxa"/>
            <w:vAlign w:val="bottom"/>
            <w:vMerge w:val="continue"/>
          </w:tcPr>
          <w:p>
            <w:pPr>
              <w:spacing w:after="0"/>
              <w:rPr>
                <w:sz w:val="5"/>
                <w:szCs w:val="5"/>
                <w:color w:val="auto"/>
              </w:rPr>
            </w:pPr>
          </w:p>
        </w:tc>
        <w:tc>
          <w:tcPr>
            <w:tcW w:w="420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440" w:type="dxa"/>
            <w:vAlign w:val="bottom"/>
            <w:vMerge w:val="continue"/>
          </w:tcPr>
          <w:p>
            <w:pPr>
              <w:spacing w:after="0"/>
              <w:rPr>
                <w:sz w:val="7"/>
                <w:szCs w:val="7"/>
                <w:color w:val="auto"/>
              </w:rPr>
            </w:pPr>
          </w:p>
        </w:tc>
        <w:tc>
          <w:tcPr>
            <w:tcW w:w="420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2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-205105</wp:posOffset>
            </wp:positionV>
            <wp:extent cx="428625" cy="1714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29"/>
          <w:szCs w:val="29"/>
          <w:color w:val="005CB9"/>
        </w:rPr>
        <w:t>APPENDIX A—RECONCILIATIONS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Table 1: Adjusted revenue, EBITDA and EBITDA margin reconciliation ($M)</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(from continuing operations)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20" w:type="dxa"/>
            <w:vAlign w:val="bottom"/>
            <w:gridSpan w:val="2"/>
          </w:tcPr>
          <w:p>
            <w:pPr>
              <w:jc w:val="right"/>
              <w:ind w:right="15"/>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gridSpan w:val="2"/>
          </w:tcPr>
          <w:p>
            <w:pPr>
              <w:jc w:val="right"/>
              <w:ind w:right="15"/>
              <w:spacing w:after="0"/>
              <w:rPr>
                <w:sz w:val="20"/>
                <w:szCs w:val="20"/>
                <w:color w:val="auto"/>
              </w:rPr>
            </w:pPr>
            <w:r>
              <w:rPr>
                <w:rFonts w:ascii="Arial" w:cs="Arial" w:eastAsia="Arial" w:hAnsi="Arial"/>
                <w:sz w:val="14"/>
                <w:szCs w:val="14"/>
                <w:color w:val="auto"/>
              </w:rPr>
              <w:t>2021</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jc w:val="right"/>
              <w:ind w:right="15"/>
              <w:spacing w:after="0"/>
              <w:rPr>
                <w:sz w:val="20"/>
                <w:szCs w:val="20"/>
                <w:color w:val="auto"/>
              </w:rPr>
            </w:pPr>
            <w:r>
              <w:rPr>
                <w:rFonts w:ascii="Arial" w:cs="Arial" w:eastAsia="Arial" w:hAnsi="Arial"/>
                <w:sz w:val="14"/>
                <w:szCs w:val="14"/>
                <w:color w:val="auto"/>
              </w:rPr>
              <w:t>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4"/>
          </w:tcPr>
          <w:p>
            <w:pPr>
              <w:jc w:val="right"/>
              <w:ind w:right="3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DEF1"/>
            </w:tcBorders>
            <w:shd w:val="clear" w:color="auto" w:fill="CCDEF1"/>
          </w:tcPr>
          <w:p>
            <w:pPr>
              <w:spacing w:after="0" w:line="183" w:lineRule="exact"/>
              <w:rPr>
                <w:sz w:val="20"/>
                <w:szCs w:val="20"/>
                <w:color w:val="auto"/>
              </w:rPr>
            </w:pPr>
            <w:r>
              <w:rPr>
                <w:rFonts w:ascii="Arial" w:cs="Arial" w:eastAsia="Arial" w:hAnsi="Arial"/>
                <w:sz w:val="17"/>
                <w:szCs w:val="17"/>
                <w:color w:val="auto"/>
              </w:rPr>
              <w:t>GAAP revenue</w:t>
            </w:r>
          </w:p>
        </w:tc>
        <w:tc>
          <w:tcPr>
            <w:tcW w:w="820" w:type="dxa"/>
            <w:vAlign w:val="bottom"/>
            <w:tcBorders>
              <w:top w:val="single" w:sz="8" w:color="CCDEF1"/>
            </w:tcBorders>
            <w:shd w:val="clear" w:color="auto" w:fill="CCDEF1"/>
          </w:tcPr>
          <w:p>
            <w:pPr>
              <w:spacing w:after="0"/>
              <w:rPr>
                <w:sz w:val="15"/>
                <w:szCs w:val="15"/>
                <w:color w:val="auto"/>
              </w:rPr>
            </w:pPr>
          </w:p>
        </w:tc>
        <w:tc>
          <w:tcPr>
            <w:tcW w:w="108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$4,022</w:t>
            </w:r>
          </w:p>
        </w:tc>
        <w:tc>
          <w:tcPr>
            <w:tcW w:w="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CCDEF1"/>
              <w:right w:val="single" w:sz="8" w:color="CCDEF1"/>
            </w:tcBorders>
            <w:shd w:val="clear" w:color="auto" w:fill="CCDEF1"/>
          </w:tcPr>
          <w:p>
            <w:pPr>
              <w:spacing w:after="0"/>
              <w:rPr>
                <w:sz w:val="15"/>
                <w:szCs w:val="15"/>
                <w:color w:val="auto"/>
              </w:rPr>
            </w:pPr>
          </w:p>
        </w:tc>
        <w:tc>
          <w:tcPr>
            <w:tcW w:w="480" w:type="dxa"/>
            <w:vAlign w:val="bottom"/>
            <w:tcBorders>
              <w:top w:val="single" w:sz="8" w:color="auto"/>
              <w:left w:val="single" w:sz="8" w:color="CCDEF1"/>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88"/>
              </w:rPr>
              <w:t>$4,834</w:t>
            </w:r>
          </w:p>
        </w:tc>
        <w:tc>
          <w:tcPr>
            <w:tcW w:w="380" w:type="dxa"/>
            <w:vAlign w:val="bottom"/>
            <w:tcBorders>
              <w:top w:val="single" w:sz="8" w:color="CCDEF1"/>
            </w:tcBorders>
            <w:shd w:val="clear" w:color="auto" w:fill="CCDEF1"/>
          </w:tcPr>
          <w:p>
            <w:pPr>
              <w:spacing w:after="0"/>
              <w:rPr>
                <w:sz w:val="15"/>
                <w:szCs w:val="15"/>
                <w:color w:val="auto"/>
              </w:rPr>
            </w:pPr>
          </w:p>
        </w:tc>
        <w:tc>
          <w:tcPr>
            <w:tcW w:w="100" w:type="dxa"/>
            <w:vAlign w:val="bottom"/>
            <w:tcBorders>
              <w:top w:val="single" w:sz="8" w:color="CCDEF1"/>
            </w:tcBorders>
            <w:shd w:val="clear" w:color="auto" w:fill="CCDEF1"/>
          </w:tcPr>
          <w:p>
            <w:pPr>
              <w:spacing w:after="0"/>
              <w:rPr>
                <w:sz w:val="15"/>
                <w:szCs w:val="15"/>
                <w:color w:val="auto"/>
              </w:rPr>
            </w:pPr>
          </w:p>
        </w:tc>
        <w:tc>
          <w:tcPr>
            <w:tcW w:w="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$5,372</w:t>
            </w:r>
          </w:p>
        </w:tc>
        <w:tc>
          <w:tcPr>
            <w:tcW w:w="200" w:type="dxa"/>
            <w:vAlign w:val="bottom"/>
            <w:tcBorders>
              <w:top w:val="single" w:sz="8" w:color="CCDEF1"/>
            </w:tcBorders>
            <w:shd w:val="clear" w:color="auto" w:fill="CCDEF1"/>
          </w:tcPr>
          <w:p>
            <w:pPr>
              <w:spacing w:after="0"/>
              <w:rPr>
                <w:sz w:val="15"/>
                <w:szCs w:val="15"/>
                <w:color w:val="auto"/>
              </w:rPr>
            </w:pPr>
          </w:p>
        </w:tc>
        <w:tc>
          <w:tcPr>
            <w:tcW w:w="1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tcBorders>
            <w:gridSpan w:val="4"/>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$6,178</w:t>
            </w:r>
          </w:p>
        </w:tc>
        <w:tc>
          <w:tcPr>
            <w:tcW w:w="100" w:type="dxa"/>
            <w:vAlign w:val="bottom"/>
            <w:tcBorders>
              <w:top w:val="single" w:sz="8" w:color="CCDEF1"/>
            </w:tcBorders>
            <w:shd w:val="clear" w:color="auto" w:fill="CCDEF1"/>
          </w:tcPr>
          <w:p>
            <w:pPr>
              <w:spacing w:after="0"/>
              <w:rPr>
                <w:sz w:val="15"/>
                <w:szCs w:val="15"/>
                <w:color w:val="auto"/>
              </w:rPr>
            </w:pPr>
          </w:p>
        </w:tc>
        <w:tc>
          <w:tcPr>
            <w:tcW w:w="120" w:type="dxa"/>
            <w:vAlign w:val="bottom"/>
            <w:tcBorders>
              <w:top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line="189" w:lineRule="exact"/>
              <w:rPr>
                <w:sz w:val="20"/>
                <w:szCs w:val="20"/>
                <w:color w:val="auto"/>
              </w:rPr>
            </w:pPr>
            <w:r>
              <w:rPr>
                <w:rFonts w:ascii="Arial" w:cs="Arial" w:eastAsia="Arial" w:hAnsi="Arial"/>
                <w:sz w:val="17"/>
                <w:szCs w:val="17"/>
                <w:color w:val="auto"/>
              </w:rPr>
              <w:t>Purchase accounting adjustment to acquired deferred revenue</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w:t>
            </w:r>
          </w:p>
        </w:tc>
        <w:tc>
          <w:tcPr>
            <w:tcW w:w="540" w:type="dxa"/>
            <w:vAlign w:val="bottom"/>
          </w:tcPr>
          <w:p>
            <w:pPr>
              <w:spacing w:after="0"/>
              <w:rPr>
                <w:sz w:val="16"/>
                <w:szCs w:val="16"/>
                <w:color w:val="auto"/>
              </w:rPr>
            </w:pPr>
          </w:p>
        </w:tc>
        <w:tc>
          <w:tcPr>
            <w:tcW w:w="86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1</w:t>
            </w:r>
          </w:p>
        </w:tc>
        <w:tc>
          <w:tcPr>
            <w:tcW w:w="100" w:type="dxa"/>
            <w:vAlign w:val="bottom"/>
          </w:tcPr>
          <w:p>
            <w:pPr>
              <w:spacing w:after="0"/>
              <w:rPr>
                <w:sz w:val="16"/>
                <w:szCs w:val="16"/>
                <w:color w:val="auto"/>
              </w:rPr>
            </w:pPr>
          </w:p>
        </w:tc>
        <w:tc>
          <w:tcPr>
            <w:tcW w:w="76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revenue</w:t>
            </w:r>
          </w:p>
        </w:tc>
        <w:tc>
          <w:tcPr>
            <w:tcW w:w="820" w:type="dxa"/>
            <w:vAlign w:val="bottom"/>
            <w:shd w:val="clear" w:color="auto" w:fill="CCDEF1"/>
          </w:tcPr>
          <w:p>
            <w:pPr>
              <w:spacing w:after="0"/>
              <w:rPr>
                <w:sz w:val="16"/>
                <w:szCs w:val="16"/>
                <w:color w:val="auto"/>
              </w:rPr>
            </w:pPr>
          </w:p>
        </w:tc>
        <w:tc>
          <w:tcPr>
            <w:tcW w:w="1080" w:type="dxa"/>
            <w:vAlign w:val="bottom"/>
            <w:shd w:val="clear" w:color="auto" w:fill="CCDEF1"/>
          </w:tcPr>
          <w:p>
            <w:pPr>
              <w:spacing w:after="0"/>
              <w:rPr>
                <w:sz w:val="16"/>
                <w:szCs w:val="16"/>
                <w:color w:val="auto"/>
              </w:rPr>
            </w:pPr>
          </w:p>
        </w:tc>
        <w:tc>
          <w:tcPr>
            <w:tcW w:w="560" w:type="dxa"/>
            <w:vAlign w:val="bottom"/>
            <w:gridSpan w:val="2"/>
            <w:shd w:val="clear" w:color="auto" w:fill="CCDEF1"/>
          </w:tcPr>
          <w:p>
            <w:pPr>
              <w:jc w:val="right"/>
              <w:ind w:right="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4,034</w:t>
            </w:r>
          </w:p>
        </w:tc>
        <w:tc>
          <w:tcPr>
            <w:tcW w:w="1400" w:type="dxa"/>
            <w:vAlign w:val="bottom"/>
            <w:gridSpan w:val="4"/>
            <w:shd w:val="clear" w:color="auto" w:fill="CCDEF1"/>
          </w:tcPr>
          <w:p>
            <w:pPr>
              <w:jc w:val="right"/>
              <w:ind w:right="38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4,835</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5,372</w:t>
            </w:r>
          </w:p>
        </w:tc>
        <w:tc>
          <w:tcPr>
            <w:tcW w:w="120" w:type="dxa"/>
            <w:vAlign w:val="bottom"/>
            <w:shd w:val="clear" w:color="auto" w:fill="CCDEF1"/>
          </w:tcPr>
          <w:p>
            <w:pPr>
              <w:spacing w:after="0"/>
              <w:rPr>
                <w:sz w:val="16"/>
                <w:szCs w:val="16"/>
                <w:color w:val="auto"/>
              </w:rPr>
            </w:pPr>
          </w:p>
        </w:tc>
        <w:tc>
          <w:tcPr>
            <w:tcW w:w="640" w:type="dxa"/>
            <w:vAlign w:val="bottom"/>
            <w:gridSpan w:val="5"/>
            <w:shd w:val="clear" w:color="auto" w:fill="CCDEF1"/>
          </w:tcPr>
          <w:p>
            <w:pPr>
              <w:jc w:val="right"/>
              <w:ind w:right="10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6,178</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color w:val="auto"/>
              </w:rPr>
              <w:t>GAAP earnings before income taxes</w:t>
            </w: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  861</w:t>
            </w: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gridSpan w:val="2"/>
          </w:tcPr>
          <w:p>
            <w:pPr>
              <w:jc w:val="right"/>
              <w:spacing w:after="0" w:line="183" w:lineRule="exact"/>
              <w:rPr>
                <w:sz w:val="20"/>
                <w:szCs w:val="20"/>
                <w:color w:val="auto"/>
              </w:rPr>
            </w:pPr>
            <w:r>
              <w:rPr>
                <w:rFonts w:ascii="Arial" w:cs="Arial" w:eastAsia="Arial" w:hAnsi="Arial"/>
                <w:sz w:val="17"/>
                <w:szCs w:val="17"/>
                <w:color w:val="auto"/>
                <w:w w:val="88"/>
              </w:rPr>
              <w:t>$1,032</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jc w:val="right"/>
              <w:spacing w:after="0" w:line="183" w:lineRule="exact"/>
              <w:rPr>
                <w:sz w:val="20"/>
                <w:szCs w:val="20"/>
                <w:color w:val="auto"/>
              </w:rPr>
            </w:pPr>
            <w:r>
              <w:rPr>
                <w:rFonts w:ascii="Arial" w:cs="Arial" w:eastAsia="Arial" w:hAnsi="Arial"/>
                <w:sz w:val="17"/>
                <w:szCs w:val="17"/>
                <w:color w:val="auto"/>
                <w:w w:val="99"/>
              </w:rPr>
              <w:t>$1,282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4"/>
          </w:tcPr>
          <w:p>
            <w:pPr>
              <w:jc w:val="right"/>
              <w:spacing w:after="0" w:line="183" w:lineRule="exact"/>
              <w:rPr>
                <w:sz w:val="20"/>
                <w:szCs w:val="20"/>
                <w:color w:val="auto"/>
              </w:rPr>
            </w:pPr>
            <w:r>
              <w:rPr>
                <w:rFonts w:ascii="Arial" w:cs="Arial" w:eastAsia="Arial" w:hAnsi="Arial"/>
                <w:sz w:val="17"/>
                <w:szCs w:val="17"/>
                <w:color w:val="auto"/>
                <w:w w:val="99"/>
              </w:rPr>
              <w:t>$1,743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Interest expense</w:t>
            </w:r>
          </w:p>
        </w:tc>
        <w:tc>
          <w:tcPr>
            <w:tcW w:w="820" w:type="dxa"/>
            <w:vAlign w:val="bottom"/>
            <w:shd w:val="clear" w:color="auto" w:fill="CCDEF1"/>
          </w:tcPr>
          <w:p>
            <w:pPr>
              <w:spacing w:after="0"/>
              <w:rPr>
                <w:sz w:val="16"/>
                <w:szCs w:val="16"/>
                <w:color w:val="auto"/>
              </w:rPr>
            </w:pPr>
          </w:p>
        </w:tc>
        <w:tc>
          <w:tcPr>
            <w:tcW w:w="1640" w:type="dxa"/>
            <w:vAlign w:val="bottom"/>
            <w:gridSpan w:val="3"/>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219</w:t>
            </w:r>
          </w:p>
        </w:tc>
        <w:tc>
          <w:tcPr>
            <w:tcW w:w="540" w:type="dxa"/>
            <w:vAlign w:val="bottom"/>
            <w:tcBorders>
              <w:right w:val="single" w:sz="8" w:color="CCDEF1"/>
            </w:tcBorders>
            <w:shd w:val="clear" w:color="auto" w:fill="CCDEF1"/>
          </w:tcPr>
          <w:p>
            <w:pPr>
              <w:spacing w:after="0"/>
              <w:rPr>
                <w:sz w:val="16"/>
                <w:szCs w:val="16"/>
                <w:color w:val="auto"/>
              </w:rPr>
            </w:pPr>
          </w:p>
        </w:tc>
        <w:tc>
          <w:tcPr>
            <w:tcW w:w="860" w:type="dxa"/>
            <w:vAlign w:val="bottom"/>
            <w:tcBorders>
              <w:left w:val="single" w:sz="8" w:color="CCDEF1"/>
            </w:tcBorders>
            <w:gridSpan w:val="3"/>
            <w:shd w:val="clear" w:color="auto" w:fill="CCDEF1"/>
          </w:tcPr>
          <w:p>
            <w:pPr>
              <w:jc w:val="right"/>
              <w:ind w:right="380"/>
              <w:spacing w:after="0" w:line="189" w:lineRule="exact"/>
              <w:rPr>
                <w:sz w:val="20"/>
                <w:szCs w:val="20"/>
                <w:color w:val="auto"/>
              </w:rPr>
            </w:pPr>
            <w:r>
              <w:rPr>
                <w:rFonts w:ascii="Arial" w:cs="Arial" w:eastAsia="Arial" w:hAnsi="Arial"/>
                <w:sz w:val="17"/>
                <w:szCs w:val="17"/>
                <w:color w:val="auto"/>
              </w:rPr>
              <w:t>234</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color w:val="auto"/>
              </w:rPr>
              <w:t>192</w:t>
            </w:r>
          </w:p>
        </w:tc>
        <w:tc>
          <w:tcPr>
            <w:tcW w:w="120" w:type="dxa"/>
            <w:vAlign w:val="bottom"/>
            <w:shd w:val="clear" w:color="auto" w:fill="CCDEF1"/>
          </w:tcPr>
          <w:p>
            <w:pPr>
              <w:spacing w:after="0"/>
              <w:rPr>
                <w:sz w:val="16"/>
                <w:szCs w:val="16"/>
                <w:color w:val="auto"/>
              </w:rPr>
            </w:pPr>
          </w:p>
        </w:tc>
        <w:tc>
          <w:tcPr>
            <w:tcW w:w="160" w:type="dxa"/>
            <w:vAlign w:val="bottom"/>
            <w:tcBorders>
              <w:right w:val="single" w:sz="8" w:color="CCDEF1"/>
            </w:tcBorders>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40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w w:val="98"/>
              </w:rPr>
              <w:t>165</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line="189" w:lineRule="exact"/>
              <w:rPr>
                <w:sz w:val="20"/>
                <w:szCs w:val="20"/>
                <w:color w:val="auto"/>
              </w:rPr>
            </w:pPr>
            <w:r>
              <w:rPr>
                <w:rFonts w:ascii="Arial" w:cs="Arial" w:eastAsia="Arial" w:hAnsi="Arial"/>
                <w:sz w:val="17"/>
                <w:szCs w:val="17"/>
                <w:color w:val="auto"/>
              </w:rPr>
              <w:t>Depreciation</w:t>
            </w:r>
          </w:p>
        </w:tc>
        <w:tc>
          <w:tcPr>
            <w:tcW w:w="820" w:type="dxa"/>
            <w:vAlign w:val="bottom"/>
          </w:tcPr>
          <w:p>
            <w:pPr>
              <w:spacing w:after="0"/>
              <w:rPr>
                <w:sz w:val="16"/>
                <w:szCs w:val="16"/>
                <w:color w:val="auto"/>
              </w:rPr>
            </w:pPr>
          </w:p>
        </w:tc>
        <w:tc>
          <w:tcPr>
            <w:tcW w:w="16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41</w:t>
            </w:r>
          </w:p>
        </w:tc>
        <w:tc>
          <w:tcPr>
            <w:tcW w:w="540" w:type="dxa"/>
            <w:vAlign w:val="bottom"/>
          </w:tcPr>
          <w:p>
            <w:pPr>
              <w:spacing w:after="0"/>
              <w:rPr>
                <w:sz w:val="16"/>
                <w:szCs w:val="16"/>
                <w:color w:val="auto"/>
              </w:rPr>
            </w:pPr>
          </w:p>
        </w:tc>
        <w:tc>
          <w:tcPr>
            <w:tcW w:w="86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44</w:t>
            </w:r>
          </w:p>
        </w:tc>
        <w:tc>
          <w:tcPr>
            <w:tcW w:w="100" w:type="dxa"/>
            <w:vAlign w:val="bottom"/>
          </w:tcPr>
          <w:p>
            <w:pPr>
              <w:spacing w:after="0"/>
              <w:rPr>
                <w:sz w:val="16"/>
                <w:szCs w:val="16"/>
                <w:color w:val="auto"/>
              </w:rPr>
            </w:pPr>
          </w:p>
        </w:tc>
        <w:tc>
          <w:tcPr>
            <w:tcW w:w="76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37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35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Amortization</w:t>
            </w:r>
          </w:p>
        </w:tc>
        <w:tc>
          <w:tcPr>
            <w:tcW w:w="820" w:type="dxa"/>
            <w:vAlign w:val="bottom"/>
            <w:shd w:val="clear" w:color="auto" w:fill="CCDEF1"/>
          </w:tcPr>
          <w:p>
            <w:pPr>
              <w:spacing w:after="0"/>
              <w:rPr>
                <w:sz w:val="16"/>
                <w:szCs w:val="16"/>
                <w:color w:val="auto"/>
              </w:rPr>
            </w:pPr>
          </w:p>
        </w:tc>
        <w:tc>
          <w:tcPr>
            <w:tcW w:w="1640" w:type="dxa"/>
            <w:vAlign w:val="bottom"/>
            <w:gridSpan w:val="3"/>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451</w:t>
            </w:r>
          </w:p>
        </w:tc>
        <w:tc>
          <w:tcPr>
            <w:tcW w:w="540" w:type="dxa"/>
            <w:vAlign w:val="bottom"/>
            <w:tcBorders>
              <w:right w:val="single" w:sz="8" w:color="CCDEF1"/>
            </w:tcBorders>
            <w:shd w:val="clear" w:color="auto" w:fill="CCDEF1"/>
          </w:tcPr>
          <w:p>
            <w:pPr>
              <w:spacing w:after="0"/>
              <w:rPr>
                <w:sz w:val="16"/>
                <w:szCs w:val="16"/>
                <w:color w:val="auto"/>
              </w:rPr>
            </w:pPr>
          </w:p>
        </w:tc>
        <w:tc>
          <w:tcPr>
            <w:tcW w:w="860" w:type="dxa"/>
            <w:vAlign w:val="bottom"/>
            <w:tcBorders>
              <w:left w:val="single" w:sz="8" w:color="CCDEF1"/>
            </w:tcBorders>
            <w:gridSpan w:val="3"/>
            <w:shd w:val="clear" w:color="auto" w:fill="CCDEF1"/>
          </w:tcPr>
          <w:p>
            <w:pPr>
              <w:jc w:val="right"/>
              <w:ind w:right="380"/>
              <w:spacing w:after="0" w:line="189" w:lineRule="exact"/>
              <w:rPr>
                <w:sz w:val="20"/>
                <w:szCs w:val="20"/>
                <w:color w:val="auto"/>
              </w:rPr>
            </w:pPr>
            <w:r>
              <w:rPr>
                <w:rFonts w:ascii="Arial" w:cs="Arial" w:eastAsia="Arial" w:hAnsi="Arial"/>
                <w:sz w:val="17"/>
                <w:szCs w:val="17"/>
                <w:color w:val="auto"/>
              </w:rPr>
              <w:t>572</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color w:val="auto"/>
              </w:rPr>
              <w:t>613</w:t>
            </w:r>
          </w:p>
        </w:tc>
        <w:tc>
          <w:tcPr>
            <w:tcW w:w="120" w:type="dxa"/>
            <w:vAlign w:val="bottom"/>
            <w:shd w:val="clear" w:color="auto" w:fill="CCDEF1"/>
          </w:tcPr>
          <w:p>
            <w:pPr>
              <w:spacing w:after="0"/>
              <w:rPr>
                <w:sz w:val="16"/>
                <w:szCs w:val="16"/>
                <w:color w:val="auto"/>
              </w:rPr>
            </w:pPr>
          </w:p>
        </w:tc>
        <w:tc>
          <w:tcPr>
            <w:tcW w:w="160" w:type="dxa"/>
            <w:vAlign w:val="bottom"/>
            <w:tcBorders>
              <w:right w:val="single" w:sz="8" w:color="CCDEF1"/>
            </w:tcBorders>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40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w w:val="98"/>
              </w:rPr>
              <w:t>720</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7"/>
                <w:szCs w:val="17"/>
                <w:color w:val="auto"/>
              </w:rPr>
              <w:t>EBITDA</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1,572</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1,882</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2,124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2,663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5420" w:type="dxa"/>
            <w:vAlign w:val="bottom"/>
            <w:shd w:val="clear" w:color="auto" w:fill="CCDEF1"/>
          </w:tcPr>
          <w:p>
            <w:pPr>
              <w:ind w:left="340"/>
              <w:spacing w:after="0" w:line="161" w:lineRule="exact"/>
              <w:rPr>
                <w:sz w:val="20"/>
                <w:szCs w:val="20"/>
                <w:color w:val="auto"/>
              </w:rPr>
            </w:pPr>
            <w:r>
              <w:rPr>
                <w:rFonts w:ascii="Arial" w:cs="Arial" w:eastAsia="Arial" w:hAnsi="Arial"/>
                <w:sz w:val="17"/>
                <w:szCs w:val="17"/>
                <w:color w:val="auto"/>
              </w:rPr>
              <w:t>Purchase accounting adjustment to acquired deferred</w:t>
            </w:r>
          </w:p>
        </w:tc>
        <w:tc>
          <w:tcPr>
            <w:tcW w:w="820" w:type="dxa"/>
            <w:vAlign w:val="bottom"/>
            <w:shd w:val="clear" w:color="auto" w:fill="CCDEF1"/>
          </w:tcPr>
          <w:p>
            <w:pPr>
              <w:spacing w:after="0"/>
              <w:rPr>
                <w:sz w:val="13"/>
                <w:szCs w:val="13"/>
                <w:color w:val="auto"/>
              </w:rPr>
            </w:pPr>
          </w:p>
        </w:tc>
        <w:tc>
          <w:tcPr>
            <w:tcW w:w="1080" w:type="dxa"/>
            <w:vAlign w:val="bottom"/>
            <w:shd w:val="clear" w:color="auto" w:fill="CCDEF1"/>
          </w:tcPr>
          <w:p>
            <w:pPr>
              <w:spacing w:after="0"/>
              <w:rPr>
                <w:sz w:val="13"/>
                <w:szCs w:val="13"/>
                <w:color w:val="auto"/>
              </w:rPr>
            </w:pPr>
          </w:p>
        </w:tc>
        <w:tc>
          <w:tcPr>
            <w:tcW w:w="540" w:type="dxa"/>
            <w:vAlign w:val="bottom"/>
            <w:shd w:val="clear" w:color="auto" w:fill="CCDEF1"/>
          </w:tcPr>
          <w:p>
            <w:pPr>
              <w:spacing w:after="0"/>
              <w:rPr>
                <w:sz w:val="13"/>
                <w:szCs w:val="13"/>
                <w:color w:val="auto"/>
              </w:rPr>
            </w:pPr>
          </w:p>
        </w:tc>
        <w:tc>
          <w:tcPr>
            <w:tcW w:w="20" w:type="dxa"/>
            <w:vAlign w:val="bottom"/>
            <w:shd w:val="clear" w:color="auto" w:fill="CCDEF1"/>
          </w:tcPr>
          <w:p>
            <w:pPr>
              <w:spacing w:after="0"/>
              <w:rPr>
                <w:sz w:val="13"/>
                <w:szCs w:val="13"/>
                <w:color w:val="auto"/>
              </w:rPr>
            </w:pPr>
          </w:p>
        </w:tc>
        <w:tc>
          <w:tcPr>
            <w:tcW w:w="540" w:type="dxa"/>
            <w:vAlign w:val="bottom"/>
            <w:tcBorders>
              <w:right w:val="single" w:sz="8" w:color="CCDEF1"/>
            </w:tcBorders>
            <w:shd w:val="clear" w:color="auto" w:fill="CCDEF1"/>
          </w:tcPr>
          <w:p>
            <w:pPr>
              <w:spacing w:after="0"/>
              <w:rPr>
                <w:sz w:val="13"/>
                <w:szCs w:val="13"/>
                <w:color w:val="auto"/>
              </w:rPr>
            </w:pPr>
          </w:p>
        </w:tc>
        <w:tc>
          <w:tcPr>
            <w:tcW w:w="320" w:type="dxa"/>
            <w:vAlign w:val="bottom"/>
            <w:tcBorders>
              <w:left w:val="single" w:sz="8" w:color="CCDEF1"/>
            </w:tcBorders>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380" w:type="dxa"/>
            <w:vAlign w:val="bottom"/>
            <w:shd w:val="clear" w:color="auto" w:fill="CCDEF1"/>
          </w:tcPr>
          <w:p>
            <w:pPr>
              <w:spacing w:after="0"/>
              <w:rPr>
                <w:sz w:val="13"/>
                <w:szCs w:val="13"/>
                <w:color w:val="auto"/>
              </w:rPr>
            </w:pPr>
          </w:p>
        </w:tc>
        <w:tc>
          <w:tcPr>
            <w:tcW w:w="100" w:type="dxa"/>
            <w:vAlign w:val="bottom"/>
            <w:shd w:val="clear" w:color="auto" w:fill="CCDEF1"/>
          </w:tcPr>
          <w:p>
            <w:pPr>
              <w:spacing w:after="0"/>
              <w:rPr>
                <w:sz w:val="13"/>
                <w:szCs w:val="13"/>
                <w:color w:val="auto"/>
              </w:rPr>
            </w:pPr>
          </w:p>
        </w:tc>
        <w:tc>
          <w:tcPr>
            <w:tcW w:w="20" w:type="dxa"/>
            <w:vAlign w:val="bottom"/>
            <w:shd w:val="clear" w:color="auto" w:fill="CCDEF1"/>
          </w:tcPr>
          <w:p>
            <w:pPr>
              <w:spacing w:after="0"/>
              <w:rPr>
                <w:sz w:val="13"/>
                <w:szCs w:val="13"/>
                <w:color w:val="auto"/>
              </w:rPr>
            </w:pPr>
          </w:p>
        </w:tc>
        <w:tc>
          <w:tcPr>
            <w:tcW w:w="200" w:type="dxa"/>
            <w:vAlign w:val="bottom"/>
            <w:shd w:val="clear" w:color="auto" w:fill="CCDEF1"/>
          </w:tcPr>
          <w:p>
            <w:pPr>
              <w:spacing w:after="0"/>
              <w:rPr>
                <w:sz w:val="13"/>
                <w:szCs w:val="13"/>
                <w:color w:val="auto"/>
              </w:rPr>
            </w:pPr>
          </w:p>
        </w:tc>
        <w:tc>
          <w:tcPr>
            <w:tcW w:w="340" w:type="dxa"/>
            <w:vAlign w:val="bottom"/>
            <w:shd w:val="clear" w:color="auto" w:fill="CCDEF1"/>
          </w:tcPr>
          <w:p>
            <w:pPr>
              <w:spacing w:after="0"/>
              <w:rPr>
                <w:sz w:val="13"/>
                <w:szCs w:val="13"/>
                <w:color w:val="auto"/>
              </w:rPr>
            </w:pPr>
          </w:p>
        </w:tc>
        <w:tc>
          <w:tcPr>
            <w:tcW w:w="200" w:type="dxa"/>
            <w:vAlign w:val="bottom"/>
            <w:shd w:val="clear" w:color="auto" w:fill="CCDEF1"/>
          </w:tcPr>
          <w:p>
            <w:pPr>
              <w:spacing w:after="0"/>
              <w:rPr>
                <w:sz w:val="13"/>
                <w:szCs w:val="13"/>
                <w:color w:val="auto"/>
              </w:rPr>
            </w:pPr>
          </w:p>
        </w:tc>
        <w:tc>
          <w:tcPr>
            <w:tcW w:w="120" w:type="dxa"/>
            <w:vAlign w:val="bottom"/>
            <w:shd w:val="clear" w:color="auto" w:fill="CCDEF1"/>
          </w:tcPr>
          <w:p>
            <w:pPr>
              <w:spacing w:after="0"/>
              <w:rPr>
                <w:sz w:val="13"/>
                <w:szCs w:val="13"/>
                <w:color w:val="auto"/>
              </w:rPr>
            </w:pPr>
          </w:p>
        </w:tc>
        <w:tc>
          <w:tcPr>
            <w:tcW w:w="160" w:type="dxa"/>
            <w:vAlign w:val="bottom"/>
            <w:tcBorders>
              <w:right w:val="single" w:sz="8" w:color="CCDEF1"/>
            </w:tcBorders>
            <w:shd w:val="clear" w:color="auto" w:fill="CCDEF1"/>
          </w:tcPr>
          <w:p>
            <w:pPr>
              <w:spacing w:after="0"/>
              <w:rPr>
                <w:sz w:val="13"/>
                <w:szCs w:val="13"/>
                <w:color w:val="auto"/>
              </w:rPr>
            </w:pPr>
          </w:p>
        </w:tc>
        <w:tc>
          <w:tcPr>
            <w:tcW w:w="80" w:type="dxa"/>
            <w:vAlign w:val="bottom"/>
            <w:shd w:val="clear" w:color="auto" w:fill="CCDEF1"/>
          </w:tcPr>
          <w:p>
            <w:pPr>
              <w:spacing w:after="0"/>
              <w:rPr>
                <w:sz w:val="13"/>
                <w:szCs w:val="13"/>
                <w:color w:val="auto"/>
              </w:rPr>
            </w:pPr>
          </w:p>
        </w:tc>
        <w:tc>
          <w:tcPr>
            <w:tcW w:w="140" w:type="dxa"/>
            <w:vAlign w:val="bottom"/>
            <w:tcBorders>
              <w:right w:val="single" w:sz="8" w:color="CCDEF1"/>
            </w:tcBorders>
            <w:shd w:val="clear" w:color="auto" w:fill="CCDEF1"/>
          </w:tcPr>
          <w:p>
            <w:pPr>
              <w:spacing w:after="0"/>
              <w:rPr>
                <w:sz w:val="13"/>
                <w:szCs w:val="13"/>
                <w:color w:val="auto"/>
              </w:rPr>
            </w:pPr>
          </w:p>
        </w:tc>
        <w:tc>
          <w:tcPr>
            <w:tcW w:w="160" w:type="dxa"/>
            <w:vAlign w:val="bottom"/>
            <w:shd w:val="clear" w:color="auto" w:fill="CCDEF1"/>
          </w:tcPr>
          <w:p>
            <w:pPr>
              <w:spacing w:after="0"/>
              <w:rPr>
                <w:sz w:val="13"/>
                <w:szCs w:val="13"/>
                <w:color w:val="auto"/>
              </w:rPr>
            </w:pPr>
          </w:p>
        </w:tc>
        <w:tc>
          <w:tcPr>
            <w:tcW w:w="100" w:type="dxa"/>
            <w:vAlign w:val="bottom"/>
            <w:shd w:val="clear" w:color="auto" w:fill="CCDEF1"/>
          </w:tcPr>
          <w:p>
            <w:pPr>
              <w:spacing w:after="0"/>
              <w:rPr>
                <w:sz w:val="13"/>
                <w:szCs w:val="13"/>
                <w:color w:val="auto"/>
              </w:rPr>
            </w:pPr>
          </w:p>
        </w:tc>
        <w:tc>
          <w:tcPr>
            <w:tcW w:w="120" w:type="dxa"/>
            <w:vAlign w:val="bottom"/>
            <w:shd w:val="clear" w:color="auto" w:fill="CCDEF1"/>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5420" w:type="dxa"/>
            <w:vAlign w:val="bottom"/>
            <w:shd w:val="clear" w:color="auto" w:fill="CCDEF1"/>
          </w:tcPr>
          <w:p>
            <w:pPr>
              <w:ind w:left="340"/>
              <w:spacing w:after="0"/>
              <w:rPr>
                <w:sz w:val="20"/>
                <w:szCs w:val="20"/>
                <w:color w:val="auto"/>
              </w:rPr>
            </w:pPr>
            <w:r>
              <w:rPr>
                <w:rFonts w:ascii="Arial" w:cs="Arial" w:eastAsia="Arial" w:hAnsi="Arial"/>
                <w:sz w:val="17"/>
                <w:szCs w:val="17"/>
                <w:color w:val="auto"/>
              </w:rPr>
              <w:t>revenue and commission expense</w:t>
            </w:r>
          </w:p>
        </w:tc>
        <w:tc>
          <w:tcPr>
            <w:tcW w:w="820" w:type="dxa"/>
            <w:vAlign w:val="bottom"/>
            <w:shd w:val="clear" w:color="auto" w:fill="CCDEF1"/>
          </w:tcPr>
          <w:p>
            <w:pPr>
              <w:spacing w:after="0"/>
              <w:rPr>
                <w:sz w:val="19"/>
                <w:szCs w:val="19"/>
                <w:color w:val="auto"/>
              </w:rPr>
            </w:pPr>
          </w:p>
        </w:tc>
        <w:tc>
          <w:tcPr>
            <w:tcW w:w="1640" w:type="dxa"/>
            <w:vAlign w:val="bottom"/>
            <w:gridSpan w:val="3"/>
            <w:shd w:val="clear" w:color="auto" w:fill="CCDEF1"/>
          </w:tcPr>
          <w:p>
            <w:pPr>
              <w:jc w:val="right"/>
              <w:ind w:right="20"/>
              <w:spacing w:after="0"/>
              <w:rPr>
                <w:sz w:val="20"/>
                <w:szCs w:val="20"/>
                <w:color w:val="auto"/>
              </w:rPr>
            </w:pPr>
            <w:r>
              <w:rPr>
                <w:rFonts w:ascii="Arial" w:cs="Arial" w:eastAsia="Arial" w:hAnsi="Arial"/>
                <w:sz w:val="17"/>
                <w:szCs w:val="17"/>
                <w:color w:val="auto"/>
              </w:rPr>
              <w:t>10</w:t>
            </w:r>
          </w:p>
        </w:tc>
        <w:tc>
          <w:tcPr>
            <w:tcW w:w="540" w:type="dxa"/>
            <w:vAlign w:val="bottom"/>
            <w:tcBorders>
              <w:right w:val="single" w:sz="8" w:color="CCDEF1"/>
            </w:tcBorders>
            <w:shd w:val="clear" w:color="auto" w:fill="CCDEF1"/>
          </w:tcPr>
          <w:p>
            <w:pPr>
              <w:spacing w:after="0"/>
              <w:rPr>
                <w:sz w:val="19"/>
                <w:szCs w:val="19"/>
                <w:color w:val="auto"/>
              </w:rPr>
            </w:pPr>
          </w:p>
        </w:tc>
        <w:tc>
          <w:tcPr>
            <w:tcW w:w="860" w:type="dxa"/>
            <w:vAlign w:val="bottom"/>
            <w:tcBorders>
              <w:left w:val="single" w:sz="8" w:color="CCDEF1"/>
            </w:tcBorders>
            <w:gridSpan w:val="3"/>
            <w:shd w:val="clear" w:color="auto" w:fill="CCDEF1"/>
          </w:tcPr>
          <w:p>
            <w:pPr>
              <w:jc w:val="right"/>
              <w:ind w:right="32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DEF1"/>
          </w:tcPr>
          <w:p>
            <w:pPr>
              <w:spacing w:after="0"/>
              <w:rPr>
                <w:sz w:val="19"/>
                <w:szCs w:val="19"/>
                <w:color w:val="auto"/>
              </w:rPr>
            </w:pPr>
          </w:p>
        </w:tc>
        <w:tc>
          <w:tcPr>
            <w:tcW w:w="760" w:type="dxa"/>
            <w:vAlign w:val="bottom"/>
            <w:gridSpan w:val="4"/>
            <w:shd w:val="clear" w:color="auto" w:fill="CCDEF1"/>
          </w:tcPr>
          <w:p>
            <w:pPr>
              <w:jc w:val="right"/>
              <w:ind w:right="14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DEF1"/>
          </w:tcPr>
          <w:p>
            <w:pPr>
              <w:spacing w:after="0"/>
              <w:rPr>
                <w:sz w:val="19"/>
                <w:szCs w:val="19"/>
                <w:color w:val="auto"/>
              </w:rPr>
            </w:pPr>
          </w:p>
        </w:tc>
        <w:tc>
          <w:tcPr>
            <w:tcW w:w="160" w:type="dxa"/>
            <w:vAlign w:val="bottom"/>
            <w:tcBorders>
              <w:right w:val="single" w:sz="8" w:color="CCDEF1"/>
            </w:tcBorders>
            <w:shd w:val="clear" w:color="auto" w:fill="CCDEF1"/>
          </w:tcPr>
          <w:p>
            <w:pPr>
              <w:spacing w:after="0"/>
              <w:rPr>
                <w:sz w:val="19"/>
                <w:szCs w:val="19"/>
                <w:color w:val="auto"/>
              </w:rPr>
            </w:pPr>
          </w:p>
        </w:tc>
        <w:tc>
          <w:tcPr>
            <w:tcW w:w="80" w:type="dxa"/>
            <w:vAlign w:val="bottom"/>
            <w:shd w:val="clear" w:color="auto" w:fill="CCDEF1"/>
          </w:tcPr>
          <w:p>
            <w:pPr>
              <w:spacing w:after="0"/>
              <w:rPr>
                <w:sz w:val="19"/>
                <w:szCs w:val="19"/>
                <w:color w:val="auto"/>
              </w:rPr>
            </w:pPr>
          </w:p>
        </w:tc>
        <w:tc>
          <w:tcPr>
            <w:tcW w:w="400" w:type="dxa"/>
            <w:vAlign w:val="bottom"/>
            <w:gridSpan w:val="3"/>
            <w:shd w:val="clear" w:color="auto" w:fill="CCDEF1"/>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DEF1"/>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5420" w:type="dxa"/>
            <w:vAlign w:val="bottom"/>
          </w:tcPr>
          <w:p>
            <w:pPr>
              <w:ind w:left="340"/>
              <w:spacing w:after="0" w:line="167" w:lineRule="exact"/>
              <w:rPr>
                <w:sz w:val="20"/>
                <w:szCs w:val="20"/>
                <w:color w:val="auto"/>
              </w:rPr>
            </w:pPr>
            <w:r>
              <w:rPr>
                <w:rFonts w:ascii="Arial" w:cs="Arial" w:eastAsia="Arial" w:hAnsi="Arial"/>
                <w:sz w:val="17"/>
                <w:szCs w:val="17"/>
                <w:color w:val="auto"/>
              </w:rPr>
              <w:t>Restructuring-related expenses associated with the</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340"/>
              <w:spacing w:after="0"/>
              <w:rPr>
                <w:sz w:val="20"/>
                <w:szCs w:val="20"/>
                <w:color w:val="auto"/>
              </w:rPr>
            </w:pPr>
            <w:r>
              <w:rPr>
                <w:rFonts w:ascii="Arial" w:cs="Arial" w:eastAsia="Arial" w:hAnsi="Arial"/>
                <w:sz w:val="17"/>
                <w:szCs w:val="17"/>
                <w:color w:val="auto"/>
              </w:rPr>
              <w:t>Syntellis acquisition</w:t>
            </w:r>
          </w:p>
        </w:tc>
        <w:tc>
          <w:tcPr>
            <w:tcW w:w="82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820" w:type="dxa"/>
            <w:vAlign w:val="bottom"/>
            <w:shd w:val="clear" w:color="auto" w:fill="CCDEF1"/>
          </w:tcPr>
          <w:p>
            <w:pPr>
              <w:spacing w:after="0"/>
              <w:rPr>
                <w:sz w:val="16"/>
                <w:szCs w:val="16"/>
                <w:color w:val="auto"/>
              </w:rPr>
            </w:pPr>
          </w:p>
        </w:tc>
        <w:tc>
          <w:tcPr>
            <w:tcW w:w="1640" w:type="dxa"/>
            <w:vAlign w:val="bottom"/>
            <w:gridSpan w:val="3"/>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9</w:t>
            </w:r>
          </w:p>
        </w:tc>
        <w:tc>
          <w:tcPr>
            <w:tcW w:w="540" w:type="dxa"/>
            <w:vAlign w:val="bottom"/>
            <w:tcBorders>
              <w:right w:val="single" w:sz="8" w:color="CCDEF1"/>
            </w:tcBorders>
            <w:shd w:val="clear" w:color="auto" w:fill="CCDEF1"/>
          </w:tcPr>
          <w:p>
            <w:pPr>
              <w:spacing w:after="0"/>
              <w:rPr>
                <w:sz w:val="16"/>
                <w:szCs w:val="16"/>
                <w:color w:val="auto"/>
              </w:rPr>
            </w:pPr>
          </w:p>
        </w:tc>
        <w:tc>
          <w:tcPr>
            <w:tcW w:w="860" w:type="dxa"/>
            <w:vAlign w:val="bottom"/>
            <w:tcBorders>
              <w:left w:val="single" w:sz="8" w:color="CCDEF1"/>
            </w:tcBorders>
            <w:gridSpan w:val="3"/>
            <w:shd w:val="clear" w:color="auto" w:fill="CCDEF1"/>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color w:val="auto"/>
              </w:rPr>
              <w:t>5</w:t>
            </w:r>
          </w:p>
        </w:tc>
        <w:tc>
          <w:tcPr>
            <w:tcW w:w="120" w:type="dxa"/>
            <w:vAlign w:val="bottom"/>
            <w:shd w:val="clear" w:color="auto" w:fill="CCDEF1"/>
          </w:tcPr>
          <w:p>
            <w:pPr>
              <w:spacing w:after="0"/>
              <w:rPr>
                <w:sz w:val="16"/>
                <w:szCs w:val="16"/>
                <w:color w:val="auto"/>
              </w:rPr>
            </w:pPr>
          </w:p>
        </w:tc>
        <w:tc>
          <w:tcPr>
            <w:tcW w:w="160" w:type="dxa"/>
            <w:vAlign w:val="bottom"/>
            <w:tcBorders>
              <w:right w:val="single" w:sz="8" w:color="CCDEF1"/>
            </w:tcBorders>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40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8</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5420" w:type="dxa"/>
            <w:vAlign w:val="bottom"/>
          </w:tcPr>
          <w:p>
            <w:pPr>
              <w:ind w:left="340"/>
              <w:spacing w:after="0" w:line="167" w:lineRule="exact"/>
              <w:rPr>
                <w:sz w:val="20"/>
                <w:szCs w:val="20"/>
                <w:color w:val="auto"/>
              </w:rPr>
            </w:pPr>
            <w:r>
              <w:rPr>
                <w:rFonts w:ascii="Arial" w:cs="Arial" w:eastAsia="Arial" w:hAnsi="Arial"/>
                <w:sz w:val="17"/>
                <w:szCs w:val="17"/>
                <w:color w:val="auto"/>
              </w:rPr>
              <w:t>Financial impacts associated with the minority</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340"/>
              <w:spacing w:after="0"/>
              <w:rPr>
                <w:sz w:val="20"/>
                <w:szCs w:val="20"/>
                <w:color w:val="auto"/>
              </w:rPr>
            </w:pPr>
            <w:r>
              <w:rPr>
                <w:rFonts w:ascii="Arial" w:cs="Arial" w:eastAsia="Arial" w:hAnsi="Arial"/>
                <w:sz w:val="17"/>
                <w:szCs w:val="17"/>
                <w:color w:val="auto"/>
              </w:rPr>
              <w:t>investments in Indicor &amp; Certinia</w:t>
            </w:r>
          </w:p>
        </w:tc>
        <w:tc>
          <w:tcPr>
            <w:tcW w:w="820" w:type="dxa"/>
            <w:vAlign w:val="bottom"/>
          </w:tcPr>
          <w:p>
            <w:pPr>
              <w:spacing w:after="0"/>
              <w:rPr>
                <w:sz w:val="19"/>
                <w:szCs w:val="19"/>
                <w:color w:val="auto"/>
              </w:rPr>
            </w:pPr>
          </w:p>
        </w:tc>
        <w:tc>
          <w:tcPr>
            <w:tcW w:w="164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9"/>
                <w:szCs w:val="19"/>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4"/>
          </w:tcPr>
          <w:p>
            <w:pPr>
              <w:jc w:val="right"/>
              <w:ind w:right="40"/>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Gain on sale of non-operating assets</w:t>
            </w:r>
          </w:p>
        </w:tc>
        <w:tc>
          <w:tcPr>
            <w:tcW w:w="820" w:type="dxa"/>
            <w:vAlign w:val="bottom"/>
            <w:shd w:val="clear" w:color="auto" w:fill="CCDEF1"/>
          </w:tcPr>
          <w:p>
            <w:pPr>
              <w:spacing w:after="0"/>
              <w:rPr>
                <w:sz w:val="16"/>
                <w:szCs w:val="16"/>
                <w:color w:val="auto"/>
              </w:rPr>
            </w:pPr>
          </w:p>
        </w:tc>
        <w:tc>
          <w:tcPr>
            <w:tcW w:w="1640" w:type="dxa"/>
            <w:vAlign w:val="bottom"/>
            <w:gridSpan w:val="3"/>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40" w:type="dxa"/>
            <w:vAlign w:val="bottom"/>
            <w:tcBorders>
              <w:right w:val="single" w:sz="8" w:color="CCDEF1"/>
            </w:tcBorders>
            <w:shd w:val="clear" w:color="auto" w:fill="CCDEF1"/>
          </w:tcPr>
          <w:p>
            <w:pPr>
              <w:spacing w:after="0"/>
              <w:rPr>
                <w:sz w:val="16"/>
                <w:szCs w:val="16"/>
                <w:color w:val="auto"/>
              </w:rPr>
            </w:pPr>
          </w:p>
        </w:tc>
        <w:tc>
          <w:tcPr>
            <w:tcW w:w="860" w:type="dxa"/>
            <w:vAlign w:val="bottom"/>
            <w:tcBorders>
              <w:left w:val="single" w:sz="8" w:color="CCDEF1"/>
            </w:tcBorders>
            <w:gridSpan w:val="3"/>
            <w:shd w:val="clear" w:color="auto" w:fill="CCDEF1"/>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DEF1"/>
          </w:tcPr>
          <w:p>
            <w:pPr>
              <w:spacing w:after="0"/>
              <w:rPr>
                <w:sz w:val="16"/>
                <w:szCs w:val="16"/>
                <w:color w:val="auto"/>
              </w:rPr>
            </w:pPr>
          </w:p>
        </w:tc>
        <w:tc>
          <w:tcPr>
            <w:tcW w:w="160" w:type="dxa"/>
            <w:vAlign w:val="bottom"/>
            <w:tcBorders>
              <w:right w:val="single" w:sz="8" w:color="CCDEF1"/>
            </w:tcBorders>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400" w:type="dxa"/>
            <w:vAlign w:val="bottom"/>
            <w:gridSpan w:val="3"/>
            <w:shd w:val="clear" w:color="auto" w:fill="CCDEF1"/>
          </w:tcPr>
          <w:p>
            <w:pPr>
              <w:jc w:val="right"/>
              <w:ind w:right="40"/>
              <w:spacing w:after="0" w:line="189" w:lineRule="exact"/>
              <w:rPr>
                <w:sz w:val="20"/>
                <w:szCs w:val="20"/>
                <w:color w:val="auto"/>
              </w:rPr>
            </w:pPr>
            <w:r>
              <w:rPr>
                <w:rFonts w:ascii="Arial" w:cs="Arial" w:eastAsia="Arial" w:hAnsi="Arial"/>
                <w:sz w:val="17"/>
                <w:szCs w:val="17"/>
                <w:color w:val="auto"/>
              </w:rPr>
              <w:t>(3)</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line="189" w:lineRule="exact"/>
              <w:rPr>
                <w:sz w:val="20"/>
                <w:szCs w:val="20"/>
                <w:color w:val="auto"/>
              </w:rPr>
            </w:pPr>
            <w:r>
              <w:rPr>
                <w:rFonts w:ascii="Arial" w:cs="Arial" w:eastAsia="Arial" w:hAnsi="Arial"/>
                <w:sz w:val="17"/>
                <w:szCs w:val="17"/>
                <w:color w:val="auto"/>
              </w:rPr>
              <w:t>Gain on sale related to minority investment in Sedaru</w:t>
            </w:r>
          </w:p>
        </w:tc>
        <w:tc>
          <w:tcPr>
            <w:tcW w:w="820" w:type="dxa"/>
            <w:vAlign w:val="bottom"/>
          </w:tcPr>
          <w:p>
            <w:pPr>
              <w:spacing w:after="0"/>
              <w:rPr>
                <w:sz w:val="16"/>
                <w:szCs w:val="16"/>
                <w:color w:val="auto"/>
              </w:rPr>
            </w:pPr>
          </w:p>
        </w:tc>
        <w:tc>
          <w:tcPr>
            <w:tcW w:w="1640" w:type="dxa"/>
            <w:vAlign w:val="bottom"/>
            <w:gridSpan w:val="3"/>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860" w:type="dxa"/>
            <w:vAlign w:val="bottom"/>
            <w:gridSpan w:val="3"/>
          </w:tcPr>
          <w:p>
            <w:pPr>
              <w:jc w:val="right"/>
              <w:ind w:right="320"/>
              <w:spacing w:after="0" w:line="189" w:lineRule="exact"/>
              <w:rPr>
                <w:sz w:val="20"/>
                <w:szCs w:val="20"/>
                <w:color w:val="auto"/>
              </w:rPr>
            </w:pPr>
            <w:r>
              <w:rPr>
                <w:rFonts w:ascii="Arial" w:cs="Arial" w:eastAsia="Arial" w:hAnsi="Arial"/>
                <w:sz w:val="17"/>
                <w:szCs w:val="17"/>
                <w:color w:val="auto"/>
              </w:rPr>
              <w:t>(28)</w:t>
            </w:r>
          </w:p>
        </w:tc>
        <w:tc>
          <w:tcPr>
            <w:tcW w:w="100" w:type="dxa"/>
            <w:vAlign w:val="bottom"/>
          </w:tcPr>
          <w:p>
            <w:pPr>
              <w:spacing w:after="0"/>
              <w:rPr>
                <w:sz w:val="16"/>
                <w:szCs w:val="16"/>
                <w:color w:val="auto"/>
              </w:rPr>
            </w:pPr>
          </w:p>
        </w:tc>
        <w:tc>
          <w:tcPr>
            <w:tcW w:w="76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Legal settlement charge</w:t>
            </w:r>
          </w:p>
        </w:tc>
        <w:tc>
          <w:tcPr>
            <w:tcW w:w="820" w:type="dxa"/>
            <w:vAlign w:val="bottom"/>
            <w:shd w:val="clear" w:color="auto" w:fill="CCDEF1"/>
          </w:tcPr>
          <w:p>
            <w:pPr>
              <w:spacing w:after="0"/>
              <w:rPr>
                <w:sz w:val="16"/>
                <w:szCs w:val="16"/>
                <w:color w:val="auto"/>
              </w:rPr>
            </w:pPr>
          </w:p>
        </w:tc>
        <w:tc>
          <w:tcPr>
            <w:tcW w:w="1640" w:type="dxa"/>
            <w:vAlign w:val="bottom"/>
            <w:gridSpan w:val="3"/>
            <w:shd w:val="clear" w:color="auto" w:fill="CCDEF1"/>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40" w:type="dxa"/>
            <w:vAlign w:val="bottom"/>
            <w:tcBorders>
              <w:right w:val="single" w:sz="8" w:color="CCDEF1"/>
            </w:tcBorders>
            <w:shd w:val="clear" w:color="auto" w:fill="CCDEF1"/>
          </w:tcPr>
          <w:p>
            <w:pPr>
              <w:spacing w:after="0"/>
              <w:rPr>
                <w:sz w:val="16"/>
                <w:szCs w:val="16"/>
                <w:color w:val="auto"/>
              </w:rPr>
            </w:pPr>
          </w:p>
        </w:tc>
        <w:tc>
          <w:tcPr>
            <w:tcW w:w="860" w:type="dxa"/>
            <w:vAlign w:val="bottom"/>
            <w:tcBorders>
              <w:left w:val="single" w:sz="8" w:color="CCDEF1"/>
            </w:tcBorders>
            <w:gridSpan w:val="3"/>
            <w:shd w:val="clear" w:color="auto" w:fill="CCDEF1"/>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DEF1"/>
          </w:tcPr>
          <w:p>
            <w:pPr>
              <w:spacing w:after="0"/>
              <w:rPr>
                <w:sz w:val="16"/>
                <w:szCs w:val="16"/>
                <w:color w:val="auto"/>
              </w:rPr>
            </w:pPr>
          </w:p>
        </w:tc>
        <w:tc>
          <w:tcPr>
            <w:tcW w:w="160" w:type="dxa"/>
            <w:vAlign w:val="bottom"/>
            <w:tcBorders>
              <w:right w:val="single" w:sz="8" w:color="CCDEF1"/>
            </w:tcBorders>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400" w:type="dxa"/>
            <w:vAlign w:val="bottom"/>
            <w:gridSpan w:val="3"/>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line="189" w:lineRule="exact"/>
              <w:rPr>
                <w:sz w:val="20"/>
                <w:szCs w:val="20"/>
                <w:color w:val="auto"/>
              </w:rPr>
            </w:pPr>
            <w:r>
              <w:rPr>
                <w:rFonts w:ascii="Arial" w:cs="Arial" w:eastAsia="Arial" w:hAnsi="Arial"/>
                <w:sz w:val="17"/>
                <w:szCs w:val="17"/>
                <w:color w:val="auto"/>
              </w:rPr>
              <w:t>Impairment related to merger of Clinisys and Sunquest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540" w:type="dxa"/>
            <w:vAlign w:val="bottom"/>
          </w:tcPr>
          <w:p>
            <w:pPr>
              <w:spacing w:after="0"/>
              <w:rPr>
                <w:sz w:val="16"/>
                <w:szCs w:val="16"/>
                <w:color w:val="auto"/>
              </w:rPr>
            </w:pPr>
          </w:p>
        </w:tc>
        <w:tc>
          <w:tcPr>
            <w:tcW w:w="86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94</w:t>
            </w:r>
          </w:p>
        </w:tc>
        <w:tc>
          <w:tcPr>
            <w:tcW w:w="100" w:type="dxa"/>
            <w:vAlign w:val="bottom"/>
          </w:tcPr>
          <w:p>
            <w:pPr>
              <w:spacing w:after="0"/>
              <w:rPr>
                <w:sz w:val="16"/>
                <w:szCs w:val="16"/>
                <w:color w:val="auto"/>
              </w:rPr>
            </w:pPr>
          </w:p>
        </w:tc>
        <w:tc>
          <w:tcPr>
            <w:tcW w:w="76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2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EBITDA</w:t>
            </w:r>
          </w:p>
        </w:tc>
        <w:tc>
          <w:tcPr>
            <w:tcW w:w="820" w:type="dxa"/>
            <w:vAlign w:val="bottom"/>
            <w:shd w:val="clear" w:color="auto" w:fill="CCDEF1"/>
          </w:tcPr>
          <w:p>
            <w:pPr>
              <w:spacing w:after="0"/>
              <w:rPr>
                <w:sz w:val="16"/>
                <w:szCs w:val="16"/>
                <w:color w:val="auto"/>
              </w:rPr>
            </w:pPr>
          </w:p>
        </w:tc>
        <w:tc>
          <w:tcPr>
            <w:tcW w:w="1080" w:type="dxa"/>
            <w:vAlign w:val="bottom"/>
            <w:shd w:val="clear" w:color="auto" w:fill="CCDEF1"/>
          </w:tcPr>
          <w:p>
            <w:pPr>
              <w:spacing w:after="0"/>
              <w:rPr>
                <w:sz w:val="16"/>
                <w:szCs w:val="16"/>
                <w:color w:val="auto"/>
              </w:rPr>
            </w:pPr>
          </w:p>
        </w:tc>
        <w:tc>
          <w:tcPr>
            <w:tcW w:w="560" w:type="dxa"/>
            <w:vAlign w:val="bottom"/>
            <w:gridSpan w:val="2"/>
            <w:shd w:val="clear" w:color="auto" w:fill="CCDEF1"/>
          </w:tcPr>
          <w:p>
            <w:pPr>
              <w:jc w:val="right"/>
              <w:ind w:right="20"/>
              <w:spacing w:after="0" w:line="189" w:lineRule="exact"/>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1,590</w:t>
            </w:r>
          </w:p>
        </w:tc>
        <w:tc>
          <w:tcPr>
            <w:tcW w:w="1400" w:type="dxa"/>
            <w:vAlign w:val="bottom"/>
            <w:gridSpan w:val="4"/>
            <w:shd w:val="clear" w:color="auto" w:fill="CCDEF1"/>
          </w:tcPr>
          <w:p>
            <w:pPr>
              <w:jc w:val="right"/>
              <w:ind w:right="38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1,944</w:t>
            </w:r>
          </w:p>
        </w:tc>
        <w:tc>
          <w:tcPr>
            <w:tcW w:w="100" w:type="dxa"/>
            <w:vAlign w:val="bottom"/>
            <w:shd w:val="clear" w:color="auto" w:fill="CCDEF1"/>
          </w:tcPr>
          <w:p>
            <w:pPr>
              <w:spacing w:after="0"/>
              <w:rPr>
                <w:sz w:val="16"/>
                <w:szCs w:val="16"/>
                <w:color w:val="auto"/>
              </w:rPr>
            </w:pPr>
          </w:p>
        </w:tc>
        <w:tc>
          <w:tcPr>
            <w:tcW w:w="760" w:type="dxa"/>
            <w:vAlign w:val="bottom"/>
            <w:gridSpan w:val="4"/>
            <w:shd w:val="clear" w:color="auto" w:fill="CCDEF1"/>
          </w:tcPr>
          <w:p>
            <w:pPr>
              <w:jc w:val="right"/>
              <w:ind w:right="20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2,170</w:t>
            </w:r>
          </w:p>
        </w:tc>
        <w:tc>
          <w:tcPr>
            <w:tcW w:w="120" w:type="dxa"/>
            <w:vAlign w:val="bottom"/>
            <w:shd w:val="clear" w:color="auto" w:fill="CCDEF1"/>
          </w:tcPr>
          <w:p>
            <w:pPr>
              <w:spacing w:after="0"/>
              <w:rPr>
                <w:sz w:val="16"/>
                <w:szCs w:val="16"/>
                <w:color w:val="auto"/>
              </w:rPr>
            </w:pPr>
          </w:p>
        </w:tc>
        <w:tc>
          <w:tcPr>
            <w:tcW w:w="640" w:type="dxa"/>
            <w:vAlign w:val="bottom"/>
            <w:gridSpan w:val="5"/>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w w:val="91"/>
              </w:rPr>
              <w:t>$ 2,511</w:t>
            </w:r>
          </w:p>
        </w:tc>
        <w:tc>
          <w:tcPr>
            <w:tcW w:w="120" w:type="dxa"/>
            <w:vAlign w:val="bottom"/>
            <w:shd w:val="clear" w:color="auto" w:fill="CCDEF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7"/>
                <w:szCs w:val="17"/>
                <w:color w:val="auto"/>
              </w:rPr>
              <w:t>   % of adjusted revenue</w:t>
            </w: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2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gridSpan w:val="3"/>
          </w:tcPr>
          <w:p>
            <w:pPr>
              <w:jc w:val="right"/>
              <w:ind w:right="316"/>
              <w:spacing w:after="0"/>
              <w:rPr>
                <w:sz w:val="20"/>
                <w:szCs w:val="20"/>
                <w:color w:val="auto"/>
              </w:rPr>
            </w:pPr>
            <w:r>
              <w:rPr>
                <w:rFonts w:ascii="Arial" w:cs="Arial" w:eastAsia="Arial" w:hAnsi="Arial"/>
                <w:sz w:val="17"/>
                <w:szCs w:val="17"/>
                <w:color w:val="auto"/>
              </w:rPr>
              <w:t>39.4%</w:t>
            </w:r>
          </w:p>
        </w:tc>
        <w:tc>
          <w:tcPr>
            <w:tcW w:w="860" w:type="dxa"/>
            <w:vAlign w:val="bottom"/>
            <w:gridSpan w:val="3"/>
          </w:tcPr>
          <w:p>
            <w:pPr>
              <w:jc w:val="right"/>
              <w:ind w:right="220"/>
              <w:spacing w:after="0"/>
              <w:rPr>
                <w:sz w:val="20"/>
                <w:szCs w:val="20"/>
                <w:color w:val="auto"/>
              </w:rPr>
            </w:pPr>
            <w:r>
              <w:rPr>
                <w:rFonts w:ascii="Arial" w:cs="Arial" w:eastAsia="Arial" w:hAnsi="Arial"/>
                <w:sz w:val="17"/>
                <w:szCs w:val="17"/>
                <w:color w:val="auto"/>
              </w:rPr>
              <w:t>40.2%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7"/>
                <w:szCs w:val="17"/>
                <w:color w:val="auto"/>
              </w:rPr>
              <w:t>40.4%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5"/>
          </w:tcPr>
          <w:p>
            <w:pPr>
              <w:jc w:val="right"/>
              <w:ind w:right="8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361"/>
        </w:trPr>
        <w:tc>
          <w:tcPr>
            <w:tcW w:w="5420" w:type="dxa"/>
            <w:vAlign w:val="bottom"/>
          </w:tcPr>
          <w:p>
            <w:pPr>
              <w:spacing w:after="0"/>
              <w:rPr>
                <w:sz w:val="20"/>
                <w:szCs w:val="20"/>
                <w:color w:val="auto"/>
              </w:rPr>
            </w:pPr>
            <w:r>
              <w:rPr>
                <w:rFonts w:ascii="Arial" w:cs="Arial" w:eastAsia="Arial" w:hAnsi="Arial"/>
                <w:sz w:val="17"/>
                <w:szCs w:val="17"/>
                <w:color w:val="auto"/>
              </w:rPr>
              <w:t>Table 2: Adjusted cash flow reconciliation ($M)</w:t>
            </w: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2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8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5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ind w:right="16"/>
              <w:spacing w:after="0"/>
              <w:rPr>
                <w:sz w:val="20"/>
                <w:szCs w:val="20"/>
                <w:color w:val="auto"/>
              </w:rPr>
            </w:pPr>
            <w:r>
              <w:rPr>
                <w:rFonts w:ascii="Arial" w:cs="Arial" w:eastAsia="Arial" w:hAnsi="Arial"/>
                <w:sz w:val="14"/>
                <w:szCs w:val="14"/>
                <w:color w:val="auto"/>
              </w:rPr>
              <w:t>2020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4"/>
                <w:szCs w:val="14"/>
                <w:color w:val="auto"/>
              </w:rPr>
              <w:t>2022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CCDEF1"/>
            </w:tcBorders>
            <w:shd w:val="clear" w:color="auto" w:fill="CCDEF1"/>
          </w:tcPr>
          <w:p>
            <w:pPr>
              <w:spacing w:after="0" w:line="183" w:lineRule="exact"/>
              <w:rPr>
                <w:sz w:val="20"/>
                <w:szCs w:val="20"/>
                <w:color w:val="auto"/>
              </w:rPr>
            </w:pPr>
            <w:r>
              <w:rPr>
                <w:rFonts w:ascii="Arial" w:cs="Arial" w:eastAsia="Arial" w:hAnsi="Arial"/>
                <w:sz w:val="17"/>
                <w:szCs w:val="17"/>
                <w:color w:val="auto"/>
              </w:rPr>
              <w:t>Operating cash flow</w:t>
            </w:r>
          </w:p>
        </w:tc>
        <w:tc>
          <w:tcPr>
            <w:tcW w:w="820" w:type="dxa"/>
            <w:vAlign w:val="bottom"/>
            <w:tcBorders>
              <w:top w:val="single" w:sz="8" w:color="CCDEF1"/>
            </w:tcBorders>
            <w:shd w:val="clear" w:color="auto" w:fill="CCDEF1"/>
          </w:tcPr>
          <w:p>
            <w:pPr>
              <w:spacing w:after="0"/>
              <w:rPr>
                <w:sz w:val="15"/>
                <w:szCs w:val="15"/>
                <w:color w:val="auto"/>
              </w:rPr>
            </w:pPr>
          </w:p>
        </w:tc>
        <w:tc>
          <w:tcPr>
            <w:tcW w:w="108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CCDEF1"/>
            </w:tcBorders>
            <w:shd w:val="clear" w:color="auto" w:fill="CCDEF1"/>
          </w:tcPr>
          <w:p>
            <w:pPr>
              <w:spacing w:after="0"/>
              <w:rPr>
                <w:sz w:val="15"/>
                <w:szCs w:val="15"/>
                <w:color w:val="auto"/>
              </w:rPr>
            </w:pPr>
          </w:p>
        </w:tc>
        <w:tc>
          <w:tcPr>
            <w:tcW w:w="20" w:type="dxa"/>
            <w:vAlign w:val="bottom"/>
            <w:tcBorders>
              <w:top w:val="single" w:sz="8" w:color="CCDEF1"/>
            </w:tcBorders>
            <w:shd w:val="clear" w:color="auto" w:fill="CCDEF1"/>
          </w:tcPr>
          <w:p>
            <w:pPr>
              <w:spacing w:after="0"/>
              <w:rPr>
                <w:sz w:val="15"/>
                <w:szCs w:val="15"/>
                <w:color w:val="auto"/>
              </w:rPr>
            </w:pPr>
          </w:p>
        </w:tc>
        <w:tc>
          <w:tcPr>
            <w:tcW w:w="540" w:type="dxa"/>
            <w:vAlign w:val="bottom"/>
            <w:tcBorders>
              <w:top w:val="single" w:sz="8" w:color="auto"/>
              <w:right w:val="single" w:sz="8" w:color="CCDEF1"/>
            </w:tcBorders>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$1,123</w:t>
            </w:r>
          </w:p>
        </w:tc>
        <w:tc>
          <w:tcPr>
            <w:tcW w:w="320" w:type="dxa"/>
            <w:vAlign w:val="bottom"/>
            <w:tcBorders>
              <w:top w:val="single" w:sz="8" w:color="CCDEF1"/>
              <w:left w:val="single" w:sz="8" w:color="CCDEF1"/>
            </w:tcBorders>
            <w:shd w:val="clear" w:color="auto" w:fill="CCDEF1"/>
          </w:tcPr>
          <w:p>
            <w:pPr>
              <w:spacing w:after="0"/>
              <w:rPr>
                <w:sz w:val="15"/>
                <w:szCs w:val="15"/>
                <w:color w:val="auto"/>
              </w:rPr>
            </w:pPr>
          </w:p>
        </w:tc>
        <w:tc>
          <w:tcPr>
            <w:tcW w:w="540" w:type="dxa"/>
            <w:vAlign w:val="bottom"/>
            <w:tcBorders>
              <w:top w:val="single" w:sz="8" w:color="auto"/>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$1,656</w:t>
            </w:r>
          </w:p>
        </w:tc>
        <w:tc>
          <w:tcPr>
            <w:tcW w:w="100" w:type="dxa"/>
            <w:vAlign w:val="bottom"/>
            <w:tcBorders>
              <w:top w:val="single" w:sz="8" w:color="CCDEF1"/>
            </w:tcBorders>
            <w:shd w:val="clear" w:color="auto" w:fill="CCDEF1"/>
          </w:tcPr>
          <w:p>
            <w:pPr>
              <w:spacing w:after="0"/>
              <w:rPr>
                <w:sz w:val="15"/>
                <w:szCs w:val="15"/>
                <w:color w:val="auto"/>
              </w:rPr>
            </w:pPr>
          </w:p>
        </w:tc>
        <w:tc>
          <w:tcPr>
            <w:tcW w:w="220" w:type="dxa"/>
            <w:vAlign w:val="bottom"/>
            <w:tcBorders>
              <w:top w:val="single" w:sz="8" w:color="CCDEF1"/>
            </w:tcBorders>
            <w:gridSpan w:val="2"/>
            <w:shd w:val="clear" w:color="auto" w:fill="CCDEF1"/>
          </w:tcPr>
          <w:p>
            <w:pPr>
              <w:spacing w:after="0"/>
              <w:rPr>
                <w:sz w:val="15"/>
                <w:szCs w:val="15"/>
                <w:color w:val="auto"/>
              </w:rPr>
            </w:pPr>
          </w:p>
        </w:tc>
        <w:tc>
          <w:tcPr>
            <w:tcW w:w="540" w:type="dxa"/>
            <w:vAlign w:val="bottom"/>
            <w:tcBorders>
              <w:top w:val="single" w:sz="8" w:color="auto"/>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rPr>
              <w:t>$  607</w:t>
            </w:r>
          </w:p>
        </w:tc>
        <w:tc>
          <w:tcPr>
            <w:tcW w:w="120" w:type="dxa"/>
            <w:vAlign w:val="bottom"/>
            <w:tcBorders>
              <w:top w:val="single" w:sz="8" w:color="CCDEF1"/>
            </w:tcBorders>
            <w:shd w:val="clear" w:color="auto" w:fill="CCDEF1"/>
          </w:tcPr>
          <w:p>
            <w:pPr>
              <w:spacing w:after="0"/>
              <w:rPr>
                <w:sz w:val="15"/>
                <w:szCs w:val="15"/>
                <w:color w:val="auto"/>
              </w:rPr>
            </w:pPr>
          </w:p>
        </w:tc>
        <w:tc>
          <w:tcPr>
            <w:tcW w:w="160" w:type="dxa"/>
            <w:vAlign w:val="bottom"/>
            <w:tcBorders>
              <w:top w:val="single" w:sz="8" w:color="CCDEF1"/>
              <w:right w:val="single" w:sz="8" w:color="CCDEF1"/>
            </w:tcBorders>
            <w:shd w:val="clear" w:color="auto" w:fill="CCDEF1"/>
          </w:tcPr>
          <w:p>
            <w:pPr>
              <w:spacing w:after="0"/>
              <w:rPr>
                <w:sz w:val="15"/>
                <w:szCs w:val="15"/>
                <w:color w:val="auto"/>
              </w:rPr>
            </w:pPr>
          </w:p>
        </w:tc>
        <w:tc>
          <w:tcPr>
            <w:tcW w:w="480" w:type="dxa"/>
            <w:vAlign w:val="bottom"/>
            <w:tcBorders>
              <w:top w:val="single" w:sz="8" w:color="auto"/>
            </w:tcBorders>
            <w:gridSpan w:val="4"/>
            <w:shd w:val="clear" w:color="auto" w:fill="CCDEF1"/>
          </w:tcPr>
          <w:p>
            <w:pPr>
              <w:jc w:val="right"/>
              <w:spacing w:after="0" w:line="183" w:lineRule="exact"/>
              <w:rPr>
                <w:sz w:val="20"/>
                <w:szCs w:val="20"/>
                <w:color w:val="auto"/>
              </w:rPr>
            </w:pPr>
            <w:r>
              <w:rPr>
                <w:rFonts w:ascii="Arial" w:cs="Arial" w:eastAsia="Arial" w:hAnsi="Arial"/>
                <w:sz w:val="17"/>
                <w:szCs w:val="17"/>
                <w:color w:val="auto"/>
                <w:w w:val="88"/>
              </w:rPr>
              <w:t>$2,037</w:t>
            </w:r>
          </w:p>
        </w:tc>
        <w:tc>
          <w:tcPr>
            <w:tcW w:w="120" w:type="dxa"/>
            <w:vAlign w:val="bottom"/>
            <w:tcBorders>
              <w:top w:val="single" w:sz="8" w:color="CCDEF1"/>
            </w:tcBorders>
            <w:shd w:val="clear" w:color="auto" w:fill="CCDEF1"/>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line="189" w:lineRule="exact"/>
              <w:rPr>
                <w:sz w:val="20"/>
                <w:szCs w:val="20"/>
                <w:color w:val="auto"/>
              </w:rPr>
            </w:pPr>
            <w:r>
              <w:rPr>
                <w:rFonts w:ascii="Arial" w:cs="Arial" w:eastAsia="Arial" w:hAnsi="Arial"/>
                <w:sz w:val="17"/>
                <w:szCs w:val="17"/>
                <w:color w:val="auto"/>
              </w:rPr>
              <w:t>Taxes paid in period related to divestitures</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192</w:t>
            </w:r>
          </w:p>
        </w:tc>
        <w:tc>
          <w:tcPr>
            <w:tcW w:w="320" w:type="dxa"/>
            <w:vAlign w:val="bottom"/>
          </w:tcPr>
          <w:p>
            <w:pPr>
              <w:spacing w:after="0"/>
              <w:rPr>
                <w:sz w:val="16"/>
                <w:szCs w:val="16"/>
                <w:color w:val="auto"/>
              </w:rPr>
            </w:pPr>
          </w:p>
        </w:tc>
        <w:tc>
          <w:tcPr>
            <w:tcW w:w="64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5"/>
          </w:tcPr>
          <w:p>
            <w:pPr>
              <w:jc w:val="right"/>
              <w:ind w:right="120"/>
              <w:spacing w:after="0" w:line="189" w:lineRule="exact"/>
              <w:rPr>
                <w:sz w:val="20"/>
                <w:szCs w:val="20"/>
                <w:color w:val="auto"/>
              </w:rPr>
            </w:pPr>
            <w:r>
              <w:rPr>
                <w:rFonts w:ascii="Arial" w:cs="Arial" w:eastAsia="Arial" w:hAnsi="Arial"/>
                <w:sz w:val="17"/>
                <w:szCs w:val="17"/>
                <w:color w:val="auto"/>
              </w:rPr>
              <w:t>954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820" w:type="dxa"/>
            <w:vAlign w:val="bottom"/>
            <w:shd w:val="clear" w:color="auto" w:fill="CCDEF1"/>
          </w:tcPr>
          <w:p>
            <w:pPr>
              <w:spacing w:after="0"/>
              <w:rPr>
                <w:sz w:val="16"/>
                <w:szCs w:val="16"/>
                <w:color w:val="auto"/>
              </w:rPr>
            </w:pPr>
          </w:p>
        </w:tc>
        <w:tc>
          <w:tcPr>
            <w:tcW w:w="108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540" w:type="dxa"/>
            <w:vAlign w:val="bottom"/>
            <w:tcBorders>
              <w:right w:val="single" w:sz="8" w:color="CCDEF1"/>
            </w:tcBorders>
            <w:shd w:val="clear" w:color="auto" w:fill="CCDEF1"/>
          </w:tcPr>
          <w:p>
            <w:pPr>
              <w:jc w:val="right"/>
              <w:spacing w:after="0" w:line="189" w:lineRule="exact"/>
              <w:rPr>
                <w:sz w:val="20"/>
                <w:szCs w:val="20"/>
                <w:color w:val="auto"/>
              </w:rPr>
            </w:pPr>
            <w:r>
              <w:rPr>
                <w:rFonts w:ascii="Arial" w:cs="Arial" w:eastAsia="Arial" w:hAnsi="Arial"/>
                <w:sz w:val="17"/>
                <w:szCs w:val="17"/>
                <w:color w:val="auto"/>
                <w:w w:val="99"/>
              </w:rPr>
              <w:t>$1,315</w:t>
            </w:r>
          </w:p>
        </w:tc>
        <w:tc>
          <w:tcPr>
            <w:tcW w:w="960" w:type="dxa"/>
            <w:vAlign w:val="bottom"/>
            <w:tcBorders>
              <w:left w:val="single" w:sz="8" w:color="CCDEF1"/>
            </w:tcBorders>
            <w:gridSpan w:val="4"/>
            <w:shd w:val="clear" w:color="auto" w:fill="CCDEF1"/>
          </w:tcPr>
          <w:p>
            <w:pPr>
              <w:jc w:val="right"/>
              <w:ind w:right="100"/>
              <w:spacing w:after="0" w:line="189" w:lineRule="exact"/>
              <w:rPr>
                <w:sz w:val="20"/>
                <w:szCs w:val="20"/>
                <w:color w:val="auto"/>
              </w:rPr>
            </w:pPr>
            <w:r>
              <w:rPr>
                <w:rFonts w:ascii="Arial" w:cs="Arial" w:eastAsia="Arial" w:hAnsi="Arial"/>
                <w:sz w:val="17"/>
                <w:szCs w:val="17"/>
                <w:color w:val="auto"/>
              </w:rPr>
              <w:t>$1,656</w:t>
            </w:r>
          </w:p>
        </w:tc>
        <w:tc>
          <w:tcPr>
            <w:tcW w:w="880" w:type="dxa"/>
            <w:vAlign w:val="bottom"/>
            <w:gridSpan w:val="5"/>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$1,560</w:t>
            </w:r>
          </w:p>
        </w:tc>
        <w:tc>
          <w:tcPr>
            <w:tcW w:w="760" w:type="dxa"/>
            <w:vAlign w:val="bottom"/>
            <w:gridSpan w:val="6"/>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$2,070</w:t>
            </w:r>
          </w:p>
        </w:tc>
        <w:tc>
          <w:tcPr>
            <w:tcW w:w="0" w:type="dxa"/>
            <w:vAlign w:val="bottom"/>
          </w:tcPr>
          <w:p>
            <w:pPr>
              <w:spacing w:after="0"/>
              <w:rPr>
                <w:sz w:val="1"/>
                <w:szCs w:val="1"/>
                <w:color w:val="auto"/>
              </w:rPr>
            </w:pPr>
          </w:p>
        </w:tc>
      </w:tr>
      <w:tr>
        <w:trPr>
          <w:trHeight w:val="189"/>
        </w:trPr>
        <w:tc>
          <w:tcPr>
            <w:tcW w:w="5420" w:type="dxa"/>
            <w:vAlign w:val="bottom"/>
          </w:tcPr>
          <w:p>
            <w:pPr>
              <w:ind w:left="340"/>
              <w:spacing w:after="0" w:line="189" w:lineRule="exact"/>
              <w:rPr>
                <w:sz w:val="20"/>
                <w:szCs w:val="20"/>
                <w:color w:val="auto"/>
              </w:rPr>
            </w:pPr>
            <w:r>
              <w:rPr>
                <w:rFonts w:ascii="Arial" w:cs="Arial" w:eastAsia="Arial" w:hAnsi="Arial"/>
                <w:sz w:val="17"/>
                <w:szCs w:val="17"/>
                <w:color w:val="auto"/>
              </w:rPr>
              <w:t>Capital expenditures</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7"/>
                <w:szCs w:val="17"/>
                <w:color w:val="auto"/>
              </w:rPr>
              <w:t>(25)</w:t>
            </w:r>
          </w:p>
        </w:tc>
        <w:tc>
          <w:tcPr>
            <w:tcW w:w="960" w:type="dxa"/>
            <w:vAlign w:val="bottom"/>
            <w:gridSpan w:val="4"/>
          </w:tcPr>
          <w:p>
            <w:pPr>
              <w:jc w:val="right"/>
              <w:ind w:right="40"/>
              <w:spacing w:after="0" w:line="189" w:lineRule="exact"/>
              <w:rPr>
                <w:sz w:val="20"/>
                <w:szCs w:val="20"/>
                <w:color w:val="auto"/>
              </w:rPr>
            </w:pPr>
            <w:r>
              <w:rPr>
                <w:rFonts w:ascii="Arial" w:cs="Arial" w:eastAsia="Arial" w:hAnsi="Arial"/>
                <w:sz w:val="17"/>
                <w:szCs w:val="17"/>
                <w:color w:val="auto"/>
              </w:rPr>
              <w:t>(28)</w:t>
            </w:r>
          </w:p>
        </w:tc>
        <w:tc>
          <w:tcPr>
            <w:tcW w:w="880" w:type="dxa"/>
            <w:vAlign w:val="bottom"/>
            <w:gridSpan w:val="5"/>
          </w:tcPr>
          <w:p>
            <w:pPr>
              <w:jc w:val="right"/>
              <w:ind w:right="60"/>
              <w:spacing w:after="0" w:line="189" w:lineRule="exact"/>
              <w:rPr>
                <w:sz w:val="20"/>
                <w:szCs w:val="20"/>
                <w:color w:val="auto"/>
              </w:rPr>
            </w:pPr>
            <w:r>
              <w:rPr>
                <w:rFonts w:ascii="Arial" w:cs="Arial" w:eastAsia="Arial" w:hAnsi="Arial"/>
                <w:sz w:val="17"/>
                <w:szCs w:val="17"/>
                <w:color w:val="auto"/>
              </w:rPr>
              <w:t>(40)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542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820" w:type="dxa"/>
            <w:vAlign w:val="bottom"/>
            <w:shd w:val="clear" w:color="auto" w:fill="CCDEF1"/>
          </w:tcPr>
          <w:p>
            <w:pPr>
              <w:spacing w:after="0"/>
              <w:rPr>
                <w:sz w:val="16"/>
                <w:szCs w:val="16"/>
                <w:color w:val="auto"/>
              </w:rPr>
            </w:pPr>
          </w:p>
        </w:tc>
        <w:tc>
          <w:tcPr>
            <w:tcW w:w="1080" w:type="dxa"/>
            <w:vAlign w:val="bottom"/>
            <w:shd w:val="clear" w:color="auto" w:fill="CCDEF1"/>
          </w:tcPr>
          <w:p>
            <w:pPr>
              <w:spacing w:after="0"/>
              <w:rPr>
                <w:sz w:val="16"/>
                <w:szCs w:val="16"/>
                <w:color w:val="auto"/>
              </w:rPr>
            </w:pPr>
          </w:p>
        </w:tc>
        <w:tc>
          <w:tcPr>
            <w:tcW w:w="54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540" w:type="dxa"/>
            <w:vAlign w:val="bottom"/>
            <w:tcBorders>
              <w:right w:val="single" w:sz="8" w:color="CCDEF1"/>
            </w:tcBorders>
            <w:shd w:val="clear" w:color="auto" w:fill="CCDEF1"/>
          </w:tcPr>
          <w:p>
            <w:pPr>
              <w:jc w:val="right"/>
              <w:spacing w:after="0" w:line="189" w:lineRule="exact"/>
              <w:rPr>
                <w:sz w:val="20"/>
                <w:szCs w:val="20"/>
                <w:color w:val="auto"/>
              </w:rPr>
            </w:pPr>
            <w:r>
              <w:rPr>
                <w:rFonts w:ascii="Arial" w:cs="Arial" w:eastAsia="Arial" w:hAnsi="Arial"/>
                <w:sz w:val="17"/>
                <w:szCs w:val="17"/>
                <w:color w:val="auto"/>
              </w:rPr>
              <w:t>(18)</w:t>
            </w:r>
          </w:p>
        </w:tc>
        <w:tc>
          <w:tcPr>
            <w:tcW w:w="960" w:type="dxa"/>
            <w:vAlign w:val="bottom"/>
            <w:tcBorders>
              <w:left w:val="single" w:sz="8" w:color="CCDEF1"/>
            </w:tcBorders>
            <w:gridSpan w:val="4"/>
            <w:shd w:val="clear" w:color="auto" w:fill="CCDEF1"/>
          </w:tcPr>
          <w:p>
            <w:pPr>
              <w:jc w:val="right"/>
              <w:ind w:right="40"/>
              <w:spacing w:after="0" w:line="189" w:lineRule="exact"/>
              <w:rPr>
                <w:sz w:val="20"/>
                <w:szCs w:val="20"/>
                <w:color w:val="auto"/>
              </w:rPr>
            </w:pPr>
            <w:r>
              <w:rPr>
                <w:rFonts w:ascii="Arial" w:cs="Arial" w:eastAsia="Arial" w:hAnsi="Arial"/>
                <w:sz w:val="17"/>
                <w:szCs w:val="17"/>
                <w:color w:val="auto"/>
              </w:rPr>
              <w:t>(30)</w:t>
            </w:r>
          </w:p>
        </w:tc>
        <w:tc>
          <w:tcPr>
            <w:tcW w:w="880" w:type="dxa"/>
            <w:vAlign w:val="bottom"/>
            <w:gridSpan w:val="5"/>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(30)</w:t>
            </w:r>
          </w:p>
        </w:tc>
        <w:tc>
          <w:tcPr>
            <w:tcW w:w="160" w:type="dxa"/>
            <w:vAlign w:val="bottom"/>
            <w:tcBorders>
              <w:right w:val="single" w:sz="8" w:color="CCDEF1"/>
            </w:tcBorders>
            <w:shd w:val="clear" w:color="auto" w:fill="CCDEF1"/>
          </w:tcPr>
          <w:p>
            <w:pPr>
              <w:spacing w:after="0"/>
              <w:rPr>
                <w:sz w:val="16"/>
                <w:szCs w:val="16"/>
                <w:color w:val="auto"/>
              </w:rPr>
            </w:pPr>
          </w:p>
        </w:tc>
        <w:tc>
          <w:tcPr>
            <w:tcW w:w="80" w:type="dxa"/>
            <w:vAlign w:val="bottom"/>
            <w:shd w:val="clear" w:color="auto" w:fill="CCDEF1"/>
          </w:tcPr>
          <w:p>
            <w:pPr>
              <w:spacing w:after="0"/>
              <w:rPr>
                <w:sz w:val="16"/>
                <w:szCs w:val="16"/>
                <w:color w:val="auto"/>
              </w:rPr>
            </w:pPr>
          </w:p>
        </w:tc>
        <w:tc>
          <w:tcPr>
            <w:tcW w:w="52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96"/>
        </w:trPr>
        <w:tc>
          <w:tcPr>
            <w:tcW w:w="542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8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1,273</w:t>
            </w:r>
          </w:p>
        </w:tc>
        <w:tc>
          <w:tcPr>
            <w:tcW w:w="320" w:type="dxa"/>
            <w:vAlign w:val="bottom"/>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1,598</w:t>
            </w:r>
          </w:p>
        </w:tc>
        <w:tc>
          <w:tcPr>
            <w:tcW w:w="10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1,490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1,962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2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6"/>
                <w:szCs w:val="16"/>
                <w:b w:val="1"/>
                <w:bCs w:val="1"/>
                <w:color w:val="005CB9"/>
              </w:rPr>
              <w:t xml:space="preserve">  </w:t>
            </w:r>
          </w:p>
        </w:tc>
        <w:tc>
          <w:tcPr>
            <w:tcW w:w="4180" w:type="dxa"/>
            <w:vAlign w:val="bottom"/>
            <w:gridSpan w:val="14"/>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80" w:type="dxa"/>
            <w:vAlign w:val="bottom"/>
            <w:vMerge w:val="restart"/>
          </w:tcPr>
          <w:p>
            <w:pPr>
              <w:ind w:left="40"/>
              <w:spacing w:after="0"/>
              <w:rPr>
                <w:sz w:val="20"/>
                <w:szCs w:val="20"/>
                <w:color w:val="auto"/>
              </w:rPr>
            </w:pPr>
            <w:r>
              <w:rPr>
                <w:rFonts w:ascii="Arial" w:cs="Arial" w:eastAsia="Arial" w:hAnsi="Arial"/>
                <w:sz w:val="2"/>
                <w:szCs w:val="2"/>
                <w:b w:val="1"/>
                <w:bCs w:val="1"/>
                <w:color w:val="005CB9"/>
                <w:w w:val="97"/>
              </w:rPr>
              <w:t> </w:t>
            </w:r>
          </w:p>
        </w:tc>
        <w:tc>
          <w:tcPr>
            <w:tcW w:w="140" w:type="dxa"/>
            <w:vAlign w:val="bottom"/>
          </w:tcPr>
          <w:p>
            <w:pPr>
              <w:spacing w:after="0"/>
              <w:rPr>
                <w:sz w:val="12"/>
                <w:szCs w:val="12"/>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16"/>
                <w:szCs w:val="16"/>
                <w:b w:val="1"/>
                <w:bCs w:val="1"/>
                <w:color w:val="005CB9"/>
              </w:rPr>
              <w:t> A-1</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4180" w:type="dxa"/>
            <w:vAlign w:val="bottom"/>
            <w:gridSpan w:val="14"/>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right w:val="single" w:sz="8" w:color="005CB9"/>
            </w:tcBorders>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54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4180" w:type="dxa"/>
            <w:vAlign w:val="bottom"/>
            <w:gridSpan w:val="14"/>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right w:val="single" w:sz="8" w:color="005CB9"/>
            </w:tcBorders>
          </w:tcPr>
          <w:p>
            <w:pPr>
              <w:spacing w:after="0"/>
              <w:rPr>
                <w:sz w:val="8"/>
                <w:szCs w:val="8"/>
                <w:color w:val="auto"/>
              </w:rPr>
            </w:pPr>
          </w:p>
        </w:tc>
        <w:tc>
          <w:tcPr>
            <w:tcW w:w="3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54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right w:val="single" w:sz="8" w:color="005CB9"/>
            </w:tcBorders>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-205105</wp:posOffset>
            </wp:positionV>
            <wp:extent cx="428625" cy="1714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Table 3: 2013, 2018 and 2023 Adjusted cash flow reconciliation ($M)</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60" w:type="dxa"/>
            <w:vAlign w:val="bottom"/>
            <w:tcBorders>
              <w:bottom w:val="single" w:sz="8" w:color="CCDEF1"/>
            </w:tcBorders>
          </w:tcPr>
          <w:p>
            <w:pPr>
              <w:spacing w:after="0"/>
              <w:rPr>
                <w:sz w:val="14"/>
                <w:szCs w:val="14"/>
                <w:color w:val="auto"/>
              </w:rPr>
            </w:pPr>
          </w:p>
        </w:tc>
        <w:tc>
          <w:tcPr>
            <w:tcW w:w="220" w:type="dxa"/>
            <w:vAlign w:val="bottom"/>
            <w:tcBorders>
              <w:bottom w:val="single" w:sz="8" w:color="CCDEF1"/>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2013</w:t>
            </w:r>
          </w:p>
        </w:tc>
        <w:tc>
          <w:tcPr>
            <w:tcW w:w="300" w:type="dxa"/>
            <w:vAlign w:val="bottom"/>
            <w:tcBorders>
              <w:bottom w:val="single" w:sz="8" w:color="CCDEF1"/>
            </w:tcBorders>
          </w:tcPr>
          <w:p>
            <w:pPr>
              <w:spacing w:after="0"/>
              <w:rPr>
                <w:sz w:val="14"/>
                <w:szCs w:val="14"/>
                <w:color w:val="auto"/>
              </w:rPr>
            </w:pPr>
          </w:p>
        </w:tc>
        <w:tc>
          <w:tcPr>
            <w:tcW w:w="20" w:type="dxa"/>
            <w:vAlign w:val="bottom"/>
            <w:tcBorders>
              <w:bottom w:val="single" w:sz="8" w:color="CCDEF1"/>
            </w:tcBorders>
          </w:tcPr>
          <w:p>
            <w:pPr>
              <w:spacing w:after="0"/>
              <w:rPr>
                <w:sz w:val="14"/>
                <w:szCs w:val="14"/>
                <w:color w:val="auto"/>
              </w:rPr>
            </w:pPr>
          </w:p>
        </w:tc>
        <w:tc>
          <w:tcPr>
            <w:tcW w:w="540" w:type="dxa"/>
            <w:vAlign w:val="bottom"/>
            <w:tcBorders>
              <w:bottom w:val="single" w:sz="8" w:color="auto"/>
            </w:tcBorders>
            <w:gridSpan w:val="2"/>
          </w:tcPr>
          <w:p>
            <w:pPr>
              <w:jc w:val="right"/>
              <w:ind w:right="21"/>
              <w:spacing w:after="0"/>
              <w:rPr>
                <w:sz w:val="20"/>
                <w:szCs w:val="20"/>
                <w:color w:val="auto"/>
              </w:rPr>
            </w:pPr>
            <w:r>
              <w:rPr>
                <w:rFonts w:ascii="Arial" w:cs="Arial" w:eastAsia="Arial" w:hAnsi="Arial"/>
                <w:sz w:val="14"/>
                <w:szCs w:val="14"/>
                <w:color w:val="auto"/>
              </w:rPr>
              <w:t>2018</w:t>
            </w:r>
          </w:p>
        </w:tc>
        <w:tc>
          <w:tcPr>
            <w:tcW w:w="260" w:type="dxa"/>
            <w:vAlign w:val="bottom"/>
            <w:tcBorders>
              <w:bottom w:val="single" w:sz="8" w:color="CCDEF1"/>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CCDEF1"/>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660" w:type="dxa"/>
            <w:vAlign w:val="bottom"/>
            <w:shd w:val="clear" w:color="auto" w:fill="CCDEF1"/>
          </w:tcPr>
          <w:p>
            <w:pPr>
              <w:spacing w:after="0"/>
              <w:rPr>
                <w:sz w:val="20"/>
                <w:szCs w:val="20"/>
                <w:color w:val="auto"/>
              </w:rPr>
            </w:pPr>
            <w:r>
              <w:rPr>
                <w:rFonts w:ascii="Arial" w:cs="Arial" w:eastAsia="Arial" w:hAnsi="Arial"/>
                <w:sz w:val="17"/>
                <w:szCs w:val="17"/>
                <w:color w:val="auto"/>
              </w:rPr>
              <w:t>Operating cash flow</w:t>
            </w:r>
          </w:p>
        </w:tc>
        <w:tc>
          <w:tcPr>
            <w:tcW w:w="920" w:type="dxa"/>
            <w:vAlign w:val="bottom"/>
            <w:gridSpan w:val="4"/>
            <w:shd w:val="clear" w:color="auto" w:fill="CCDEF1"/>
          </w:tcPr>
          <w:p>
            <w:pPr>
              <w:jc w:val="right"/>
              <w:ind w:right="300"/>
              <w:spacing w:after="0"/>
              <w:rPr>
                <w:sz w:val="20"/>
                <w:szCs w:val="20"/>
                <w:color w:val="auto"/>
              </w:rPr>
            </w:pPr>
            <w:r>
              <w:rPr>
                <w:rFonts w:ascii="Arial" w:cs="Arial" w:eastAsia="Arial" w:hAnsi="Arial"/>
                <w:sz w:val="17"/>
                <w:szCs w:val="17"/>
                <w:color w:val="auto"/>
              </w:rPr>
              <w:t>$ 803</w:t>
            </w:r>
          </w:p>
        </w:tc>
        <w:tc>
          <w:tcPr>
            <w:tcW w:w="20" w:type="dxa"/>
            <w:vAlign w:val="bottom"/>
            <w:shd w:val="clear" w:color="auto" w:fill="CCDEF1"/>
          </w:tcPr>
          <w:p>
            <w:pPr>
              <w:spacing w:after="0"/>
              <w:rPr>
                <w:sz w:val="19"/>
                <w:szCs w:val="19"/>
                <w:color w:val="auto"/>
              </w:rPr>
            </w:pPr>
          </w:p>
        </w:tc>
        <w:tc>
          <w:tcPr>
            <w:tcW w:w="800" w:type="dxa"/>
            <w:vAlign w:val="bottom"/>
            <w:tcBorders>
              <w:right w:val="single" w:sz="8" w:color="CCDEF1"/>
            </w:tcBorders>
            <w:gridSpan w:val="3"/>
            <w:shd w:val="clear" w:color="auto" w:fill="CCDEF1"/>
          </w:tcPr>
          <w:p>
            <w:pPr>
              <w:jc w:val="right"/>
              <w:ind w:right="260"/>
              <w:spacing w:after="0"/>
              <w:rPr>
                <w:sz w:val="20"/>
                <w:szCs w:val="20"/>
                <w:color w:val="auto"/>
              </w:rPr>
            </w:pPr>
            <w:r>
              <w:rPr>
                <w:rFonts w:ascii="Arial" w:cs="Arial" w:eastAsia="Arial" w:hAnsi="Arial"/>
                <w:sz w:val="17"/>
                <w:szCs w:val="17"/>
                <w:color w:val="auto"/>
                <w:w w:val="99"/>
              </w:rPr>
              <w:t>$1,430</w:t>
            </w:r>
          </w:p>
        </w:tc>
        <w:tc>
          <w:tcPr>
            <w:tcW w:w="620" w:type="dxa"/>
            <w:vAlign w:val="bottom"/>
            <w:gridSpan w:val="4"/>
            <w:shd w:val="clear" w:color="auto" w:fill="CCDEF1"/>
          </w:tcPr>
          <w:p>
            <w:pPr>
              <w:jc w:val="right"/>
              <w:ind w:right="120"/>
              <w:spacing w:after="0"/>
              <w:rPr>
                <w:sz w:val="20"/>
                <w:szCs w:val="20"/>
                <w:color w:val="auto"/>
              </w:rPr>
            </w:pPr>
            <w:r>
              <w:rPr>
                <w:rFonts w:ascii="Arial" w:cs="Arial" w:eastAsia="Arial" w:hAnsi="Arial"/>
                <w:sz w:val="17"/>
                <w:szCs w:val="17"/>
                <w:color w:val="auto"/>
                <w:w w:val="92"/>
              </w:rPr>
              <w:t>$2,037</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Taxes paid in period related to divestitures</w:t>
            </w:r>
          </w:p>
        </w:tc>
        <w:tc>
          <w:tcPr>
            <w:tcW w:w="220" w:type="dxa"/>
            <w:vAlign w:val="bottom"/>
          </w:tcPr>
          <w:p>
            <w:pPr>
              <w:spacing w:after="0"/>
              <w:rPr>
                <w:sz w:val="21"/>
                <w:szCs w:val="21"/>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7"/>
                <w:szCs w:val="17"/>
                <w:color w:val="auto"/>
              </w:rPr>
              <w:t>-</w:t>
            </w:r>
          </w:p>
        </w:tc>
        <w:tc>
          <w:tcPr>
            <w:tcW w:w="620" w:type="dxa"/>
            <w:vAlign w:val="bottom"/>
            <w:gridSpan w:val="4"/>
          </w:tcPr>
          <w:p>
            <w:pPr>
              <w:jc w:val="right"/>
              <w:ind w:right="12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operating cash flow</w:t>
            </w:r>
          </w:p>
        </w:tc>
        <w:tc>
          <w:tcPr>
            <w:tcW w:w="920" w:type="dxa"/>
            <w:vAlign w:val="bottom"/>
            <w:gridSpan w:val="4"/>
            <w:shd w:val="clear" w:color="auto" w:fill="CCDEF1"/>
          </w:tcPr>
          <w:p>
            <w:pPr>
              <w:jc w:val="right"/>
              <w:ind w:right="300"/>
              <w:spacing w:after="0" w:line="189" w:lineRule="exact"/>
              <w:rPr>
                <w:sz w:val="20"/>
                <w:szCs w:val="20"/>
                <w:color w:val="auto"/>
              </w:rPr>
            </w:pPr>
            <w:r>
              <w:rPr>
                <w:rFonts w:ascii="Arial" w:cs="Arial" w:eastAsia="Arial" w:hAnsi="Arial"/>
                <w:sz w:val="17"/>
                <w:szCs w:val="17"/>
                <w:color w:val="auto"/>
              </w:rPr>
              <w:t>$ 803</w:t>
            </w:r>
          </w:p>
        </w:tc>
        <w:tc>
          <w:tcPr>
            <w:tcW w:w="20" w:type="dxa"/>
            <w:vAlign w:val="bottom"/>
            <w:shd w:val="clear" w:color="auto" w:fill="CCDEF1"/>
          </w:tcPr>
          <w:p>
            <w:pPr>
              <w:spacing w:after="0"/>
              <w:rPr>
                <w:sz w:val="16"/>
                <w:szCs w:val="16"/>
                <w:color w:val="auto"/>
              </w:rPr>
            </w:pPr>
          </w:p>
        </w:tc>
        <w:tc>
          <w:tcPr>
            <w:tcW w:w="800" w:type="dxa"/>
            <w:vAlign w:val="bottom"/>
            <w:tcBorders>
              <w:right w:val="single" w:sz="8" w:color="CCDEF1"/>
            </w:tcBorders>
            <w:gridSpan w:val="3"/>
            <w:shd w:val="clear" w:color="auto" w:fill="CCDEF1"/>
          </w:tcPr>
          <w:p>
            <w:pPr>
              <w:jc w:val="right"/>
              <w:ind w:right="260"/>
              <w:spacing w:after="0" w:line="189" w:lineRule="exact"/>
              <w:rPr>
                <w:sz w:val="20"/>
                <w:szCs w:val="20"/>
                <w:color w:val="auto"/>
              </w:rPr>
            </w:pPr>
            <w:r>
              <w:rPr>
                <w:rFonts w:ascii="Arial" w:cs="Arial" w:eastAsia="Arial" w:hAnsi="Arial"/>
                <w:sz w:val="17"/>
                <w:szCs w:val="17"/>
                <w:color w:val="auto"/>
                <w:w w:val="99"/>
              </w:rPr>
              <w:t>$1,430</w:t>
            </w:r>
          </w:p>
        </w:tc>
        <w:tc>
          <w:tcPr>
            <w:tcW w:w="62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w w:val="92"/>
              </w:rPr>
              <w:t>$2,070</w:t>
            </w:r>
          </w:p>
        </w:tc>
        <w:tc>
          <w:tcPr>
            <w:tcW w:w="0" w:type="dxa"/>
            <w:vAlign w:val="bottom"/>
          </w:tcPr>
          <w:p>
            <w:pPr>
              <w:spacing w:after="0"/>
              <w:rPr>
                <w:sz w:val="1"/>
                <w:szCs w:val="1"/>
                <w:color w:val="auto"/>
              </w:rPr>
            </w:pPr>
          </w:p>
        </w:tc>
      </w:tr>
      <w:tr>
        <w:trPr>
          <w:trHeight w:val="243"/>
        </w:trPr>
        <w:tc>
          <w:tcPr>
            <w:tcW w:w="8660" w:type="dxa"/>
            <w:vAlign w:val="bottom"/>
          </w:tcPr>
          <w:p>
            <w:pPr>
              <w:ind w:left="340"/>
              <w:spacing w:after="0"/>
              <w:rPr>
                <w:sz w:val="20"/>
                <w:szCs w:val="20"/>
                <w:color w:val="auto"/>
              </w:rPr>
            </w:pPr>
            <w:r>
              <w:rPr>
                <w:rFonts w:ascii="Arial" w:cs="Arial" w:eastAsia="Arial" w:hAnsi="Arial"/>
                <w:sz w:val="17"/>
                <w:szCs w:val="17"/>
                <w:color w:val="auto"/>
              </w:rPr>
              <w:t>Capital expenditures</w:t>
            </w:r>
          </w:p>
        </w:tc>
        <w:tc>
          <w:tcPr>
            <w:tcW w:w="920" w:type="dxa"/>
            <w:vAlign w:val="bottom"/>
            <w:gridSpan w:val="4"/>
          </w:tcPr>
          <w:p>
            <w:pPr>
              <w:jc w:val="right"/>
              <w:ind w:right="240"/>
              <w:spacing w:after="0"/>
              <w:rPr>
                <w:sz w:val="20"/>
                <w:szCs w:val="20"/>
                <w:color w:val="auto"/>
              </w:rPr>
            </w:pPr>
            <w:r>
              <w:rPr>
                <w:rFonts w:ascii="Arial" w:cs="Arial" w:eastAsia="Arial" w:hAnsi="Arial"/>
                <w:sz w:val="17"/>
                <w:szCs w:val="17"/>
                <w:color w:val="auto"/>
              </w:rPr>
              <w:t>(43)</w:t>
            </w:r>
          </w:p>
        </w:tc>
        <w:tc>
          <w:tcPr>
            <w:tcW w:w="2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7"/>
                <w:szCs w:val="17"/>
                <w:color w:val="auto"/>
              </w:rPr>
              <w:t>(49)</w:t>
            </w:r>
          </w:p>
        </w:tc>
        <w:tc>
          <w:tcPr>
            <w:tcW w:w="620" w:type="dxa"/>
            <w:vAlign w:val="bottom"/>
            <w:gridSpan w:val="4"/>
          </w:tcPr>
          <w:p>
            <w:pPr>
              <w:jc w:val="right"/>
              <w:ind w:right="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Capitalized software expenditures</w:t>
            </w:r>
          </w:p>
        </w:tc>
        <w:tc>
          <w:tcPr>
            <w:tcW w:w="220" w:type="dxa"/>
            <w:vAlign w:val="bottom"/>
            <w:shd w:val="clear" w:color="auto" w:fill="CCDEF1"/>
          </w:tcPr>
          <w:p>
            <w:pPr>
              <w:spacing w:after="0"/>
              <w:rPr>
                <w:sz w:val="16"/>
                <w:szCs w:val="16"/>
                <w:color w:val="auto"/>
              </w:rPr>
            </w:pPr>
          </w:p>
        </w:tc>
        <w:tc>
          <w:tcPr>
            <w:tcW w:w="700" w:type="dxa"/>
            <w:vAlign w:val="bottom"/>
            <w:gridSpan w:val="3"/>
            <w:shd w:val="clear" w:color="auto" w:fill="CCDEF1"/>
          </w:tcPr>
          <w:p>
            <w:pPr>
              <w:jc w:val="right"/>
              <w:ind w:right="240"/>
              <w:spacing w:after="0" w:line="189" w:lineRule="exact"/>
              <w:rPr>
                <w:sz w:val="20"/>
                <w:szCs w:val="20"/>
                <w:color w:val="auto"/>
              </w:rPr>
            </w:pPr>
            <w:r>
              <w:rPr>
                <w:rFonts w:ascii="Arial" w:cs="Arial" w:eastAsia="Arial" w:hAnsi="Arial"/>
                <w:sz w:val="17"/>
                <w:szCs w:val="17"/>
                <w:color w:val="auto"/>
              </w:rPr>
              <w:t>(1)</w:t>
            </w:r>
          </w:p>
        </w:tc>
        <w:tc>
          <w:tcPr>
            <w:tcW w:w="20" w:type="dxa"/>
            <w:vAlign w:val="bottom"/>
            <w:shd w:val="clear" w:color="auto" w:fill="CCDEF1"/>
          </w:tcPr>
          <w:p>
            <w:pPr>
              <w:spacing w:after="0"/>
              <w:rPr>
                <w:sz w:val="16"/>
                <w:szCs w:val="16"/>
                <w:color w:val="auto"/>
              </w:rPr>
            </w:pPr>
          </w:p>
        </w:tc>
        <w:tc>
          <w:tcPr>
            <w:tcW w:w="800" w:type="dxa"/>
            <w:vAlign w:val="bottom"/>
            <w:tcBorders>
              <w:right w:val="single" w:sz="8" w:color="CCDEF1"/>
            </w:tcBorders>
            <w:gridSpan w:val="3"/>
            <w:shd w:val="clear" w:color="auto" w:fill="CCDEF1"/>
          </w:tcPr>
          <w:p>
            <w:pPr>
              <w:jc w:val="right"/>
              <w:ind w:right="200"/>
              <w:spacing w:after="0" w:line="189" w:lineRule="exact"/>
              <w:rPr>
                <w:sz w:val="20"/>
                <w:szCs w:val="20"/>
                <w:color w:val="auto"/>
              </w:rPr>
            </w:pPr>
            <w:r>
              <w:rPr>
                <w:rFonts w:ascii="Arial" w:cs="Arial" w:eastAsia="Arial" w:hAnsi="Arial"/>
                <w:sz w:val="17"/>
                <w:szCs w:val="17"/>
                <w:color w:val="auto"/>
              </w:rPr>
              <w:t>(10)</w:t>
            </w:r>
          </w:p>
        </w:tc>
        <w:tc>
          <w:tcPr>
            <w:tcW w:w="62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660" w:type="dxa"/>
            <w:vAlign w:val="bottom"/>
          </w:tcPr>
          <w:p>
            <w:pPr>
              <w:spacing w:after="0"/>
              <w:rPr>
                <w:sz w:val="20"/>
                <w:szCs w:val="20"/>
                <w:color w:val="auto"/>
              </w:rPr>
            </w:pPr>
            <w:r>
              <w:rPr>
                <w:rFonts w:ascii="Arial" w:cs="Arial" w:eastAsia="Arial" w:hAnsi="Arial"/>
                <w:sz w:val="17"/>
                <w:szCs w:val="17"/>
                <w:color w:val="auto"/>
              </w:rPr>
              <w:t>Adjusted free cash flow</w:t>
            </w:r>
          </w:p>
        </w:tc>
        <w:tc>
          <w:tcPr>
            <w:tcW w:w="920" w:type="dxa"/>
            <w:vAlign w:val="bottom"/>
            <w:gridSpan w:val="4"/>
          </w:tcPr>
          <w:p>
            <w:pPr>
              <w:jc w:val="right"/>
              <w:ind w:right="300"/>
              <w:spacing w:after="0"/>
              <w:rPr>
                <w:sz w:val="20"/>
                <w:szCs w:val="20"/>
                <w:color w:val="auto"/>
              </w:rPr>
            </w:pPr>
            <w:r>
              <w:rPr>
                <w:rFonts w:ascii="Arial" w:cs="Arial" w:eastAsia="Arial" w:hAnsi="Arial"/>
                <w:sz w:val="17"/>
                <w:szCs w:val="17"/>
                <w:color w:val="auto"/>
              </w:rPr>
              <w:t>$ 759</w:t>
            </w:r>
          </w:p>
        </w:tc>
        <w:tc>
          <w:tcPr>
            <w:tcW w:w="20" w:type="dxa"/>
            <w:vAlign w:val="bottom"/>
          </w:tcPr>
          <w:p>
            <w:pPr>
              <w:spacing w:after="0"/>
              <w:rPr>
                <w:sz w:val="21"/>
                <w:szCs w:val="21"/>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7"/>
                <w:szCs w:val="17"/>
                <w:u w:val="single" w:color="auto"/>
                <w:color w:val="auto"/>
                <w:w w:val="99"/>
              </w:rPr>
              <w:t>$</w:t>
            </w:r>
            <w:r>
              <w:rPr>
                <w:rFonts w:ascii="Arial" w:cs="Arial" w:eastAsia="Arial" w:hAnsi="Arial"/>
                <w:sz w:val="17"/>
                <w:szCs w:val="17"/>
                <w:color w:val="auto"/>
                <w:w w:val="99"/>
              </w:rPr>
              <w:t>1,371</w:t>
            </w:r>
          </w:p>
        </w:tc>
        <w:tc>
          <w:tcPr>
            <w:tcW w:w="620" w:type="dxa"/>
            <w:vAlign w:val="bottom"/>
            <w:gridSpan w:val="4"/>
          </w:tcPr>
          <w:p>
            <w:pPr>
              <w:jc w:val="right"/>
              <w:ind w:right="120"/>
              <w:spacing w:after="0"/>
              <w:rPr>
                <w:sz w:val="20"/>
                <w:szCs w:val="20"/>
                <w:color w:val="auto"/>
              </w:rPr>
            </w:pPr>
            <w:r>
              <w:rPr>
                <w:rFonts w:ascii="Arial" w:cs="Arial" w:eastAsia="Arial" w:hAnsi="Arial"/>
                <w:sz w:val="17"/>
                <w:szCs w:val="17"/>
                <w:u w:val="single" w:color="auto"/>
                <w:color w:val="auto"/>
                <w:w w:val="92"/>
              </w:rPr>
              <w:t>$</w:t>
            </w:r>
            <w:r>
              <w:rPr>
                <w:rFonts w:ascii="Arial" w:cs="Arial" w:eastAsia="Arial" w:hAnsi="Arial"/>
                <w:sz w:val="17"/>
                <w:szCs w:val="17"/>
                <w:color w:val="auto"/>
                <w:w w:val="92"/>
              </w:rPr>
              <w:t>1,962</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Table 4: 2023 Adjusted net earnings reconciliation ($M)</w:t>
            </w: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6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660" w:type="dxa"/>
            <w:vAlign w:val="bottom"/>
            <w:tcBorders>
              <w:bottom w:val="single" w:sz="8" w:color="CCDEF1"/>
            </w:tcBorders>
          </w:tcPr>
          <w:p>
            <w:pPr>
              <w:spacing w:after="0"/>
              <w:rPr>
                <w:sz w:val="24"/>
                <w:szCs w:val="24"/>
                <w:color w:val="auto"/>
              </w:rPr>
            </w:pPr>
          </w:p>
        </w:tc>
        <w:tc>
          <w:tcPr>
            <w:tcW w:w="220" w:type="dxa"/>
            <w:vAlign w:val="bottom"/>
            <w:tcBorders>
              <w:bottom w:val="single" w:sz="8" w:color="CCDEF1"/>
            </w:tcBorders>
          </w:tcPr>
          <w:p>
            <w:pPr>
              <w:spacing w:after="0"/>
              <w:rPr>
                <w:sz w:val="24"/>
                <w:szCs w:val="24"/>
                <w:color w:val="auto"/>
              </w:rPr>
            </w:pPr>
          </w:p>
        </w:tc>
        <w:tc>
          <w:tcPr>
            <w:tcW w:w="160" w:type="dxa"/>
            <w:vAlign w:val="bottom"/>
            <w:tcBorders>
              <w:bottom w:val="single" w:sz="8" w:color="CCDEF1"/>
            </w:tcBorders>
          </w:tcPr>
          <w:p>
            <w:pPr>
              <w:spacing w:after="0"/>
              <w:rPr>
                <w:sz w:val="24"/>
                <w:szCs w:val="24"/>
                <w:color w:val="auto"/>
              </w:rPr>
            </w:pPr>
          </w:p>
        </w:tc>
        <w:tc>
          <w:tcPr>
            <w:tcW w:w="240" w:type="dxa"/>
            <w:vAlign w:val="bottom"/>
            <w:tcBorders>
              <w:bottom w:val="single" w:sz="8" w:color="CCDEF1"/>
            </w:tcBorders>
          </w:tcPr>
          <w:p>
            <w:pPr>
              <w:spacing w:after="0"/>
              <w:rPr>
                <w:sz w:val="24"/>
                <w:szCs w:val="24"/>
                <w:color w:val="auto"/>
              </w:rPr>
            </w:pPr>
          </w:p>
        </w:tc>
        <w:tc>
          <w:tcPr>
            <w:tcW w:w="300" w:type="dxa"/>
            <w:vAlign w:val="bottom"/>
            <w:tcBorders>
              <w:bottom w:val="single" w:sz="8" w:color="CCDEF1"/>
            </w:tcBorders>
          </w:tcPr>
          <w:p>
            <w:pPr>
              <w:spacing w:after="0"/>
              <w:rPr>
                <w:sz w:val="24"/>
                <w:szCs w:val="24"/>
                <w:color w:val="auto"/>
              </w:rPr>
            </w:pPr>
          </w:p>
        </w:tc>
        <w:tc>
          <w:tcPr>
            <w:tcW w:w="20" w:type="dxa"/>
            <w:vAlign w:val="bottom"/>
            <w:tcBorders>
              <w:bottom w:val="single" w:sz="8" w:color="CCDEF1"/>
            </w:tcBorders>
          </w:tcPr>
          <w:p>
            <w:pPr>
              <w:spacing w:after="0"/>
              <w:rPr>
                <w:sz w:val="24"/>
                <w:szCs w:val="24"/>
                <w:color w:val="auto"/>
              </w:rPr>
            </w:pPr>
          </w:p>
        </w:tc>
        <w:tc>
          <w:tcPr>
            <w:tcW w:w="260" w:type="dxa"/>
            <w:vAlign w:val="bottom"/>
            <w:tcBorders>
              <w:bottom w:val="single" w:sz="8" w:color="CCDEF1"/>
            </w:tcBorders>
          </w:tcPr>
          <w:p>
            <w:pPr>
              <w:spacing w:after="0"/>
              <w:rPr>
                <w:sz w:val="24"/>
                <w:szCs w:val="24"/>
                <w:color w:val="auto"/>
              </w:rPr>
            </w:pPr>
          </w:p>
        </w:tc>
        <w:tc>
          <w:tcPr>
            <w:tcW w:w="280" w:type="dxa"/>
            <w:vAlign w:val="bottom"/>
            <w:tcBorders>
              <w:bottom w:val="single" w:sz="8" w:color="CCDEF1"/>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4"/>
                <w:szCs w:val="14"/>
                <w:color w:val="auto"/>
                <w:w w:val="76"/>
              </w:rPr>
              <w:t>2023</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60" w:type="dxa"/>
            <w:vAlign w:val="bottom"/>
            <w:shd w:val="clear" w:color="auto" w:fill="CCDEF1"/>
          </w:tcPr>
          <w:p>
            <w:pPr>
              <w:spacing w:after="0"/>
              <w:rPr>
                <w:sz w:val="20"/>
                <w:szCs w:val="20"/>
                <w:color w:val="auto"/>
              </w:rPr>
            </w:pPr>
            <w:r>
              <w:rPr>
                <w:rFonts w:ascii="Arial" w:cs="Arial" w:eastAsia="Arial" w:hAnsi="Arial"/>
                <w:sz w:val="17"/>
                <w:szCs w:val="17"/>
                <w:color w:val="auto"/>
              </w:rPr>
              <w:t>GAAP net earnings</w:t>
            </w:r>
          </w:p>
        </w:tc>
        <w:tc>
          <w:tcPr>
            <w:tcW w:w="220" w:type="dxa"/>
            <w:vAlign w:val="bottom"/>
            <w:shd w:val="clear" w:color="auto" w:fill="CCDEF1"/>
          </w:tcPr>
          <w:p>
            <w:pPr>
              <w:spacing w:after="0"/>
              <w:rPr>
                <w:sz w:val="19"/>
                <w:szCs w:val="19"/>
                <w:color w:val="auto"/>
              </w:rPr>
            </w:pPr>
          </w:p>
        </w:tc>
        <w:tc>
          <w:tcPr>
            <w:tcW w:w="160" w:type="dxa"/>
            <w:vAlign w:val="bottom"/>
            <w:shd w:val="clear" w:color="auto" w:fill="CCDEF1"/>
          </w:tcPr>
          <w:p>
            <w:pPr>
              <w:spacing w:after="0"/>
              <w:rPr>
                <w:sz w:val="19"/>
                <w:szCs w:val="19"/>
                <w:color w:val="auto"/>
              </w:rPr>
            </w:pPr>
          </w:p>
        </w:tc>
        <w:tc>
          <w:tcPr>
            <w:tcW w:w="240" w:type="dxa"/>
            <w:vAlign w:val="bottom"/>
            <w:shd w:val="clear" w:color="auto" w:fill="CCDEF1"/>
          </w:tcPr>
          <w:p>
            <w:pPr>
              <w:spacing w:after="0"/>
              <w:rPr>
                <w:sz w:val="19"/>
                <w:szCs w:val="19"/>
                <w:color w:val="auto"/>
              </w:rPr>
            </w:pPr>
          </w:p>
        </w:tc>
        <w:tc>
          <w:tcPr>
            <w:tcW w:w="300" w:type="dxa"/>
            <w:vAlign w:val="bottom"/>
            <w:shd w:val="clear" w:color="auto" w:fill="CCDEF1"/>
          </w:tcPr>
          <w:p>
            <w:pPr>
              <w:spacing w:after="0"/>
              <w:rPr>
                <w:sz w:val="19"/>
                <w:szCs w:val="19"/>
                <w:color w:val="auto"/>
              </w:rPr>
            </w:pPr>
          </w:p>
        </w:tc>
        <w:tc>
          <w:tcPr>
            <w:tcW w:w="20" w:type="dxa"/>
            <w:vAlign w:val="bottom"/>
            <w:shd w:val="clear" w:color="auto" w:fill="CCDEF1"/>
          </w:tcPr>
          <w:p>
            <w:pPr>
              <w:spacing w:after="0"/>
              <w:rPr>
                <w:sz w:val="19"/>
                <w:szCs w:val="19"/>
                <w:color w:val="auto"/>
              </w:rPr>
            </w:pPr>
          </w:p>
        </w:tc>
        <w:tc>
          <w:tcPr>
            <w:tcW w:w="260" w:type="dxa"/>
            <w:vAlign w:val="bottom"/>
            <w:shd w:val="clear" w:color="auto" w:fill="CCDEF1"/>
          </w:tcPr>
          <w:p>
            <w:pPr>
              <w:spacing w:after="0"/>
              <w:rPr>
                <w:sz w:val="19"/>
                <w:szCs w:val="19"/>
                <w:color w:val="auto"/>
              </w:rPr>
            </w:pPr>
          </w:p>
        </w:tc>
        <w:tc>
          <w:tcPr>
            <w:tcW w:w="280" w:type="dxa"/>
            <w:vAlign w:val="bottom"/>
            <w:tcBorders>
              <w:right w:val="single" w:sz="8" w:color="CCDEF1"/>
            </w:tcBorders>
            <w:shd w:val="clear" w:color="auto" w:fill="CCDEF1"/>
          </w:tcPr>
          <w:p>
            <w:pPr>
              <w:spacing w:after="0"/>
              <w:rPr>
                <w:sz w:val="19"/>
                <w:szCs w:val="19"/>
                <w:color w:val="auto"/>
              </w:rPr>
            </w:pPr>
          </w:p>
        </w:tc>
        <w:tc>
          <w:tcPr>
            <w:tcW w:w="260" w:type="dxa"/>
            <w:vAlign w:val="bottom"/>
            <w:tcBorders>
              <w:right w:val="single" w:sz="8" w:color="CCDEF1"/>
            </w:tcBorders>
            <w:shd w:val="clear" w:color="auto" w:fill="CCDEF1"/>
          </w:tcPr>
          <w:p>
            <w:pPr>
              <w:spacing w:after="0"/>
              <w:rPr>
                <w:sz w:val="19"/>
                <w:szCs w:val="19"/>
                <w:color w:val="auto"/>
              </w:rPr>
            </w:pPr>
          </w:p>
        </w:tc>
        <w:tc>
          <w:tcPr>
            <w:tcW w:w="620" w:type="dxa"/>
            <w:vAlign w:val="bottom"/>
            <w:gridSpan w:val="4"/>
            <w:shd w:val="clear" w:color="auto" w:fill="CCDEF1"/>
          </w:tcPr>
          <w:p>
            <w:pPr>
              <w:jc w:val="right"/>
              <w:ind w:right="120"/>
              <w:spacing w:after="0"/>
              <w:rPr>
                <w:sz w:val="20"/>
                <w:szCs w:val="20"/>
                <w:color w:val="auto"/>
              </w:rPr>
            </w:pPr>
            <w:r>
              <w:rPr>
                <w:rFonts w:ascii="Arial" w:cs="Arial" w:eastAsia="Arial" w:hAnsi="Arial"/>
                <w:sz w:val="17"/>
                <w:szCs w:val="17"/>
                <w:color w:val="auto"/>
                <w:w w:val="84"/>
              </w:rPr>
              <w:t>$ 1,368</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Restructuring-related expenses associated with the Syntellis acquisition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Transaction-related expenses for completed acquisitions</w:t>
            </w:r>
          </w:p>
        </w:tc>
        <w:tc>
          <w:tcPr>
            <w:tcW w:w="22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40" w:type="dxa"/>
            <w:vAlign w:val="bottom"/>
            <w:shd w:val="clear" w:color="auto" w:fill="CCDEF1"/>
          </w:tcPr>
          <w:p>
            <w:pPr>
              <w:spacing w:after="0"/>
              <w:rPr>
                <w:sz w:val="16"/>
                <w:szCs w:val="16"/>
                <w:color w:val="auto"/>
              </w:rPr>
            </w:pPr>
          </w:p>
        </w:tc>
        <w:tc>
          <w:tcPr>
            <w:tcW w:w="30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280" w:type="dxa"/>
            <w:vAlign w:val="bottom"/>
            <w:tcBorders>
              <w:right w:val="single" w:sz="8" w:color="CCDEF1"/>
            </w:tcBorders>
            <w:shd w:val="clear" w:color="auto" w:fill="CCDEF1"/>
          </w:tcPr>
          <w:p>
            <w:pPr>
              <w:spacing w:after="0"/>
              <w:rPr>
                <w:sz w:val="16"/>
                <w:szCs w:val="16"/>
                <w:color w:val="auto"/>
              </w:rPr>
            </w:pPr>
          </w:p>
        </w:tc>
        <w:tc>
          <w:tcPr>
            <w:tcW w:w="260" w:type="dxa"/>
            <w:vAlign w:val="bottom"/>
            <w:tcBorders>
              <w:right w:val="single" w:sz="8" w:color="CCDEF1"/>
            </w:tcBorders>
            <w:shd w:val="clear" w:color="auto" w:fill="CCDEF1"/>
          </w:tcPr>
          <w:p>
            <w:pPr>
              <w:spacing w:after="0"/>
              <w:rPr>
                <w:sz w:val="16"/>
                <w:szCs w:val="16"/>
                <w:color w:val="auto"/>
              </w:rPr>
            </w:pPr>
          </w:p>
        </w:tc>
        <w:tc>
          <w:tcPr>
            <w:tcW w:w="62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Financial impacts associated with the minority investments in Indicor &amp; Certinia</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Gain on sale of non-operating assets</w:t>
            </w:r>
          </w:p>
        </w:tc>
        <w:tc>
          <w:tcPr>
            <w:tcW w:w="22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40" w:type="dxa"/>
            <w:vAlign w:val="bottom"/>
            <w:shd w:val="clear" w:color="auto" w:fill="CCDEF1"/>
          </w:tcPr>
          <w:p>
            <w:pPr>
              <w:spacing w:after="0"/>
              <w:rPr>
                <w:sz w:val="16"/>
                <w:szCs w:val="16"/>
                <w:color w:val="auto"/>
              </w:rPr>
            </w:pPr>
          </w:p>
        </w:tc>
        <w:tc>
          <w:tcPr>
            <w:tcW w:w="30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280" w:type="dxa"/>
            <w:vAlign w:val="bottom"/>
            <w:tcBorders>
              <w:right w:val="single" w:sz="8" w:color="CCDEF1"/>
            </w:tcBorders>
            <w:shd w:val="clear" w:color="auto" w:fill="CCDEF1"/>
          </w:tcPr>
          <w:p>
            <w:pPr>
              <w:spacing w:after="0"/>
              <w:rPr>
                <w:sz w:val="16"/>
                <w:szCs w:val="16"/>
                <w:color w:val="auto"/>
              </w:rPr>
            </w:pPr>
          </w:p>
        </w:tc>
        <w:tc>
          <w:tcPr>
            <w:tcW w:w="260" w:type="dxa"/>
            <w:vAlign w:val="bottom"/>
            <w:tcBorders>
              <w:right w:val="single" w:sz="8" w:color="CCDEF1"/>
            </w:tcBorders>
            <w:shd w:val="clear" w:color="auto" w:fill="CCDEF1"/>
          </w:tcPr>
          <w:p>
            <w:pPr>
              <w:spacing w:after="0"/>
              <w:rPr>
                <w:sz w:val="16"/>
                <w:szCs w:val="16"/>
                <w:color w:val="auto"/>
              </w:rPr>
            </w:pPr>
          </w:p>
        </w:tc>
        <w:tc>
          <w:tcPr>
            <w:tcW w:w="62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Amortization of acquisition-related intangible assets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4"/>
          </w:tcPr>
          <w:p>
            <w:pPr>
              <w:jc w:val="right"/>
              <w:ind w:right="120"/>
              <w:spacing w:after="0" w:line="189" w:lineRule="exact"/>
              <w:rPr>
                <w:sz w:val="20"/>
                <w:szCs w:val="20"/>
                <w:color w:val="auto"/>
              </w:rPr>
            </w:pPr>
            <w:r>
              <w:rPr>
                <w:rFonts w:ascii="Arial" w:cs="Arial" w:eastAsia="Arial" w:hAnsi="Arial"/>
                <w:sz w:val="17"/>
                <w:szCs w:val="17"/>
                <w:color w:val="auto"/>
              </w:rPr>
              <w:t>552</w:t>
            </w:r>
          </w:p>
        </w:tc>
        <w:tc>
          <w:tcPr>
            <w:tcW w:w="0" w:type="dxa"/>
            <w:vAlign w:val="bottom"/>
          </w:tcPr>
          <w:p>
            <w:pPr>
              <w:spacing w:after="0"/>
              <w:rPr>
                <w:sz w:val="1"/>
                <w:szCs w:val="1"/>
                <w:color w:val="auto"/>
              </w:rPr>
            </w:pPr>
          </w:p>
        </w:tc>
      </w:tr>
      <w:tr>
        <w:trPr>
          <w:trHeight w:val="27"/>
        </w:trPr>
        <w:tc>
          <w:tcPr>
            <w:tcW w:w="8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660" w:type="dxa"/>
            <w:vAlign w:val="bottom"/>
            <w:shd w:val="clear" w:color="auto" w:fill="CCDEF1"/>
          </w:tcPr>
          <w:p>
            <w:pPr>
              <w:spacing w:after="0" w:line="189" w:lineRule="exact"/>
              <w:rPr>
                <w:sz w:val="20"/>
                <w:szCs w:val="20"/>
                <w:color w:val="auto"/>
              </w:rPr>
            </w:pPr>
            <w:r>
              <w:rPr>
                <w:rFonts w:ascii="Arial" w:cs="Arial" w:eastAsia="Arial" w:hAnsi="Arial"/>
                <w:sz w:val="17"/>
                <w:szCs w:val="17"/>
                <w:color w:val="auto"/>
              </w:rPr>
              <w:t>Adjusted net earnings</w:t>
            </w:r>
          </w:p>
        </w:tc>
        <w:tc>
          <w:tcPr>
            <w:tcW w:w="22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40" w:type="dxa"/>
            <w:vAlign w:val="bottom"/>
            <w:shd w:val="clear" w:color="auto" w:fill="CCDEF1"/>
          </w:tcPr>
          <w:p>
            <w:pPr>
              <w:spacing w:after="0"/>
              <w:rPr>
                <w:sz w:val="16"/>
                <w:szCs w:val="16"/>
                <w:color w:val="auto"/>
              </w:rPr>
            </w:pPr>
          </w:p>
        </w:tc>
        <w:tc>
          <w:tcPr>
            <w:tcW w:w="30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280" w:type="dxa"/>
            <w:vAlign w:val="bottom"/>
            <w:tcBorders>
              <w:right w:val="single" w:sz="8" w:color="CCDEF1"/>
            </w:tcBorders>
            <w:shd w:val="clear" w:color="auto" w:fill="CCDEF1"/>
          </w:tcPr>
          <w:p>
            <w:pPr>
              <w:spacing w:after="0"/>
              <w:rPr>
                <w:sz w:val="16"/>
                <w:szCs w:val="16"/>
                <w:color w:val="auto"/>
              </w:rPr>
            </w:pPr>
          </w:p>
        </w:tc>
        <w:tc>
          <w:tcPr>
            <w:tcW w:w="260" w:type="dxa"/>
            <w:vAlign w:val="bottom"/>
            <w:tcBorders>
              <w:right w:val="single" w:sz="8" w:color="CCDEF1"/>
            </w:tcBorders>
            <w:shd w:val="clear" w:color="auto" w:fill="CCDEF1"/>
          </w:tcPr>
          <w:p>
            <w:pPr>
              <w:spacing w:after="0"/>
              <w:rPr>
                <w:sz w:val="16"/>
                <w:szCs w:val="16"/>
                <w:color w:val="auto"/>
              </w:rPr>
            </w:pPr>
          </w:p>
        </w:tc>
        <w:tc>
          <w:tcPr>
            <w:tcW w:w="620" w:type="dxa"/>
            <w:vAlign w:val="bottom"/>
            <w:gridSpan w:val="4"/>
            <w:shd w:val="clear" w:color="auto" w:fill="CCDEF1"/>
          </w:tcPr>
          <w:p>
            <w:pPr>
              <w:jc w:val="right"/>
              <w:ind w:right="120"/>
              <w:spacing w:after="0" w:line="189" w:lineRule="exact"/>
              <w:rPr>
                <w:sz w:val="20"/>
                <w:szCs w:val="20"/>
                <w:color w:val="auto"/>
              </w:rPr>
            </w:pPr>
            <w:r>
              <w:rPr>
                <w:rFonts w:ascii="Arial" w:cs="Arial" w:eastAsia="Arial" w:hAnsi="Arial"/>
                <w:sz w:val="17"/>
                <w:szCs w:val="17"/>
                <w:color w:val="auto"/>
                <w:w w:val="84"/>
              </w:rPr>
              <w:t>$ 1,795</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Table 5: 2023 Revenue reconciliation ($M)</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8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8660" w:type="dxa"/>
            <w:vAlign w:val="bottom"/>
          </w:tcPr>
          <w:p>
            <w:pPr>
              <w:spacing w:after="0"/>
              <w:rPr>
                <w:sz w:val="20"/>
                <w:szCs w:val="20"/>
                <w:color w:val="auto"/>
              </w:rPr>
            </w:pPr>
            <w:r>
              <w:rPr>
                <w:rFonts w:ascii="Arial" w:cs="Arial" w:eastAsia="Arial" w:hAnsi="Arial"/>
                <w:sz w:val="17"/>
                <w:szCs w:val="17"/>
                <w:color w:val="auto"/>
              </w:rPr>
              <w:t>(From continuing operations)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8660" w:type="dxa"/>
            <w:vAlign w:val="bottom"/>
            <w:tcBorders>
              <w:bottom w:val="single" w:sz="8" w:color="CCDEF1"/>
            </w:tcBorders>
          </w:tcPr>
          <w:p>
            <w:pPr>
              <w:spacing w:after="0"/>
              <w:rPr>
                <w:sz w:val="24"/>
                <w:szCs w:val="24"/>
                <w:color w:val="auto"/>
              </w:rPr>
            </w:pPr>
          </w:p>
        </w:tc>
        <w:tc>
          <w:tcPr>
            <w:tcW w:w="380" w:type="dxa"/>
            <w:vAlign w:val="bottom"/>
            <w:tcBorders>
              <w:bottom w:val="single" w:sz="8" w:color="CCDEF1"/>
            </w:tcBorders>
            <w:gridSpan w:val="2"/>
          </w:tcPr>
          <w:p>
            <w:pPr>
              <w:spacing w:after="0"/>
              <w:rPr>
                <w:sz w:val="24"/>
                <w:szCs w:val="24"/>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2022</w:t>
            </w:r>
          </w:p>
        </w:tc>
        <w:tc>
          <w:tcPr>
            <w:tcW w:w="20" w:type="dxa"/>
            <w:vAlign w:val="bottom"/>
            <w:tcBorders>
              <w:bottom w:val="single" w:sz="8" w:color="CCDEF1"/>
            </w:tcBorders>
          </w:tcPr>
          <w:p>
            <w:pPr>
              <w:spacing w:after="0"/>
              <w:rPr>
                <w:sz w:val="24"/>
                <w:szCs w:val="24"/>
                <w:color w:val="auto"/>
              </w:rPr>
            </w:pPr>
          </w:p>
        </w:tc>
        <w:tc>
          <w:tcPr>
            <w:tcW w:w="260" w:type="dxa"/>
            <w:vAlign w:val="bottom"/>
            <w:tcBorders>
              <w:bottom w:val="single" w:sz="8" w:color="CCDEF1"/>
            </w:tcBorders>
          </w:tcPr>
          <w:p>
            <w:pPr>
              <w:spacing w:after="0"/>
              <w:rPr>
                <w:sz w:val="24"/>
                <w:szCs w:val="24"/>
                <w:color w:val="auto"/>
              </w:rPr>
            </w:pPr>
          </w:p>
        </w:tc>
        <w:tc>
          <w:tcPr>
            <w:tcW w:w="5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2023</w:t>
            </w:r>
          </w:p>
        </w:tc>
        <w:tc>
          <w:tcPr>
            <w:tcW w:w="160" w:type="dxa"/>
            <w:vAlign w:val="bottom"/>
            <w:tcBorders>
              <w:bottom w:val="single" w:sz="8" w:color="CCDEF1"/>
            </w:tcBorders>
          </w:tcPr>
          <w:p>
            <w:pPr>
              <w:spacing w:after="0"/>
              <w:rPr>
                <w:sz w:val="24"/>
                <w:szCs w:val="2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w:t>
            </w:r>
          </w:p>
        </w:tc>
        <w:tc>
          <w:tcPr>
            <w:tcW w:w="220" w:type="dxa"/>
            <w:vAlign w:val="bottom"/>
            <w:tcBorders>
              <w:bottom w:val="single" w:sz="8" w:color="CCDEF1"/>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660" w:type="dxa"/>
            <w:vAlign w:val="bottom"/>
            <w:shd w:val="clear" w:color="auto" w:fill="CCDEF1"/>
          </w:tcPr>
          <w:p>
            <w:pPr>
              <w:spacing w:after="0" w:line="183" w:lineRule="exact"/>
              <w:rPr>
                <w:sz w:val="20"/>
                <w:szCs w:val="20"/>
                <w:color w:val="auto"/>
              </w:rPr>
            </w:pPr>
            <w:r>
              <w:rPr>
                <w:rFonts w:ascii="Arial" w:cs="Arial" w:eastAsia="Arial" w:hAnsi="Arial"/>
                <w:sz w:val="17"/>
                <w:szCs w:val="17"/>
                <w:color w:val="auto"/>
              </w:rPr>
              <w:t>GAAP revenue</w:t>
            </w:r>
          </w:p>
        </w:tc>
        <w:tc>
          <w:tcPr>
            <w:tcW w:w="380" w:type="dxa"/>
            <w:vAlign w:val="bottom"/>
            <w:gridSpan w:val="2"/>
            <w:shd w:val="clear" w:color="auto" w:fill="CCDEF1"/>
          </w:tcPr>
          <w:p>
            <w:pPr>
              <w:spacing w:after="0"/>
              <w:rPr>
                <w:sz w:val="15"/>
                <w:szCs w:val="15"/>
                <w:color w:val="auto"/>
              </w:rPr>
            </w:pPr>
          </w:p>
        </w:tc>
        <w:tc>
          <w:tcPr>
            <w:tcW w:w="540" w:type="dxa"/>
            <w:vAlign w:val="bottom"/>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$5,372</w:t>
            </w:r>
          </w:p>
        </w:tc>
        <w:tc>
          <w:tcPr>
            <w:tcW w:w="20" w:type="dxa"/>
            <w:vAlign w:val="bottom"/>
            <w:shd w:val="clear" w:color="auto" w:fill="CCDEF1"/>
          </w:tcPr>
          <w:p>
            <w:pPr>
              <w:spacing w:after="0"/>
              <w:rPr>
                <w:sz w:val="15"/>
                <w:szCs w:val="15"/>
                <w:color w:val="auto"/>
              </w:rPr>
            </w:pPr>
          </w:p>
        </w:tc>
        <w:tc>
          <w:tcPr>
            <w:tcW w:w="260" w:type="dxa"/>
            <w:vAlign w:val="bottom"/>
            <w:shd w:val="clear" w:color="auto" w:fill="CCDEF1"/>
          </w:tcPr>
          <w:p>
            <w:pPr>
              <w:spacing w:after="0"/>
              <w:rPr>
                <w:sz w:val="15"/>
                <w:szCs w:val="15"/>
                <w:color w:val="auto"/>
              </w:rPr>
            </w:pPr>
          </w:p>
        </w:tc>
        <w:tc>
          <w:tcPr>
            <w:tcW w:w="540" w:type="dxa"/>
            <w:vAlign w:val="bottom"/>
            <w:tcBorders>
              <w:right w:val="single" w:sz="8" w:color="CCDEF1"/>
            </w:tcBorders>
            <w:gridSpan w:val="2"/>
            <w:shd w:val="clear" w:color="auto" w:fill="CCDEF1"/>
          </w:tcPr>
          <w:p>
            <w:pPr>
              <w:jc w:val="right"/>
              <w:spacing w:after="0" w:line="183" w:lineRule="exact"/>
              <w:rPr>
                <w:sz w:val="20"/>
                <w:szCs w:val="20"/>
                <w:color w:val="auto"/>
              </w:rPr>
            </w:pPr>
            <w:r>
              <w:rPr>
                <w:rFonts w:ascii="Arial" w:cs="Arial" w:eastAsia="Arial" w:hAnsi="Arial"/>
                <w:sz w:val="17"/>
                <w:szCs w:val="17"/>
                <w:color w:val="auto"/>
                <w:w w:val="99"/>
              </w:rPr>
              <w:t>$6,178</w:t>
            </w:r>
          </w:p>
        </w:tc>
        <w:tc>
          <w:tcPr>
            <w:tcW w:w="160" w:type="dxa"/>
            <w:vAlign w:val="bottom"/>
            <w:shd w:val="clear" w:color="auto" w:fill="CCDEF1"/>
          </w:tcPr>
          <w:p>
            <w:pPr>
              <w:spacing w:after="0"/>
              <w:rPr>
                <w:sz w:val="15"/>
                <w:szCs w:val="15"/>
                <w:color w:val="auto"/>
              </w:rPr>
            </w:pPr>
          </w:p>
        </w:tc>
        <w:tc>
          <w:tcPr>
            <w:tcW w:w="460" w:type="dxa"/>
            <w:vAlign w:val="bottom"/>
            <w:gridSpan w:val="3"/>
            <w:shd w:val="clear" w:color="auto" w:fill="CCDEF1"/>
          </w:tcPr>
          <w:p>
            <w:pPr>
              <w:jc w:val="right"/>
              <w:ind w:right="60"/>
              <w:spacing w:after="0" w:line="183"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Components of revenue growth</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Organic</w:t>
            </w:r>
          </w:p>
        </w:tc>
        <w:tc>
          <w:tcPr>
            <w:tcW w:w="22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40" w:type="dxa"/>
            <w:vAlign w:val="bottom"/>
            <w:shd w:val="clear" w:color="auto" w:fill="CCDEF1"/>
          </w:tcPr>
          <w:p>
            <w:pPr>
              <w:spacing w:after="0"/>
              <w:rPr>
                <w:sz w:val="16"/>
                <w:szCs w:val="16"/>
                <w:color w:val="auto"/>
              </w:rPr>
            </w:pPr>
          </w:p>
        </w:tc>
        <w:tc>
          <w:tcPr>
            <w:tcW w:w="30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280" w:type="dxa"/>
            <w:vAlign w:val="bottom"/>
            <w:tcBorders>
              <w:right w:val="single" w:sz="8" w:color="CCDEF1"/>
            </w:tcBorders>
            <w:shd w:val="clear" w:color="auto" w:fill="CCDEF1"/>
          </w:tcPr>
          <w:p>
            <w:pPr>
              <w:spacing w:after="0"/>
              <w:rPr>
                <w:sz w:val="16"/>
                <w:szCs w:val="16"/>
                <w:color w:val="auto"/>
              </w:rPr>
            </w:pPr>
          </w:p>
        </w:tc>
        <w:tc>
          <w:tcPr>
            <w:tcW w:w="260" w:type="dxa"/>
            <w:vAlign w:val="bottom"/>
            <w:tcBorders>
              <w:right w:val="single" w:sz="8" w:color="CCDEF1"/>
            </w:tcBorders>
            <w:shd w:val="clear" w:color="auto" w:fill="CCDEF1"/>
          </w:tcPr>
          <w:p>
            <w:pPr>
              <w:spacing w:after="0"/>
              <w:rPr>
                <w:sz w:val="16"/>
                <w:szCs w:val="16"/>
                <w:color w:val="auto"/>
              </w:rPr>
            </w:pPr>
          </w:p>
        </w:tc>
        <w:tc>
          <w:tcPr>
            <w:tcW w:w="620" w:type="dxa"/>
            <w:vAlign w:val="bottom"/>
            <w:gridSpan w:val="4"/>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8660" w:type="dxa"/>
            <w:vAlign w:val="bottom"/>
          </w:tcPr>
          <w:p>
            <w:pPr>
              <w:ind w:left="340"/>
              <w:spacing w:after="0" w:line="189" w:lineRule="exact"/>
              <w:rPr>
                <w:sz w:val="20"/>
                <w:szCs w:val="20"/>
                <w:color w:val="auto"/>
              </w:rPr>
            </w:pPr>
            <w:r>
              <w:rPr>
                <w:rFonts w:ascii="Arial" w:cs="Arial" w:eastAsia="Arial" w:hAnsi="Arial"/>
                <w:sz w:val="17"/>
                <w:szCs w:val="17"/>
                <w:color w:val="auto"/>
              </w:rPr>
              <w:t>Acquisitions/divestitures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gridSpan w:val="4"/>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8660" w:type="dxa"/>
            <w:vAlign w:val="bottom"/>
            <w:shd w:val="clear" w:color="auto" w:fill="CCDEF1"/>
          </w:tcPr>
          <w:p>
            <w:pPr>
              <w:ind w:left="340"/>
              <w:spacing w:after="0" w:line="189" w:lineRule="exact"/>
              <w:rPr>
                <w:sz w:val="20"/>
                <w:szCs w:val="20"/>
                <w:color w:val="auto"/>
              </w:rPr>
            </w:pPr>
            <w:r>
              <w:rPr>
                <w:rFonts w:ascii="Arial" w:cs="Arial" w:eastAsia="Arial" w:hAnsi="Arial"/>
                <w:sz w:val="17"/>
                <w:szCs w:val="17"/>
                <w:color w:val="auto"/>
              </w:rPr>
              <w:t>Foreign exchange</w:t>
            </w:r>
          </w:p>
        </w:tc>
        <w:tc>
          <w:tcPr>
            <w:tcW w:w="220" w:type="dxa"/>
            <w:vAlign w:val="bottom"/>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240" w:type="dxa"/>
            <w:vAlign w:val="bottom"/>
            <w:shd w:val="clear" w:color="auto" w:fill="CCDEF1"/>
          </w:tcPr>
          <w:p>
            <w:pPr>
              <w:spacing w:after="0"/>
              <w:rPr>
                <w:sz w:val="16"/>
                <w:szCs w:val="16"/>
                <w:color w:val="auto"/>
              </w:rPr>
            </w:pPr>
          </w:p>
        </w:tc>
        <w:tc>
          <w:tcPr>
            <w:tcW w:w="300" w:type="dxa"/>
            <w:vAlign w:val="bottom"/>
            <w:shd w:val="clear" w:color="auto" w:fill="CCDEF1"/>
          </w:tcPr>
          <w:p>
            <w:pPr>
              <w:spacing w:after="0"/>
              <w:rPr>
                <w:sz w:val="16"/>
                <w:szCs w:val="16"/>
                <w:color w:val="auto"/>
              </w:rPr>
            </w:pPr>
          </w:p>
        </w:tc>
        <w:tc>
          <w:tcPr>
            <w:tcW w:w="20" w:type="dxa"/>
            <w:vAlign w:val="bottom"/>
            <w:shd w:val="clear" w:color="auto" w:fill="CCDEF1"/>
          </w:tcPr>
          <w:p>
            <w:pPr>
              <w:spacing w:after="0"/>
              <w:rPr>
                <w:sz w:val="16"/>
                <w:szCs w:val="16"/>
                <w:color w:val="auto"/>
              </w:rPr>
            </w:pPr>
          </w:p>
        </w:tc>
        <w:tc>
          <w:tcPr>
            <w:tcW w:w="260" w:type="dxa"/>
            <w:vAlign w:val="bottom"/>
            <w:shd w:val="clear" w:color="auto" w:fill="CCDEF1"/>
          </w:tcPr>
          <w:p>
            <w:pPr>
              <w:spacing w:after="0"/>
              <w:rPr>
                <w:sz w:val="16"/>
                <w:szCs w:val="16"/>
                <w:color w:val="auto"/>
              </w:rPr>
            </w:pPr>
          </w:p>
        </w:tc>
        <w:tc>
          <w:tcPr>
            <w:tcW w:w="280" w:type="dxa"/>
            <w:vAlign w:val="bottom"/>
            <w:tcBorders>
              <w:right w:val="single" w:sz="8" w:color="CCDEF1"/>
            </w:tcBorders>
            <w:shd w:val="clear" w:color="auto" w:fill="CCDEF1"/>
          </w:tcPr>
          <w:p>
            <w:pPr>
              <w:spacing w:after="0"/>
              <w:rPr>
                <w:sz w:val="16"/>
                <w:szCs w:val="16"/>
                <w:color w:val="auto"/>
              </w:rPr>
            </w:pPr>
          </w:p>
        </w:tc>
        <w:tc>
          <w:tcPr>
            <w:tcW w:w="260" w:type="dxa"/>
            <w:vAlign w:val="bottom"/>
            <w:tcBorders>
              <w:right w:val="single" w:sz="8" w:color="CCDEF1"/>
            </w:tcBorders>
            <w:shd w:val="clear" w:color="auto" w:fill="CCDEF1"/>
          </w:tcPr>
          <w:p>
            <w:pPr>
              <w:spacing w:after="0"/>
              <w:rPr>
                <w:sz w:val="16"/>
                <w:szCs w:val="16"/>
                <w:color w:val="auto"/>
              </w:rPr>
            </w:pPr>
          </w:p>
        </w:tc>
        <w:tc>
          <w:tcPr>
            <w:tcW w:w="160" w:type="dxa"/>
            <w:vAlign w:val="bottom"/>
            <w:shd w:val="clear" w:color="auto" w:fill="CCDEF1"/>
          </w:tcPr>
          <w:p>
            <w:pPr>
              <w:spacing w:after="0"/>
              <w:rPr>
                <w:sz w:val="16"/>
                <w:szCs w:val="16"/>
                <w:color w:val="auto"/>
              </w:rPr>
            </w:pPr>
          </w:p>
        </w:tc>
        <w:tc>
          <w:tcPr>
            <w:tcW w:w="460" w:type="dxa"/>
            <w:vAlign w:val="bottom"/>
            <w:gridSpan w:val="3"/>
            <w:shd w:val="clear" w:color="auto" w:fill="CCDEF1"/>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660" w:type="dxa"/>
            <w:vAlign w:val="bottom"/>
            <w:vMerge w:val="restart"/>
          </w:tcPr>
          <w:p>
            <w:pPr>
              <w:spacing w:after="0"/>
              <w:rPr>
                <w:sz w:val="20"/>
                <w:szCs w:val="20"/>
                <w:color w:val="auto"/>
              </w:rPr>
            </w:pPr>
            <w:r>
              <w:rPr>
                <w:rFonts w:ascii="Arial" w:cs="Arial" w:eastAsia="Arial" w:hAnsi="Arial"/>
                <w:sz w:val="17"/>
                <w:szCs w:val="17"/>
                <w:color w:val="auto"/>
              </w:rPr>
              <w:t>Revenue growth</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Note: Numbers may not foot due to rounding.</w:t>
      </w:r>
    </w:p>
    <w:p>
      <w:pPr>
        <w:spacing w:after="0" w:line="164"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80" w:type="dxa"/>
            <w:vAlign w:val="bottom"/>
            <w:vMerge w:val="restart"/>
          </w:tcPr>
          <w:p>
            <w:pPr>
              <w:spacing w:after="0"/>
              <w:rPr>
                <w:sz w:val="20"/>
                <w:szCs w:val="20"/>
                <w:color w:val="auto"/>
              </w:rPr>
            </w:pPr>
            <w:r>
              <w:rPr>
                <w:rFonts w:ascii="Arial" w:cs="Arial" w:eastAsia="Arial" w:hAnsi="Arial"/>
                <w:sz w:val="16"/>
                <w:szCs w:val="16"/>
                <w:b w:val="1"/>
                <w:bCs w:val="1"/>
                <w:color w:val="005CB9"/>
              </w:rPr>
              <w:t>A-2</w:t>
            </w:r>
          </w:p>
        </w:tc>
        <w:tc>
          <w:tcPr>
            <w:tcW w:w="220" w:type="dxa"/>
            <w:vAlign w:val="bottom"/>
            <w:tcBorders>
              <w:right w:val="single" w:sz="8" w:color="005CB9"/>
            </w:tcBorders>
          </w:tcPr>
          <w:p>
            <w:pPr>
              <w:ind w:left="40"/>
              <w:spacing w:after="0"/>
              <w:rPr>
                <w:sz w:val="20"/>
                <w:szCs w:val="20"/>
                <w:color w:val="auto"/>
              </w:rPr>
            </w:pPr>
            <w:r>
              <w:rPr>
                <w:rFonts w:ascii="Arial" w:cs="Arial" w:eastAsia="Arial" w:hAnsi="Arial"/>
                <w:sz w:val="16"/>
                <w:szCs w:val="16"/>
                <w:b w:val="1"/>
                <w:bCs w:val="1"/>
                <w:color w:val="005CB9"/>
                <w:w w:val="87"/>
              </w:rPr>
              <w:t> </w:t>
            </w:r>
          </w:p>
        </w:tc>
        <w:tc>
          <w:tcPr>
            <w:tcW w:w="500" w:type="dxa"/>
            <w:vAlign w:val="bottom"/>
            <w:vMerge w:val="restart"/>
          </w:tcPr>
          <w:p>
            <w:pPr>
              <w:ind w:left="40"/>
              <w:spacing w:after="0"/>
              <w:rPr>
                <w:sz w:val="20"/>
                <w:szCs w:val="20"/>
                <w:color w:val="auto"/>
              </w:rPr>
            </w:pPr>
            <w:r>
              <w:rPr>
                <w:rFonts w:ascii="Arial" w:cs="Arial" w:eastAsia="Arial" w:hAnsi="Arial"/>
                <w:sz w:val="16"/>
                <w:szCs w:val="16"/>
                <w:b w:val="1"/>
                <w:bCs w:val="1"/>
                <w:color w:val="005CB9"/>
              </w:rPr>
              <w:t xml:space="preserve">  </w:t>
            </w:r>
          </w:p>
        </w:tc>
        <w:tc>
          <w:tcPr>
            <w:tcW w:w="4160" w:type="dxa"/>
            <w:vAlign w:val="bottom"/>
            <w:vMerge w:val="restart"/>
          </w:tcPr>
          <w:p>
            <w:pPr>
              <w:ind w:left="360"/>
              <w:spacing w:after="0"/>
              <w:rPr>
                <w:sz w:val="20"/>
                <w:szCs w:val="20"/>
                <w:color w:val="auto"/>
              </w:rPr>
            </w:pPr>
            <w:r>
              <w:rPr>
                <w:rFonts w:ascii="Arial" w:cs="Arial" w:eastAsia="Arial" w:hAnsi="Arial"/>
                <w:sz w:val="16"/>
                <w:szCs w:val="16"/>
                <w:b w:val="1"/>
                <w:bCs w:val="1"/>
                <w:color w:val="005CB9"/>
                <w:w w:val="97"/>
              </w:rPr>
              <w:t>   Roper Technologies, Inc. 2024 Proxy Statement</w:t>
            </w:r>
          </w:p>
        </w:tc>
        <w:tc>
          <w:tcPr>
            <w:tcW w:w="0" w:type="dxa"/>
            <w:vAlign w:val="bottom"/>
          </w:tcPr>
          <w:p>
            <w:pPr>
              <w:spacing w:after="0"/>
              <w:rPr>
                <w:sz w:val="1"/>
                <w:szCs w:val="1"/>
                <w:color w:val="auto"/>
              </w:rPr>
            </w:pPr>
          </w:p>
        </w:tc>
      </w:tr>
      <w:tr>
        <w:trPr>
          <w:trHeight w:val="60"/>
        </w:trPr>
        <w:tc>
          <w:tcPr>
            <w:tcW w:w="280" w:type="dxa"/>
            <w:vAlign w:val="bottom"/>
            <w:vMerge w:val="continue"/>
          </w:tcPr>
          <w:p>
            <w:pPr>
              <w:spacing w:after="0"/>
              <w:rPr>
                <w:sz w:val="5"/>
                <w:szCs w:val="5"/>
                <w:color w:val="auto"/>
              </w:rPr>
            </w:pPr>
          </w:p>
        </w:tc>
        <w:tc>
          <w:tcPr>
            <w:tcW w:w="220" w:type="dxa"/>
            <w:vAlign w:val="bottom"/>
            <w:tcBorders>
              <w:right w:val="single" w:sz="8" w:color="005CB9"/>
            </w:tcBorders>
          </w:tcPr>
          <w:p>
            <w:pPr>
              <w:spacing w:after="0"/>
              <w:rPr>
                <w:sz w:val="5"/>
                <w:szCs w:val="5"/>
                <w:color w:val="auto"/>
              </w:rPr>
            </w:pPr>
          </w:p>
        </w:tc>
        <w:tc>
          <w:tcPr>
            <w:tcW w:w="500" w:type="dxa"/>
            <w:vAlign w:val="bottom"/>
            <w:vMerge w:val="continue"/>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80" w:type="dxa"/>
            <w:vAlign w:val="bottom"/>
          </w:tcPr>
          <w:p>
            <w:pPr>
              <w:spacing w:after="0"/>
              <w:rPr>
                <w:sz w:val="7"/>
                <w:szCs w:val="7"/>
                <w:color w:val="auto"/>
              </w:rPr>
            </w:pPr>
          </w:p>
        </w:tc>
        <w:tc>
          <w:tcPr>
            <w:tcW w:w="220" w:type="dxa"/>
            <w:vAlign w:val="bottom"/>
            <w:tcBorders>
              <w:right w:val="single" w:sz="8" w:color="005CB9"/>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4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-205105</wp:posOffset>
            </wp:positionV>
            <wp:extent cx="428625"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28625" cy="1714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215265</wp:posOffset>
            </wp:positionV>
            <wp:extent cx="6360795" cy="82296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2"/>
      <w:numFmt w:val="bullet"/>
      <w:start w:val="1"/>
    </w:lvl>
  </w:abstractNum>
  <w:abstractNum w:abstractNumId="7">
    <w:nsid w:val="38437FDB"/>
    <w:multiLevelType w:val="hybridMultilevel"/>
    <w:lvl w:ilvl="0">
      <w:lvlJc w:val="left"/>
      <w:lvlText w:val="%1"/>
      <w:numFmt w:val="decimal"/>
      <w:start w:val="22"/>
    </w:lvl>
  </w:abstractNum>
  <w:abstractNum w:abstractNumId="8">
    <w:nsid w:val="7644A45C"/>
    <w:multiLevelType w:val="hybridMultilevel"/>
    <w:lvl w:ilvl="0">
      <w:lvlJc w:val="left"/>
      <w:lvlText w:val="%1"/>
      <w:numFmt w:val="decimal"/>
      <w:start w:val="26"/>
    </w:lvl>
  </w:abstractNum>
  <w:abstractNum w:abstractNumId="9">
    <w:nsid w:val="32FFF902"/>
    <w:multiLevelType w:val="hybridMultilevel"/>
    <w:lvl w:ilvl="0">
      <w:lvlJc w:val="left"/>
      <w:lvlText w:val="%1"/>
      <w:numFmt w:val="decimal"/>
      <w:start w:val="41"/>
    </w:lvl>
  </w:abstractNum>
  <w:abstractNum w:abstractNumId="10">
    <w:nsid w:val="684A481A"/>
    <w:multiLevelType w:val="hybridMultilevel"/>
    <w:lvl w:ilvl="0">
      <w:lvlJc w:val="left"/>
      <w:lvlText w:val="(%1)"/>
      <w:numFmt w:val="decimal"/>
    </w:lvl>
    <w:lvl w:ilvl="1">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1)"/>
      <w:numFmt w:val="decimal"/>
      <w:start w:val="4"/>
    </w:lvl>
  </w:abstractNum>
  <w:abstractNum w:abstractNumId="23">
    <w:nsid w:val="649BB77C"/>
    <w:multiLevelType w:val="hybridMultilevel"/>
    <w:lvl w:ilvl="0">
      <w:lvlJc w:val="left"/>
      <w:lvlText w:val="(%1)"/>
      <w:numFmt w:val="decimal"/>
      <w:start w:val="6"/>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¹"/>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1)"/>
      <w:numFmt w:val="decimal"/>
      <w:start w:val="2"/>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
      <w:numFmt w:val="bullet"/>
      <w:start w:val="1"/>
    </w:lvl>
  </w:abstractNum>
  <w:abstractNum w:abstractNumId="48">
    <w:nsid w:val="5DB70AE5"/>
    <w:multiLevelType w:val="hybridMultilevel"/>
    <w:lvl w:ilvl="0">
      <w:lvlJc w:val="left"/>
      <w:lvlText w:val="1"/>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
      <w:numFmt w:val="bullet"/>
      <w:start w:val="1"/>
    </w:lvl>
  </w:abstractNum>
  <w:abstractNum w:abstractNumId="51">
    <w:nsid w:val="15014ACB"/>
    <w:multiLevelType w:val="hybridMultilevel"/>
    <w:lvl w:ilvl="0">
      <w:lvlJc w:val="left"/>
      <w:lvlText w:val="•"/>
      <w:numFmt w:val="bullet"/>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decimal"/>
      <w:start w:val="1"/>
    </w:lvl>
  </w:abstractNum>
  <w:abstractNum w:abstractNumId="56">
    <w:nsid w:val="42C296BD"/>
    <w:multiLevelType w:val="hybridMultilevel"/>
    <w:lvl w:ilvl="0">
      <w:lvlJc w:val="left"/>
      <w:lvlText w:val="(%1)"/>
      <w:numFmt w:val="lowerLetter"/>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1)"/>
      <w:numFmt w:val="decimal"/>
      <w:start w:val="6"/>
    </w:lvl>
  </w:abstractNum>
  <w:abstractNum w:abstractNumId="60">
    <w:nsid w:val="5DC79EA8"/>
    <w:multiLevelType w:val="hybridMultilevel"/>
    <w:lvl w:ilvl="0">
      <w:lvlJc w:val="left"/>
      <w:lvlText w:val="(%1)"/>
      <w:numFmt w:val="upperLetter"/>
      <w:start w:val="9"/>
    </w:lvl>
  </w:abstractNum>
  <w:abstractNum w:abstractNumId="61">
    <w:nsid w:val="540A471C"/>
    <w:multiLevelType w:val="hybridMultilevel"/>
    <w:lvl w:ilvl="0">
      <w:lvlJc w:val="left"/>
      <w:lvlText w:val="(%1)"/>
      <w:numFmt w:val="upperLetter"/>
      <w:start w:val="35"/>
    </w:lvl>
  </w:abstractNum>
  <w:abstractNum w:abstractNumId="62">
    <w:nsid w:val="7BD3EE7B"/>
    <w:multiLevelType w:val="hybridMultilevel"/>
    <w:lvl w:ilvl="0">
      <w:lvlJc w:val="left"/>
      <w:lvlText w:val="(%1)"/>
      <w:numFmt w:val="decimal"/>
      <w:start w:val="7"/>
    </w:lvl>
  </w:abstractNum>
  <w:abstractNum w:abstractNumId="63">
    <w:nsid w:val="51D9C564"/>
    <w:multiLevelType w:val="hybridMultilevel"/>
    <w:lvl w:ilvl="0">
      <w:lvlJc w:val="left"/>
      <w:lvlText w:val="(%1)"/>
      <w:numFmt w:val="upperLetter"/>
      <w:start w:val="9"/>
    </w:lvl>
  </w:abstractNum>
  <w:abstractNum w:abstractNumId="64">
    <w:nsid w:val="613EFDC5"/>
    <w:multiLevelType w:val="hybridMultilevel"/>
    <w:lvl w:ilvl="0">
      <w:lvlJc w:val="left"/>
      <w:lvlText w:val="(%1)"/>
      <w:numFmt w:val="upperLetter"/>
      <w:start w:val="35"/>
    </w:lvl>
  </w:abstractNum>
  <w:abstractNum w:abstractNumId="65">
    <w:nsid w:val="BF72B14"/>
    <w:multiLevelType w:val="hybridMultilevel"/>
    <w:lvl w:ilvl="0">
      <w:lvlJc w:val="left"/>
      <w:lvlText w:val="(%1)"/>
      <w:numFmt w:val="decimal"/>
      <w:start w:val="8"/>
    </w:lvl>
  </w:abstractNum>
  <w:abstractNum w:abstractNumId="66">
    <w:nsid w:val="11447B73"/>
    <w:multiLevelType w:val="hybridMultilevel"/>
    <w:lvl w:ilvl="0">
      <w:lvlJc w:val="left"/>
      <w:lvlText w:val="(%1)"/>
      <w:numFmt w:val="upperLetter"/>
      <w:start w:val="9"/>
    </w:lvl>
  </w:abstractNum>
  <w:abstractNum w:abstractNumId="67">
    <w:nsid w:val="42963E5A"/>
    <w:multiLevelType w:val="hybridMultilevel"/>
    <w:lvl w:ilvl="0">
      <w:lvlJc w:val="left"/>
      <w:lvlText w:val="(%1)"/>
      <w:numFmt w:val="upperLetter"/>
      <w:start w:val="35"/>
    </w:lvl>
  </w:abstractNum>
  <w:abstractNum w:abstractNumId="68">
    <w:nsid w:val="A0382C5"/>
    <w:multiLevelType w:val="hybridMultilevel"/>
    <w:lvl w:ilvl="0">
      <w:lvlJc w:val="left"/>
      <w:lvlText w:val="(%1)"/>
      <w:numFmt w:val="decimal"/>
      <w:start w:val="9"/>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2"/>
    </w:lvl>
  </w:abstractNum>
  <w:abstractNum w:abstractNumId="72">
    <w:nsid w:val="68EB2F63"/>
    <w:multiLevelType w:val="hybridMultilevel"/>
    <w:lvl w:ilvl="0">
      <w:lvlJc w:val="left"/>
      <w:lvlText w:val="(%1)"/>
      <w:numFmt w:val="decimal"/>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lowerRoman"/>
      <w:start w:val="4"/>
    </w:lvl>
  </w:abstractNum>
  <w:abstractNum w:abstractNumId="75">
    <w:nsid w:val="6A5EE64"/>
    <w:multiLevelType w:val="hybridMultilevel"/>
    <w:lvl w:ilvl="0">
      <w:lvlJc w:val="left"/>
      <w:lvlText w:val="(%1)"/>
      <w:numFmt w:val="decimal"/>
      <w:start w:val="1"/>
    </w:lvl>
  </w:abstractNum>
  <w:abstractNum w:abstractNumId="76">
    <w:nsid w:val="14330624"/>
    <w:multiLevelType w:val="hybridMultilevel"/>
    <w:lvl w:ilvl="0">
      <w:lvlJc w:val="left"/>
      <w:lvlText w:val="%1:"/>
      <w:numFmt w:val="upperLetter"/>
      <w:start w:val="17"/>
    </w:lvl>
  </w:abstractNum>
  <w:abstractNum w:abstractNumId="77">
    <w:nsid w:val="7FFFCA11"/>
    <w:multiLevelType w:val="hybridMultilevel"/>
    <w:lvl w:ilvl="0">
      <w:lvlJc w:val="left"/>
      <w:lvlText w:val="%1."/>
      <w:numFmt w:val="decimal"/>
      <w:start w:val="1"/>
    </w:lvl>
  </w:abstractNum>
  <w:abstractNum w:abstractNumId="78">
    <w:nsid w:val="1A27709E"/>
    <w:multiLevelType w:val="hybridMultilevel"/>
    <w:lvl w:ilvl="0">
      <w:lvlJc w:val="left"/>
      <w:lvlText w:val="•"/>
      <w:numFmt w:val="bullet"/>
      <w:start w:val="1"/>
    </w:lvl>
  </w:abstractNum>
  <w:abstractNum w:abstractNumId="79">
    <w:nsid w:val="71EA1109"/>
    <w:multiLevelType w:val="hybridMultilevel"/>
    <w:lvl w:ilvl="0">
      <w:lvlJc w:val="left"/>
      <w:lvlText w:val="(%1)"/>
      <w:numFmt w:val="lowerRoman"/>
      <w:start w:val="2"/>
    </w:lvl>
  </w:abstractNum>
  <w:abstractNum w:abstractNumId="80">
    <w:nsid w:val="100F59DC"/>
    <w:multiLevelType w:val="hybridMultilevel"/>
    <w:lvl w:ilvl="0">
      <w:lvlJc w:val="left"/>
      <w:lvlText w:val="%1:"/>
      <w:numFmt w:val="upperLetter"/>
      <w:start w:val="17"/>
    </w:lvl>
  </w:abstractNum>
  <w:abstractNum w:abstractNumId="81">
    <w:nsid w:val="7FB7E0AA"/>
    <w:multiLevelType w:val="hybridMultilevel"/>
    <w:lvl w:ilvl="0">
      <w:lvlJc w:val="left"/>
      <w:lvlText w:val="%1:"/>
      <w:numFmt w:val="upperLetter"/>
      <w:start w:val="17"/>
    </w:lvl>
  </w:abstractNum>
  <w:abstractNum w:abstractNumId="82">
    <w:nsid w:val="6EB5BD4"/>
    <w:multiLevelType w:val="hybridMultilevel"/>
    <w:lvl w:ilvl="0">
      <w:lvlJc w:val="left"/>
      <w:lvlText w:val="%1:"/>
      <w:numFmt w:val="upperLetter"/>
      <w:start w:val="17"/>
    </w:lvl>
  </w:abstractNum>
  <w:abstractNum w:abstractNumId="83">
    <w:nsid w:val="6F6DD9AC"/>
    <w:multiLevelType w:val="hybridMultilevel"/>
    <w:lvl w:ilvl="0">
      <w:lvlJc w:val="left"/>
      <w:lvlText w:val="%1:"/>
      <w:numFmt w:val="upperLetter"/>
      <w:start w:val="17"/>
    </w:lvl>
  </w:abstractNum>
  <w:abstractNum w:abstractNumId="84">
    <w:nsid w:val="94211F2"/>
    <w:multiLevelType w:val="hybridMultilevel"/>
    <w:lvl w:ilvl="0">
      <w:lvlJc w:val="left"/>
      <w:lvlText w:val="%1:"/>
      <w:numFmt w:val="upperLetter"/>
      <w:start w:val="17"/>
    </w:lvl>
  </w:abstractNum>
  <w:abstractNum w:abstractNumId="85">
    <w:nsid w:val="885E1B"/>
    <w:multiLevelType w:val="hybridMultilevel"/>
    <w:lvl w:ilvl="0">
      <w:lvlJc w:val="left"/>
      <w:lvlText w:val="•"/>
      <w:numFmt w:val="bullet"/>
      <w:start w:val="1"/>
    </w:lvl>
  </w:abstractNum>
  <w:abstractNum w:abstractNumId="86">
    <w:nsid w:val="7627211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2024-04-26T15:41:48Z</dcterms:created>
  <dcterms:modified xsi:type="dcterms:W3CDTF">2024-04-26T15:41:48Z</dcterms:modified>
</cp:coreProperties>
</file>