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2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jc w:val="center"/>
        <w:ind w:right="-110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rFonts w:ascii="Arial" w:cs="Arial" w:eastAsia="Arial" w:hAnsi="Arial"/>
          <w:sz w:val="17"/>
          <w:szCs w:val="17"/>
          <w:color w:val="auto"/>
        </w:rPr>
        <w:t xml:space="preserve">            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142"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6"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0" w:lineRule="exact"/>
        <w:rPr>
          <w:rFonts w:ascii="MS PGothic" w:cs="MS PGothic" w:eastAsia="MS PGothic" w:hAnsi="MS PGothic"/>
          <w:sz w:val="17"/>
          <w:szCs w:val="17"/>
          <w:color w:val="auto"/>
        </w:rPr>
      </w:pPr>
    </w:p>
    <w:p>
      <w:pPr>
        <w:ind w:left="1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64"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ROPER TECHNOLOGIES, INC.</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(Formerly Roper Industries, Inc.)</w:t>
      </w: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3"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7"/>
          <w:szCs w:val="17"/>
          <w:color w:val="auto"/>
        </w:rPr>
        <w:t>Payment of Filing Fee (Check all boxes that apply):</w:t>
      </w:r>
    </w:p>
    <w:p>
      <w:pPr>
        <w:spacing w:after="0" w:line="142"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42"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42" w:lineRule="exact"/>
        <w:rPr>
          <w:rFonts w:ascii="MS PGothic" w:cs="MS PGothic" w:eastAsia="MS PGothic" w:hAnsi="MS PGothic"/>
          <w:sz w:val="17"/>
          <w:szCs w:val="17"/>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164465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15"/>
        </w:trPr>
        <w:tc>
          <w:tcPr>
            <w:tcW w:w="5600" w:type="dxa"/>
            <w:vAlign w:val="bottom"/>
            <w:gridSpan w:val="2"/>
          </w:tcPr>
          <w:p>
            <w:pPr>
              <w:ind w:left="120"/>
              <w:spacing w:after="0"/>
              <w:rPr>
                <w:sz w:val="20"/>
                <w:szCs w:val="20"/>
                <w:color w:val="auto"/>
              </w:rPr>
            </w:pPr>
            <w:r>
              <w:rPr>
                <w:rFonts w:ascii="Arial" w:cs="Arial" w:eastAsia="Arial" w:hAnsi="Arial"/>
                <w:sz w:val="18"/>
                <w:szCs w:val="18"/>
                <w:b w:val="1"/>
                <w:bCs w:val="1"/>
                <w:color w:val="auto"/>
              </w:rPr>
              <w:t>6496 University Parkway</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556-2601</w:t>
            </w:r>
          </w:p>
        </w:tc>
      </w:tr>
      <w:tr>
        <w:trPr>
          <w:trHeight w:val="247"/>
        </w:trPr>
        <w:tc>
          <w:tcPr>
            <w:tcW w:w="5600" w:type="dxa"/>
            <w:vAlign w:val="bottom"/>
            <w:gridSpan w:val="2"/>
          </w:tcPr>
          <w:p>
            <w:pPr>
              <w:ind w:left="120"/>
              <w:spacing w:after="0"/>
              <w:rPr>
                <w:sz w:val="20"/>
                <w:szCs w:val="20"/>
                <w:color w:val="auto"/>
              </w:rPr>
            </w:pPr>
            <w:r>
              <w:rPr>
                <w:rFonts w:ascii="Arial" w:cs="Arial" w:eastAsia="Arial" w:hAnsi="Arial"/>
                <w:sz w:val="18"/>
                <w:szCs w:val="18"/>
                <w:b w:val="1"/>
                <w:bCs w:val="1"/>
                <w:color w:val="auto"/>
              </w:rPr>
              <w:t>Sarasota, Florida 34240</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Fax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-272415</wp:posOffset>
            </wp:positionV>
            <wp:extent cx="1011555"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1555" cy="402590"/>
                    </a:xfrm>
                    <a:prstGeom prst="rect">
                      <a:avLst/>
                    </a:prstGeom>
                    <a:noFill/>
                  </pic:spPr>
                </pic:pic>
              </a:graphicData>
            </a:graphic>
          </wp:anchor>
        </w:drawing>
      </w:r>
    </w:p>
    <w:p>
      <w:pPr>
        <w:spacing w:after="0" w:line="30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Roper Technologies, Inc.</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25, 2025</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Dear Fellow Shareholders:</w:t>
      </w:r>
    </w:p>
    <w:p>
      <w:pPr>
        <w:spacing w:after="0" w:line="10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As your Board of Directors, we oversee Roper’s efforts to continually create sustainable long-term value for you. Together with our management team, we continuously enhance and efficiently execute our strategy through prudent risk management, disciplined capital deployment, sound strategic thinking, comprehensive operational rigor, performance-driven compensation programs, effective talent and succession planning, adherence to the highest ethical standards and levels of integrity, and ongoing review and refinement of the Board’s governance practices.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 for Long-Term and Elite Value Creation for Shareholders</w:t>
      </w:r>
    </w:p>
    <w:p>
      <w:pPr>
        <w:spacing w:after="0" w:line="10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Over the past fifteen years, our shareholders earned a compound annual return of 17.2% and a total shareholder return of 983.7%, compared to the total return of the S&amp;P 500 of 602.7%. While Roper’s total shareholder return in 2024 was -4.1%, for the first quarter of 2025, Roper’s total shareholder return was 13.6% compared to -4.3% for the S&amp;P 500.</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long history of superior shareholder returns and compounding cash flow is the result of Roper’s simple, yet powerful strategy:</w:t>
      </w:r>
    </w:p>
    <w:p>
      <w:pPr>
        <w:spacing w:after="0" w:line="115" w:lineRule="exact"/>
        <w:rPr>
          <w:sz w:val="20"/>
          <w:szCs w:val="20"/>
          <w:color w:val="auto"/>
        </w:rPr>
      </w:pPr>
    </w:p>
    <w:p>
      <w:pPr>
        <w:jc w:val="both"/>
        <w:ind w:left="340" w:right="20" w:hanging="224"/>
        <w:spacing w:after="0" w:line="23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Cash Generation Through Operating Excellence: </w:t>
      </w:r>
      <w:r>
        <w:rPr>
          <w:rFonts w:ascii="Arial" w:cs="Arial" w:eastAsia="Arial" w:hAnsi="Arial"/>
          <w:sz w:val="17"/>
          <w:szCs w:val="17"/>
          <w:color w:val="auto"/>
        </w:rPr>
        <w:t>Our enterprise consists of niche, asset-light businesses with leading software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technologies that generate significant free cash flow, enabling future investments for sustainable long-term growth and cash flow compounding. Operating excellence, underpinned by our strategic focus on intellectual capital, product development, go-to-market strategies, and a high degree of customer intimacy drives cash generation which, in 2024, resulted in another strong year of performance with adjusted operating cash flow and adjusted free cash flow of $2.39 billion and $2.28 billion, respectively. We strive to improve each of our businesses every year through a disciplined focus on: enhancing talent, thoughtful strategy development, and rigorous execution.</w:t>
      </w:r>
    </w:p>
    <w:p>
      <w:pPr>
        <w:spacing w:after="0" w:line="87" w:lineRule="exact"/>
        <w:rPr>
          <w:rFonts w:ascii="Arial" w:cs="Arial" w:eastAsia="Arial" w:hAnsi="Arial"/>
          <w:sz w:val="17"/>
          <w:szCs w:val="17"/>
          <w:color w:val="auto"/>
        </w:rPr>
      </w:pPr>
    </w:p>
    <w:p>
      <w:pPr>
        <w:jc w:val="both"/>
        <w:ind w:left="340" w:hanging="224"/>
        <w:spacing w:after="0" w:line="23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Disciplined Capital Deployment: </w:t>
      </w:r>
      <w:r>
        <w:rPr>
          <w:rFonts w:ascii="Arial" w:cs="Arial" w:eastAsia="Arial" w:hAnsi="Arial"/>
          <w:sz w:val="17"/>
          <w:szCs w:val="17"/>
          <w:color w:val="auto"/>
        </w:rPr>
        <w:t>We have a unique and disciplined capital deployment model that has guided the successful investment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tens of billions of dollars into additional businesses becoming part of the Roper portfolio. Unlike many companies that use cash to pay large dividends and routinely implement share buyback plans, Roper deploys the vast majority of its available cash to acquire new businesses to fuel compounding cash flow growth and value creation for shareholders. This past year we allocated $3.6 billion of capital toward vertical-market software acquisitions, highlighted by Procare Solutions, a leading provider of software and solutions to early childhood education centers, for $1.86 billion and Transact Campus, a leading provider of innovative campus technology and integrated payment solutions for $1.60 billion which was combined with our CBORD business. We entered 2025 poised to deploy substantial capital towards our acquisition strategy, including our announced $1.65 billion acquisition of CentralReach, a leading provider of software for professionals serving patients with autism spectrum disorder and related intellectual and developmental disabilities.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Roper’s Success</w:t>
      </w:r>
    </w:p>
    <w:p>
      <w:pPr>
        <w:spacing w:after="0" w:line="10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The Board contributes significantly to Roper’s strong performance. As directors, each of us commits to the extensive time obligation and rigorous workload required to serve on Roper’s Board. We continually monitor the existing portfolio of Roper businesses, review capital deployment opportunities, and carefully examine the ways Roper can create additional value for shareholders. Between Board meetings, we continue our discussions with management and each other, enabling the Company to draw from our broad experiences and expertise.</w:t>
      </w:r>
    </w:p>
    <w:p>
      <w:pPr>
        <w:spacing w:after="0" w:line="17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Our direct involvement in and deep understanding of the Company allows us to address a multitude of issues, including acquisition selection, capital deployment, and succession planning, while sustaining Roper’s successful culture and business model.</w:t>
      </w:r>
    </w:p>
    <w:p>
      <w:pPr>
        <w:sectPr>
          <w:pgSz w:w="11900" w:h="16838" w:orient="portrait"/>
          <w:cols w:equalWidth="0" w:num="1">
            <w:col w:w="11140"/>
          </w:cols>
          <w:pgMar w:left="320" w:top="47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Governance and Other Best Practices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 remains committed to strong corporate governance as demonstrated by the following practices:</w:t>
      </w:r>
    </w:p>
    <w:p>
      <w:pPr>
        <w:spacing w:after="0" w:line="115"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Declassified Board. </w:t>
      </w:r>
      <w:r>
        <w:rPr>
          <w:rFonts w:ascii="Arial" w:cs="Arial" w:eastAsia="Arial" w:hAnsi="Arial"/>
          <w:sz w:val="17"/>
          <w:szCs w:val="17"/>
          <w:color w:val="auto"/>
        </w:rPr>
        <w:t>Our directors are elected annually.</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Majority Voting for Directors. </w:t>
      </w:r>
      <w:r>
        <w:rPr>
          <w:rFonts w:ascii="Arial" w:cs="Arial" w:eastAsia="Arial" w:hAnsi="Arial"/>
          <w:sz w:val="17"/>
          <w:szCs w:val="17"/>
          <w:color w:val="auto"/>
        </w:rPr>
        <w:t>Our By-laws require the resignation of incumbent directors who fail to obtain a majority of votes cast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w:t>
      </w:r>
    </w:p>
    <w:p>
      <w:pPr>
        <w:spacing w:after="0" w:line="64"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Our By-laws permit a shareholder, or a group of up to 20 shareholders, that has owned at least 3% of our outstanding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continuously for at least three years to nominate and include in our proxy materials up to the greater of two directors or 20% of the number of our directors then in office.</w:t>
      </w:r>
    </w:p>
    <w:p>
      <w:pPr>
        <w:spacing w:after="0" w:line="80"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Amy Woods Brinkley became our current Independent Chair of the Board on June 1, 2021.</w:t>
      </w:r>
    </w:p>
    <w:p>
      <w:pPr>
        <w:spacing w:after="0" w:line="115"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Executive Compensation Alignment with Shareholders. </w:t>
      </w:r>
      <w:r>
        <w:rPr>
          <w:rFonts w:ascii="Arial" w:cs="Arial" w:eastAsia="Arial" w:hAnsi="Arial"/>
          <w:sz w:val="17"/>
          <w:szCs w:val="17"/>
          <w:color w:val="auto"/>
        </w:rPr>
        <w:t>Because our shareholder value creation is derived from the Roper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team’s capital deployment strategy and ability to operate a broad portfolio of businesses, our executives must possess a unique set of skills. We continue to refine our executive compensation practices to maintain close alignment with shareholder interests.</w:t>
      </w:r>
    </w:p>
    <w:p>
      <w:pPr>
        <w:spacing w:after="0" w:line="80"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Similar to prior years, in 2024, total direct compensation at target that was at risk and tied to stock price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objectives was 96% for the CEO, and 90% on average for our other named executive officers.</w:t>
      </w:r>
    </w:p>
    <w:p>
      <w:pPr>
        <w:spacing w:after="0" w:line="64"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Clear Oversight of Sustainability and Human Capital Management. </w:t>
      </w:r>
      <w:r>
        <w:rPr>
          <w:rFonts w:ascii="Arial" w:cs="Arial" w:eastAsia="Arial" w:hAnsi="Arial"/>
          <w:sz w:val="17"/>
          <w:szCs w:val="17"/>
          <w:color w:val="auto"/>
        </w:rPr>
        <w:t>The Nominating and Governance Committee has oversight</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for matters related to Sustainability and Human Capital Management.</w:t>
      </w:r>
    </w:p>
    <w:p>
      <w:pPr>
        <w:spacing w:after="0" w:line="64"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Shareholder Outreach Program. </w:t>
      </w:r>
      <w:r>
        <w:rPr>
          <w:rFonts w:ascii="Arial" w:cs="Arial" w:eastAsia="Arial" w:hAnsi="Arial"/>
          <w:sz w:val="17"/>
          <w:szCs w:val="17"/>
          <w:color w:val="auto"/>
        </w:rPr>
        <w:t>Roper’s senior management team regularly engages shareholders for feedback.</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Sustainability. </w:t>
      </w:r>
      <w:r>
        <w:rPr>
          <w:rFonts w:ascii="Arial" w:cs="Arial" w:eastAsia="Arial" w:hAnsi="Arial"/>
          <w:sz w:val="17"/>
          <w:szCs w:val="17"/>
          <w:color w:val="auto"/>
        </w:rPr>
        <w:t>We continue to drive improvements to meet the sustainability expectations of our stakeholders and we plan to publish a 2024</w:t>
      </w:r>
      <w:r>
        <w:rPr>
          <w:rFonts w:ascii="Arial" w:cs="Arial" w:eastAsia="Arial" w:hAnsi="Arial"/>
          <w:sz w:val="17"/>
          <w:szCs w:val="17"/>
          <w:b w:val="1"/>
          <w:bCs w:val="1"/>
          <w:color w:val="auto"/>
        </w:rPr>
        <w:t xml:space="preserve"> </w:t>
      </w:r>
      <w:r>
        <w:rPr>
          <w:rFonts w:ascii="Arial" w:cs="Arial" w:eastAsia="Arial" w:hAnsi="Arial"/>
          <w:sz w:val="17"/>
          <w:szCs w:val="17"/>
          <w:color w:val="auto"/>
        </w:rPr>
        <w:t>sustainability data update in May 2025.</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Communications With Our Shareholders</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value your continued support and input and ask that you continue to share your comments with us. Communications may be addressed to the directors in care of the Corporate Secretary, Roper Technologies, Inc., 6496 University Parkway, Sarasota, Florida, 34240.</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Sincerely,</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300355</wp:posOffset>
            </wp:positionV>
            <wp:extent cx="522033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03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0"/>
        <w:spacing w:after="0"/>
        <w:tabs>
          <w:tab w:leader="none" w:pos="5060" w:val="left"/>
          <w:tab w:leader="none" w:pos="8100" w:val="left"/>
        </w:tabs>
        <w:rPr>
          <w:sz w:val="20"/>
          <w:szCs w:val="20"/>
          <w:color w:val="auto"/>
        </w:rPr>
      </w:pPr>
      <w:r>
        <w:rPr>
          <w:rFonts w:ascii="Arial" w:cs="Arial" w:eastAsia="Arial" w:hAnsi="Arial"/>
          <w:sz w:val="18"/>
          <w:szCs w:val="18"/>
          <w:b w:val="1"/>
          <w:bCs w:val="1"/>
          <w:color w:val="auto"/>
        </w:rPr>
        <w:t>Shellye L. Archambeau</w:t>
      </w:r>
      <w:r>
        <w:rPr>
          <w:sz w:val="20"/>
          <w:szCs w:val="20"/>
          <w:color w:val="auto"/>
        </w:rPr>
        <w:tab/>
      </w:r>
      <w:r>
        <w:rPr>
          <w:rFonts w:ascii="Arial" w:cs="Arial" w:eastAsia="Arial" w:hAnsi="Arial"/>
          <w:sz w:val="18"/>
          <w:szCs w:val="18"/>
          <w:b w:val="1"/>
          <w:bCs w:val="1"/>
          <w:color w:val="auto"/>
        </w:rPr>
        <w:t>Amy Woods Brinkley</w:t>
      </w:r>
      <w:r>
        <w:rPr>
          <w:sz w:val="20"/>
          <w:szCs w:val="20"/>
          <w:color w:val="auto"/>
        </w:rPr>
        <w:tab/>
      </w:r>
      <w:r>
        <w:rPr>
          <w:rFonts w:ascii="Arial" w:cs="Arial" w:eastAsia="Arial" w:hAnsi="Arial"/>
          <w:sz w:val="18"/>
          <w:szCs w:val="18"/>
          <w:b w:val="1"/>
          <w:bCs w:val="1"/>
          <w:color w:val="auto"/>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488950</wp:posOffset>
            </wp:positionV>
            <wp:extent cx="1156970"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6970" cy="7200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686435</wp:posOffset>
            </wp:positionV>
            <wp:extent cx="90868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3257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686435</wp:posOffset>
            </wp:positionV>
            <wp:extent cx="115697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69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60"/>
        <w:spacing w:after="0"/>
        <w:tabs>
          <w:tab w:leader="none" w:pos="5160" w:val="left"/>
          <w:tab w:leader="none" w:pos="7940" w:val="left"/>
        </w:tabs>
        <w:rPr>
          <w:sz w:val="20"/>
          <w:szCs w:val="20"/>
          <w:color w:val="auto"/>
        </w:rPr>
      </w:pPr>
      <w:r>
        <w:rPr>
          <w:rFonts w:ascii="Arial" w:cs="Arial" w:eastAsia="Arial" w:hAnsi="Arial"/>
          <w:sz w:val="18"/>
          <w:szCs w:val="18"/>
          <w:b w:val="1"/>
          <w:bCs w:val="1"/>
          <w:color w:val="auto"/>
        </w:rPr>
        <w:t>L. Neil Hunn</w:t>
      </w:r>
      <w:r>
        <w:rPr>
          <w:sz w:val="20"/>
          <w:szCs w:val="20"/>
          <w:color w:val="auto"/>
        </w:rPr>
        <w:tab/>
      </w:r>
      <w:r>
        <w:rPr>
          <w:rFonts w:ascii="Arial" w:cs="Arial" w:eastAsia="Arial" w:hAnsi="Arial"/>
          <w:sz w:val="18"/>
          <w:szCs w:val="18"/>
          <w:b w:val="1"/>
          <w:bCs w:val="1"/>
          <w:color w:val="auto"/>
        </w:rPr>
        <w:t>Robert D. Johnson</w:t>
      </w:r>
      <w:r>
        <w:rPr>
          <w:sz w:val="20"/>
          <w:szCs w:val="20"/>
          <w:color w:val="auto"/>
        </w:rPr>
        <w:tab/>
      </w:r>
      <w:r>
        <w:rPr>
          <w:rFonts w:ascii="Arial" w:cs="Arial" w:eastAsia="Arial" w:hAnsi="Arial"/>
          <w:sz w:val="17"/>
          <w:szCs w:val="17"/>
          <w:b w:val="1"/>
          <w:bCs w:val="1"/>
          <w:color w:val="auto"/>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437515</wp:posOffset>
            </wp:positionV>
            <wp:extent cx="544322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432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120"/>
        <w:spacing w:after="0"/>
        <w:tabs>
          <w:tab w:leader="none" w:pos="5180" w:val="left"/>
          <w:tab w:leader="none" w:pos="7980" w:val="left"/>
        </w:tabs>
        <w:rPr>
          <w:sz w:val="20"/>
          <w:szCs w:val="20"/>
          <w:color w:val="auto"/>
        </w:rPr>
      </w:pPr>
      <w:r>
        <w:rPr>
          <w:rFonts w:ascii="Arial" w:cs="Arial" w:eastAsia="Arial" w:hAnsi="Arial"/>
          <w:sz w:val="18"/>
          <w:szCs w:val="18"/>
          <w:b w:val="1"/>
          <w:bCs w:val="1"/>
          <w:color w:val="auto"/>
        </w:rPr>
        <w:t>John F. Murphy</w:t>
      </w:r>
      <w:r>
        <w:rPr>
          <w:sz w:val="20"/>
          <w:szCs w:val="20"/>
          <w:color w:val="auto"/>
        </w:rPr>
        <w:tab/>
      </w:r>
      <w:r>
        <w:rPr>
          <w:rFonts w:ascii="Arial" w:cs="Arial" w:eastAsia="Arial" w:hAnsi="Arial"/>
          <w:sz w:val="18"/>
          <w:szCs w:val="18"/>
          <w:b w:val="1"/>
          <w:bCs w:val="1"/>
          <w:color w:val="auto"/>
        </w:rPr>
        <w:t>Laura G. Thatcher</w:t>
      </w:r>
      <w:r>
        <w:rPr>
          <w:sz w:val="20"/>
          <w:szCs w:val="20"/>
          <w:color w:val="auto"/>
        </w:rPr>
        <w:tab/>
      </w:r>
      <w:r>
        <w:rPr>
          <w:rFonts w:ascii="Arial" w:cs="Arial" w:eastAsia="Arial" w:hAnsi="Arial"/>
          <w:sz w:val="17"/>
          <w:szCs w:val="17"/>
          <w:b w:val="1"/>
          <w:bCs w:val="1"/>
          <w:color w:val="auto"/>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437515</wp:posOffset>
            </wp:positionV>
            <wp:extent cx="87439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43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Christopher Wright</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217170</wp:posOffset>
            </wp:positionV>
            <wp:extent cx="1011555"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5CB9"/>
        </w:rPr>
        <w:t>NOTICE OF THE 2025 ANNUAL MEETING OF SHAREHOLDERS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2025 ANNUAL MEETING INFORMATION</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additional information about our Annual Meeting, see Annual Meeting and Voting Information on page 56.</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4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Meeting Date:   </w:t>
            </w:r>
          </w:p>
        </w:tc>
        <w:tc>
          <w:tcPr>
            <w:tcW w:w="20" w:type="dxa"/>
            <w:vAlign w:val="bottom"/>
          </w:tcPr>
          <w:p>
            <w:pPr>
              <w:spacing w:after="0"/>
              <w:rPr>
                <w:sz w:val="4"/>
                <w:szCs w:val="4"/>
                <w:color w:val="auto"/>
              </w:rPr>
            </w:pPr>
          </w:p>
        </w:tc>
        <w:tc>
          <w:tcPr>
            <w:tcW w:w="300" w:type="dxa"/>
            <w:vAlign w:val="bottom"/>
            <w:vMerge w:val="restart"/>
          </w:tcPr>
          <w:p>
            <w:pPr>
              <w:ind w:left="140"/>
              <w:spacing w:after="0"/>
              <w:rPr>
                <w:sz w:val="20"/>
                <w:szCs w:val="20"/>
                <w:color w:val="auto"/>
              </w:rPr>
            </w:pPr>
            <w:r>
              <w:rPr>
                <w:rFonts w:ascii="Arial" w:cs="Arial" w:eastAsia="Arial" w:hAnsi="Arial"/>
                <w:sz w:val="17"/>
                <w:szCs w:val="17"/>
                <w:color w:val="auto"/>
              </w:rPr>
              <w:t xml:space="preserve">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Meeting Place:</w:t>
            </w:r>
          </w:p>
        </w:tc>
        <w:tc>
          <w:tcPr>
            <w:tcW w:w="174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auto"/>
              </w:rPr>
              <w:t xml:space="preserve">    </w:t>
            </w:r>
          </w:p>
        </w:tc>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Meeting Time:</w:t>
            </w:r>
          </w:p>
        </w:tc>
        <w:tc>
          <w:tcPr>
            <w:tcW w:w="20" w:type="dxa"/>
            <w:vAlign w:val="bottom"/>
          </w:tcPr>
          <w:p>
            <w:pPr>
              <w:spacing w:after="0"/>
              <w:rPr>
                <w:sz w:val="4"/>
                <w:szCs w:val="4"/>
                <w:color w:val="auto"/>
              </w:rPr>
            </w:pPr>
          </w:p>
        </w:tc>
        <w:tc>
          <w:tcPr>
            <w:tcW w:w="2620" w:type="dxa"/>
            <w:vAlign w:val="bottom"/>
            <w:vMerge w:val="restart"/>
          </w:tcPr>
          <w:p>
            <w:pPr>
              <w:ind w:left="1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148"/>
        </w:trPr>
        <w:tc>
          <w:tcPr>
            <w:tcW w:w="196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3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30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60" w:type="dxa"/>
            <w:vAlign w:val="bottom"/>
            <w:vMerge w:val="continue"/>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20" w:type="dxa"/>
            <w:vAlign w:val="bottom"/>
          </w:tcPr>
          <w:p>
            <w:pPr>
              <w:ind w:left="240"/>
              <w:spacing w:after="0" w:line="166" w:lineRule="exact"/>
              <w:rPr>
                <w:sz w:val="20"/>
                <w:szCs w:val="20"/>
                <w:color w:val="auto"/>
              </w:rPr>
            </w:pPr>
            <w:r>
              <w:rPr>
                <w:rFonts w:ascii="Arial" w:cs="Arial" w:eastAsia="Arial" w:hAnsi="Arial"/>
                <w:sz w:val="18"/>
                <w:szCs w:val="18"/>
                <w:b w:val="1"/>
                <w:bCs w:val="1"/>
                <w:color w:val="auto"/>
              </w:rPr>
              <w:t>Record Date: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June 10, 2025    </w:t>
            </w: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The Westin Sarasota</w:t>
            </w:r>
          </w:p>
        </w:tc>
        <w:tc>
          <w:tcPr>
            <w:tcW w:w="17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xml:space="preserve">10:00 a.m. (Eastern)   </w:t>
            </w:r>
          </w:p>
        </w:tc>
        <w:tc>
          <w:tcPr>
            <w:tcW w:w="20" w:type="dxa"/>
            <w:vAlign w:val="bottom"/>
            <w:shd w:val="clear" w:color="auto" w:fill="BFBFBF"/>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4"/>
                <w:szCs w:val="14"/>
                <w:color w:val="auto"/>
              </w:rPr>
              <w:t xml:space="preserve">April 16, 2025    </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100 Marina View Drive</w:t>
            </w:r>
          </w:p>
        </w:tc>
        <w:tc>
          <w:tcPr>
            <w:tcW w:w="17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w w:val="97"/>
              </w:rPr>
              <w:t>Sarasota, Florida 34236 </w:t>
            </w:r>
          </w:p>
        </w:tc>
        <w:tc>
          <w:tcPr>
            <w:tcW w:w="1740" w:type="dxa"/>
            <w:vAlign w:val="bottom"/>
          </w:tcPr>
          <w:p>
            <w:pPr>
              <w:ind w:left="60"/>
              <w:spacing w:after="0"/>
              <w:rPr>
                <w:sz w:val="20"/>
                <w:szCs w:val="20"/>
                <w:color w:val="auto"/>
              </w:rPr>
            </w:pPr>
            <w:r>
              <w:rPr>
                <w:rFonts w:ascii="Arial" w:cs="Arial" w:eastAsia="Arial" w:hAnsi="Arial"/>
                <w:sz w:val="14"/>
                <w:szCs w:val="14"/>
                <w:color w:val="auto"/>
              </w:rPr>
              <w:t> </w:t>
            </w:r>
          </w:p>
        </w:tc>
        <w:tc>
          <w:tcPr>
            <w:tcW w:w="20" w:type="dxa"/>
            <w:vAlign w:val="bottom"/>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6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1660" w:type="dxa"/>
            <w:vAlign w:val="bottom"/>
            <w:tcBorders>
              <w:bottom w:val="single" w:sz="8" w:color="BFBFBF"/>
            </w:tcBorders>
          </w:tcPr>
          <w:p>
            <w:pPr>
              <w:spacing w:after="0"/>
              <w:rPr>
                <w:sz w:val="8"/>
                <w:szCs w:val="8"/>
                <w:color w:val="auto"/>
              </w:rPr>
            </w:pPr>
          </w:p>
        </w:tc>
        <w:tc>
          <w:tcPr>
            <w:tcW w:w="174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38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26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BUSINESS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Roper’s annual meeting of shareholders will be held June 10, 2025 to:</w:t>
      </w:r>
    </w:p>
    <w:p>
      <w:pPr>
        <w:spacing w:after="0" w:line="82"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elect as directors the nine nominees named in the accompanying proxy statement;</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approve, on an advisory basis, the compensation of our named executive officers;</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ratify the appointment of PricewaterhouseCoopers LLP as the company’s independent registered public accounting firm for 2025; and</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transact any other business that may be properly brought before the annual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MATERIALS</w:t>
      </w:r>
    </w:p>
    <w:p>
      <w:pPr>
        <w:spacing w:after="0" w:line="113" w:lineRule="exact"/>
        <w:rPr>
          <w:sz w:val="20"/>
          <w:szCs w:val="20"/>
          <w:color w:val="auto"/>
        </w:rPr>
      </w:pPr>
    </w:p>
    <w:p>
      <w:pPr>
        <w:ind w:left="120" w:right="180"/>
        <w:spacing w:after="0" w:line="263" w:lineRule="auto"/>
        <w:rPr>
          <w:sz w:val="20"/>
          <w:szCs w:val="20"/>
          <w:color w:val="auto"/>
        </w:rPr>
      </w:pPr>
      <w:r>
        <w:rPr>
          <w:rFonts w:ascii="Arial" w:cs="Arial" w:eastAsia="Arial" w:hAnsi="Arial"/>
          <w:sz w:val="14"/>
          <w:szCs w:val="14"/>
          <w:color w:val="auto"/>
        </w:rPr>
        <w:t>On or about April 25, 2025, we began distributing to each shareholder entitled to vote at the annual meeting either: (i) a Meeting Notice; or (ii) this proxy statement, a proxy card and our 2024 Annual Report to Shareholders and Form 10-K. The Meeting Notice contains instructions to electronically access our proxy statement and our 2024 Annual Report to Shareholders and Form 10-K, how to vote via the internet or by mail and how to receive a paper copy of our proxy materials by mail, if desired.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VOTING AT THE ANNUAL MEETING</w:t>
      </w:r>
    </w:p>
    <w:p>
      <w:pPr>
        <w:spacing w:after="0" w:line="1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4"/>
          <w:szCs w:val="14"/>
          <w:b w:val="1"/>
          <w:bCs w:val="1"/>
          <w:color w:val="auto"/>
        </w:rPr>
        <w:t xml:space="preserve">Your vote is important. </w:t>
      </w:r>
      <w:r>
        <w:rPr>
          <w:rFonts w:ascii="Arial" w:cs="Arial" w:eastAsia="Arial" w:hAnsi="Arial"/>
          <w:sz w:val="14"/>
          <w:szCs w:val="14"/>
          <w:color w:val="auto"/>
        </w:rPr>
        <w:t>Shareholders who are owners of record of Roper common shares at the close of business on April 16, 2025, the record date, or their legal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are entitled to vote at the annual meeting. Whether or not you expect to attend the annual meeting, we urge you to vote as soon as possible by one of these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326390</wp:posOffset>
            </wp:positionV>
            <wp:extent cx="32575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318135</wp:posOffset>
            </wp:positionV>
            <wp:extent cx="196850"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36893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292100</wp:posOffset>
            </wp:positionV>
            <wp:extent cx="51435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720" w:type="dxa"/>
            <w:vAlign w:val="bottom"/>
            <w:tcBorders>
              <w:right w:val="single" w:sz="8" w:color="BFBFBF"/>
            </w:tcBorders>
          </w:tcPr>
          <w:p>
            <w:pPr>
              <w:jc w:val="center"/>
              <w:ind w:right="968"/>
              <w:spacing w:after="0"/>
              <w:rPr>
                <w:sz w:val="20"/>
                <w:szCs w:val="20"/>
                <w:color w:val="auto"/>
              </w:rPr>
            </w:pPr>
            <w:r>
              <w:rPr>
                <w:rFonts w:ascii="Arial" w:cs="Arial" w:eastAsia="Arial" w:hAnsi="Arial"/>
                <w:sz w:val="14"/>
                <w:szCs w:val="14"/>
                <w:b w:val="1"/>
                <w:bCs w:val="1"/>
                <w:color w:val="auto"/>
              </w:rPr>
              <w:t>Via the Internet:</w:t>
            </w:r>
          </w:p>
        </w:tc>
        <w:tc>
          <w:tcPr>
            <w:tcW w:w="3640" w:type="dxa"/>
            <w:vAlign w:val="bottom"/>
            <w:tcBorders>
              <w:right w:val="single" w:sz="8" w:color="BFBFBF"/>
            </w:tcBorders>
          </w:tcPr>
          <w:p>
            <w:pPr>
              <w:jc w:val="center"/>
              <w:ind w:left="8"/>
              <w:spacing w:after="0"/>
              <w:rPr>
                <w:sz w:val="20"/>
                <w:szCs w:val="20"/>
                <w:color w:val="auto"/>
              </w:rPr>
            </w:pPr>
            <w:r>
              <w:rPr>
                <w:rFonts w:ascii="Arial" w:cs="Arial" w:eastAsia="Arial" w:hAnsi="Arial"/>
                <w:sz w:val="14"/>
                <w:szCs w:val="14"/>
                <w:b w:val="1"/>
                <w:bCs w:val="1"/>
                <w:color w:val="auto"/>
              </w:rPr>
              <w:t>Call Toll-Free:</w:t>
            </w:r>
          </w:p>
        </w:tc>
        <w:tc>
          <w:tcPr>
            <w:tcW w:w="2960" w:type="dxa"/>
            <w:vAlign w:val="bottom"/>
          </w:tcPr>
          <w:p>
            <w:pPr>
              <w:jc w:val="center"/>
              <w:ind w:left="548"/>
              <w:spacing w:after="0"/>
              <w:rPr>
                <w:sz w:val="20"/>
                <w:szCs w:val="20"/>
                <w:color w:val="auto"/>
              </w:rPr>
            </w:pPr>
            <w:r>
              <w:rPr>
                <w:rFonts w:ascii="Arial" w:cs="Arial" w:eastAsia="Arial" w:hAnsi="Arial"/>
                <w:sz w:val="14"/>
                <w:szCs w:val="14"/>
                <w:b w:val="1"/>
                <w:bCs w:val="1"/>
                <w:color w:val="auto"/>
              </w:rPr>
              <w:t>Mail Signed Proxy Card:</w:t>
            </w:r>
          </w:p>
        </w:tc>
      </w:tr>
      <w:tr>
        <w:trPr>
          <w:trHeight w:val="162"/>
        </w:trPr>
        <w:tc>
          <w:tcPr>
            <w:tcW w:w="2720" w:type="dxa"/>
            <w:vAlign w:val="bottom"/>
            <w:tcBorders>
              <w:right w:val="single" w:sz="8" w:color="BFBFBF"/>
            </w:tcBorders>
          </w:tcPr>
          <w:p>
            <w:pPr>
              <w:jc w:val="center"/>
              <w:ind w:right="968"/>
              <w:spacing w:after="0"/>
              <w:rPr>
                <w:sz w:val="20"/>
                <w:szCs w:val="20"/>
                <w:color w:val="auto"/>
              </w:rPr>
            </w:pPr>
            <w:r>
              <w:rPr>
                <w:rFonts w:ascii="Arial" w:cs="Arial" w:eastAsia="Arial" w:hAnsi="Arial"/>
                <w:sz w:val="14"/>
                <w:szCs w:val="14"/>
                <w:color w:val="auto"/>
              </w:rPr>
              <w:t>www.proxypush.com/ROP</w:t>
            </w:r>
          </w:p>
        </w:tc>
        <w:tc>
          <w:tcPr>
            <w:tcW w:w="3640" w:type="dxa"/>
            <w:vAlign w:val="bottom"/>
            <w:tcBorders>
              <w:right w:val="single" w:sz="8" w:color="BFBFBF"/>
            </w:tcBorders>
          </w:tcPr>
          <w:p>
            <w:pPr>
              <w:jc w:val="right"/>
              <w:ind w:right="1188"/>
              <w:spacing w:after="0"/>
              <w:rPr>
                <w:sz w:val="20"/>
                <w:szCs w:val="20"/>
                <w:color w:val="auto"/>
              </w:rPr>
            </w:pPr>
            <w:r>
              <w:rPr>
                <w:rFonts w:ascii="Arial" w:cs="Arial" w:eastAsia="Arial" w:hAnsi="Arial"/>
                <w:sz w:val="14"/>
                <w:szCs w:val="14"/>
                <w:color w:val="auto"/>
              </w:rPr>
              <w:t>1-866-829-5176</w:t>
            </w: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Follow the instructions on your proxy</w:t>
            </w:r>
          </w:p>
        </w:tc>
      </w:tr>
      <w:tr>
        <w:trPr>
          <w:trHeight w:val="185"/>
        </w:trPr>
        <w:tc>
          <w:tcPr>
            <w:tcW w:w="2720" w:type="dxa"/>
            <w:vAlign w:val="bottom"/>
            <w:tcBorders>
              <w:right w:val="single" w:sz="8" w:color="BFBFBF"/>
            </w:tcBorders>
          </w:tcPr>
          <w:p>
            <w:pPr>
              <w:spacing w:after="0"/>
              <w:rPr>
                <w:sz w:val="16"/>
                <w:szCs w:val="16"/>
                <w:color w:val="auto"/>
              </w:rPr>
            </w:pPr>
          </w:p>
        </w:tc>
        <w:tc>
          <w:tcPr>
            <w:tcW w:w="3640" w:type="dxa"/>
            <w:vAlign w:val="bottom"/>
            <w:tcBorders>
              <w:right w:val="single" w:sz="8" w:color="BFBFBF"/>
            </w:tcBorders>
          </w:tcPr>
          <w:p>
            <w:pPr>
              <w:spacing w:after="0"/>
              <w:rPr>
                <w:sz w:val="16"/>
                <w:szCs w:val="16"/>
                <w:color w:val="auto"/>
              </w:rPr>
            </w:pP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card or voting instruction form</w:t>
            </w:r>
          </w:p>
        </w:tc>
      </w:tr>
    </w:tbl>
    <w:p>
      <w:pPr>
        <w:spacing w:after="0" w:line="153" w:lineRule="exact"/>
        <w:rPr>
          <w:sz w:val="20"/>
          <w:szCs w:val="20"/>
          <w:color w:val="auto"/>
        </w:rPr>
      </w:pPr>
    </w:p>
    <w:p>
      <w:pPr>
        <w:ind w:left="120" w:right="160"/>
        <w:spacing w:after="0" w:line="263" w:lineRule="auto"/>
        <w:rPr>
          <w:sz w:val="20"/>
          <w:szCs w:val="20"/>
          <w:color w:val="auto"/>
        </w:rPr>
      </w:pPr>
      <w:r>
        <w:rPr>
          <w:rFonts w:ascii="Arial" w:cs="Arial" w:eastAsia="Arial" w:hAnsi="Arial"/>
          <w:sz w:val="14"/>
          <w:szCs w:val="14"/>
          <w:color w:val="auto"/>
        </w:rPr>
        <w:t xml:space="preserve">If you are a beneficial owner of shares held through a broker, bank or other holder of record, you must follow the voting instructions you receive from the holder of record to vote your shares. Shareholders may also vote at the annual meeting. For more information on how to vote your shares, please refer to </w:t>
      </w:r>
      <w:r>
        <w:rPr>
          <w:rFonts w:ascii="Arial" w:cs="Arial" w:eastAsia="Arial" w:hAnsi="Arial"/>
          <w:sz w:val="14"/>
          <w:szCs w:val="14"/>
          <w:i w:val="1"/>
          <w:iCs w:val="1"/>
          <w:color w:val="auto"/>
        </w:rPr>
        <w:t>Annual Meeting and Voting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Information </w:t>
      </w:r>
      <w:r>
        <w:rPr>
          <w:rFonts w:ascii="Arial" w:cs="Arial" w:eastAsia="Arial" w:hAnsi="Arial"/>
          <w:sz w:val="14"/>
          <w:szCs w:val="14"/>
          <w:color w:val="auto"/>
        </w:rPr>
        <w:t>on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934085"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John K. Stipancich</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Executive Vice President, General Counsel and</w:t>
      </w:r>
    </w:p>
    <w:p>
      <w:pPr>
        <w:ind w:left="120"/>
        <w:spacing w:after="0"/>
        <w:rPr>
          <w:sz w:val="20"/>
          <w:szCs w:val="20"/>
          <w:color w:val="auto"/>
        </w:rPr>
      </w:pPr>
      <w:r>
        <w:rPr>
          <w:rFonts w:ascii="Arial" w:cs="Arial" w:eastAsia="Arial" w:hAnsi="Arial"/>
          <w:sz w:val="17"/>
          <w:szCs w:val="17"/>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Important Notice Regarding the Availability of Proxy Materials for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Annual Meeting of Shareholders to be Held on June 10, 2025</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This Notice of the Annual Meeting of Shareholders, our Proxy Statement and our Annual Report to</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Shareholders and Form 10-K are available free of charge at </w:t>
      </w:r>
      <w:r>
        <w:rPr>
          <w:rFonts w:ascii="Arial" w:cs="Arial" w:eastAsia="Arial" w:hAnsi="Arial"/>
          <w:sz w:val="18"/>
          <w:szCs w:val="18"/>
          <w:b w:val="1"/>
          <w:bCs w:val="1"/>
          <w:color w:val="005CB9"/>
        </w:rPr>
        <w:t>www.proxydocs.com/ROP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TABLE OF CONTENTS</w:t>
      </w:r>
    </w:p>
    <w:p>
      <w:pPr>
        <w:spacing w:after="0" w:line="200" w:lineRule="exact"/>
        <w:rPr>
          <w:sz w:val="20"/>
          <w:szCs w:val="20"/>
          <w:color w:val="auto"/>
        </w:rPr>
      </w:pPr>
    </w:p>
    <w:p>
      <w:pPr>
        <w:spacing w:after="0" w:line="232" w:lineRule="exact"/>
        <w:rPr>
          <w:sz w:val="20"/>
          <w:szCs w:val="20"/>
          <w:color w:val="auto"/>
        </w:rPr>
      </w:pPr>
    </w:p>
    <w:p>
      <w:pPr>
        <w:ind w:left="120" w:right="915"/>
        <w:spacing w:after="0" w:line="397" w:lineRule="auto"/>
        <w:rPr>
          <w:sz w:val="20"/>
          <w:szCs w:val="20"/>
          <w:color w:val="auto"/>
        </w:rPr>
      </w:pPr>
      <w:r>
        <w:rPr>
          <w:rFonts w:ascii="Arial" w:cs="Arial" w:eastAsia="Arial" w:hAnsi="Arial"/>
          <w:sz w:val="17"/>
          <w:szCs w:val="17"/>
          <w:b w:val="1"/>
          <w:bCs w:val="1"/>
          <w:u w:val="single" w:color="auto"/>
          <w:color w:val="0000EE"/>
        </w:rPr>
        <w:t xml:space="preserve">PROXY STATEMENT SUMMARY PROPOSAL 1: </w:t>
      </w:r>
      <w:r>
        <w:rPr>
          <w:rFonts w:ascii="Arial" w:cs="Arial" w:eastAsia="Arial" w:hAnsi="Arial"/>
          <w:sz w:val="17"/>
          <w:szCs w:val="17"/>
          <w:u w:val="single" w:color="auto"/>
          <w:color w:val="0000EE"/>
        </w:rPr>
        <w:t>ELECTION OF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BOARD OF DIRECTORS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SUSTAINABILITY</w:t>
      </w:r>
    </w:p>
    <w:p>
      <w:pPr>
        <w:spacing w:after="0" w:line="129" w:lineRule="exact"/>
        <w:rPr>
          <w:sz w:val="20"/>
          <w:szCs w:val="20"/>
          <w:color w:val="auto"/>
        </w:rPr>
      </w:pPr>
    </w:p>
    <w:p>
      <w:pPr>
        <w:ind w:left="120" w:right="515"/>
        <w:spacing w:after="0" w:line="397" w:lineRule="auto"/>
        <w:rPr>
          <w:sz w:val="20"/>
          <w:szCs w:val="20"/>
          <w:color w:val="auto"/>
        </w:rPr>
      </w:pPr>
      <w:r>
        <w:rPr>
          <w:rFonts w:ascii="Arial" w:cs="Arial" w:eastAsia="Arial" w:hAnsi="Arial"/>
          <w:sz w:val="17"/>
          <w:szCs w:val="17"/>
          <w:b w:val="1"/>
          <w:bCs w:val="1"/>
          <w:u w:val="single" w:color="auto"/>
          <w:color w:val="0000EE"/>
        </w:rPr>
        <w:t>BOARD COMMITTEES AND MEETINGS DIRECTOR COMPENSATION BENEFICIAL OWNERSHIP DELINQUENT SECTION 16(a) REPORTS COMPENSATION DISCUSSION AND ANALYSIS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Overview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Creating Shareholder Value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Overview of Our Executive</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EE"/>
        </w:rPr>
        <w:t>Compensation Program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Elements of Compensation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Compensation Process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Analysis of 2024 Compensation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Additional Information About Our</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EE"/>
        </w:rPr>
        <w:t>Program</w:t>
      </w:r>
    </w:p>
    <w:p>
      <w:pPr>
        <w:spacing w:after="0" w:line="113" w:lineRule="exact"/>
        <w:rPr>
          <w:sz w:val="20"/>
          <w:szCs w:val="20"/>
          <w:color w:val="auto"/>
        </w:rPr>
      </w:pPr>
    </w:p>
    <w:p>
      <w:pPr>
        <w:ind w:left="300" w:right="275" w:hanging="170"/>
        <w:spacing w:after="0" w:line="280" w:lineRule="auto"/>
        <w:rPr>
          <w:sz w:val="20"/>
          <w:szCs w:val="20"/>
          <w:color w:val="auto"/>
        </w:rPr>
      </w:pPr>
      <w:r>
        <w:rPr>
          <w:rFonts w:ascii="Arial" w:cs="Arial" w:eastAsia="Arial" w:hAnsi="Arial"/>
          <w:sz w:val="17"/>
          <w:szCs w:val="17"/>
          <w:b w:val="1"/>
          <w:bCs w:val="1"/>
          <w:u w:val="single" w:color="auto"/>
          <w:color w:val="0000EE"/>
        </w:rPr>
        <w:t>COMPENSATION COMMITTEE INTERLOCKS AND INSIDER PARTICIPATION</w:t>
      </w:r>
    </w:p>
    <w:p>
      <w:pPr>
        <w:spacing w:after="0" w:line="57" w:lineRule="exact"/>
        <w:rPr>
          <w:sz w:val="20"/>
          <w:szCs w:val="20"/>
          <w:color w:val="auto"/>
        </w:rPr>
      </w:pPr>
    </w:p>
    <w:p>
      <w:pPr>
        <w:ind w:left="120" w:right="1095"/>
        <w:spacing w:after="0" w:line="397" w:lineRule="auto"/>
        <w:rPr>
          <w:sz w:val="20"/>
          <w:szCs w:val="20"/>
          <w:color w:val="auto"/>
        </w:rPr>
      </w:pPr>
      <w:r>
        <w:rPr>
          <w:rFonts w:ascii="Arial" w:cs="Arial" w:eastAsia="Arial" w:hAnsi="Arial"/>
          <w:sz w:val="17"/>
          <w:szCs w:val="17"/>
          <w:b w:val="1"/>
          <w:bCs w:val="1"/>
          <w:u w:val="single" w:color="auto"/>
          <w:color w:val="0000EE"/>
        </w:rPr>
        <w:t>COMPENSATION COMMITTEE REPORT EXECUTIVE COMPENSATION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2024 Summary Compensation Table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2024 Grants of Plan-Based Awards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2024 Outstanding Equity Awards at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EE"/>
        </w:rPr>
        <w:t>Fiscal Year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105" w:type="dxa"/>
        <w:tblCellMar>
          <w:top w:w="0" w:type="dxa"/>
          <w:left w:w="0" w:type="dxa"/>
          <w:bottom w:w="0" w:type="dxa"/>
          <w:right w:w="0" w:type="dxa"/>
        </w:tblCellMar>
      </w:tblPr>
      <w:tr>
        <w:trPr>
          <w:trHeight w:val="195"/>
        </w:trPr>
        <w:tc>
          <w:tcPr>
            <w:tcW w:w="820" w:type="dxa"/>
            <w:vAlign w:val="bottom"/>
          </w:tcPr>
          <w:p>
            <w:pPr>
              <w:jc w:val="right"/>
              <w:ind w:right="660"/>
              <w:spacing w:after="0"/>
              <w:rPr>
                <w:sz w:val="20"/>
                <w:szCs w:val="20"/>
                <w:color w:val="auto"/>
              </w:rPr>
            </w:pPr>
            <w:r>
              <w:rPr>
                <w:rFonts w:ascii="Arial" w:cs="Arial" w:eastAsia="Arial" w:hAnsi="Arial"/>
                <w:sz w:val="17"/>
                <w:szCs w:val="17"/>
                <w:color w:val="auto"/>
              </w:rPr>
              <w:t>i</w:t>
            </w:r>
          </w:p>
        </w:tc>
        <w:tc>
          <w:tcPr>
            <w:tcW w:w="4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5"/>
              </w:rPr>
              <w:t>2024</w:t>
            </w:r>
          </w:p>
        </w:tc>
        <w:tc>
          <w:tcPr>
            <w:tcW w:w="2700" w:type="dxa"/>
            <w:vAlign w:val="bottom"/>
            <w:tcBorders>
              <w:bottom w:val="single" w:sz="8" w:color="0000EE"/>
            </w:tcBorders>
          </w:tcPr>
          <w:p>
            <w:pPr>
              <w:ind w:left="20"/>
              <w:spacing w:after="0"/>
              <w:rPr>
                <w:sz w:val="20"/>
                <w:szCs w:val="20"/>
                <w:color w:val="auto"/>
              </w:rPr>
            </w:pPr>
            <w:r>
              <w:rPr>
                <w:rFonts w:ascii="Arial" w:cs="Arial" w:eastAsia="Arial" w:hAnsi="Arial"/>
                <w:sz w:val="17"/>
                <w:szCs w:val="17"/>
                <w:color w:val="0000EE"/>
                <w:w w:val="99"/>
              </w:rPr>
              <w:t>Option Exercises and Stock Vested</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04"/>
        </w:trPr>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1</w:t>
            </w:r>
          </w:p>
        </w:tc>
        <w:tc>
          <w:tcPr>
            <w:tcW w:w="4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5"/>
              </w:rPr>
              <w:t>2024</w:t>
            </w:r>
          </w:p>
        </w:tc>
        <w:tc>
          <w:tcPr>
            <w:tcW w:w="2940" w:type="dxa"/>
            <w:vAlign w:val="bottom"/>
            <w:tcBorders>
              <w:bottom w:val="single" w:sz="8" w:color="0000EE"/>
            </w:tcBorders>
            <w:gridSpan w:val="2"/>
          </w:tcPr>
          <w:p>
            <w:pPr>
              <w:ind w:left="20"/>
              <w:spacing w:after="0"/>
              <w:rPr>
                <w:sz w:val="20"/>
                <w:szCs w:val="20"/>
                <w:color w:val="auto"/>
              </w:rPr>
            </w:pPr>
            <w:r>
              <w:rPr>
                <w:rFonts w:ascii="Arial" w:cs="Arial" w:eastAsia="Arial" w:hAnsi="Arial"/>
                <w:sz w:val="17"/>
                <w:szCs w:val="17"/>
                <w:color w:val="0000EE"/>
              </w:rPr>
              <w:t>Non-Qualified Deferred Compensation</w:t>
            </w:r>
          </w:p>
        </w:tc>
        <w:tc>
          <w:tcPr>
            <w:tcW w:w="1660" w:type="dxa"/>
            <w:vAlign w:val="bottom"/>
          </w:tcPr>
          <w:p>
            <w:pPr>
              <w:jc w:val="right"/>
              <w:spacing w:after="0"/>
              <w:rPr>
                <w:sz w:val="20"/>
                <w:szCs w:val="20"/>
                <w:color w:val="auto"/>
              </w:rPr>
            </w:pPr>
            <w:r>
              <w:rPr>
                <w:rFonts w:ascii="Arial" w:cs="Arial" w:eastAsia="Arial" w:hAnsi="Arial"/>
                <w:sz w:val="17"/>
                <w:szCs w:val="17"/>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-1362710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95" w:lineRule="exact"/>
        <w:rPr>
          <w:sz w:val="20"/>
          <w:szCs w:val="20"/>
          <w:color w:val="auto"/>
        </w:rPr>
      </w:pPr>
    </w:p>
    <w:p>
      <w:pPr>
        <w:ind w:left="925" w:hanging="830"/>
        <w:spacing w:after="0"/>
        <w:tabs>
          <w:tab w:leader="none" w:pos="925" w:val="left"/>
        </w:tabs>
        <w:numPr>
          <w:ilvl w:val="0"/>
          <w:numId w:val="7"/>
        </w:numPr>
        <w:rPr>
          <w:rFonts w:ascii="Arial" w:cs="Arial" w:eastAsia="Arial" w:hAnsi="Arial"/>
          <w:sz w:val="17"/>
          <w:szCs w:val="17"/>
          <w:color w:val="auto"/>
        </w:rPr>
      </w:pPr>
      <w:r>
        <w:rPr>
          <w:rFonts w:ascii="Arial" w:cs="Arial" w:eastAsia="Arial" w:hAnsi="Arial"/>
          <w:sz w:val="17"/>
          <w:szCs w:val="17"/>
          <w:color w:val="0000EE"/>
        </w:rPr>
        <w:t>Potential Payments upon Termination or Change in</w:t>
      </w:r>
    </w:p>
    <w:tbl>
      <w:tblPr>
        <w:tblLayout w:type="fixed"/>
        <w:tblInd w:w="5" w:type="dxa"/>
        <w:tblCellMar>
          <w:top w:w="0" w:type="dxa"/>
          <w:left w:w="0" w:type="dxa"/>
          <w:bottom w:w="0" w:type="dxa"/>
          <w:right w:w="0" w:type="dxa"/>
        </w:tblCellMar>
      </w:tblP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68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7"/>
                <w:szCs w:val="17"/>
                <w:color w:val="0000EE"/>
              </w:rPr>
              <w:t>Control</w:t>
            </w:r>
          </w:p>
        </w:tc>
        <w:tc>
          <w:tcPr>
            <w:tcW w:w="1140" w:type="dxa"/>
            <w:vAlign w:val="bottom"/>
          </w:tcPr>
          <w:p>
            <w:pPr>
              <w:jc w:val="right"/>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gridSpan w:val="11"/>
            <w:vMerge w:val="restart"/>
          </w:tcPr>
          <w:p>
            <w:pPr>
              <w:spacing w:after="0"/>
              <w:rPr>
                <w:sz w:val="20"/>
                <w:szCs w:val="20"/>
                <w:color w:val="auto"/>
              </w:rPr>
            </w:pPr>
            <w:r>
              <w:rPr>
                <w:rFonts w:ascii="Arial" w:cs="Arial" w:eastAsia="Arial" w:hAnsi="Arial"/>
                <w:sz w:val="17"/>
                <w:szCs w:val="17"/>
                <w:color w:val="0000EE"/>
              </w:rPr>
              <w:t>Summary of Termination Payments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60" w:type="dxa"/>
            <w:vAlign w:val="bottom"/>
            <w:gridSpan w:val="11"/>
            <w:vMerge w:val="continue"/>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86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7"/>
                <w:szCs w:val="17"/>
                <w:color w:val="0000EE"/>
              </w:rPr>
              <w:t>Benefits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12</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CEO Pay Ratio</w:t>
            </w:r>
          </w:p>
        </w:tc>
        <w:tc>
          <w:tcPr>
            <w:tcW w:w="270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17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Pay Versus Performance</w:t>
            </w:r>
          </w:p>
        </w:tc>
        <w:tc>
          <w:tcPr>
            <w:tcW w:w="196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19</w:t>
            </w:r>
          </w:p>
        </w:tc>
        <w:tc>
          <w:tcPr>
            <w:tcW w:w="380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b w:val="1"/>
                <w:bCs w:val="1"/>
                <w:color w:val="0000EE"/>
              </w:rPr>
              <w:t xml:space="preserve">PROPOSAL 2: </w:t>
            </w:r>
            <w:r>
              <w:rPr>
                <w:rFonts w:ascii="Arial" w:cs="Arial" w:eastAsia="Arial" w:hAnsi="Arial"/>
                <w:sz w:val="17"/>
                <w:szCs w:val="17"/>
                <w:color w:val="0000EE"/>
              </w:rPr>
              <w:t>ADVISORY VOTE TO APPROVE</w:t>
            </w:r>
          </w:p>
        </w:tc>
        <w:tc>
          <w:tcPr>
            <w:tcW w:w="40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20</w:t>
            </w:r>
          </w:p>
        </w:tc>
        <w:tc>
          <w:tcPr>
            <w:tcW w:w="4200" w:type="dxa"/>
            <w:vAlign w:val="bottom"/>
            <w:gridSpan w:val="13"/>
          </w:tcPr>
          <w:p>
            <w:pPr>
              <w:ind w:left="180"/>
              <w:spacing w:after="0" w:line="169" w:lineRule="exact"/>
              <w:rPr>
                <w:sz w:val="20"/>
                <w:szCs w:val="20"/>
                <w:color w:val="auto"/>
              </w:rPr>
            </w:pPr>
            <w:r>
              <w:rPr>
                <w:rFonts w:ascii="Arial" w:cs="Arial" w:eastAsia="Arial" w:hAnsi="Arial"/>
                <w:sz w:val="17"/>
                <w:szCs w:val="17"/>
                <w:color w:val="0000EE"/>
              </w:rPr>
              <w:t>COMPENSATION OF THE COMPANY’S NAMED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vMerge w:val="continue"/>
          </w:tcPr>
          <w:p>
            <w:pPr>
              <w:spacing w:after="0"/>
              <w:rPr>
                <w:sz w:val="8"/>
                <w:szCs w:val="8"/>
                <w:color w:val="auto"/>
              </w:rPr>
            </w:pPr>
          </w:p>
        </w:tc>
        <w:tc>
          <w:tcPr>
            <w:tcW w:w="4200" w:type="dxa"/>
            <w:vAlign w:val="bottom"/>
            <w:gridSpan w:val="13"/>
            <w:vMerge w:val="restart"/>
          </w:tcPr>
          <w:p>
            <w:pPr>
              <w:ind w:left="180"/>
              <w:spacing w:after="0" w:line="169" w:lineRule="exact"/>
              <w:rPr>
                <w:sz w:val="20"/>
                <w:szCs w:val="20"/>
                <w:color w:val="auto"/>
              </w:rPr>
            </w:pPr>
            <w:r>
              <w:rPr>
                <w:rFonts w:ascii="Arial" w:cs="Arial" w:eastAsia="Arial" w:hAnsi="Arial"/>
                <w:sz w:val="17"/>
                <w:szCs w:val="17"/>
                <w:color w:val="0000EE"/>
              </w:rPr>
              <w:t>EXECUTIVE OFFICERS</w:t>
            </w:r>
          </w:p>
        </w:tc>
        <w:tc>
          <w:tcPr>
            <w:tcW w:w="1140" w:type="dxa"/>
            <w:vAlign w:val="bottom"/>
            <w:vMerge w:val="restart"/>
          </w:tcPr>
          <w:p>
            <w:pPr>
              <w:jc w:val="right"/>
              <w:spacing w:after="0" w:line="169"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68"/>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21</w:t>
            </w:r>
          </w:p>
        </w:tc>
        <w:tc>
          <w:tcPr>
            <w:tcW w:w="4200" w:type="dxa"/>
            <w:vAlign w:val="bottom"/>
            <w:gridSpan w:val="1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vMerge w:val="continue"/>
          </w:tcPr>
          <w:p>
            <w:pPr>
              <w:spacing w:after="0"/>
              <w:rPr>
                <w:sz w:val="20"/>
                <w:szCs w:val="20"/>
                <w:color w:val="auto"/>
              </w:rPr>
            </w:pPr>
          </w:p>
        </w:tc>
        <w:tc>
          <w:tcPr>
            <w:tcW w:w="2360" w:type="dxa"/>
            <w:vAlign w:val="bottom"/>
            <w:gridSpan w:val="9"/>
            <w:vMerge w:val="restart"/>
          </w:tcPr>
          <w:p>
            <w:pPr>
              <w:spacing w:after="0"/>
              <w:rPr>
                <w:sz w:val="20"/>
                <w:szCs w:val="20"/>
                <w:color w:val="auto"/>
              </w:rPr>
            </w:pPr>
            <w:r>
              <w:rPr>
                <w:rFonts w:ascii="Arial" w:cs="Arial" w:eastAsia="Arial" w:hAnsi="Arial"/>
                <w:sz w:val="17"/>
                <w:szCs w:val="17"/>
                <w:b w:val="1"/>
                <w:bCs w:val="1"/>
                <w:color w:val="0000EE"/>
                <w:w w:val="99"/>
              </w:rPr>
              <w:t>AUDIT COMMITTEE REPORT</w:t>
            </w:r>
          </w:p>
        </w:tc>
        <w:tc>
          <w:tcPr>
            <w:tcW w:w="1840" w:type="dxa"/>
            <w:vAlign w:val="bottom"/>
            <w:gridSpan w:val="4"/>
            <w:vMerge w:val="restart"/>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73"/>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21</w:t>
            </w:r>
          </w:p>
        </w:tc>
        <w:tc>
          <w:tcPr>
            <w:tcW w:w="2360" w:type="dxa"/>
            <w:vAlign w:val="bottom"/>
            <w:tcBorders>
              <w:bottom w:val="single" w:sz="8" w:color="0000EE"/>
            </w:tcBorders>
            <w:gridSpan w:val="9"/>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4200" w:type="dxa"/>
            <w:vAlign w:val="bottom"/>
            <w:gridSpan w:val="13"/>
            <w:vMerge w:val="restart"/>
          </w:tcPr>
          <w:p>
            <w:pPr>
              <w:spacing w:after="0"/>
              <w:rPr>
                <w:sz w:val="20"/>
                <w:szCs w:val="20"/>
                <w:color w:val="auto"/>
              </w:rPr>
            </w:pPr>
            <w:r>
              <w:rPr>
                <w:rFonts w:ascii="Arial" w:cs="Arial" w:eastAsia="Arial" w:hAnsi="Arial"/>
                <w:sz w:val="17"/>
                <w:szCs w:val="17"/>
                <w:b w:val="1"/>
                <w:bCs w:val="1"/>
                <w:color w:val="0000EE"/>
              </w:rPr>
              <w:t>INDEPENDENT PUBLIC ACCOUNTANT’S FEES</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67"/>
        </w:trPr>
        <w:tc>
          <w:tcPr>
            <w:tcW w:w="580" w:type="dxa"/>
            <w:vAlign w:val="bottom"/>
          </w:tcPr>
          <w:p>
            <w:pPr>
              <w:spacing w:after="0"/>
              <w:rPr>
                <w:sz w:val="5"/>
                <w:szCs w:val="5"/>
                <w:color w:val="auto"/>
              </w:rPr>
            </w:pPr>
          </w:p>
        </w:tc>
        <w:tc>
          <w:tcPr>
            <w:tcW w:w="4200" w:type="dxa"/>
            <w:vAlign w:val="bottom"/>
            <w:gridSpan w:val="1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765" w:right="740" w:hanging="765"/>
        <w:spacing w:after="0" w:line="186" w:lineRule="auto"/>
        <w:tabs>
          <w:tab w:leader="none" w:pos="594" w:val="left"/>
        </w:tabs>
        <w:numPr>
          <w:ilvl w:val="0"/>
          <w:numId w:val="8"/>
        </w:numPr>
        <w:rPr>
          <w:rFonts w:ascii="Arial" w:cs="Arial" w:eastAsia="Arial" w:hAnsi="Arial"/>
          <w:sz w:val="29"/>
          <w:szCs w:val="29"/>
          <w:color w:val="auto"/>
          <w:vertAlign w:val="superscript"/>
        </w:rPr>
      </w:pPr>
      <w:r>
        <w:rPr>
          <w:rFonts w:ascii="Arial" w:cs="Arial" w:eastAsia="Arial" w:hAnsi="Arial"/>
          <w:sz w:val="15"/>
          <w:szCs w:val="15"/>
          <w:b w:val="1"/>
          <w:bCs w:val="1"/>
          <w:u w:val="single" w:color="auto"/>
          <w:color w:val="0000EE"/>
        </w:rPr>
        <w:t xml:space="preserve">PROPOSAL 3: </w:t>
      </w:r>
      <w:r>
        <w:rPr>
          <w:rFonts w:ascii="Arial" w:cs="Arial" w:eastAsia="Arial" w:hAnsi="Arial"/>
          <w:sz w:val="15"/>
          <w:szCs w:val="15"/>
          <w:u w:val="single" w:color="auto"/>
          <w:color w:val="0000EE"/>
        </w:rPr>
        <w:t>RATIFICATION OF THE APPOINTMENT OF</w:t>
      </w:r>
      <w:r>
        <w:rPr>
          <w:rFonts w:ascii="Arial" w:cs="Arial" w:eastAsia="Arial" w:hAnsi="Arial"/>
          <w:sz w:val="15"/>
          <w:szCs w:val="15"/>
          <w:b w:val="1"/>
          <w:bCs w:val="1"/>
          <w:u w:val="single" w:color="auto"/>
          <w:color w:val="0000EE"/>
        </w:rPr>
        <w:t xml:space="preserve"> </w:t>
      </w:r>
      <w:r>
        <w:rPr>
          <w:rFonts w:ascii="Arial" w:cs="Arial" w:eastAsia="Arial" w:hAnsi="Arial"/>
          <w:sz w:val="15"/>
          <w:szCs w:val="15"/>
          <w:u w:val="single" w:color="auto"/>
          <w:color w:val="0000EE"/>
        </w:rPr>
        <w:t>PRICEWATERHOUSECOOPERS LLP AS OUR</w:t>
      </w:r>
    </w:p>
    <w:p>
      <w:pPr>
        <w:ind w:left="765" w:hanging="765"/>
        <w:spacing w:after="0" w:line="234" w:lineRule="auto"/>
        <w:tabs>
          <w:tab w:leader="none" w:pos="76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EE"/>
        </w:rPr>
        <w:t>INDEPENDENT REGISTERED PUBLIC ACCOUNTING</w:t>
      </w:r>
    </w:p>
    <w:tbl>
      <w:tblPr>
        <w:tblLayout w:type="fixed"/>
        <w:tblInd w:w="5" w:type="dxa"/>
        <w:tblCellMar>
          <w:top w:w="0" w:type="dxa"/>
          <w:left w:w="0" w:type="dxa"/>
          <w:bottom w:w="0" w:type="dxa"/>
          <w:right w:w="0" w:type="dxa"/>
        </w:tblCellMar>
      </w:tblPr>
      <w:tr>
        <w:trPr>
          <w:trHeight w:val="168"/>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28</w:t>
            </w:r>
          </w:p>
        </w:tc>
        <w:tc>
          <w:tcPr>
            <w:tcW w:w="180" w:type="dxa"/>
            <w:vAlign w:val="bottom"/>
          </w:tcPr>
          <w:p>
            <w:pPr>
              <w:spacing w:after="0"/>
              <w:rPr>
                <w:sz w:val="14"/>
                <w:szCs w:val="14"/>
                <w:color w:val="auto"/>
              </w:rPr>
            </w:pPr>
          </w:p>
        </w:tc>
        <w:tc>
          <w:tcPr>
            <w:tcW w:w="4160" w:type="dxa"/>
            <w:vAlign w:val="bottom"/>
            <w:tcBorders>
              <w:bottom w:val="single" w:sz="8" w:color="0000EE"/>
            </w:tcBorders>
            <w:gridSpan w:val="5"/>
          </w:tcPr>
          <w:p>
            <w:pPr>
              <w:spacing w:after="0" w:line="168" w:lineRule="exact"/>
              <w:rPr>
                <w:sz w:val="20"/>
                <w:szCs w:val="20"/>
                <w:color w:val="auto"/>
              </w:rPr>
            </w:pPr>
            <w:r>
              <w:rPr>
                <w:rFonts w:ascii="Arial" w:cs="Arial" w:eastAsia="Arial" w:hAnsi="Arial"/>
                <w:sz w:val="17"/>
                <w:szCs w:val="17"/>
                <w:color w:val="0000EE"/>
                <w:w w:val="99"/>
              </w:rPr>
              <w:t>FIRM FOR THE YEAR ENDING DECEMBER 31, 2025</w:t>
            </w:r>
          </w:p>
        </w:tc>
        <w:tc>
          <w:tcPr>
            <w:tcW w:w="540" w:type="dxa"/>
            <w:vAlign w:val="bottom"/>
            <w:gridSpan w:val="2"/>
          </w:tcPr>
          <w:p>
            <w:pPr>
              <w:spacing w:after="0"/>
              <w:rPr>
                <w:sz w:val="14"/>
                <w:szCs w:val="14"/>
                <w:color w:val="auto"/>
              </w:rPr>
            </w:pPr>
          </w:p>
        </w:tc>
        <w:tc>
          <w:tcPr>
            <w:tcW w:w="460" w:type="dxa"/>
            <w:vAlign w:val="bottom"/>
          </w:tcPr>
          <w:p>
            <w:pPr>
              <w:jc w:val="right"/>
              <w:spacing w:after="0" w:line="168"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3"/>
        </w:trPr>
        <w:tc>
          <w:tcPr>
            <w:tcW w:w="580" w:type="dxa"/>
            <w:vAlign w:val="bottom"/>
            <w:vMerge w:val="continue"/>
          </w:tcPr>
          <w:p>
            <w:pPr>
              <w:spacing w:after="0"/>
              <w:rPr>
                <w:sz w:val="15"/>
                <w:szCs w:val="15"/>
                <w:color w:val="auto"/>
              </w:rPr>
            </w:pPr>
          </w:p>
        </w:tc>
        <w:tc>
          <w:tcPr>
            <w:tcW w:w="488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ANNUAL MEETING AND VOTING INFORMATION</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21"/>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30</w:t>
            </w:r>
          </w:p>
        </w:tc>
        <w:tc>
          <w:tcPr>
            <w:tcW w:w="4880" w:type="dxa"/>
            <w:vAlign w:val="bottom"/>
            <w:gridSpan w:val="8"/>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vMerge w:val="continue"/>
          </w:tcPr>
          <w:p>
            <w:pPr>
              <w:spacing w:after="0"/>
              <w:rPr>
                <w:sz w:val="15"/>
                <w:szCs w:val="15"/>
                <w:color w:val="auto"/>
              </w:rPr>
            </w:pPr>
          </w:p>
        </w:tc>
        <w:tc>
          <w:tcPr>
            <w:tcW w:w="488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INFORMATION REGARDING THE 2026 ANNUAL MEETING</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34</w:t>
            </w:r>
          </w:p>
        </w:tc>
        <w:tc>
          <w:tcPr>
            <w:tcW w:w="4880" w:type="dxa"/>
            <w:vAlign w:val="bottom"/>
            <w:gridSpan w:val="8"/>
            <w:vMerge w:val="continue"/>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52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7"/>
                <w:szCs w:val="17"/>
                <w:b w:val="1"/>
                <w:bCs w:val="1"/>
                <w:color w:val="0000EE"/>
              </w:rPr>
              <w:t>OF SHAREHOLDERS</w:t>
            </w:r>
          </w:p>
        </w:tc>
        <w:tc>
          <w:tcPr>
            <w:tcW w:w="1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39</w:t>
            </w:r>
          </w:p>
        </w:tc>
        <w:tc>
          <w:tcPr>
            <w:tcW w:w="146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8"/>
              </w:rPr>
              <w:t>OTHER MATTERS</w:t>
            </w:r>
          </w:p>
        </w:tc>
        <w:tc>
          <w:tcPr>
            <w:tcW w:w="342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3"/>
        </w:trPr>
        <w:tc>
          <w:tcPr>
            <w:tcW w:w="580" w:type="dxa"/>
            <w:vAlign w:val="bottom"/>
            <w:vMerge w:val="continue"/>
          </w:tcPr>
          <w:p>
            <w:pPr>
              <w:spacing w:after="0"/>
              <w:rPr>
                <w:sz w:val="15"/>
                <w:szCs w:val="15"/>
                <w:color w:val="auto"/>
              </w:rPr>
            </w:pPr>
          </w:p>
        </w:tc>
        <w:tc>
          <w:tcPr>
            <w:tcW w:w="488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APPENDIX A—RECONCILIATIONS</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4880" w:type="dxa"/>
            <w:vAlign w:val="bottom"/>
            <w:gridSpan w:val="8"/>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41</w:t>
            </w:r>
          </w:p>
        </w:tc>
        <w:tc>
          <w:tcPr>
            <w:tcW w:w="18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
        <w:spacing w:after="0"/>
        <w:rPr>
          <w:sz w:val="20"/>
          <w:szCs w:val="20"/>
          <w:color w:val="auto"/>
        </w:rPr>
      </w:pPr>
      <w:r>
        <w:rPr>
          <w:rFonts w:ascii="Arial" w:cs="Arial" w:eastAsia="Arial" w:hAnsi="Arial"/>
          <w:sz w:val="17"/>
          <w:szCs w:val="17"/>
          <w:color w:val="auto"/>
        </w:rPr>
        <w:t>42</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7"/>
          <w:szCs w:val="17"/>
          <w:color w:val="auto"/>
        </w:rPr>
        <w:t>42</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7"/>
          <w:szCs w:val="17"/>
          <w:color w:val="auto"/>
        </w:rPr>
        <w:t>43</w:t>
      </w:r>
    </w:p>
    <w:p>
      <w:pPr>
        <w:spacing w:after="0" w:line="318" w:lineRule="exact"/>
        <w:rPr>
          <w:sz w:val="20"/>
          <w:szCs w:val="20"/>
          <w:color w:val="auto"/>
        </w:rPr>
      </w:pPr>
    </w:p>
    <w:p>
      <w:pPr>
        <w:ind w:left="5"/>
        <w:spacing w:after="0"/>
        <w:rPr>
          <w:sz w:val="20"/>
          <w:szCs w:val="20"/>
          <w:color w:val="auto"/>
        </w:rPr>
      </w:pPr>
      <w:r>
        <w:rPr>
          <w:rFonts w:ascii="Arial" w:cs="Arial" w:eastAsia="Arial" w:hAnsi="Arial"/>
          <w:sz w:val="17"/>
          <w:szCs w:val="17"/>
          <w:color w:val="auto"/>
        </w:rPr>
        <w:t>44</w:t>
      </w:r>
    </w:p>
    <w:p>
      <w:pPr>
        <w:sectPr>
          <w:pgSz w:w="11900" w:h="16838" w:orient="portrait"/>
          <w:cols w:equalWidth="0" w:num="2">
            <w:col w:w="4435" w:space="720"/>
            <w:col w:w="5925"/>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426085</wp:posOffset>
            </wp:positionV>
            <wp:extent cx="7011670" cy="547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1670" cy="547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00" w:right="200"/>
        <w:spacing w:after="0" w:line="241" w:lineRule="auto"/>
        <w:rPr>
          <w:sz w:val="20"/>
          <w:szCs w:val="20"/>
          <w:color w:val="auto"/>
        </w:rPr>
      </w:pPr>
      <w:r>
        <w:rPr>
          <w:rFonts w:ascii="Arial" w:cs="Arial" w:eastAsia="Arial" w:hAnsi="Arial"/>
          <w:sz w:val="17"/>
          <w:szCs w:val="17"/>
          <w:color w:val="auto"/>
        </w:rPr>
        <w:t>This summary highlights information about Roper Technologies, Inc. (the “Company”, “Roper”, “we”, “us” or “our”) and the upcoming 2025 Annual Meeting of Shareholders (the “2025 Annual Meeting”). It does not contain all of the information you should consider. We recommend reading the complete proxy statement (the “Proxy Statement”) and our 2024 Annual Report to Shareholders (the “2024 Annual Report”), which includes our Annual Report on Form 10-K, before voting. The Proxy Statement and the enclosed proxy card are being mailed or otherwise made available to shareholders on or about April 25, 2025.</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2025 ANNUAL MEETING OF SHAREHOLDERS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360" w:type="dxa"/>
            <w:vAlign w:val="bottom"/>
          </w:tcPr>
          <w:p>
            <w:pPr>
              <w:spacing w:after="0"/>
              <w:rPr>
                <w:sz w:val="20"/>
                <w:szCs w:val="20"/>
                <w:color w:val="auto"/>
              </w:rPr>
            </w:pPr>
            <w:r>
              <w:rPr>
                <w:rFonts w:ascii="Arial" w:cs="Arial" w:eastAsia="Arial" w:hAnsi="Arial"/>
                <w:sz w:val="17"/>
                <w:szCs w:val="17"/>
                <w:b w:val="1"/>
                <w:bCs w:val="1"/>
                <w:color w:val="auto"/>
              </w:rPr>
              <w:t xml:space="preserve">Date and Time:          </w:t>
            </w:r>
          </w:p>
        </w:tc>
        <w:tc>
          <w:tcPr>
            <w:tcW w:w="1980" w:type="dxa"/>
            <w:vAlign w:val="bottom"/>
          </w:tcPr>
          <w:p>
            <w:pPr>
              <w:ind w:left="560"/>
              <w:spacing w:after="0"/>
              <w:rPr>
                <w:sz w:val="20"/>
                <w:szCs w:val="20"/>
                <w:color w:val="auto"/>
              </w:rPr>
            </w:pPr>
            <w:r>
              <w:rPr>
                <w:rFonts w:ascii="Arial" w:cs="Arial" w:eastAsia="Arial" w:hAnsi="Arial"/>
                <w:sz w:val="17"/>
                <w:szCs w:val="17"/>
                <w:b w:val="1"/>
                <w:bCs w:val="1"/>
                <w:color w:val="auto"/>
              </w:rPr>
              <w:t>Record Date:</w:t>
            </w:r>
          </w:p>
        </w:tc>
        <w:tc>
          <w:tcPr>
            <w:tcW w:w="2180" w:type="dxa"/>
            <w:vAlign w:val="bottom"/>
          </w:tcPr>
          <w:p>
            <w:pPr>
              <w:ind w:left="360"/>
              <w:spacing w:after="0"/>
              <w:rPr>
                <w:sz w:val="20"/>
                <w:szCs w:val="20"/>
                <w:color w:val="auto"/>
              </w:rPr>
            </w:pPr>
            <w:r>
              <w:rPr>
                <w:rFonts w:ascii="Arial" w:cs="Arial" w:eastAsia="Arial" w:hAnsi="Arial"/>
                <w:sz w:val="17"/>
                <w:szCs w:val="17"/>
                <w:b w:val="1"/>
                <w:bCs w:val="1"/>
                <w:color w:val="auto"/>
              </w:rPr>
              <w:t>Place:</w:t>
            </w:r>
          </w:p>
        </w:tc>
      </w:tr>
      <w:tr>
        <w:trPr>
          <w:trHeight w:val="189"/>
        </w:trPr>
        <w:tc>
          <w:tcPr>
            <w:tcW w:w="2360" w:type="dxa"/>
            <w:vAlign w:val="bottom"/>
          </w:tcPr>
          <w:p>
            <w:pPr>
              <w:spacing w:after="0" w:line="189" w:lineRule="exact"/>
              <w:rPr>
                <w:sz w:val="20"/>
                <w:szCs w:val="20"/>
                <w:color w:val="auto"/>
              </w:rPr>
            </w:pPr>
            <w:r>
              <w:rPr>
                <w:rFonts w:ascii="Arial" w:cs="Arial" w:eastAsia="Arial" w:hAnsi="Arial"/>
                <w:sz w:val="17"/>
                <w:szCs w:val="17"/>
                <w:color w:val="auto"/>
              </w:rPr>
              <w:t>Tuesday, June 10, 2025</w:t>
            </w:r>
          </w:p>
        </w:tc>
        <w:tc>
          <w:tcPr>
            <w:tcW w:w="1980" w:type="dxa"/>
            <w:vAlign w:val="bottom"/>
          </w:tcPr>
          <w:p>
            <w:pPr>
              <w:ind w:left="560"/>
              <w:spacing w:after="0" w:line="189" w:lineRule="exact"/>
              <w:rPr>
                <w:sz w:val="20"/>
                <w:szCs w:val="20"/>
                <w:color w:val="auto"/>
              </w:rPr>
            </w:pPr>
            <w:r>
              <w:rPr>
                <w:rFonts w:ascii="Arial" w:cs="Arial" w:eastAsia="Arial" w:hAnsi="Arial"/>
                <w:sz w:val="17"/>
                <w:szCs w:val="17"/>
                <w:color w:val="auto"/>
              </w:rPr>
              <w:t>April 16, 2025</w:t>
            </w:r>
          </w:p>
        </w:tc>
        <w:tc>
          <w:tcPr>
            <w:tcW w:w="2180" w:type="dxa"/>
            <w:vAlign w:val="bottom"/>
          </w:tcPr>
          <w:p>
            <w:pPr>
              <w:ind w:left="360"/>
              <w:spacing w:after="0" w:line="189" w:lineRule="exact"/>
              <w:rPr>
                <w:sz w:val="20"/>
                <w:szCs w:val="20"/>
                <w:color w:val="auto"/>
              </w:rPr>
            </w:pPr>
            <w:r>
              <w:rPr>
                <w:rFonts w:ascii="Arial" w:cs="Arial" w:eastAsia="Arial" w:hAnsi="Arial"/>
                <w:sz w:val="17"/>
                <w:szCs w:val="17"/>
                <w:color w:val="auto"/>
              </w:rPr>
              <w:t>The Westin Sarasota</w:t>
            </w:r>
          </w:p>
        </w:tc>
      </w:tr>
      <w:tr>
        <w:trPr>
          <w:trHeight w:val="189"/>
        </w:trPr>
        <w:tc>
          <w:tcPr>
            <w:tcW w:w="2360" w:type="dxa"/>
            <w:vAlign w:val="bottom"/>
          </w:tcPr>
          <w:p>
            <w:pPr>
              <w:spacing w:after="0" w:line="189" w:lineRule="exact"/>
              <w:rPr>
                <w:sz w:val="20"/>
                <w:szCs w:val="20"/>
                <w:color w:val="auto"/>
              </w:rPr>
            </w:pPr>
            <w:r>
              <w:rPr>
                <w:rFonts w:ascii="Arial" w:cs="Arial" w:eastAsia="Arial" w:hAnsi="Arial"/>
                <w:sz w:val="17"/>
                <w:szCs w:val="17"/>
                <w:color w:val="auto"/>
              </w:rPr>
              <w:t>10:00 a.m. (Eastern)</w:t>
            </w:r>
          </w:p>
        </w:tc>
        <w:tc>
          <w:tcPr>
            <w:tcW w:w="1980" w:type="dxa"/>
            <w:vAlign w:val="bottom"/>
          </w:tcPr>
          <w:p>
            <w:pPr>
              <w:spacing w:after="0"/>
              <w:rPr>
                <w:sz w:val="16"/>
                <w:szCs w:val="16"/>
                <w:color w:val="auto"/>
              </w:rPr>
            </w:pPr>
          </w:p>
        </w:tc>
        <w:tc>
          <w:tcPr>
            <w:tcW w:w="2180" w:type="dxa"/>
            <w:vAlign w:val="bottom"/>
          </w:tcPr>
          <w:p>
            <w:pPr>
              <w:ind w:left="360"/>
              <w:spacing w:after="0" w:line="189" w:lineRule="exact"/>
              <w:rPr>
                <w:sz w:val="20"/>
                <w:szCs w:val="20"/>
                <w:color w:val="auto"/>
              </w:rPr>
            </w:pPr>
            <w:r>
              <w:rPr>
                <w:rFonts w:ascii="Arial" w:cs="Arial" w:eastAsia="Arial" w:hAnsi="Arial"/>
                <w:sz w:val="17"/>
                <w:szCs w:val="17"/>
                <w:color w:val="auto"/>
              </w:rPr>
              <w:t>100 Marina View Drive</w:t>
            </w:r>
          </w:p>
        </w:tc>
      </w:tr>
      <w:tr>
        <w:trPr>
          <w:trHeight w:val="225"/>
        </w:trPr>
        <w:tc>
          <w:tcPr>
            <w:tcW w:w="2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180" w:type="dxa"/>
            <w:vAlign w:val="bottom"/>
          </w:tcPr>
          <w:p>
            <w:pPr>
              <w:ind w:left="360"/>
              <w:spacing w:after="0"/>
              <w:rPr>
                <w:sz w:val="20"/>
                <w:szCs w:val="20"/>
                <w:color w:val="auto"/>
              </w:rPr>
            </w:pPr>
            <w:r>
              <w:rPr>
                <w:rFonts w:ascii="Arial" w:cs="Arial" w:eastAsia="Arial" w:hAnsi="Arial"/>
                <w:sz w:val="17"/>
                <w:szCs w:val="17"/>
                <w:color w:val="auto"/>
                <w:w w:val="99"/>
              </w:rPr>
              <w:t>Sarasota, Florida 34236</w:t>
            </w:r>
          </w:p>
        </w:tc>
      </w:tr>
    </w:tbl>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VOTING MATTERS AND BOARD RECOMMENDATIONS</w:t>
      </w:r>
    </w:p>
    <w:p>
      <w:pPr>
        <w:spacing w:after="0" w:line="3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shd w:val="clear" w:color="auto" w:fill="005CB9"/>
          </w:tcPr>
          <w:p>
            <w:pPr>
              <w:spacing w:after="0"/>
              <w:rPr>
                <w:sz w:val="14"/>
                <w:szCs w:val="14"/>
                <w:color w:val="auto"/>
              </w:rPr>
            </w:pPr>
          </w:p>
        </w:tc>
        <w:tc>
          <w:tcPr>
            <w:tcW w:w="2100" w:type="dxa"/>
            <w:vAlign w:val="bottom"/>
            <w:shd w:val="clear" w:color="auto" w:fill="005CB9"/>
          </w:tcPr>
          <w:p>
            <w:pPr>
              <w:jc w:val="center"/>
              <w:ind w:left="401"/>
              <w:spacing w:after="0"/>
              <w:rPr>
                <w:sz w:val="20"/>
                <w:szCs w:val="20"/>
                <w:color w:val="auto"/>
              </w:rPr>
            </w:pPr>
            <w:r>
              <w:rPr>
                <w:rFonts w:ascii="Arial" w:cs="Arial" w:eastAsia="Arial" w:hAnsi="Arial"/>
                <w:sz w:val="14"/>
                <w:szCs w:val="14"/>
                <w:color w:val="FFFFFF"/>
              </w:rPr>
              <w:t>Board</w:t>
            </w:r>
          </w:p>
        </w:tc>
        <w:tc>
          <w:tcPr>
            <w:tcW w:w="2360" w:type="dxa"/>
            <w:vAlign w:val="bottom"/>
            <w:shd w:val="clear" w:color="auto" w:fill="005CB9"/>
          </w:tcPr>
          <w:p>
            <w:pPr>
              <w:ind w:left="1200"/>
              <w:spacing w:after="0"/>
              <w:rPr>
                <w:sz w:val="20"/>
                <w:szCs w:val="20"/>
                <w:color w:val="auto"/>
              </w:rPr>
            </w:pPr>
            <w:r>
              <w:rPr>
                <w:rFonts w:ascii="Arial" w:cs="Arial" w:eastAsia="Arial" w:hAnsi="Arial"/>
                <w:sz w:val="14"/>
                <w:szCs w:val="14"/>
                <w:color w:val="FFFFFF"/>
              </w:rPr>
              <w:t>Vote</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140" w:type="dxa"/>
            <w:vAlign w:val="bottom"/>
            <w:shd w:val="clear" w:color="auto" w:fill="005CB9"/>
          </w:tcPr>
          <w:p>
            <w:pPr>
              <w:spacing w:after="0"/>
              <w:rPr>
                <w:sz w:val="20"/>
                <w:szCs w:val="20"/>
                <w:color w:val="auto"/>
              </w:rPr>
            </w:pPr>
            <w:r>
              <w:rPr>
                <w:rFonts w:ascii="Arial" w:cs="Arial" w:eastAsia="Arial" w:hAnsi="Arial"/>
                <w:sz w:val="14"/>
                <w:szCs w:val="14"/>
                <w:color w:val="FFFFFF"/>
              </w:rPr>
              <w:t>  Proposals</w:t>
            </w:r>
          </w:p>
        </w:tc>
        <w:tc>
          <w:tcPr>
            <w:tcW w:w="2100" w:type="dxa"/>
            <w:vAlign w:val="bottom"/>
            <w:shd w:val="clear" w:color="auto" w:fill="005CB9"/>
          </w:tcPr>
          <w:p>
            <w:pPr>
              <w:jc w:val="center"/>
              <w:ind w:left="421"/>
              <w:spacing w:after="0"/>
              <w:rPr>
                <w:sz w:val="20"/>
                <w:szCs w:val="20"/>
                <w:color w:val="auto"/>
              </w:rPr>
            </w:pPr>
            <w:r>
              <w:rPr>
                <w:rFonts w:ascii="Arial" w:cs="Arial" w:eastAsia="Arial" w:hAnsi="Arial"/>
                <w:sz w:val="14"/>
                <w:szCs w:val="14"/>
                <w:color w:val="FFFFFF"/>
              </w:rPr>
              <w:t>Recommendation</w:t>
            </w:r>
          </w:p>
        </w:tc>
        <w:tc>
          <w:tcPr>
            <w:tcW w:w="2360" w:type="dxa"/>
            <w:vAlign w:val="bottom"/>
            <w:shd w:val="clear" w:color="auto" w:fill="005CB9"/>
          </w:tcPr>
          <w:p>
            <w:pPr>
              <w:ind w:left="1060"/>
              <w:spacing w:after="0"/>
              <w:rPr>
                <w:sz w:val="20"/>
                <w:szCs w:val="20"/>
                <w:color w:val="auto"/>
              </w:rPr>
            </w:pPr>
            <w:r>
              <w:rPr>
                <w:rFonts w:ascii="Arial" w:cs="Arial" w:eastAsia="Arial" w:hAnsi="Arial"/>
                <w:sz w:val="14"/>
                <w:szCs w:val="14"/>
                <w:color w:val="FFFFFF"/>
              </w:rPr>
              <w:t>Required</w:t>
            </w:r>
          </w:p>
        </w:tc>
        <w:tc>
          <w:tcPr>
            <w:tcW w:w="2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6140" w:type="dxa"/>
            <w:vAlign w:val="bottom"/>
          </w:tcPr>
          <w:p>
            <w:pPr>
              <w:ind w:left="60"/>
              <w:spacing w:after="0"/>
              <w:rPr>
                <w:sz w:val="20"/>
                <w:szCs w:val="20"/>
                <w:color w:val="auto"/>
              </w:rPr>
            </w:pPr>
            <w:r>
              <w:rPr>
                <w:rFonts w:ascii="Arial" w:cs="Arial" w:eastAsia="Arial" w:hAnsi="Arial"/>
                <w:sz w:val="17"/>
                <w:szCs w:val="17"/>
                <w:b w:val="1"/>
                <w:bCs w:val="1"/>
                <w:color w:val="auto"/>
              </w:rPr>
              <w:t xml:space="preserve">  1: </w:t>
            </w:r>
            <w:r>
              <w:rPr>
                <w:rFonts w:ascii="Arial" w:cs="Arial" w:eastAsia="Arial" w:hAnsi="Arial"/>
                <w:sz w:val="17"/>
                <w:szCs w:val="17"/>
                <w:color w:val="auto"/>
              </w:rPr>
              <w:t>Election of nine director nominees for a one-year term</w:t>
            </w:r>
          </w:p>
        </w:tc>
        <w:tc>
          <w:tcPr>
            <w:tcW w:w="2100" w:type="dxa"/>
            <w:vAlign w:val="bottom"/>
          </w:tcPr>
          <w:p>
            <w:pPr>
              <w:ind w:left="60"/>
              <w:spacing w:after="0"/>
              <w:rPr>
                <w:sz w:val="20"/>
                <w:szCs w:val="20"/>
                <w:color w:val="auto"/>
              </w:rPr>
            </w:pPr>
            <w:r>
              <w:rPr>
                <w:rFonts w:ascii="Arial" w:cs="Arial" w:eastAsia="Arial" w:hAnsi="Arial"/>
                <w:sz w:val="17"/>
                <w:szCs w:val="17"/>
                <w:b w:val="1"/>
                <w:bCs w:val="1"/>
                <w:color w:val="auto"/>
              </w:rPr>
              <w:t>FOR EACH NOMINEE</w:t>
            </w:r>
          </w:p>
        </w:tc>
        <w:tc>
          <w:tcPr>
            <w:tcW w:w="2360" w:type="dxa"/>
            <w:vAlign w:val="bottom"/>
          </w:tcPr>
          <w:p>
            <w:pPr>
              <w:ind w:left="260"/>
              <w:spacing w:after="0"/>
              <w:rPr>
                <w:sz w:val="20"/>
                <w:szCs w:val="20"/>
                <w:color w:val="auto"/>
              </w:rPr>
            </w:pPr>
            <w:r>
              <w:rPr>
                <w:rFonts w:ascii="Arial" w:cs="Arial" w:eastAsia="Arial" w:hAnsi="Arial"/>
                <w:sz w:val="17"/>
                <w:szCs w:val="17"/>
                <w:color w:val="auto"/>
              </w:rPr>
              <w:t>Majority of votes cast</w:t>
            </w:r>
          </w:p>
        </w:tc>
        <w:tc>
          <w:tcPr>
            <w:tcW w:w="20" w:type="dxa"/>
            <w:vAlign w:val="bottom"/>
          </w:tcPr>
          <w:p>
            <w:pPr>
              <w:spacing w:after="0"/>
              <w:rPr>
                <w:sz w:val="24"/>
                <w:szCs w:val="24"/>
                <w:color w:val="auto"/>
              </w:rPr>
            </w:pPr>
          </w:p>
        </w:tc>
      </w:tr>
      <w:tr>
        <w:trPr>
          <w:trHeight w:val="30"/>
        </w:trPr>
        <w:tc>
          <w:tcPr>
            <w:tcW w:w="20" w:type="dxa"/>
            <w:vAlign w:val="bottom"/>
            <w:tcBorders>
              <w:bottom w:val="single" w:sz="8" w:color="005CB9"/>
            </w:tcBorders>
          </w:tcPr>
          <w:p>
            <w:pPr>
              <w:spacing w:after="0"/>
              <w:rPr>
                <w:sz w:val="2"/>
                <w:szCs w:val="2"/>
                <w:color w:val="auto"/>
              </w:rPr>
            </w:pPr>
          </w:p>
        </w:tc>
        <w:tc>
          <w:tcPr>
            <w:tcW w:w="6140" w:type="dxa"/>
            <w:vAlign w:val="bottom"/>
            <w:tcBorders>
              <w:bottom w:val="single" w:sz="8" w:color="005CB9"/>
            </w:tcBorders>
          </w:tcPr>
          <w:p>
            <w:pPr>
              <w:spacing w:after="0"/>
              <w:rPr>
                <w:sz w:val="2"/>
                <w:szCs w:val="2"/>
                <w:color w:val="auto"/>
              </w:rPr>
            </w:pPr>
          </w:p>
        </w:tc>
        <w:tc>
          <w:tcPr>
            <w:tcW w:w="2100" w:type="dxa"/>
            <w:vAlign w:val="bottom"/>
            <w:tcBorders>
              <w:bottom w:val="single" w:sz="8" w:color="005CB9"/>
            </w:tcBorders>
          </w:tcPr>
          <w:p>
            <w:pPr>
              <w:spacing w:after="0"/>
              <w:rPr>
                <w:sz w:val="2"/>
                <w:szCs w:val="2"/>
                <w:color w:val="auto"/>
              </w:rPr>
            </w:pPr>
          </w:p>
        </w:tc>
        <w:tc>
          <w:tcPr>
            <w:tcW w:w="2360" w:type="dxa"/>
            <w:vAlign w:val="bottom"/>
            <w:tcBorders>
              <w:bottom w:val="single" w:sz="8" w:color="005CB9"/>
            </w:tcBorders>
          </w:tcPr>
          <w:p>
            <w:pPr>
              <w:spacing w:after="0"/>
              <w:rPr>
                <w:sz w:val="2"/>
                <w:szCs w:val="2"/>
                <w:color w:val="auto"/>
              </w:rPr>
            </w:pPr>
          </w:p>
        </w:tc>
        <w:tc>
          <w:tcPr>
            <w:tcW w:w="20" w:type="dxa"/>
            <w:vAlign w:val="bottom"/>
            <w:tcBorders>
              <w:bottom w:val="single" w:sz="8" w:color="005CB9"/>
            </w:tcBorders>
          </w:tcPr>
          <w:p>
            <w:pPr>
              <w:spacing w:after="0"/>
              <w:rPr>
                <w:sz w:val="2"/>
                <w:szCs w:val="2"/>
                <w:color w:val="auto"/>
              </w:rPr>
            </w:pPr>
          </w:p>
        </w:tc>
      </w:tr>
      <w:tr>
        <w:trPr>
          <w:trHeight w:val="174"/>
        </w:trPr>
        <w:tc>
          <w:tcPr>
            <w:tcW w:w="20" w:type="dxa"/>
            <w:vAlign w:val="bottom"/>
          </w:tcPr>
          <w:p>
            <w:pPr>
              <w:spacing w:after="0"/>
              <w:rPr>
                <w:sz w:val="15"/>
                <w:szCs w:val="15"/>
                <w:color w:val="auto"/>
              </w:rPr>
            </w:pPr>
          </w:p>
        </w:tc>
        <w:tc>
          <w:tcPr>
            <w:tcW w:w="6140" w:type="dxa"/>
            <w:vAlign w:val="bottom"/>
          </w:tcPr>
          <w:p>
            <w:pPr>
              <w:ind w:left="60"/>
              <w:spacing w:after="0" w:line="174" w:lineRule="exact"/>
              <w:rPr>
                <w:sz w:val="20"/>
                <w:szCs w:val="20"/>
                <w:color w:val="auto"/>
              </w:rPr>
            </w:pPr>
            <w:r>
              <w:rPr>
                <w:rFonts w:ascii="Arial" w:cs="Arial" w:eastAsia="Arial" w:hAnsi="Arial"/>
                <w:sz w:val="17"/>
                <w:szCs w:val="17"/>
                <w:b w:val="1"/>
                <w:bCs w:val="1"/>
                <w:color w:val="auto"/>
              </w:rPr>
              <w:t xml:space="preserve">  2: </w:t>
            </w:r>
            <w:r>
              <w:rPr>
                <w:rFonts w:ascii="Arial" w:cs="Arial" w:eastAsia="Arial" w:hAnsi="Arial"/>
                <w:sz w:val="17"/>
                <w:szCs w:val="17"/>
                <w:color w:val="auto"/>
              </w:rPr>
              <w:t>Advisory vote to approve the compensation of our named executive officers</w:t>
            </w:r>
          </w:p>
        </w:tc>
        <w:tc>
          <w:tcPr>
            <w:tcW w:w="2100" w:type="dxa"/>
            <w:vAlign w:val="bottom"/>
          </w:tcPr>
          <w:p>
            <w:pPr>
              <w:ind w:left="60"/>
              <w:spacing w:after="0" w:line="174" w:lineRule="exact"/>
              <w:rPr>
                <w:sz w:val="20"/>
                <w:szCs w:val="20"/>
                <w:color w:val="auto"/>
              </w:rPr>
            </w:pPr>
            <w:r>
              <w:rPr>
                <w:rFonts w:ascii="Arial" w:cs="Arial" w:eastAsia="Arial" w:hAnsi="Arial"/>
                <w:sz w:val="17"/>
                <w:szCs w:val="17"/>
                <w:b w:val="1"/>
                <w:bCs w:val="1"/>
                <w:color w:val="auto"/>
              </w:rPr>
              <w:t>FOR</w:t>
            </w:r>
          </w:p>
        </w:tc>
        <w:tc>
          <w:tcPr>
            <w:tcW w:w="2360" w:type="dxa"/>
            <w:vAlign w:val="bottom"/>
          </w:tcPr>
          <w:p>
            <w:pPr>
              <w:ind w:left="260"/>
              <w:spacing w:after="0" w:line="174" w:lineRule="exact"/>
              <w:rPr>
                <w:sz w:val="20"/>
                <w:szCs w:val="20"/>
                <w:color w:val="auto"/>
              </w:rPr>
            </w:pPr>
            <w:r>
              <w:rPr>
                <w:rFonts w:ascii="Arial" w:cs="Arial" w:eastAsia="Arial" w:hAnsi="Arial"/>
                <w:sz w:val="17"/>
                <w:szCs w:val="17"/>
                <w:color w:val="auto"/>
              </w:rPr>
              <w:t>Majority of shares present</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60" w:type="dxa"/>
            <w:vAlign w:val="bottom"/>
          </w:tcPr>
          <w:p>
            <w:pPr>
              <w:ind w:left="260"/>
              <w:spacing w:after="0" w:line="189" w:lineRule="exact"/>
              <w:rPr>
                <w:sz w:val="20"/>
                <w:szCs w:val="20"/>
                <w:color w:val="auto"/>
              </w:rPr>
            </w:pPr>
            <w:r>
              <w:rPr>
                <w:rFonts w:ascii="Arial" w:cs="Arial" w:eastAsia="Arial" w:hAnsi="Arial"/>
                <w:sz w:val="17"/>
                <w:szCs w:val="17"/>
                <w:color w:val="auto"/>
              </w:rPr>
              <w:t>in person or represented by</w:t>
            </w:r>
          </w:p>
        </w:tc>
        <w:tc>
          <w:tcPr>
            <w:tcW w:w="2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60" w:type="dxa"/>
            <w:vAlign w:val="bottom"/>
          </w:tcPr>
          <w:p>
            <w:pPr>
              <w:ind w:left="260"/>
              <w:spacing w:after="0"/>
              <w:rPr>
                <w:sz w:val="20"/>
                <w:szCs w:val="20"/>
                <w:color w:val="auto"/>
              </w:rPr>
            </w:pPr>
            <w:r>
              <w:rPr>
                <w:rFonts w:ascii="Arial" w:cs="Arial" w:eastAsia="Arial" w:hAnsi="Arial"/>
                <w:sz w:val="17"/>
                <w:szCs w:val="17"/>
                <w:color w:val="auto"/>
              </w:rPr>
              <w:t>proxy</w:t>
            </w:r>
          </w:p>
        </w:tc>
        <w:tc>
          <w:tcPr>
            <w:tcW w:w="20" w:type="dxa"/>
            <w:vAlign w:val="bottom"/>
          </w:tcPr>
          <w:p>
            <w:pPr>
              <w:spacing w:after="0"/>
              <w:rPr>
                <w:sz w:val="19"/>
                <w:szCs w:val="19"/>
                <w:color w:val="auto"/>
              </w:rPr>
            </w:pPr>
          </w:p>
        </w:tc>
      </w:tr>
    </w:tbl>
    <w:p>
      <w:pPr>
        <w:spacing w:after="0" w:line="45" w:lineRule="exact"/>
        <w:rPr>
          <w:sz w:val="20"/>
          <w:szCs w:val="20"/>
          <w:color w:val="auto"/>
        </w:rPr>
      </w:pPr>
    </w:p>
    <w:p>
      <w:pPr>
        <w:sectPr>
          <w:pgSz w:w="11900" w:h="16838" w:orient="portrait"/>
          <w:cols w:equalWidth="0" w:num="1">
            <w:col w:w="11140"/>
          </w:cols>
          <w:pgMar w:left="320" w:top="482" w:right="439" w:bottom="1440" w:gutter="0" w:footer="0" w:header="0"/>
        </w:sectPr>
      </w:pPr>
    </w:p>
    <w:p>
      <w:pPr>
        <w:ind w:left="380"/>
        <w:spacing w:after="0"/>
        <w:tabs>
          <w:tab w:leader="none" w:pos="6500" w:val="left"/>
        </w:tabs>
        <w:rPr>
          <w:sz w:val="20"/>
          <w:szCs w:val="20"/>
          <w:color w:val="auto"/>
        </w:rPr>
      </w:pPr>
      <w:r>
        <w:rPr>
          <w:rFonts w:ascii="Arial" w:cs="Arial" w:eastAsia="Arial" w:hAnsi="Arial"/>
          <w:sz w:val="17"/>
          <w:szCs w:val="17"/>
          <w:b w:val="1"/>
          <w:bCs w:val="1"/>
          <w:color w:val="auto"/>
        </w:rPr>
        <w:t xml:space="preserve">  3: </w:t>
      </w:r>
      <w:r>
        <w:rPr>
          <w:rFonts w:ascii="Arial" w:cs="Arial" w:eastAsia="Arial" w:hAnsi="Arial"/>
          <w:sz w:val="17"/>
          <w:szCs w:val="17"/>
          <w:color w:val="auto"/>
        </w:rPr>
        <w:t>Ratification of the appointment of PricewaterhouseCoopers LLP as our</w:t>
      </w:r>
      <w:r>
        <w:rPr>
          <w:sz w:val="20"/>
          <w:szCs w:val="20"/>
          <w:color w:val="auto"/>
        </w:rPr>
        <w:tab/>
      </w:r>
      <w:r>
        <w:rPr>
          <w:rFonts w:ascii="Arial" w:cs="Arial" w:eastAsia="Arial" w:hAnsi="Arial"/>
          <w:sz w:val="17"/>
          <w:szCs w:val="17"/>
          <w:b w:val="1"/>
          <w:bCs w:val="1"/>
          <w:color w:val="auto"/>
        </w:rPr>
        <w:t>FOR</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independent registered public accounting firm for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Majority of shares present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 person or represented by</w:t>
      </w:r>
    </w:p>
    <w:p>
      <w:pPr>
        <w:spacing w:after="0"/>
        <w:rPr>
          <w:sz w:val="20"/>
          <w:szCs w:val="20"/>
          <w:color w:val="auto"/>
        </w:rPr>
      </w:pPr>
      <w:r>
        <w:rPr>
          <w:rFonts w:ascii="Arial" w:cs="Arial" w:eastAsia="Arial" w:hAnsi="Arial"/>
          <w:sz w:val="17"/>
          <w:szCs w:val="17"/>
          <w:color w:val="auto"/>
        </w:rPr>
        <w:t>proxy</w:t>
      </w:r>
    </w:p>
    <w:p>
      <w:pPr>
        <w:spacing w:after="0" w:line="200" w:lineRule="exact"/>
        <w:rPr>
          <w:sz w:val="20"/>
          <w:szCs w:val="20"/>
          <w:color w:val="auto"/>
        </w:rPr>
      </w:pPr>
    </w:p>
    <w:p>
      <w:pPr>
        <w:sectPr>
          <w:pgSz w:w="11900" w:h="16838" w:orient="portrait"/>
          <w:cols w:equalWidth="0" w:num="2">
            <w:col w:w="8100" w:space="720"/>
            <w:col w:w="232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-77470</wp:posOffset>
            </wp:positionV>
            <wp:extent cx="825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-635</wp:posOffset>
            </wp:positionV>
            <wp:extent cx="4203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jc w:val="right"/>
        <w:spacing w:after="0" w:line="211" w:lineRule="auto"/>
        <w:tabs>
          <w:tab w:leader="none" w:pos="140" w:val="left"/>
        </w:tabs>
        <w:rPr>
          <w:sz w:val="20"/>
          <w:szCs w:val="20"/>
          <w:color w:val="auto"/>
        </w:rPr>
      </w:pPr>
      <w:r>
        <w:rPr>
          <w:rFonts w:ascii="Arial" w:cs="Arial" w:eastAsia="Arial" w:hAnsi="Arial"/>
          <w:sz w:val="14"/>
          <w:szCs w:val="14"/>
          <w:b w:val="1"/>
          <w:bCs w:val="1"/>
          <w:color w:val="005CB9"/>
        </w:rPr>
        <w:t>   Roper Technologies, Inc. 2025 Proxy Statement</w:t>
      </w:r>
      <w:r>
        <w:rPr>
          <w:sz w:val="20"/>
          <w:szCs w:val="20"/>
          <w:color w:val="auto"/>
        </w:rPr>
        <w:tab/>
      </w:r>
      <w:r>
        <w:rPr>
          <w:rFonts w:ascii="Arial" w:cs="Arial" w:eastAsia="Arial" w:hAnsi="Arial"/>
          <w:sz w:val="12"/>
          <w:szCs w:val="12"/>
          <w:b w:val="1"/>
          <w:bCs w:val="1"/>
          <w:color w:val="005CB9"/>
        </w:rPr>
        <w:t>   i</w:t>
      </w:r>
    </w:p>
    <w:p>
      <w:pPr>
        <w:ind w:left="606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6026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1670" cy="602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2025 DIRECTOR NOMINEES</w:t>
      </w:r>
    </w:p>
    <w:p>
      <w:pPr>
        <w:spacing w:after="0" w:line="208" w:lineRule="exact"/>
        <w:rPr>
          <w:sz w:val="20"/>
          <w:szCs w:val="20"/>
          <w:color w:val="auto"/>
        </w:rPr>
      </w:pPr>
    </w:p>
    <w:p>
      <w:pPr>
        <w:ind w:left="300" w:right="20"/>
        <w:spacing w:after="0" w:line="267" w:lineRule="auto"/>
        <w:rPr>
          <w:sz w:val="20"/>
          <w:szCs w:val="20"/>
          <w:color w:val="auto"/>
        </w:rPr>
      </w:pPr>
      <w:r>
        <w:rPr>
          <w:rFonts w:ascii="Arial" w:cs="Arial" w:eastAsia="Arial" w:hAnsi="Arial"/>
          <w:sz w:val="17"/>
          <w:szCs w:val="17"/>
          <w:color w:val="auto"/>
        </w:rPr>
        <w:t>Shareholders are electing all nine director nominees who each will serve for a one-year term expiring at the 2026 Annual Meeting of Shareholders (the “2026 Annual Meeting”).</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35"/>
        </w:trPr>
        <w:tc>
          <w:tcPr>
            <w:tcW w:w="3600" w:type="dxa"/>
            <w:vAlign w:val="bottom"/>
          </w:tcPr>
          <w:p>
            <w:pPr>
              <w:ind w:left="1020"/>
              <w:spacing w:after="0"/>
              <w:rPr>
                <w:sz w:val="20"/>
                <w:szCs w:val="20"/>
                <w:color w:val="auto"/>
              </w:rPr>
            </w:pPr>
            <w:r>
              <w:rPr>
                <w:rFonts w:ascii="Arial" w:cs="Arial" w:eastAsia="Arial" w:hAnsi="Arial"/>
                <w:sz w:val="11"/>
                <w:szCs w:val="11"/>
                <w:b w:val="1"/>
                <w:bCs w:val="1"/>
                <w:color w:val="auto"/>
              </w:rPr>
              <w:t xml:space="preserve">                                                                        </w:t>
            </w:r>
          </w:p>
        </w:tc>
        <w:tc>
          <w:tcPr>
            <w:tcW w:w="560" w:type="dxa"/>
            <w:vAlign w:val="bottom"/>
          </w:tcPr>
          <w:p>
            <w:pPr>
              <w:spacing w:after="0"/>
              <w:rPr>
                <w:sz w:val="11"/>
                <w:szCs w:val="11"/>
                <w:color w:val="auto"/>
              </w:rPr>
            </w:pPr>
          </w:p>
        </w:tc>
        <w:tc>
          <w:tcPr>
            <w:tcW w:w="900" w:type="dxa"/>
            <w:vAlign w:val="bottom"/>
          </w:tcPr>
          <w:p>
            <w:pPr>
              <w:ind w:left="540"/>
              <w:spacing w:after="0"/>
              <w:rPr>
                <w:sz w:val="20"/>
                <w:szCs w:val="20"/>
                <w:color w:val="auto"/>
              </w:rPr>
            </w:pPr>
            <w:r>
              <w:rPr>
                <w:rFonts w:ascii="Arial" w:cs="Arial" w:eastAsia="Arial" w:hAnsi="Arial"/>
                <w:sz w:val="11"/>
                <w:szCs w:val="11"/>
                <w:b w:val="1"/>
                <w:bCs w:val="1"/>
                <w:color w:val="auto"/>
              </w:rPr>
              <w:t xml:space="preserve">         </w:t>
            </w:r>
          </w:p>
        </w:tc>
        <w:tc>
          <w:tcPr>
            <w:tcW w:w="620" w:type="dxa"/>
            <w:vAlign w:val="bottom"/>
          </w:tcPr>
          <w:p>
            <w:pPr>
              <w:ind w:left="140"/>
              <w:spacing w:after="0"/>
              <w:rPr>
                <w:sz w:val="20"/>
                <w:szCs w:val="20"/>
                <w:color w:val="auto"/>
              </w:rPr>
            </w:pPr>
            <w:r>
              <w:rPr>
                <w:rFonts w:ascii="Arial" w:cs="Arial" w:eastAsia="Arial" w:hAnsi="Arial"/>
                <w:sz w:val="11"/>
                <w:szCs w:val="11"/>
                <w:b w:val="1"/>
                <w:bCs w:val="1"/>
                <w:color w:val="auto"/>
              </w:rPr>
              <w:t xml:space="preserve">            </w:t>
            </w:r>
          </w:p>
        </w:tc>
        <w:tc>
          <w:tcPr>
            <w:tcW w:w="1180" w:type="dxa"/>
            <w:vAlign w:val="bottom"/>
            <w:gridSpan w:val="2"/>
          </w:tcPr>
          <w:p>
            <w:pPr>
              <w:ind w:left="240"/>
              <w:spacing w:after="0"/>
              <w:rPr>
                <w:sz w:val="20"/>
                <w:szCs w:val="20"/>
                <w:color w:val="auto"/>
              </w:rPr>
            </w:pPr>
            <w:r>
              <w:rPr>
                <w:rFonts w:ascii="Arial" w:cs="Arial" w:eastAsia="Arial" w:hAnsi="Arial"/>
                <w:sz w:val="11"/>
                <w:szCs w:val="11"/>
                <w:b w:val="1"/>
                <w:bCs w:val="1"/>
                <w:color w:val="auto"/>
              </w:rPr>
              <w:t xml:space="preserve">                     </w:t>
            </w:r>
          </w:p>
        </w:tc>
        <w:tc>
          <w:tcPr>
            <w:tcW w:w="600" w:type="dxa"/>
            <w:vAlign w:val="bottom"/>
          </w:tcPr>
          <w:p>
            <w:pPr>
              <w:ind w:left="560"/>
              <w:spacing w:after="0"/>
              <w:rPr>
                <w:sz w:val="20"/>
                <w:szCs w:val="20"/>
                <w:color w:val="auto"/>
              </w:rPr>
            </w:pPr>
            <w:r>
              <w:rPr>
                <w:rFonts w:ascii="Arial" w:cs="Arial" w:eastAsia="Arial" w:hAnsi="Arial"/>
                <w:sz w:val="2"/>
                <w:szCs w:val="2"/>
                <w:b w:val="1"/>
                <w:bCs w:val="1"/>
                <w:color w:val="auto"/>
                <w:w w:val="97"/>
              </w:rPr>
              <w:t> </w:t>
            </w:r>
          </w:p>
        </w:tc>
        <w:tc>
          <w:tcPr>
            <w:tcW w:w="5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color w:val="005CB9"/>
              </w:rPr>
              <w:t xml:space="preserve">COMMITTEES    </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005CB9"/>
              </w:rPr>
              <w:t>  </w:t>
            </w:r>
          </w:p>
        </w:tc>
        <w:tc>
          <w:tcPr>
            <w:tcW w:w="360" w:type="dxa"/>
            <w:vAlign w:val="bottom"/>
          </w:tcPr>
          <w:p>
            <w:pPr>
              <w:spacing w:after="0"/>
              <w:rPr>
                <w:sz w:val="11"/>
                <w:szCs w:val="11"/>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 </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Borders>
              <w:right w:val="single" w:sz="8" w:color="005CB9"/>
            </w:tcBorders>
          </w:tcPr>
          <w:p>
            <w:pPr>
              <w:spacing w:after="0"/>
              <w:rPr>
                <w:sz w:val="6"/>
                <w:szCs w:val="6"/>
                <w:color w:val="auto"/>
              </w:rPr>
            </w:pPr>
          </w:p>
        </w:tc>
        <w:tc>
          <w:tcPr>
            <w:tcW w:w="600" w:type="dxa"/>
            <w:vAlign w:val="bottom"/>
            <w:tcBorders>
              <w:top w:val="single" w:sz="8" w:color="005CB9"/>
            </w:tcBorders>
          </w:tcPr>
          <w:p>
            <w:pPr>
              <w:spacing w:after="0"/>
              <w:rPr>
                <w:sz w:val="6"/>
                <w:szCs w:val="6"/>
                <w:color w:val="auto"/>
              </w:rPr>
            </w:pPr>
          </w:p>
        </w:tc>
        <w:tc>
          <w:tcPr>
            <w:tcW w:w="540" w:type="dxa"/>
            <w:vAlign w:val="bottom"/>
            <w:tcBorders>
              <w:top w:val="single" w:sz="8" w:color="005CB9"/>
            </w:tcBorders>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60" w:type="dxa"/>
            <w:vAlign w:val="bottom"/>
            <w:tcBorders>
              <w:top w:val="single" w:sz="8" w:color="005CB9"/>
            </w:tcBorders>
          </w:tcPr>
          <w:p>
            <w:pPr>
              <w:spacing w:after="0"/>
              <w:rPr>
                <w:sz w:val="6"/>
                <w:szCs w:val="6"/>
                <w:color w:val="auto"/>
              </w:rPr>
            </w:pPr>
          </w:p>
        </w:tc>
        <w:tc>
          <w:tcPr>
            <w:tcW w:w="780" w:type="dxa"/>
            <w:vAlign w:val="bottom"/>
            <w:tcBorders>
              <w:top w:val="single" w:sz="8" w:color="005CB9"/>
            </w:tcBorders>
          </w:tcPr>
          <w:p>
            <w:pPr>
              <w:spacing w:after="0"/>
              <w:rPr>
                <w:sz w:val="6"/>
                <w:szCs w:val="6"/>
                <w:color w:val="auto"/>
              </w:rPr>
            </w:pPr>
          </w:p>
        </w:tc>
        <w:tc>
          <w:tcPr>
            <w:tcW w:w="20" w:type="dxa"/>
            <w:vAlign w:val="bottom"/>
            <w:tcBorders>
              <w:top w:val="single" w:sz="8" w:color="005CB9"/>
            </w:tcBorders>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Borders>
              <w:right w:val="single" w:sz="8" w:color="005CB9"/>
            </w:tcBorders>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00" w:type="dxa"/>
            <w:vAlign w:val="bottom"/>
            <w:shd w:val="clear" w:color="auto" w:fill="005CB9"/>
          </w:tcPr>
          <w:p>
            <w:pPr>
              <w:spacing w:after="0"/>
              <w:rPr>
                <w:sz w:val="13"/>
                <w:szCs w:val="13"/>
                <w:color w:val="auto"/>
              </w:rPr>
            </w:pPr>
          </w:p>
        </w:tc>
        <w:tc>
          <w:tcPr>
            <w:tcW w:w="560" w:type="dxa"/>
            <w:vAlign w:val="bottom"/>
            <w:shd w:val="clear" w:color="auto" w:fill="005CB9"/>
          </w:tcPr>
          <w:p>
            <w:pPr>
              <w:spacing w:after="0"/>
              <w:rPr>
                <w:sz w:val="13"/>
                <w:szCs w:val="13"/>
                <w:color w:val="auto"/>
              </w:rPr>
            </w:pPr>
          </w:p>
        </w:tc>
        <w:tc>
          <w:tcPr>
            <w:tcW w:w="900" w:type="dxa"/>
            <w:vAlign w:val="bottom"/>
            <w:shd w:val="clear" w:color="auto" w:fill="005CB9"/>
          </w:tcPr>
          <w:p>
            <w:pPr>
              <w:jc w:val="center"/>
              <w:ind w:right="90"/>
              <w:spacing w:after="0" w:line="153" w:lineRule="exact"/>
              <w:rPr>
                <w:sz w:val="20"/>
                <w:szCs w:val="20"/>
                <w:color w:val="auto"/>
              </w:rPr>
            </w:pPr>
            <w:r>
              <w:rPr>
                <w:rFonts w:ascii="Arial" w:cs="Arial" w:eastAsia="Arial" w:hAnsi="Arial"/>
                <w:sz w:val="14"/>
                <w:szCs w:val="14"/>
                <w:color w:val="FFFFFF"/>
              </w:rPr>
              <w:t>Director</w:t>
            </w:r>
          </w:p>
        </w:tc>
        <w:tc>
          <w:tcPr>
            <w:tcW w:w="62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420" w:type="dxa"/>
            <w:vAlign w:val="bottom"/>
            <w:tcBorders>
              <w:right w:val="single" w:sz="8" w:color="005CB9"/>
            </w:tcBorders>
            <w:shd w:val="clear" w:color="auto" w:fill="005CB9"/>
          </w:tcPr>
          <w:p>
            <w:pPr>
              <w:spacing w:after="0"/>
              <w:rPr>
                <w:sz w:val="13"/>
                <w:szCs w:val="13"/>
                <w:color w:val="auto"/>
              </w:rPr>
            </w:pPr>
          </w:p>
        </w:tc>
        <w:tc>
          <w:tcPr>
            <w:tcW w:w="600" w:type="dxa"/>
            <w:vAlign w:val="bottom"/>
            <w:shd w:val="clear" w:color="auto" w:fill="005CB9"/>
          </w:tcPr>
          <w:p>
            <w:pPr>
              <w:spacing w:after="0"/>
              <w:rPr>
                <w:sz w:val="13"/>
                <w:szCs w:val="13"/>
                <w:color w:val="auto"/>
              </w:rPr>
            </w:pPr>
          </w:p>
        </w:tc>
        <w:tc>
          <w:tcPr>
            <w:tcW w:w="540" w:type="dxa"/>
            <w:vAlign w:val="bottom"/>
            <w:shd w:val="clear" w:color="auto" w:fill="005CB9"/>
          </w:tcPr>
          <w:p>
            <w:pPr>
              <w:spacing w:after="0"/>
              <w:rPr>
                <w:sz w:val="13"/>
                <w:szCs w:val="13"/>
                <w:color w:val="auto"/>
              </w:rPr>
            </w:pPr>
          </w:p>
        </w:tc>
        <w:tc>
          <w:tcPr>
            <w:tcW w:w="740" w:type="dxa"/>
            <w:vAlign w:val="bottom"/>
            <w:shd w:val="clear" w:color="auto" w:fill="005CB9"/>
          </w:tcPr>
          <w:p>
            <w:pPr>
              <w:spacing w:after="0"/>
              <w:rPr>
                <w:sz w:val="13"/>
                <w:szCs w:val="13"/>
                <w:color w:val="auto"/>
              </w:rPr>
            </w:pPr>
          </w:p>
        </w:tc>
        <w:tc>
          <w:tcPr>
            <w:tcW w:w="6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36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005CB9"/>
          </w:tcPr>
          <w:p>
            <w:pPr>
              <w:spacing w:after="0"/>
              <w:rPr>
                <w:sz w:val="20"/>
                <w:szCs w:val="20"/>
                <w:color w:val="auto"/>
              </w:rPr>
            </w:pPr>
            <w:r>
              <w:rPr>
                <w:rFonts w:ascii="Arial" w:cs="Arial" w:eastAsia="Arial" w:hAnsi="Arial"/>
                <w:sz w:val="14"/>
                <w:szCs w:val="14"/>
                <w:color w:val="FFFFFF"/>
              </w:rPr>
              <w:t> Name and Primary Occupation</w:t>
            </w:r>
          </w:p>
        </w:tc>
        <w:tc>
          <w:tcPr>
            <w:tcW w:w="5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Age</w:t>
            </w:r>
          </w:p>
        </w:tc>
        <w:tc>
          <w:tcPr>
            <w:tcW w:w="900" w:type="dxa"/>
            <w:vAlign w:val="bottom"/>
            <w:shd w:val="clear" w:color="auto" w:fill="005CB9"/>
          </w:tcPr>
          <w:p>
            <w:pPr>
              <w:jc w:val="center"/>
              <w:ind w:right="70"/>
              <w:spacing w:after="0"/>
              <w:rPr>
                <w:sz w:val="20"/>
                <w:szCs w:val="20"/>
                <w:color w:val="auto"/>
              </w:rPr>
            </w:pPr>
            <w:r>
              <w:rPr>
                <w:rFonts w:ascii="Arial" w:cs="Arial" w:eastAsia="Arial" w:hAnsi="Arial"/>
                <w:sz w:val="14"/>
                <w:szCs w:val="14"/>
                <w:color w:val="FFFFFF"/>
              </w:rPr>
              <w:t>Since</w:t>
            </w:r>
          </w:p>
        </w:tc>
        <w:tc>
          <w:tcPr>
            <w:tcW w:w="1380" w:type="dxa"/>
            <w:vAlign w:val="bottom"/>
            <w:gridSpan w:val="2"/>
            <w:shd w:val="clear" w:color="auto" w:fill="005CB9"/>
          </w:tcPr>
          <w:p>
            <w:pPr>
              <w:jc w:val="center"/>
              <w:ind w:right="399"/>
              <w:spacing w:after="0"/>
              <w:rPr>
                <w:sz w:val="20"/>
                <w:szCs w:val="20"/>
                <w:color w:val="auto"/>
              </w:rPr>
            </w:pPr>
            <w:r>
              <w:rPr>
                <w:rFonts w:ascii="Arial" w:cs="Arial" w:eastAsia="Arial" w:hAnsi="Arial"/>
                <w:sz w:val="14"/>
                <w:szCs w:val="14"/>
                <w:color w:val="FFFFFF"/>
              </w:rPr>
              <w:t>Independent</w:t>
            </w:r>
          </w:p>
        </w:tc>
        <w:tc>
          <w:tcPr>
            <w:tcW w:w="42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AC</w:t>
            </w:r>
          </w:p>
        </w:tc>
        <w:tc>
          <w:tcPr>
            <w:tcW w:w="600" w:type="dxa"/>
            <w:vAlign w:val="bottom"/>
            <w:shd w:val="clear" w:color="auto" w:fill="005CB9"/>
          </w:tcPr>
          <w:p>
            <w:pPr>
              <w:spacing w:after="0"/>
              <w:rPr>
                <w:sz w:val="18"/>
                <w:szCs w:val="18"/>
                <w:color w:val="auto"/>
              </w:rPr>
            </w:pPr>
          </w:p>
        </w:tc>
        <w:tc>
          <w:tcPr>
            <w:tcW w:w="1280" w:type="dxa"/>
            <w:vAlign w:val="bottom"/>
            <w:gridSpan w:val="2"/>
            <w:shd w:val="clear" w:color="auto" w:fill="005CB9"/>
          </w:tcPr>
          <w:p>
            <w:pPr>
              <w:jc w:val="center"/>
              <w:ind w:right="496"/>
              <w:spacing w:after="0"/>
              <w:rPr>
                <w:sz w:val="20"/>
                <w:szCs w:val="20"/>
                <w:color w:val="auto"/>
              </w:rPr>
            </w:pPr>
            <w:r>
              <w:rPr>
                <w:rFonts w:ascii="Arial" w:cs="Arial" w:eastAsia="Arial" w:hAnsi="Arial"/>
                <w:sz w:val="14"/>
                <w:szCs w:val="14"/>
                <w:color w:val="FFFFFF"/>
                <w:w w:val="98"/>
              </w:rPr>
              <w:t>CC</w:t>
            </w:r>
          </w:p>
        </w:tc>
        <w:tc>
          <w:tcPr>
            <w:tcW w:w="600" w:type="dxa"/>
            <w:vAlign w:val="bottom"/>
            <w:shd w:val="clear" w:color="auto" w:fill="005CB9"/>
          </w:tcPr>
          <w:p>
            <w:pPr>
              <w:jc w:val="center"/>
              <w:ind w:right="88"/>
              <w:spacing w:after="0"/>
              <w:rPr>
                <w:sz w:val="20"/>
                <w:szCs w:val="20"/>
                <w:color w:val="auto"/>
              </w:rPr>
            </w:pPr>
            <w:r>
              <w:rPr>
                <w:rFonts w:ascii="Arial" w:cs="Arial" w:eastAsia="Arial" w:hAnsi="Arial"/>
                <w:sz w:val="14"/>
                <w:szCs w:val="14"/>
                <w:color w:val="FFFFFF"/>
              </w:rPr>
              <w:t>NGC</w:t>
            </w:r>
          </w:p>
        </w:tc>
        <w:tc>
          <w:tcPr>
            <w:tcW w:w="160" w:type="dxa"/>
            <w:vAlign w:val="bottom"/>
            <w:shd w:val="clear" w:color="auto" w:fill="005CB9"/>
          </w:tcPr>
          <w:p>
            <w:pPr>
              <w:spacing w:after="0"/>
              <w:rPr>
                <w:sz w:val="18"/>
                <w:szCs w:val="18"/>
                <w:color w:val="auto"/>
              </w:rPr>
            </w:pPr>
          </w:p>
        </w:tc>
        <w:tc>
          <w:tcPr>
            <w:tcW w:w="360" w:type="dxa"/>
            <w:vAlign w:val="bottom"/>
            <w:shd w:val="clear" w:color="auto" w:fill="005CB9"/>
          </w:tcPr>
          <w:p>
            <w:pPr>
              <w:ind w:left="220"/>
              <w:spacing w:after="0"/>
              <w:rPr>
                <w:sz w:val="20"/>
                <w:szCs w:val="20"/>
                <w:color w:val="auto"/>
              </w:rPr>
            </w:pPr>
            <w:r>
              <w:rPr>
                <w:rFonts w:ascii="Arial" w:cs="Arial" w:eastAsia="Arial" w:hAnsi="Arial"/>
                <w:sz w:val="14"/>
                <w:szCs w:val="14"/>
                <w:color w:val="FFFFFF"/>
                <w:w w:val="85"/>
              </w:rPr>
              <w:t> </w:t>
            </w:r>
          </w:p>
        </w:tc>
        <w:tc>
          <w:tcPr>
            <w:tcW w:w="780" w:type="dxa"/>
            <w:vAlign w:val="bottom"/>
            <w:shd w:val="clear" w:color="auto" w:fill="005CB9"/>
          </w:tcPr>
          <w:p>
            <w:pPr>
              <w:jc w:val="center"/>
              <w:ind w:right="151"/>
              <w:spacing w:after="0"/>
              <w:rPr>
                <w:sz w:val="20"/>
                <w:szCs w:val="20"/>
                <w:color w:val="auto"/>
              </w:rPr>
            </w:pPr>
            <w:r>
              <w:rPr>
                <w:rFonts w:ascii="Arial" w:cs="Arial" w:eastAsia="Arial" w:hAnsi="Arial"/>
                <w:sz w:val="14"/>
                <w:szCs w:val="14"/>
                <w:color w:val="FFFFFF"/>
                <w:w w:val="94"/>
              </w:rPr>
              <w:t xml:space="preserve">   EC 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Shellye L. Archambeau</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 Former Chief Executive Officer,</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62</w:t>
            </w:r>
          </w:p>
        </w:tc>
        <w:tc>
          <w:tcPr>
            <w:tcW w:w="900" w:type="dxa"/>
            <w:vAlign w:val="bottom"/>
          </w:tcPr>
          <w:p>
            <w:pPr>
              <w:jc w:val="center"/>
              <w:ind w:right="70"/>
              <w:spacing w:after="0"/>
              <w:rPr>
                <w:sz w:val="20"/>
                <w:szCs w:val="20"/>
                <w:color w:val="auto"/>
              </w:rPr>
            </w:pPr>
            <w:r>
              <w:rPr>
                <w:rFonts w:ascii="Arial" w:cs="Arial" w:eastAsia="Arial" w:hAnsi="Arial"/>
                <w:sz w:val="14"/>
                <w:szCs w:val="14"/>
                <w:color w:val="auto"/>
              </w:rPr>
              <w:t>2018</w:t>
            </w:r>
          </w:p>
        </w:tc>
        <w:tc>
          <w:tcPr>
            <w:tcW w:w="620" w:type="dxa"/>
            <w:vAlign w:val="bottom"/>
          </w:tcPr>
          <w:p>
            <w:pPr>
              <w:ind w:left="120"/>
              <w:spacing w:after="0"/>
              <w:rPr>
                <w:sz w:val="20"/>
                <w:szCs w:val="20"/>
                <w:color w:val="auto"/>
              </w:rPr>
            </w:pPr>
            <w:r>
              <w:rPr>
                <w:rFonts w:ascii="Arial" w:cs="Arial" w:eastAsia="Arial" w:hAnsi="Arial"/>
                <w:sz w:val="14"/>
                <w:szCs w:val="14"/>
                <w:color w:val="005CB9"/>
              </w:rPr>
              <w:t xml:space="preserve">      </w:t>
            </w:r>
            <w:r>
              <w:rPr>
                <w:rFonts w:ascii="Wingdings" w:cs="Wingdings" w:eastAsia="Wingdings" w:hAnsi="Wingdings"/>
                <w:sz w:val="14"/>
                <w:szCs w:val="14"/>
                <w:b w:val="1"/>
                <w:bCs w:val="1"/>
                <w:color w:val="005CB9"/>
              </w:rPr>
              <w:t>l</w:t>
            </w:r>
            <w:r>
              <w:rPr>
                <w:rFonts w:ascii="Arial" w:cs="Arial" w:eastAsia="Arial" w:hAnsi="Arial"/>
                <w:sz w:val="14"/>
                <w:szCs w:val="14"/>
                <w:color w:val="005CB9"/>
              </w:rPr>
              <w:t xml:space="preserve"> </w:t>
            </w:r>
          </w:p>
        </w:tc>
        <w:tc>
          <w:tcPr>
            <w:tcW w:w="760" w:type="dxa"/>
            <w:vAlign w:val="bottom"/>
          </w:tcPr>
          <w:p>
            <w:pPr>
              <w:ind w:left="40"/>
              <w:spacing w:after="0"/>
              <w:rPr>
                <w:sz w:val="20"/>
                <w:szCs w:val="20"/>
                <w:color w:val="auto"/>
              </w:rPr>
            </w:pPr>
            <w:r>
              <w:rPr>
                <w:rFonts w:ascii="Arial" w:cs="Arial" w:eastAsia="Arial" w:hAnsi="Arial"/>
                <w:sz w:val="14"/>
                <w:szCs w:val="14"/>
                <w:color w:val="005CB9"/>
              </w:rPr>
              <w:t> </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ind w:left="640"/>
              <w:spacing w:after="0"/>
              <w:rPr>
                <w:sz w:val="20"/>
                <w:szCs w:val="20"/>
                <w:color w:val="auto"/>
              </w:rPr>
            </w:pPr>
            <w:r>
              <w:rPr>
                <w:rFonts w:ascii="Arial" w:cs="Arial" w:eastAsia="Arial" w:hAnsi="Arial"/>
                <w:sz w:val="11"/>
                <w:szCs w:val="11"/>
                <w:b w:val="1"/>
                <w:bCs w:val="1"/>
                <w:color w:val="005CB9"/>
                <w:w w:val="72"/>
              </w:rPr>
              <w:t> </w:t>
            </w:r>
          </w:p>
        </w:tc>
        <w:tc>
          <w:tcPr>
            <w:tcW w:w="600" w:type="dxa"/>
            <w:vAlign w:val="bottom"/>
          </w:tcPr>
          <w:p>
            <w:pPr>
              <w:jc w:val="center"/>
              <w:ind w:right="68"/>
              <w:spacing w:after="0"/>
              <w:rPr>
                <w:sz w:val="20"/>
                <w:szCs w:val="20"/>
                <w:color w:val="auto"/>
              </w:rPr>
            </w:pPr>
            <w:r>
              <w:rPr>
                <w:rFonts w:ascii="Arial" w:cs="Arial" w:eastAsia="Arial" w:hAnsi="Arial"/>
                <w:sz w:val="14"/>
                <w:szCs w:val="14"/>
                <w:b w:val="1"/>
                <w:bCs w:val="1"/>
                <w:color w:val="005CB9"/>
              </w:rPr>
              <w:t>Chair</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 MetricStream,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Amy Woods Brinkley</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 Retired Chief Risk Officer, Bank of</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69</w:t>
            </w:r>
          </w:p>
        </w:tc>
        <w:tc>
          <w:tcPr>
            <w:tcW w:w="900" w:type="dxa"/>
            <w:vAlign w:val="bottom"/>
            <w:shd w:val="clear" w:color="auto" w:fill="CCDEF1"/>
          </w:tcPr>
          <w:p>
            <w:pPr>
              <w:jc w:val="center"/>
              <w:ind w:right="70"/>
              <w:spacing w:after="0"/>
              <w:rPr>
                <w:sz w:val="20"/>
                <w:szCs w:val="20"/>
                <w:color w:val="auto"/>
              </w:rPr>
            </w:pPr>
            <w:r>
              <w:rPr>
                <w:rFonts w:ascii="Arial" w:cs="Arial" w:eastAsia="Arial" w:hAnsi="Arial"/>
                <w:sz w:val="14"/>
                <w:szCs w:val="14"/>
                <w:color w:val="auto"/>
              </w:rPr>
              <w:t>2015</w:t>
            </w:r>
          </w:p>
        </w:tc>
        <w:tc>
          <w:tcPr>
            <w:tcW w:w="620" w:type="dxa"/>
            <w:vAlign w:val="bottom"/>
            <w:shd w:val="clear" w:color="auto" w:fill="CCDEF1"/>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1280" w:type="dxa"/>
            <w:vAlign w:val="bottom"/>
            <w:gridSpan w:val="2"/>
            <w:shd w:val="clear" w:color="auto" w:fill="CCDEF1"/>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shd w:val="clear" w:color="auto" w:fill="CCDEF1"/>
          </w:tcPr>
          <w:p>
            <w:pPr>
              <w:jc w:val="center"/>
              <w:ind w:right="68"/>
              <w:spacing w:after="0"/>
              <w:rPr>
                <w:sz w:val="20"/>
                <w:szCs w:val="20"/>
                <w:color w:val="auto"/>
              </w:rPr>
            </w:pPr>
            <w:r>
              <w:rPr>
                <w:rFonts w:ascii="Wingdings" w:cs="Wingdings" w:eastAsia="Wingdings" w:hAnsi="Wingdings"/>
                <w:sz w:val="14"/>
                <w:szCs w:val="14"/>
                <w:b w:val="1"/>
                <w:bCs w:val="1"/>
                <w:color w:val="005CB9"/>
                <w:w w:val="95"/>
              </w:rPr>
              <w:t>l</w:t>
            </w: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ind w:left="280"/>
              <w:spacing w:after="0"/>
              <w:rPr>
                <w:sz w:val="20"/>
                <w:szCs w:val="20"/>
                <w:color w:val="auto"/>
              </w:rPr>
            </w:pPr>
            <w:r>
              <w:rPr>
                <w:rFonts w:ascii="Arial" w:cs="Arial" w:eastAsia="Arial" w:hAnsi="Arial"/>
                <w:sz w:val="8"/>
                <w:szCs w:val="8"/>
                <w:b w:val="1"/>
                <w:bCs w:val="1"/>
                <w:color w:val="005CB9"/>
                <w:w w:val="74"/>
              </w:rPr>
              <w:t> </w:t>
            </w:r>
          </w:p>
        </w:tc>
        <w:tc>
          <w:tcPr>
            <w:tcW w:w="780" w:type="dxa"/>
            <w:vAlign w:val="bottom"/>
            <w:shd w:val="clear" w:color="auto" w:fill="CCDEF1"/>
          </w:tcPr>
          <w:p>
            <w:pPr>
              <w:jc w:val="center"/>
              <w:ind w:right="191"/>
              <w:spacing w:after="0"/>
              <w:rPr>
                <w:sz w:val="20"/>
                <w:szCs w:val="20"/>
                <w:color w:val="auto"/>
              </w:rPr>
            </w:pPr>
            <w:r>
              <w:rPr>
                <w:rFonts w:ascii="Arial" w:cs="Arial" w:eastAsia="Arial" w:hAnsi="Arial"/>
                <w:sz w:val="14"/>
                <w:szCs w:val="14"/>
                <w:b w:val="1"/>
                <w:bCs w:val="1"/>
                <w:color w:val="005CB9"/>
              </w:rPr>
              <w:t>Chair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 America Corp.</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Irene M. Esteves</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 Executive Vice President,</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66</w:t>
            </w:r>
          </w:p>
        </w:tc>
        <w:tc>
          <w:tcPr>
            <w:tcW w:w="900" w:type="dxa"/>
            <w:vAlign w:val="bottom"/>
            <w:vMerge w:val="restart"/>
          </w:tcPr>
          <w:p>
            <w:pPr>
              <w:jc w:val="center"/>
              <w:ind w:right="70"/>
              <w:spacing w:after="0"/>
              <w:rPr>
                <w:sz w:val="20"/>
                <w:szCs w:val="20"/>
                <w:color w:val="auto"/>
              </w:rPr>
            </w:pPr>
            <w:r>
              <w:rPr>
                <w:rFonts w:ascii="Arial" w:cs="Arial" w:eastAsia="Arial" w:hAnsi="Arial"/>
                <w:sz w:val="14"/>
                <w:szCs w:val="14"/>
                <w:color w:val="auto"/>
              </w:rPr>
              <w:t>2021</w:t>
            </w:r>
          </w:p>
        </w:tc>
        <w:tc>
          <w:tcPr>
            <w:tcW w:w="620" w:type="dxa"/>
            <w:vAlign w:val="bottom"/>
            <w:vMerge w:val="restart"/>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vMerge w:val="restart"/>
          </w:tcPr>
          <w:p>
            <w:pPr>
              <w:jc w:val="center"/>
              <w:ind w:right="68"/>
              <w:spacing w:after="0"/>
              <w:rPr>
                <w:sz w:val="20"/>
                <w:szCs w:val="20"/>
                <w:color w:val="auto"/>
              </w:rPr>
            </w:pPr>
            <w:r>
              <w:rPr>
                <w:rFonts w:ascii="Wingdings" w:cs="Wingdings" w:eastAsia="Wingdings" w:hAnsi="Wingdings"/>
                <w:sz w:val="14"/>
                <w:szCs w:val="14"/>
                <w:b w:val="1"/>
                <w:bCs w:val="1"/>
                <w:color w:val="005CB9"/>
                <w:w w:val="95"/>
              </w:rPr>
              <w:t>l</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00" w:type="dxa"/>
            <w:vAlign w:val="bottom"/>
            <w:vMerge w:val="restart"/>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 Spirit AeroSystems Holdings,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L. Neil Hunn</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 President and Chief Executive Officer,</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53</w:t>
            </w:r>
          </w:p>
        </w:tc>
        <w:tc>
          <w:tcPr>
            <w:tcW w:w="900" w:type="dxa"/>
            <w:vAlign w:val="bottom"/>
            <w:shd w:val="clear" w:color="auto" w:fill="CCDEF1"/>
          </w:tcPr>
          <w:p>
            <w:pPr>
              <w:jc w:val="center"/>
              <w:ind w:right="70"/>
              <w:spacing w:after="0"/>
              <w:rPr>
                <w:sz w:val="20"/>
                <w:szCs w:val="20"/>
                <w:color w:val="auto"/>
              </w:rPr>
            </w:pPr>
            <w:r>
              <w:rPr>
                <w:rFonts w:ascii="Arial" w:cs="Arial" w:eastAsia="Arial" w:hAnsi="Arial"/>
                <w:sz w:val="14"/>
                <w:szCs w:val="14"/>
                <w:color w:val="auto"/>
              </w:rPr>
              <w:t>2018</w:t>
            </w:r>
          </w:p>
        </w:tc>
        <w:tc>
          <w:tcPr>
            <w:tcW w:w="620" w:type="dxa"/>
            <w:vAlign w:val="bottom"/>
            <w:shd w:val="clear" w:color="auto" w:fill="CCDEF1"/>
          </w:tcPr>
          <w:p>
            <w:pPr>
              <w:spacing w:after="0"/>
              <w:rPr>
                <w:sz w:val="14"/>
                <w:szCs w:val="14"/>
                <w:color w:val="auto"/>
              </w:rPr>
            </w:pP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540" w:type="dxa"/>
            <w:vAlign w:val="bottom"/>
            <w:shd w:val="clear" w:color="auto" w:fill="CCDEF1"/>
          </w:tcPr>
          <w:p>
            <w:pPr>
              <w:spacing w:after="0"/>
              <w:rPr>
                <w:sz w:val="14"/>
                <w:szCs w:val="14"/>
                <w:color w:val="auto"/>
              </w:rPr>
            </w:pPr>
          </w:p>
        </w:tc>
        <w:tc>
          <w:tcPr>
            <w:tcW w:w="740" w:type="dxa"/>
            <w:vAlign w:val="bottom"/>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 Roper Technologies, Inc.</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Robert D. Johnson</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 Chairman, Spirit AeroSystems Holdings,</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77</w:t>
            </w:r>
          </w:p>
        </w:tc>
        <w:tc>
          <w:tcPr>
            <w:tcW w:w="900" w:type="dxa"/>
            <w:vAlign w:val="bottom"/>
          </w:tcPr>
          <w:p>
            <w:pPr>
              <w:jc w:val="center"/>
              <w:ind w:right="70"/>
              <w:spacing w:after="0"/>
              <w:rPr>
                <w:sz w:val="20"/>
                <w:szCs w:val="20"/>
                <w:color w:val="auto"/>
              </w:rPr>
            </w:pPr>
            <w:r>
              <w:rPr>
                <w:rFonts w:ascii="Arial" w:cs="Arial" w:eastAsia="Arial" w:hAnsi="Arial"/>
                <w:sz w:val="14"/>
                <w:szCs w:val="14"/>
                <w:color w:val="auto"/>
              </w:rPr>
              <w:t>2005</w:t>
            </w:r>
          </w:p>
        </w:tc>
        <w:tc>
          <w:tcPr>
            <w:tcW w:w="620" w:type="dxa"/>
            <w:vAlign w:val="bottom"/>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2"/>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tcPr>
          <w:p>
            <w:pPr>
              <w:jc w:val="center"/>
              <w:ind w:right="68"/>
              <w:spacing w:after="0"/>
              <w:rPr>
                <w:sz w:val="20"/>
                <w:szCs w:val="20"/>
                <w:color w:val="auto"/>
              </w:rPr>
            </w:pPr>
            <w:r>
              <w:rPr>
                <w:rFonts w:ascii="Wingdings" w:cs="Wingdings" w:eastAsia="Wingdings" w:hAnsi="Wingdings"/>
                <w:sz w:val="14"/>
                <w:szCs w:val="14"/>
                <w:b w:val="1"/>
                <w:bCs w:val="1"/>
                <w:color w:val="005CB9"/>
                <w:w w:val="95"/>
              </w:rPr>
              <w:t>l</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Thomas P. Joyce, Jr.</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 Retired President and Chief Executive</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64</w:t>
            </w:r>
          </w:p>
        </w:tc>
        <w:tc>
          <w:tcPr>
            <w:tcW w:w="900" w:type="dxa"/>
            <w:vAlign w:val="bottom"/>
            <w:shd w:val="clear" w:color="auto" w:fill="CCDEF1"/>
          </w:tcPr>
          <w:p>
            <w:pPr>
              <w:jc w:val="center"/>
              <w:ind w:right="70"/>
              <w:spacing w:after="0"/>
              <w:rPr>
                <w:sz w:val="20"/>
                <w:szCs w:val="20"/>
                <w:color w:val="auto"/>
              </w:rPr>
            </w:pPr>
            <w:r>
              <w:rPr>
                <w:rFonts w:ascii="Arial" w:cs="Arial" w:eastAsia="Arial" w:hAnsi="Arial"/>
                <w:sz w:val="14"/>
                <w:szCs w:val="14"/>
                <w:color w:val="auto"/>
              </w:rPr>
              <w:t>2021</w:t>
            </w:r>
          </w:p>
        </w:tc>
        <w:tc>
          <w:tcPr>
            <w:tcW w:w="620" w:type="dxa"/>
            <w:vAlign w:val="bottom"/>
            <w:shd w:val="clear" w:color="auto" w:fill="CCDEF1"/>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600" w:type="dxa"/>
            <w:vAlign w:val="bottom"/>
            <w:shd w:val="clear" w:color="auto" w:fill="CCDEF1"/>
          </w:tcPr>
          <w:p>
            <w:pPr>
              <w:spacing w:after="0"/>
              <w:rPr>
                <w:sz w:val="14"/>
                <w:szCs w:val="14"/>
                <w:color w:val="auto"/>
              </w:rPr>
            </w:pPr>
          </w:p>
        </w:tc>
        <w:tc>
          <w:tcPr>
            <w:tcW w:w="1280" w:type="dxa"/>
            <w:vAlign w:val="bottom"/>
            <w:gridSpan w:val="2"/>
            <w:shd w:val="clear" w:color="auto" w:fill="CCDEF1"/>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shd w:val="clear" w:color="auto" w:fill="CCDEF1"/>
          </w:tcPr>
          <w:p>
            <w:pPr>
              <w:spacing w:after="0"/>
              <w:rPr>
                <w:sz w:val="14"/>
                <w:szCs w:val="14"/>
                <w:color w:val="auto"/>
              </w:rPr>
            </w:pP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 Officer, Danaher Corporation</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John F. Murphy</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 Former Executive Vice President and</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56</w:t>
            </w:r>
          </w:p>
        </w:tc>
        <w:tc>
          <w:tcPr>
            <w:tcW w:w="900" w:type="dxa"/>
            <w:vAlign w:val="bottom"/>
            <w:vMerge w:val="restart"/>
          </w:tcPr>
          <w:p>
            <w:pPr>
              <w:jc w:val="center"/>
              <w:ind w:right="70"/>
              <w:spacing w:after="0"/>
              <w:rPr>
                <w:sz w:val="20"/>
                <w:szCs w:val="20"/>
                <w:color w:val="auto"/>
              </w:rPr>
            </w:pPr>
            <w:r>
              <w:rPr>
                <w:rFonts w:ascii="Arial" w:cs="Arial" w:eastAsia="Arial" w:hAnsi="Arial"/>
                <w:sz w:val="14"/>
                <w:szCs w:val="14"/>
                <w:color w:val="auto"/>
              </w:rPr>
              <w:t>2024</w:t>
            </w:r>
          </w:p>
        </w:tc>
        <w:tc>
          <w:tcPr>
            <w:tcW w:w="620" w:type="dxa"/>
            <w:vAlign w:val="bottom"/>
            <w:vMerge w:val="restart"/>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00" w:type="dxa"/>
            <w:vAlign w:val="bottom"/>
            <w:vMerge w:val="restart"/>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 Adobe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Laura G. Thatcher</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 Retired Head of Executive</w:t>
            </w:r>
          </w:p>
        </w:tc>
        <w:tc>
          <w:tcPr>
            <w:tcW w:w="560" w:type="dxa"/>
            <w:vAlign w:val="bottom"/>
            <w:vMerge w:val="restart"/>
            <w:shd w:val="clear" w:color="auto" w:fill="CCDEF1"/>
          </w:tcPr>
          <w:p>
            <w:pPr>
              <w:jc w:val="center"/>
              <w:ind w:left="8"/>
              <w:spacing w:after="0"/>
              <w:rPr>
                <w:sz w:val="20"/>
                <w:szCs w:val="20"/>
                <w:color w:val="auto"/>
              </w:rPr>
            </w:pPr>
            <w:r>
              <w:rPr>
                <w:rFonts w:ascii="Arial" w:cs="Arial" w:eastAsia="Arial" w:hAnsi="Arial"/>
                <w:sz w:val="14"/>
                <w:szCs w:val="14"/>
                <w:color w:val="auto"/>
              </w:rPr>
              <w:t>69</w:t>
            </w:r>
          </w:p>
        </w:tc>
        <w:tc>
          <w:tcPr>
            <w:tcW w:w="900" w:type="dxa"/>
            <w:vAlign w:val="bottom"/>
            <w:vMerge w:val="restart"/>
            <w:shd w:val="clear" w:color="auto" w:fill="CCDEF1"/>
          </w:tcPr>
          <w:p>
            <w:pPr>
              <w:jc w:val="center"/>
              <w:ind w:right="70"/>
              <w:spacing w:after="0"/>
              <w:rPr>
                <w:sz w:val="20"/>
                <w:szCs w:val="20"/>
                <w:color w:val="auto"/>
              </w:rPr>
            </w:pPr>
            <w:r>
              <w:rPr>
                <w:rFonts w:ascii="Arial" w:cs="Arial" w:eastAsia="Arial" w:hAnsi="Arial"/>
                <w:sz w:val="14"/>
                <w:szCs w:val="14"/>
                <w:color w:val="auto"/>
              </w:rPr>
              <w:t>2015</w:t>
            </w:r>
          </w:p>
        </w:tc>
        <w:tc>
          <w:tcPr>
            <w:tcW w:w="620" w:type="dxa"/>
            <w:vAlign w:val="bottom"/>
            <w:vMerge w:val="restart"/>
            <w:shd w:val="clear" w:color="auto" w:fill="CCDEF1"/>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1280" w:type="dxa"/>
            <w:vAlign w:val="bottom"/>
            <w:gridSpan w:val="2"/>
            <w:vMerge w:val="restart"/>
            <w:shd w:val="clear" w:color="auto" w:fill="CCDEF1"/>
          </w:tcPr>
          <w:p>
            <w:pPr>
              <w:ind w:left="40"/>
              <w:spacing w:after="0"/>
              <w:rPr>
                <w:sz w:val="20"/>
                <w:szCs w:val="20"/>
                <w:color w:val="auto"/>
              </w:rPr>
            </w:pPr>
            <w:r>
              <w:rPr>
                <w:rFonts w:ascii="Arial" w:cs="Arial" w:eastAsia="Arial" w:hAnsi="Arial"/>
                <w:sz w:val="14"/>
                <w:szCs w:val="14"/>
                <w:b w:val="1"/>
                <w:bCs w:val="1"/>
                <w:color w:val="005CB9"/>
              </w:rPr>
              <w:t>   Chair</w:t>
            </w:r>
          </w:p>
        </w:tc>
        <w:tc>
          <w:tcPr>
            <w:tcW w:w="600" w:type="dxa"/>
            <w:vAlign w:val="bottom"/>
            <w:shd w:val="clear" w:color="auto" w:fill="CCDEF1"/>
          </w:tcPr>
          <w:p>
            <w:pPr>
              <w:spacing w:after="0"/>
              <w:rPr>
                <w:sz w:val="14"/>
                <w:szCs w:val="14"/>
                <w:color w:val="auto"/>
              </w:rPr>
            </w:pP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spacing w:after="0"/>
              <w:rPr>
                <w:sz w:val="14"/>
                <w:szCs w:val="14"/>
                <w:color w:val="auto"/>
              </w:rPr>
            </w:pPr>
          </w:p>
        </w:tc>
        <w:tc>
          <w:tcPr>
            <w:tcW w:w="780" w:type="dxa"/>
            <w:vAlign w:val="bottom"/>
            <w:vMerge w:val="restart"/>
            <w:shd w:val="clear" w:color="auto" w:fill="CCDEF1"/>
          </w:tcPr>
          <w:p>
            <w:pPr>
              <w:jc w:val="center"/>
              <w:ind w:right="191"/>
              <w:spacing w:after="0"/>
              <w:rPr>
                <w:sz w:val="20"/>
                <w:szCs w:val="20"/>
                <w:color w:val="auto"/>
              </w:rPr>
            </w:pPr>
            <w:r>
              <w:rPr>
                <w:rFonts w:ascii="Wingdings" w:cs="Wingdings" w:eastAsia="Wingdings" w:hAnsi="Wingdings"/>
                <w:sz w:val="14"/>
                <w:szCs w:val="14"/>
                <w:b w:val="1"/>
                <w:bCs w:val="1"/>
                <w:color w:val="005CB9"/>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shd w:val="clear" w:color="auto" w:fill="CCDEF1"/>
          </w:tcPr>
          <w:p>
            <w:pPr>
              <w:spacing w:after="0"/>
              <w:rPr>
                <w:sz w:val="20"/>
                <w:szCs w:val="20"/>
                <w:color w:val="auto"/>
              </w:rPr>
            </w:pPr>
            <w:r>
              <w:rPr>
                <w:rFonts w:ascii="Arial" w:cs="Arial" w:eastAsia="Arial" w:hAnsi="Arial"/>
                <w:sz w:val="14"/>
                <w:szCs w:val="14"/>
                <w:color w:val="auto"/>
              </w:rPr>
              <w:t> Compensation Practice, Alston &amp; Bird</w:t>
            </w:r>
          </w:p>
        </w:tc>
        <w:tc>
          <w:tcPr>
            <w:tcW w:w="560" w:type="dxa"/>
            <w:vAlign w:val="bottom"/>
            <w:vMerge w:val="continue"/>
            <w:shd w:val="clear" w:color="auto" w:fill="CCDEF1"/>
          </w:tcPr>
          <w:p>
            <w:pPr>
              <w:spacing w:after="0"/>
              <w:rPr>
                <w:sz w:val="10"/>
                <w:szCs w:val="10"/>
                <w:color w:val="auto"/>
              </w:rPr>
            </w:pPr>
          </w:p>
        </w:tc>
        <w:tc>
          <w:tcPr>
            <w:tcW w:w="900" w:type="dxa"/>
            <w:vAlign w:val="bottom"/>
            <w:vMerge w:val="continue"/>
            <w:shd w:val="clear" w:color="auto" w:fill="CCDEF1"/>
          </w:tcPr>
          <w:p>
            <w:pPr>
              <w:spacing w:after="0"/>
              <w:rPr>
                <w:sz w:val="10"/>
                <w:szCs w:val="10"/>
                <w:color w:val="auto"/>
              </w:rPr>
            </w:pPr>
          </w:p>
        </w:tc>
        <w:tc>
          <w:tcPr>
            <w:tcW w:w="620" w:type="dxa"/>
            <w:vAlign w:val="bottom"/>
            <w:vMerge w:val="continue"/>
            <w:shd w:val="clear" w:color="auto" w:fill="CCDEF1"/>
          </w:tcPr>
          <w:p>
            <w:pPr>
              <w:spacing w:after="0"/>
              <w:rPr>
                <w:sz w:val="10"/>
                <w:szCs w:val="10"/>
                <w:color w:val="auto"/>
              </w:rPr>
            </w:pPr>
          </w:p>
        </w:tc>
        <w:tc>
          <w:tcPr>
            <w:tcW w:w="760" w:type="dxa"/>
            <w:vAlign w:val="bottom"/>
            <w:shd w:val="clear" w:color="auto" w:fill="CCDEF1"/>
          </w:tcPr>
          <w:p>
            <w:pPr>
              <w:spacing w:after="0"/>
              <w:rPr>
                <w:sz w:val="10"/>
                <w:szCs w:val="10"/>
                <w:color w:val="auto"/>
              </w:rPr>
            </w:pPr>
          </w:p>
        </w:tc>
        <w:tc>
          <w:tcPr>
            <w:tcW w:w="420" w:type="dxa"/>
            <w:vAlign w:val="bottom"/>
            <w:tcBorders>
              <w:right w:val="single" w:sz="8" w:color="CCDEF1"/>
            </w:tcBorders>
            <w:shd w:val="clear" w:color="auto" w:fill="CCDEF1"/>
          </w:tcPr>
          <w:p>
            <w:pPr>
              <w:spacing w:after="0"/>
              <w:rPr>
                <w:sz w:val="10"/>
                <w:szCs w:val="10"/>
                <w:color w:val="auto"/>
              </w:rPr>
            </w:pPr>
          </w:p>
        </w:tc>
        <w:tc>
          <w:tcPr>
            <w:tcW w:w="600" w:type="dxa"/>
            <w:vAlign w:val="bottom"/>
            <w:shd w:val="clear" w:color="auto" w:fill="CCDEF1"/>
          </w:tcPr>
          <w:p>
            <w:pPr>
              <w:spacing w:after="0"/>
              <w:rPr>
                <w:sz w:val="10"/>
                <w:szCs w:val="10"/>
                <w:color w:val="auto"/>
              </w:rPr>
            </w:pPr>
          </w:p>
        </w:tc>
        <w:tc>
          <w:tcPr>
            <w:tcW w:w="1280" w:type="dxa"/>
            <w:vAlign w:val="bottom"/>
            <w:gridSpan w:val="2"/>
            <w:vMerge w:val="continue"/>
            <w:shd w:val="clear" w:color="auto" w:fill="CCDEF1"/>
          </w:tcPr>
          <w:p>
            <w:pPr>
              <w:spacing w:after="0"/>
              <w:rPr>
                <w:sz w:val="10"/>
                <w:szCs w:val="10"/>
                <w:color w:val="auto"/>
              </w:rPr>
            </w:pPr>
          </w:p>
        </w:tc>
        <w:tc>
          <w:tcPr>
            <w:tcW w:w="600" w:type="dxa"/>
            <w:vAlign w:val="bottom"/>
            <w:shd w:val="clear" w:color="auto" w:fill="CCDEF1"/>
          </w:tcPr>
          <w:p>
            <w:pPr>
              <w:spacing w:after="0"/>
              <w:rPr>
                <w:sz w:val="10"/>
                <w:szCs w:val="10"/>
                <w:color w:val="auto"/>
              </w:rPr>
            </w:pPr>
          </w:p>
        </w:tc>
        <w:tc>
          <w:tcPr>
            <w:tcW w:w="160" w:type="dxa"/>
            <w:vAlign w:val="bottom"/>
            <w:shd w:val="clear" w:color="auto" w:fill="CCDEF1"/>
          </w:tcPr>
          <w:p>
            <w:pPr>
              <w:spacing w:after="0"/>
              <w:rPr>
                <w:sz w:val="10"/>
                <w:szCs w:val="10"/>
                <w:color w:val="auto"/>
              </w:rPr>
            </w:pPr>
          </w:p>
        </w:tc>
        <w:tc>
          <w:tcPr>
            <w:tcW w:w="360" w:type="dxa"/>
            <w:vAlign w:val="bottom"/>
            <w:shd w:val="clear" w:color="auto" w:fill="CCDEF1"/>
          </w:tcPr>
          <w:p>
            <w:pPr>
              <w:spacing w:after="0"/>
              <w:rPr>
                <w:sz w:val="10"/>
                <w:szCs w:val="10"/>
                <w:color w:val="auto"/>
              </w:rPr>
            </w:pPr>
          </w:p>
        </w:tc>
        <w:tc>
          <w:tcPr>
            <w:tcW w:w="780" w:type="dxa"/>
            <w:vAlign w:val="bottom"/>
            <w:vMerge w:val="continue"/>
            <w:shd w:val="clear" w:color="auto" w:fill="CCDEF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600" w:type="dxa"/>
            <w:vAlign w:val="bottom"/>
            <w:vMerge w:val="continue"/>
            <w:shd w:val="clear" w:color="auto" w:fill="CCDEF1"/>
          </w:tcPr>
          <w:p>
            <w:pPr>
              <w:spacing w:after="0"/>
              <w:rPr>
                <w:sz w:val="4"/>
                <w:szCs w:val="4"/>
                <w:color w:val="auto"/>
              </w:rPr>
            </w:pPr>
          </w:p>
        </w:tc>
        <w:tc>
          <w:tcPr>
            <w:tcW w:w="560" w:type="dxa"/>
            <w:vAlign w:val="bottom"/>
            <w:shd w:val="clear" w:color="auto" w:fill="CCDEF1"/>
          </w:tcPr>
          <w:p>
            <w:pPr>
              <w:spacing w:after="0"/>
              <w:rPr>
                <w:sz w:val="4"/>
                <w:szCs w:val="4"/>
                <w:color w:val="auto"/>
              </w:rPr>
            </w:pPr>
          </w:p>
        </w:tc>
        <w:tc>
          <w:tcPr>
            <w:tcW w:w="900" w:type="dxa"/>
            <w:vAlign w:val="bottom"/>
            <w:shd w:val="clear" w:color="auto" w:fill="CCDEF1"/>
          </w:tcPr>
          <w:p>
            <w:pPr>
              <w:spacing w:after="0"/>
              <w:rPr>
                <w:sz w:val="4"/>
                <w:szCs w:val="4"/>
                <w:color w:val="auto"/>
              </w:rPr>
            </w:pPr>
          </w:p>
        </w:tc>
        <w:tc>
          <w:tcPr>
            <w:tcW w:w="620" w:type="dxa"/>
            <w:vAlign w:val="bottom"/>
            <w:shd w:val="clear" w:color="auto" w:fill="CCDEF1"/>
          </w:tcPr>
          <w:p>
            <w:pPr>
              <w:spacing w:after="0"/>
              <w:rPr>
                <w:sz w:val="4"/>
                <w:szCs w:val="4"/>
                <w:color w:val="auto"/>
              </w:rPr>
            </w:pPr>
          </w:p>
        </w:tc>
        <w:tc>
          <w:tcPr>
            <w:tcW w:w="760" w:type="dxa"/>
            <w:vAlign w:val="bottom"/>
            <w:shd w:val="clear" w:color="auto" w:fill="CCDEF1"/>
          </w:tcPr>
          <w:p>
            <w:pPr>
              <w:spacing w:after="0"/>
              <w:rPr>
                <w:sz w:val="4"/>
                <w:szCs w:val="4"/>
                <w:color w:val="auto"/>
              </w:rPr>
            </w:pPr>
          </w:p>
        </w:tc>
        <w:tc>
          <w:tcPr>
            <w:tcW w:w="420" w:type="dxa"/>
            <w:vAlign w:val="bottom"/>
            <w:tcBorders>
              <w:right w:val="single" w:sz="8" w:color="CCDEF1"/>
            </w:tcBorders>
            <w:shd w:val="clear" w:color="auto" w:fill="CCDEF1"/>
          </w:tcPr>
          <w:p>
            <w:pPr>
              <w:spacing w:after="0"/>
              <w:rPr>
                <w:sz w:val="4"/>
                <w:szCs w:val="4"/>
                <w:color w:val="auto"/>
              </w:rPr>
            </w:pPr>
          </w:p>
        </w:tc>
        <w:tc>
          <w:tcPr>
            <w:tcW w:w="600" w:type="dxa"/>
            <w:vAlign w:val="bottom"/>
            <w:shd w:val="clear" w:color="auto" w:fill="CCDEF1"/>
          </w:tcPr>
          <w:p>
            <w:pPr>
              <w:spacing w:after="0"/>
              <w:rPr>
                <w:sz w:val="4"/>
                <w:szCs w:val="4"/>
                <w:color w:val="auto"/>
              </w:rPr>
            </w:pPr>
          </w:p>
        </w:tc>
        <w:tc>
          <w:tcPr>
            <w:tcW w:w="540" w:type="dxa"/>
            <w:vAlign w:val="bottom"/>
            <w:shd w:val="clear" w:color="auto" w:fill="CCDEF1"/>
          </w:tcPr>
          <w:p>
            <w:pPr>
              <w:spacing w:after="0"/>
              <w:rPr>
                <w:sz w:val="4"/>
                <w:szCs w:val="4"/>
                <w:color w:val="auto"/>
              </w:rPr>
            </w:pPr>
          </w:p>
        </w:tc>
        <w:tc>
          <w:tcPr>
            <w:tcW w:w="740" w:type="dxa"/>
            <w:vAlign w:val="bottom"/>
            <w:shd w:val="clear" w:color="auto" w:fill="CCDEF1"/>
          </w:tcPr>
          <w:p>
            <w:pPr>
              <w:spacing w:after="0"/>
              <w:rPr>
                <w:sz w:val="4"/>
                <w:szCs w:val="4"/>
                <w:color w:val="auto"/>
              </w:rPr>
            </w:pPr>
          </w:p>
        </w:tc>
        <w:tc>
          <w:tcPr>
            <w:tcW w:w="600" w:type="dxa"/>
            <w:vAlign w:val="bottom"/>
            <w:shd w:val="clear" w:color="auto" w:fill="CCDEF1"/>
          </w:tcPr>
          <w:p>
            <w:pPr>
              <w:spacing w:after="0"/>
              <w:rPr>
                <w:sz w:val="4"/>
                <w:szCs w:val="4"/>
                <w:color w:val="auto"/>
              </w:rPr>
            </w:pPr>
          </w:p>
        </w:tc>
        <w:tc>
          <w:tcPr>
            <w:tcW w:w="160" w:type="dxa"/>
            <w:vAlign w:val="bottom"/>
            <w:shd w:val="clear" w:color="auto" w:fill="CCDEF1"/>
          </w:tcPr>
          <w:p>
            <w:pPr>
              <w:spacing w:after="0"/>
              <w:rPr>
                <w:sz w:val="4"/>
                <w:szCs w:val="4"/>
                <w:color w:val="auto"/>
              </w:rPr>
            </w:pPr>
          </w:p>
        </w:tc>
        <w:tc>
          <w:tcPr>
            <w:tcW w:w="360" w:type="dxa"/>
            <w:vAlign w:val="bottom"/>
            <w:shd w:val="clear" w:color="auto" w:fill="CCDEF1"/>
          </w:tcPr>
          <w:p>
            <w:pPr>
              <w:spacing w:after="0"/>
              <w:rPr>
                <w:sz w:val="4"/>
                <w:szCs w:val="4"/>
                <w:color w:val="auto"/>
              </w:rPr>
            </w:pPr>
          </w:p>
        </w:tc>
        <w:tc>
          <w:tcPr>
            <w:tcW w:w="780" w:type="dxa"/>
            <w:vAlign w:val="bottom"/>
            <w:shd w:val="clear" w:color="auto" w:fill="CCDEF1"/>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 LLP</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Richard F. Wallman</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 Retired Chief Financial Officer and</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74</w:t>
            </w:r>
          </w:p>
        </w:tc>
        <w:tc>
          <w:tcPr>
            <w:tcW w:w="900" w:type="dxa"/>
            <w:vAlign w:val="bottom"/>
            <w:vMerge w:val="restart"/>
          </w:tcPr>
          <w:p>
            <w:pPr>
              <w:jc w:val="center"/>
              <w:ind w:right="70"/>
              <w:spacing w:after="0"/>
              <w:rPr>
                <w:sz w:val="20"/>
                <w:szCs w:val="20"/>
                <w:color w:val="auto"/>
              </w:rPr>
            </w:pPr>
            <w:r>
              <w:rPr>
                <w:rFonts w:ascii="Arial" w:cs="Arial" w:eastAsia="Arial" w:hAnsi="Arial"/>
                <w:sz w:val="14"/>
                <w:szCs w:val="14"/>
                <w:color w:val="auto"/>
              </w:rPr>
              <w:t>2007</w:t>
            </w:r>
          </w:p>
        </w:tc>
        <w:tc>
          <w:tcPr>
            <w:tcW w:w="620" w:type="dxa"/>
            <w:vAlign w:val="bottom"/>
            <w:vMerge w:val="restart"/>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vMerge w:val="restart"/>
          </w:tcPr>
          <w:p>
            <w:pPr>
              <w:ind w:left="660"/>
              <w:spacing w:after="0"/>
              <w:rPr>
                <w:sz w:val="20"/>
                <w:szCs w:val="20"/>
                <w:color w:val="auto"/>
              </w:rPr>
            </w:pPr>
            <w:r>
              <w:rPr>
                <w:rFonts w:ascii="Arial" w:cs="Arial" w:eastAsia="Arial" w:hAnsi="Arial"/>
                <w:sz w:val="11"/>
                <w:szCs w:val="11"/>
                <w:b w:val="1"/>
                <w:bCs w:val="1"/>
                <w:color w:val="005CB9"/>
                <w:w w:val="72"/>
              </w:rPr>
              <w:t> </w:t>
            </w: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005CB9"/>
              </w:rPr>
              <w:t>Chair</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15"/>
        </w:trPr>
        <w:tc>
          <w:tcPr>
            <w:tcW w:w="3600" w:type="dxa"/>
            <w:vAlign w:val="bottom"/>
            <w:vMerge w:val="restart"/>
          </w:tcPr>
          <w:p>
            <w:pPr>
              <w:spacing w:after="0"/>
              <w:rPr>
                <w:sz w:val="20"/>
                <w:szCs w:val="20"/>
                <w:color w:val="auto"/>
              </w:rPr>
            </w:pPr>
            <w:r>
              <w:rPr>
                <w:rFonts w:ascii="Arial" w:cs="Arial" w:eastAsia="Arial" w:hAnsi="Arial"/>
                <w:sz w:val="14"/>
                <w:szCs w:val="14"/>
                <w:color w:val="auto"/>
              </w:rPr>
              <w:t> Senior Vice President, Honeywell</w:t>
            </w:r>
          </w:p>
        </w:tc>
        <w:tc>
          <w:tcPr>
            <w:tcW w:w="5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4"/>
          <w:szCs w:val="14"/>
          <w:color w:val="auto"/>
        </w:rPr>
        <w:t> International Inc.</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CC </w:t>
      </w:r>
      <w:r>
        <w:rPr>
          <w:rFonts w:ascii="Arial" w:cs="Arial" w:eastAsia="Arial" w:hAnsi="Arial"/>
          <w:sz w:val="14"/>
          <w:szCs w:val="14"/>
          <w:color w:val="auto"/>
        </w:rPr>
        <w:t>= Compensation Committee</w:t>
      </w:r>
      <w:r>
        <w:rPr>
          <w:rFonts w:ascii="Arial" w:cs="Arial" w:eastAsia="Arial" w:hAnsi="Arial"/>
          <w:sz w:val="14"/>
          <w:szCs w:val="14"/>
          <w:b w:val="1"/>
          <w:bCs w:val="1"/>
          <w:color w:val="auto"/>
        </w:rPr>
        <w:t xml:space="preserve">  NGC </w:t>
      </w:r>
      <w:r>
        <w:rPr>
          <w:rFonts w:ascii="Arial" w:cs="Arial" w:eastAsia="Arial" w:hAnsi="Arial"/>
          <w:sz w:val="14"/>
          <w:szCs w:val="14"/>
          <w:color w:val="auto"/>
        </w:rPr>
        <w:t>= Nominating and Governance Committee</w:t>
      </w:r>
      <w:r>
        <w:rPr>
          <w:rFonts w:ascii="Arial" w:cs="Arial" w:eastAsia="Arial" w:hAnsi="Arial"/>
          <w:sz w:val="14"/>
          <w:szCs w:val="14"/>
          <w:b w:val="1"/>
          <w:bCs w:val="1"/>
          <w:color w:val="auto"/>
        </w:rPr>
        <w:t xml:space="preserve">  EC </w:t>
      </w:r>
      <w:r>
        <w:rPr>
          <w:rFonts w:ascii="Arial" w:cs="Arial" w:eastAsia="Arial" w:hAnsi="Arial"/>
          <w:sz w:val="14"/>
          <w:szCs w:val="14"/>
          <w:color w:val="auto"/>
        </w:rPr>
        <w:t>= Executive Committee</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CORPORATE GOVERNANCE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strive to maintain effective corporate governance practices and policies, including:</w:t>
      </w:r>
    </w:p>
    <w:p>
      <w:pPr>
        <w:spacing w:after="0" w:line="102" w:lineRule="exact"/>
        <w:rPr>
          <w:sz w:val="20"/>
          <w:szCs w:val="20"/>
          <w:color w:val="auto"/>
        </w:rPr>
      </w:pPr>
    </w:p>
    <w:p>
      <w:pPr>
        <w:jc w:val="both"/>
        <w:ind w:left="300" w:right="20"/>
        <w:spacing w:after="0" w:line="267" w:lineRule="auto"/>
        <w:rPr>
          <w:sz w:val="20"/>
          <w:szCs w:val="20"/>
          <w:color w:val="auto"/>
        </w:rPr>
      </w:pPr>
      <w:r>
        <w:rPr>
          <w:rFonts w:ascii="Arial" w:cs="Arial" w:eastAsia="Arial" w:hAnsi="Arial"/>
          <w:sz w:val="17"/>
          <w:szCs w:val="17"/>
          <w:b w:val="1"/>
          <w:bCs w:val="1"/>
          <w:color w:val="auto"/>
        </w:rPr>
        <w:t xml:space="preserve">Shareholder Outreach: </w:t>
      </w:r>
      <w:r>
        <w:rPr>
          <w:rFonts w:ascii="Arial" w:cs="Arial" w:eastAsia="Arial" w:hAnsi="Arial"/>
          <w:sz w:val="17"/>
          <w:szCs w:val="17"/>
          <w:color w:val="auto"/>
        </w:rPr>
        <w:t>We regularly engage our shareholders for feedback to learn their views on the Company’s strategy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sustainability program, as well as any other governance matters of concern.</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One-Year Terms for Directors: </w:t>
      </w:r>
      <w:r>
        <w:rPr>
          <w:rFonts w:ascii="Arial" w:cs="Arial" w:eastAsia="Arial" w:hAnsi="Arial"/>
          <w:sz w:val="17"/>
          <w:szCs w:val="17"/>
          <w:color w:val="auto"/>
        </w:rPr>
        <w:t>All of our directors serve one-year terms.</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spacing w:after="0"/>
              <w:rPr>
                <w:sz w:val="20"/>
                <w:szCs w:val="20"/>
                <w:color w:val="auto"/>
              </w:rPr>
            </w:pPr>
            <w:r>
              <w:rPr>
                <w:rFonts w:ascii="Arial" w:cs="Arial" w:eastAsia="Arial" w:hAnsi="Arial"/>
                <w:sz w:val="16"/>
                <w:szCs w:val="16"/>
                <w:b w:val="1"/>
                <w:bCs w:val="1"/>
                <w:color w:val="005CB9"/>
              </w:rPr>
              <w:t>ii</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5494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1670" cy="549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Independent Directors: </w:t>
      </w:r>
      <w:r>
        <w:rPr>
          <w:rFonts w:ascii="Arial" w:cs="Arial" w:eastAsia="Arial" w:hAnsi="Arial"/>
          <w:sz w:val="17"/>
          <w:szCs w:val="17"/>
          <w:color w:val="auto"/>
        </w:rPr>
        <w:t>All of our directors except our CEO are independent, as is each member of the Audit, Compensation,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and Nominating and Governance Committees.</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Our Chair of the Board is independent.</w:t>
      </w:r>
    </w:p>
    <w:p>
      <w:pPr>
        <w:spacing w:after="0" w:line="102"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Majority Voting Standards for Uncontested Director Elections: </w:t>
      </w:r>
      <w:r>
        <w:rPr>
          <w:rFonts w:ascii="Arial" w:cs="Arial" w:eastAsia="Arial" w:hAnsi="Arial"/>
          <w:sz w:val="17"/>
          <w:szCs w:val="17"/>
          <w:color w:val="auto"/>
        </w:rPr>
        <w:t>We require any incumbent director who fails to obtain a majority vote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 to tender his or her resignation.</w:t>
      </w:r>
    </w:p>
    <w:p>
      <w:pPr>
        <w:spacing w:after="0" w:line="51" w:lineRule="exact"/>
        <w:rPr>
          <w:sz w:val="20"/>
          <w:szCs w:val="20"/>
          <w:color w:val="auto"/>
        </w:rPr>
      </w:pPr>
    </w:p>
    <w:p>
      <w:pPr>
        <w:jc w:val="both"/>
        <w:ind w:left="300" w:right="200"/>
        <w:spacing w:after="0" w:line="244" w:lineRule="auto"/>
        <w:rPr>
          <w:sz w:val="20"/>
          <w:szCs w:val="20"/>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In March 2016, we amended our By-laws to implement proxy access for eligible shareholders. Our proxy access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permits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69" w:lineRule="exact"/>
        <w:rPr>
          <w:sz w:val="20"/>
          <w:szCs w:val="20"/>
          <w:color w:val="auto"/>
        </w:rPr>
      </w:pPr>
    </w:p>
    <w:p>
      <w:pPr>
        <w:jc w:val="both"/>
        <w:ind w:left="300" w:right="200"/>
        <w:spacing w:after="0" w:line="241" w:lineRule="auto"/>
        <w:rPr>
          <w:sz w:val="20"/>
          <w:szCs w:val="20"/>
          <w:color w:val="auto"/>
        </w:rPr>
      </w:pPr>
      <w:r>
        <w:rPr>
          <w:rFonts w:ascii="Arial" w:cs="Arial" w:eastAsia="Arial" w:hAnsi="Arial"/>
          <w:sz w:val="17"/>
          <w:szCs w:val="17"/>
          <w:b w:val="1"/>
          <w:bCs w:val="1"/>
          <w:color w:val="auto"/>
        </w:rPr>
        <w:t xml:space="preserve">Shareholder Engagement: </w:t>
      </w:r>
      <w:r>
        <w:rPr>
          <w:rFonts w:ascii="Arial" w:cs="Arial" w:eastAsia="Arial" w:hAnsi="Arial"/>
          <w:sz w:val="17"/>
          <w:szCs w:val="17"/>
          <w:color w:val="auto"/>
        </w:rPr>
        <w:t>We highly value feedback from our shareholders. In addition to our traditional Investor Relations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we have had discussions with numerous shareholders on sustainability topics including climate change, cybersecurity, data privacy, and talent management. These discussions have been extremely helpful in identifying issues of importance to our investors as we evolve our sustainability program. We also shared feedback received during these discussions with our Compensation Committee and Nominating and Governance Committee, informing their decision-making.</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Anti-Hedging and Anti-Pledging Policy: </w:t>
      </w:r>
      <w:r>
        <w:rPr>
          <w:rFonts w:ascii="Arial" w:cs="Arial" w:eastAsia="Arial" w:hAnsi="Arial"/>
          <w:sz w:val="17"/>
          <w:szCs w:val="17"/>
          <w:color w:val="auto"/>
        </w:rPr>
        <w:t>We have both anti-hedging and anti-pledging policies.</w:t>
      </w:r>
    </w:p>
    <w:p>
      <w:pPr>
        <w:spacing w:after="0" w:line="102"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Insider Trading Policy: </w:t>
      </w:r>
      <w:r>
        <w:rPr>
          <w:rFonts w:ascii="Arial" w:cs="Arial" w:eastAsia="Arial" w:hAnsi="Arial"/>
          <w:sz w:val="17"/>
          <w:szCs w:val="17"/>
          <w:color w:val="auto"/>
        </w:rPr>
        <w:t>We have adopted a securities transaction compliance program applicable to our directors, officers, and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governing the purchase, sale, and other disposition of our securities.</w:t>
      </w:r>
    </w:p>
    <w:p>
      <w:pPr>
        <w:spacing w:after="0" w:line="51"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7"/>
          <w:szCs w:val="17"/>
          <w:b w:val="1"/>
          <w:bCs w:val="1"/>
          <w:color w:val="auto"/>
        </w:rPr>
        <w:t xml:space="preserve">Board Refreshment/Term Limits: </w:t>
      </w:r>
      <w:r>
        <w:rPr>
          <w:rFonts w:ascii="Arial" w:cs="Arial" w:eastAsia="Arial" w:hAnsi="Arial"/>
          <w:sz w:val="17"/>
          <w:szCs w:val="17"/>
          <w:color w:val="auto"/>
        </w:rPr>
        <w:t>The mandatory retirement age for directors joining the Board prior to 2020 is 80. Directors joining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after January 1, 2020 are required to retire upon the earlier of (i) the attainment of age 80, and (ii) the 15-year anniversary of the first annual shareholders meeting following the date the director joined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98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2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2"/>
              </w:rPr>
              <w:t>   iii</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-205105</wp:posOffset>
            </wp:positionV>
            <wp:extent cx="42037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4928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1670" cy="492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005CB9"/>
        </w:rPr>
        <w:t>BOARD SNAPSHOT (does not include Christopher Wright who is retiring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60" w:type="dxa"/>
            <w:vAlign w:val="bottom"/>
            <w:vMerge w:val="restart"/>
          </w:tcPr>
          <w:p>
            <w:pPr>
              <w:spacing w:after="0"/>
              <w:rPr>
                <w:sz w:val="20"/>
                <w:szCs w:val="20"/>
                <w:color w:val="auto"/>
              </w:rPr>
            </w:pPr>
            <w:r>
              <w:rPr>
                <w:rFonts w:ascii="Arial" w:cs="Arial" w:eastAsia="Arial" w:hAnsi="Arial"/>
                <w:sz w:val="16"/>
                <w:szCs w:val="16"/>
                <w:b w:val="1"/>
                <w:bCs w:val="1"/>
                <w:color w:val="005CB9"/>
              </w:rPr>
              <w:t>iv</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-205105</wp:posOffset>
            </wp:positionV>
            <wp:extent cx="4203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5640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1670"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BUSINESS HIGHLIGHTS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We achieved another year of strong results in 2024: </w:t>
      </w:r>
      <w:r>
        <w:rPr>
          <w:rFonts w:ascii="Arial" w:cs="Arial" w:eastAsia="Arial" w:hAnsi="Arial"/>
          <w:sz w:val="12"/>
          <w:szCs w:val="12"/>
          <w:color w:val="auto"/>
        </w:rPr>
        <w:t>(1)</w:t>
      </w:r>
    </w:p>
    <w:p>
      <w:pPr>
        <w:spacing w:after="0" w:line="115" w:lineRule="exact"/>
        <w:rPr>
          <w:sz w:val="20"/>
          <w:szCs w:val="20"/>
          <w:color w:val="auto"/>
        </w:rPr>
      </w:pPr>
    </w:p>
    <w:p>
      <w:pPr>
        <w:ind w:left="800" w:hanging="407"/>
        <w:spacing w:after="0"/>
        <w:tabs>
          <w:tab w:leader="none" w:pos="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GAAP revenue increased 14% to $7.04 billion and organic revenue increased 6%</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GAAP net earnings were $1.55 billion while adjusted EBITDA increased 13% to $2.83 billion</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Adjusted operating cash flow increased 16% to $2.39 billion and adjusted free cash flow increased 16% to $2.28 billion</w:t>
      </w:r>
    </w:p>
    <w:p>
      <w:pPr>
        <w:spacing w:after="0" w:line="115" w:lineRule="exact"/>
        <w:rPr>
          <w:rFonts w:ascii="Arial" w:cs="Arial" w:eastAsia="Arial" w:hAnsi="Arial"/>
          <w:sz w:val="17"/>
          <w:szCs w:val="17"/>
          <w:color w:val="auto"/>
        </w:rPr>
      </w:pPr>
    </w:p>
    <w:p>
      <w:pPr>
        <w:jc w:val="both"/>
        <w:ind w:left="800" w:right="300" w:hanging="407"/>
        <w:spacing w:after="0" w:line="249" w:lineRule="auto"/>
        <w:tabs>
          <w:tab w:leader="none" w:pos="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We deployed $3.6 billion of capital toward vertical software acquisitions, highlighted by Procare Solutions, a leading provider of software and solutions to early childhood education centers, for $1.86 billion, and Transact Campus, a leading provider of innovative campus technology and integrated payment solutions, for $1.60 billion, which was combined with our CBORD business</w:t>
      </w:r>
    </w:p>
    <w:p>
      <w:pPr>
        <w:spacing w:after="0" w:line="80" w:lineRule="exact"/>
        <w:rPr>
          <w:rFonts w:ascii="Arial" w:cs="Arial" w:eastAsia="Arial" w:hAnsi="Arial"/>
          <w:sz w:val="17"/>
          <w:szCs w:val="17"/>
          <w:color w:val="auto"/>
        </w:rPr>
      </w:pPr>
    </w:p>
    <w:p>
      <w:pPr>
        <w:ind w:left="800" w:hanging="407"/>
        <w:spacing w:after="0"/>
        <w:tabs>
          <w:tab w:leader="none" w:pos="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32</w:t>
      </w:r>
      <w:r>
        <w:rPr>
          <w:rFonts w:ascii="Arial" w:cs="Arial" w:eastAsia="Arial" w:hAnsi="Arial"/>
          <w:sz w:val="12"/>
          <w:szCs w:val="12"/>
          <w:color w:val="auto"/>
        </w:rPr>
        <w:t>nd</w:t>
      </w:r>
      <w:r>
        <w:rPr>
          <w:rFonts w:ascii="Arial" w:cs="Arial" w:eastAsia="Arial" w:hAnsi="Arial"/>
          <w:sz w:val="17"/>
          <w:szCs w:val="17"/>
          <w:color w:val="auto"/>
        </w:rPr>
        <w:t xml:space="preserve"> consecutive year</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For the first quarter of 2025 our total shareholder return was 13.6%, compared to -4.3% for the S&amp;P 500</w:t>
      </w:r>
    </w:p>
    <w:p>
      <w:pPr>
        <w:spacing w:after="0" w:line="129" w:lineRule="exact"/>
        <w:rPr>
          <w:rFonts w:ascii="Arial" w:cs="Arial" w:eastAsia="Arial" w:hAnsi="Arial"/>
          <w:sz w:val="17"/>
          <w:szCs w:val="17"/>
          <w:color w:val="auto"/>
        </w:rPr>
      </w:pPr>
    </w:p>
    <w:p>
      <w:pPr>
        <w:ind w:left="720" w:right="220" w:hanging="422"/>
        <w:spacing w:after="0" w:line="203" w:lineRule="auto"/>
        <w:tabs>
          <w:tab w:leader="none" w:pos="720" w:val="left"/>
        </w:tabs>
        <w:numPr>
          <w:ilvl w:val="0"/>
          <w:numId w:val="1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COMPENSATION HIGHLIGHTS</w:t>
      </w:r>
    </w:p>
    <w:p>
      <w:pPr>
        <w:spacing w:after="0" w:line="208"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Aspects of our program that closely align the compensation of our executive officers with the long-term interests of our shareholders include the following:</w:t>
      </w:r>
    </w:p>
    <w:p>
      <w:pPr>
        <w:spacing w:after="0" w:line="51"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Almost all of our executive officer compensation is tied to pre-set, objective performance criteria and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value creation. In 2024, total direct compensation at target that was at risk and tied to stock price and performance objectives was 96% for our CEO, and 90% on average for our other named executive officers.</w:t>
      </w:r>
    </w:p>
    <w:p>
      <w:pPr>
        <w:spacing w:after="0" w:line="67"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Performance-Based Equity: </w:t>
      </w:r>
      <w:r>
        <w:rPr>
          <w:rFonts w:ascii="Arial" w:cs="Arial" w:eastAsia="Arial" w:hAnsi="Arial"/>
          <w:sz w:val="17"/>
          <w:szCs w:val="17"/>
          <w:color w:val="auto"/>
        </w:rPr>
        <w:t>All restricted stock and restricted stock unit awards made to our executive officers are subject to satisfaction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criteria (no stock awards are solely time-based).</w:t>
      </w:r>
    </w:p>
    <w:p>
      <w:pPr>
        <w:spacing w:after="0" w:line="51"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Double Trigger Vesting: </w:t>
      </w:r>
      <w:r>
        <w:rPr>
          <w:rFonts w:ascii="Arial" w:cs="Arial" w:eastAsia="Arial" w:hAnsi="Arial"/>
          <w:sz w:val="17"/>
          <w:szCs w:val="17"/>
          <w:color w:val="auto"/>
        </w:rPr>
        <w:t>“Double trigger” vesting of equity awards if a change in control occurs; no excise tax gross-ups for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change-in-control payments.</w:t>
      </w:r>
    </w:p>
    <w:p>
      <w:pPr>
        <w:spacing w:after="0" w:line="51" w:lineRule="exact"/>
        <w:rPr>
          <w:sz w:val="20"/>
          <w:szCs w:val="20"/>
          <w:color w:val="auto"/>
        </w:rPr>
      </w:pPr>
    </w:p>
    <w:p>
      <w:pPr>
        <w:jc w:val="both"/>
        <w:ind w:left="300" w:right="200"/>
        <w:spacing w:after="0" w:line="253" w:lineRule="auto"/>
        <w:rPr>
          <w:sz w:val="20"/>
          <w:szCs w:val="20"/>
          <w:color w:val="auto"/>
        </w:rPr>
      </w:pPr>
      <w:r>
        <w:rPr>
          <w:rFonts w:ascii="Arial" w:cs="Arial" w:eastAsia="Arial" w:hAnsi="Arial"/>
          <w:sz w:val="17"/>
          <w:szCs w:val="17"/>
          <w:b w:val="1"/>
          <w:bCs w:val="1"/>
          <w:color w:val="auto"/>
        </w:rPr>
        <w:t xml:space="preserve">Three Year Vesting for Equity Awards: </w:t>
      </w:r>
      <w:r>
        <w:rPr>
          <w:rFonts w:ascii="Arial" w:cs="Arial" w:eastAsia="Arial" w:hAnsi="Arial"/>
          <w:sz w:val="17"/>
          <w:szCs w:val="17"/>
          <w:color w:val="auto"/>
        </w:rPr>
        <w:t>Equity awards made to all named executive officers may vest only at the end of a three-year</w:t>
      </w:r>
      <w:r>
        <w:rPr>
          <w:rFonts w:ascii="Arial" w:cs="Arial" w:eastAsia="Arial" w:hAnsi="Arial"/>
          <w:sz w:val="17"/>
          <w:szCs w:val="17"/>
          <w:b w:val="1"/>
          <w:bCs w:val="1"/>
          <w:color w:val="auto"/>
        </w:rPr>
        <w:t xml:space="preserve"> </w:t>
      </w:r>
      <w:r>
        <w:rPr>
          <w:rFonts w:ascii="Arial" w:cs="Arial" w:eastAsia="Arial" w:hAnsi="Arial"/>
          <w:sz w:val="17"/>
          <w:szCs w:val="17"/>
          <w:color w:val="auto"/>
        </w:rPr>
        <w:t>period.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Substantial share ownership and retention guidelines for our executive officers and non-employee directors.</w:t>
      </w:r>
    </w:p>
    <w:p>
      <w:pPr>
        <w:spacing w:after="0" w:line="102"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We have a Nasdaq-compliant clawback policy to recoup certain erroneously paid cash and equity compensation. In 2024,</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also adopted a supplemental clawback policy allowing the Board to seek recoupment of incentive-based compensation (cash or equity, including time-based equity) from its executive officers in the event of certain misconduct.</w:t>
      </w:r>
    </w:p>
    <w:p>
      <w:pPr>
        <w:spacing w:after="0" w:line="67"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Dividends Only on Shares Earned: </w:t>
      </w:r>
      <w:r>
        <w:rPr>
          <w:rFonts w:ascii="Arial" w:cs="Arial" w:eastAsia="Arial" w:hAnsi="Arial"/>
          <w:sz w:val="17"/>
          <w:szCs w:val="17"/>
          <w:color w:val="auto"/>
        </w:rPr>
        <w:t>Dividends and dividend equivalents on executive officers’ performance-based equity awards are paid</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the shares are earned.</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Annual Bonus Caps: </w:t>
      </w:r>
      <w:r>
        <w:rPr>
          <w:rFonts w:ascii="Arial" w:cs="Arial" w:eastAsia="Arial" w:hAnsi="Arial"/>
          <w:sz w:val="17"/>
          <w:szCs w:val="17"/>
          <w:color w:val="auto"/>
        </w:rPr>
        <w:t>We have caps on annual bonuses to avoid an excessive short-term focus and potentially adverse risk-taking.</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No Repricing: </w:t>
      </w:r>
      <w:r>
        <w:rPr>
          <w:rFonts w:ascii="Arial" w:cs="Arial" w:eastAsia="Arial" w:hAnsi="Arial"/>
          <w:sz w:val="17"/>
          <w:szCs w:val="17"/>
          <w:color w:val="auto"/>
        </w:rPr>
        <w:t>Repricing of stock options absent shareholder approval is prohibited.</w:t>
      </w:r>
    </w:p>
    <w:p>
      <w:pPr>
        <w:spacing w:after="0" w:line="353" w:lineRule="exact"/>
        <w:rPr>
          <w:sz w:val="20"/>
          <w:szCs w:val="20"/>
          <w:color w:val="auto"/>
        </w:rPr>
      </w:pPr>
    </w:p>
    <w:tbl>
      <w:tblPr>
        <w:tblLayout w:type="fixed"/>
        <w:tblInd w:w="60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v</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PROPOSAL 1: ELECTION OF DIRECTORS</w:t>
      </w:r>
    </w:p>
    <w:p>
      <w:pPr>
        <w:spacing w:after="0" w:line="33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Our Certificate of Incorporation provides that the Board of Directors of the Company (the “Board of Directors” or the “Board”) will consist of a number of members to be fixed, from time to time, by the Board of Directors, but not less than the minimum number required under Delaware law. The Board of Directors is currently comprised of ten directors who are elected on an annual basis.</w:t>
      </w:r>
    </w:p>
    <w:p>
      <w:pPr>
        <w:spacing w:after="0" w:line="175"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7"/>
          <w:szCs w:val="17"/>
          <w:color w:val="auto"/>
        </w:rPr>
        <w:t>With the exception of Christopher Wright, who will retire at the Annual Meeting, our Board unanimously recommended each incumbent director for reelection at the 2025 Annual Meeting. If reelected, the director nominees will serve until the 2026 Annual Meeting and until their successors have been duly elected and qualified. Certain information about our director nominees is set forth under “Board of Directors.” This information includes the business experience, qualifications, attributes and skills that each individual brings to our Board. Mr. Wright, who has served as a director since 1991, is retiring effective at the Annual Meeting, and as a result, our Board size will be reduced from ten to nine directors effective at the Annual Meeting.</w:t>
      </w:r>
    </w:p>
    <w:p>
      <w:pPr>
        <w:spacing w:after="0" w:line="182"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Although not anticipated, if prior to the meeting a director nominee is unable to serve,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7020560" cy="462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0560" cy="462280"/>
                    </a:xfrm>
                    <a:prstGeom prst="rect">
                      <a:avLst/>
                    </a:prstGeom>
                    <a:noFill/>
                  </pic:spPr>
                </pic:pic>
              </a:graphicData>
            </a:graphic>
          </wp:anchor>
        </w:drawing>
      </w:r>
    </w:p>
    <w:p>
      <w:pPr>
        <w:spacing w:after="0" w:line="318" w:lineRule="exact"/>
        <w:rPr>
          <w:sz w:val="20"/>
          <w:szCs w:val="20"/>
          <w:color w:val="auto"/>
        </w:rPr>
      </w:pPr>
    </w:p>
    <w:p>
      <w:pPr>
        <w:ind w:left="560" w:right="460"/>
        <w:spacing w:after="0" w:line="281"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193040</wp:posOffset>
            </wp:positionV>
            <wp:extent cx="7011670" cy="376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1670" cy="3765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80" w:type="dxa"/>
            <w:vAlign w:val="bottom"/>
            <w:shd w:val="clear" w:color="auto" w:fill="005CB9"/>
          </w:tcPr>
          <w:p>
            <w:pPr>
              <w:spacing w:after="0"/>
              <w:rPr>
                <w:sz w:val="16"/>
                <w:szCs w:val="16"/>
                <w:color w:val="auto"/>
              </w:rPr>
            </w:pPr>
          </w:p>
        </w:tc>
        <w:tc>
          <w:tcPr>
            <w:tcW w:w="660" w:type="dxa"/>
            <w:vAlign w:val="bottom"/>
            <w:shd w:val="clear" w:color="auto" w:fill="005CB9"/>
          </w:tcPr>
          <w:p>
            <w:pPr>
              <w:spacing w:after="0"/>
              <w:rPr>
                <w:sz w:val="16"/>
                <w:szCs w:val="16"/>
                <w:color w:val="auto"/>
              </w:rPr>
            </w:pPr>
          </w:p>
        </w:tc>
        <w:tc>
          <w:tcPr>
            <w:tcW w:w="880" w:type="dxa"/>
            <w:vAlign w:val="bottom"/>
            <w:shd w:val="clear" w:color="auto" w:fill="005CB9"/>
          </w:tcPr>
          <w:p>
            <w:pPr>
              <w:jc w:val="right"/>
              <w:ind w:right="75"/>
              <w:spacing w:after="0"/>
              <w:rPr>
                <w:sz w:val="20"/>
                <w:szCs w:val="20"/>
                <w:color w:val="auto"/>
              </w:rPr>
            </w:pPr>
            <w:r>
              <w:rPr>
                <w:rFonts w:ascii="Arial" w:cs="Arial" w:eastAsia="Arial" w:hAnsi="Arial"/>
                <w:sz w:val="16"/>
                <w:szCs w:val="16"/>
                <w:color w:val="FFFFFF"/>
              </w:rPr>
              <w:t>Director</w:t>
            </w:r>
          </w:p>
        </w:tc>
        <w:tc>
          <w:tcPr>
            <w:tcW w:w="1160" w:type="dxa"/>
            <w:vAlign w:val="bottom"/>
            <w:shd w:val="clear" w:color="auto" w:fill="005CB9"/>
          </w:tcPr>
          <w:p>
            <w:pPr>
              <w:spacing w:after="0"/>
              <w:rPr>
                <w:sz w:val="16"/>
                <w:szCs w:val="16"/>
                <w:color w:val="auto"/>
              </w:rPr>
            </w:pPr>
          </w:p>
        </w:tc>
        <w:tc>
          <w:tcPr>
            <w:tcW w:w="1680" w:type="dxa"/>
            <w:vAlign w:val="bottom"/>
            <w:shd w:val="clear" w:color="auto" w:fill="005CB9"/>
          </w:tcPr>
          <w:p>
            <w:pPr>
              <w:spacing w:after="0"/>
              <w:rPr>
                <w:sz w:val="16"/>
                <w:szCs w:val="16"/>
                <w:color w:val="auto"/>
              </w:rPr>
            </w:pPr>
          </w:p>
        </w:tc>
        <w:tc>
          <w:tcPr>
            <w:tcW w:w="4080" w:type="dxa"/>
            <w:vAlign w:val="bottom"/>
            <w:shd w:val="clear" w:color="auto" w:fill="005CB9"/>
          </w:tcPr>
          <w:p>
            <w:pPr>
              <w:spacing w:after="0"/>
              <w:rPr>
                <w:sz w:val="16"/>
                <w:szCs w:val="16"/>
                <w:color w:val="auto"/>
              </w:rPr>
            </w:pPr>
          </w:p>
        </w:tc>
        <w:tc>
          <w:tcPr>
            <w:tcW w:w="180" w:type="dxa"/>
            <w:vAlign w:val="bottom"/>
            <w:shd w:val="clear" w:color="auto" w:fill="005CB9"/>
          </w:tcPr>
          <w:p>
            <w:pPr>
              <w:spacing w:after="0"/>
              <w:rPr>
                <w:sz w:val="16"/>
                <w:szCs w:val="16"/>
                <w:color w:val="auto"/>
              </w:rPr>
            </w:pPr>
          </w:p>
        </w:tc>
        <w:tc>
          <w:tcPr>
            <w:tcW w:w="20" w:type="dxa"/>
            <w:vAlign w:val="bottom"/>
            <w:shd w:val="clear" w:color="auto" w:fill="005CB9"/>
          </w:tcPr>
          <w:p>
            <w:pPr>
              <w:spacing w:after="0"/>
              <w:rPr>
                <w:sz w:val="16"/>
                <w:szCs w:val="16"/>
                <w:color w:val="auto"/>
              </w:rPr>
            </w:pPr>
          </w:p>
        </w:tc>
        <w:tc>
          <w:tcPr>
            <w:tcW w:w="260" w:type="dxa"/>
            <w:vAlign w:val="bottom"/>
            <w:shd w:val="clear" w:color="auto" w:fill="005CB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005CB9"/>
          </w:tcPr>
          <w:p>
            <w:pPr>
              <w:ind w:left="900"/>
              <w:spacing w:after="0"/>
              <w:rPr>
                <w:sz w:val="20"/>
                <w:szCs w:val="20"/>
                <w:color w:val="auto"/>
              </w:rPr>
            </w:pPr>
            <w:r>
              <w:rPr>
                <w:rFonts w:ascii="Arial" w:cs="Arial" w:eastAsia="Arial" w:hAnsi="Arial"/>
                <w:sz w:val="16"/>
                <w:szCs w:val="16"/>
                <w:color w:val="FFFFFF"/>
              </w:rPr>
              <w:t>Name</w:t>
            </w:r>
          </w:p>
        </w:tc>
        <w:tc>
          <w:tcPr>
            <w:tcW w:w="660" w:type="dxa"/>
            <w:vAlign w:val="bottom"/>
            <w:shd w:val="clear" w:color="auto" w:fill="005CB9"/>
          </w:tcPr>
          <w:p>
            <w:pPr>
              <w:jc w:val="right"/>
              <w:ind w:right="15"/>
              <w:spacing w:after="0"/>
              <w:rPr>
                <w:sz w:val="20"/>
                <w:szCs w:val="20"/>
                <w:color w:val="auto"/>
              </w:rPr>
            </w:pPr>
            <w:r>
              <w:rPr>
                <w:rFonts w:ascii="Arial" w:cs="Arial" w:eastAsia="Arial" w:hAnsi="Arial"/>
                <w:sz w:val="16"/>
                <w:szCs w:val="16"/>
                <w:color w:val="FFFFFF"/>
              </w:rPr>
              <w:t>Age</w:t>
            </w:r>
          </w:p>
        </w:tc>
        <w:tc>
          <w:tcPr>
            <w:tcW w:w="880" w:type="dxa"/>
            <w:vAlign w:val="bottom"/>
            <w:shd w:val="clear" w:color="auto" w:fill="005CB9"/>
          </w:tcPr>
          <w:p>
            <w:pPr>
              <w:jc w:val="right"/>
              <w:ind w:right="155"/>
              <w:spacing w:after="0"/>
              <w:rPr>
                <w:sz w:val="20"/>
                <w:szCs w:val="20"/>
                <w:color w:val="auto"/>
              </w:rPr>
            </w:pPr>
            <w:r>
              <w:rPr>
                <w:rFonts w:ascii="Arial" w:cs="Arial" w:eastAsia="Arial" w:hAnsi="Arial"/>
                <w:sz w:val="16"/>
                <w:szCs w:val="16"/>
                <w:color w:val="FFFFFF"/>
              </w:rPr>
              <w:t>Since</w:t>
            </w:r>
          </w:p>
        </w:tc>
        <w:tc>
          <w:tcPr>
            <w:tcW w:w="1160" w:type="dxa"/>
            <w:vAlign w:val="bottom"/>
            <w:shd w:val="clear" w:color="auto" w:fill="005CB9"/>
          </w:tcPr>
          <w:p>
            <w:pPr>
              <w:ind w:left="180"/>
              <w:spacing w:after="0"/>
              <w:rPr>
                <w:sz w:val="20"/>
                <w:szCs w:val="20"/>
                <w:color w:val="auto"/>
              </w:rPr>
            </w:pPr>
            <w:r>
              <w:rPr>
                <w:rFonts w:ascii="Arial" w:cs="Arial" w:eastAsia="Arial" w:hAnsi="Arial"/>
                <w:sz w:val="16"/>
                <w:szCs w:val="16"/>
                <w:color w:val="FFFFFF"/>
              </w:rPr>
              <w:t>Independent</w:t>
            </w:r>
          </w:p>
        </w:tc>
        <w:tc>
          <w:tcPr>
            <w:tcW w:w="1680" w:type="dxa"/>
            <w:vAlign w:val="bottom"/>
            <w:shd w:val="clear" w:color="auto" w:fill="005CB9"/>
          </w:tcPr>
          <w:p>
            <w:pPr>
              <w:spacing w:after="0"/>
              <w:rPr>
                <w:sz w:val="17"/>
                <w:szCs w:val="17"/>
                <w:color w:val="auto"/>
              </w:rPr>
            </w:pPr>
          </w:p>
        </w:tc>
        <w:tc>
          <w:tcPr>
            <w:tcW w:w="4080" w:type="dxa"/>
            <w:vAlign w:val="bottom"/>
            <w:shd w:val="clear" w:color="auto" w:fill="005CB9"/>
          </w:tcPr>
          <w:p>
            <w:pPr>
              <w:ind w:left="820"/>
              <w:spacing w:after="0"/>
              <w:rPr>
                <w:sz w:val="20"/>
                <w:szCs w:val="20"/>
                <w:color w:val="auto"/>
              </w:rPr>
            </w:pPr>
            <w:r>
              <w:rPr>
                <w:rFonts w:ascii="Arial" w:cs="Arial" w:eastAsia="Arial" w:hAnsi="Arial"/>
                <w:sz w:val="16"/>
                <w:szCs w:val="16"/>
                <w:color w:val="FFFFFF"/>
              </w:rPr>
              <w:t>Primary Occupation</w:t>
            </w:r>
          </w:p>
        </w:tc>
        <w:tc>
          <w:tcPr>
            <w:tcW w:w="180" w:type="dxa"/>
            <w:vAlign w:val="bottom"/>
            <w:shd w:val="clear" w:color="auto" w:fill="005CB9"/>
          </w:tcPr>
          <w:p>
            <w:pPr>
              <w:spacing w:after="0"/>
              <w:rPr>
                <w:sz w:val="17"/>
                <w:szCs w:val="17"/>
                <w:color w:val="auto"/>
              </w:rPr>
            </w:pPr>
          </w:p>
        </w:tc>
        <w:tc>
          <w:tcPr>
            <w:tcW w:w="20" w:type="dxa"/>
            <w:vAlign w:val="bottom"/>
            <w:shd w:val="clear" w:color="auto" w:fill="005CB9"/>
          </w:tcPr>
          <w:p>
            <w:pPr>
              <w:spacing w:after="0"/>
              <w:rPr>
                <w:sz w:val="17"/>
                <w:szCs w:val="17"/>
                <w:color w:val="auto"/>
              </w:rPr>
            </w:pPr>
          </w:p>
        </w:tc>
        <w:tc>
          <w:tcPr>
            <w:tcW w:w="260" w:type="dxa"/>
            <w:vAlign w:val="bottom"/>
            <w:shd w:val="clear" w:color="auto" w:fill="005CB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0"/>
                <w:szCs w:val="20"/>
                <w:color w:val="auto"/>
              </w:rPr>
            </w:pPr>
            <w:r>
              <w:rPr>
                <w:rFonts w:ascii="Arial" w:cs="Arial" w:eastAsia="Arial" w:hAnsi="Arial"/>
                <w:sz w:val="17"/>
                <w:szCs w:val="17"/>
                <w:color w:val="005CB9"/>
              </w:rPr>
              <w:t>  Shellye L. Archambeau</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62</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w w:val="96"/>
              </w:rPr>
              <w:t>   2018</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Former Chief Executive Officer, MetricStream,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  Amy Woods Brinkley</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2015</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Chief Risk Officer, Bank of America Corp.</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  Irene M. Esteves</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66</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2021</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Executive Vice President and Chief Financial Officer, Spirit AeroSystems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ind w:left="80"/>
              <w:spacing w:after="0"/>
              <w:rPr>
                <w:sz w:val="20"/>
                <w:szCs w:val="20"/>
                <w:color w:val="auto"/>
              </w:rPr>
            </w:pPr>
            <w:r>
              <w:rPr>
                <w:rFonts w:ascii="Arial" w:cs="Arial" w:eastAsia="Arial" w:hAnsi="Arial"/>
                <w:sz w:val="17"/>
                <w:szCs w:val="17"/>
                <w:color w:val="auto"/>
              </w:rPr>
              <w:t>Holdings, Inc.</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  L. Neil Hunn</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53</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2018</w:t>
            </w:r>
          </w:p>
        </w:tc>
        <w:tc>
          <w:tcPr>
            <w:tcW w:w="1160" w:type="dxa"/>
            <w:vAlign w:val="bottom"/>
          </w:tcPr>
          <w:p>
            <w:pPr>
              <w:jc w:val="center"/>
              <w:ind w:right="15"/>
              <w:spacing w:after="0"/>
              <w:rPr>
                <w:sz w:val="20"/>
                <w:szCs w:val="20"/>
                <w:color w:val="auto"/>
              </w:rPr>
            </w:pPr>
            <w:r>
              <w:rPr>
                <w:rFonts w:ascii="Arial" w:cs="Arial" w:eastAsia="Arial" w:hAnsi="Arial"/>
                <w:sz w:val="17"/>
                <w:szCs w:val="17"/>
                <w:color w:val="auto"/>
              </w:rPr>
              <w:t>No</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President and Chief Executive Officer,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Roper Technologies, Inc.</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80" w:type="dxa"/>
            <w:vAlign w:val="bottom"/>
            <w:tcBorders>
              <w:bottom w:val="single" w:sz="8" w:color="005CB9"/>
            </w:tcBorders>
          </w:tcPr>
          <w:p>
            <w:pPr>
              <w:spacing w:after="0"/>
              <w:rPr>
                <w:sz w:val="4"/>
                <w:szCs w:val="4"/>
                <w:color w:val="auto"/>
              </w:rPr>
            </w:pPr>
          </w:p>
        </w:tc>
        <w:tc>
          <w:tcPr>
            <w:tcW w:w="660" w:type="dxa"/>
            <w:vAlign w:val="bottom"/>
            <w:tcBorders>
              <w:bottom w:val="single" w:sz="8" w:color="005CB9"/>
            </w:tcBorders>
          </w:tcPr>
          <w:p>
            <w:pPr>
              <w:spacing w:after="0"/>
              <w:rPr>
                <w:sz w:val="4"/>
                <w:szCs w:val="4"/>
                <w:color w:val="auto"/>
              </w:rPr>
            </w:pPr>
          </w:p>
        </w:tc>
        <w:tc>
          <w:tcPr>
            <w:tcW w:w="880" w:type="dxa"/>
            <w:vAlign w:val="bottom"/>
            <w:tcBorders>
              <w:bottom w:val="single" w:sz="8" w:color="005CB9"/>
            </w:tcBorders>
          </w:tcPr>
          <w:p>
            <w:pPr>
              <w:spacing w:after="0"/>
              <w:rPr>
                <w:sz w:val="4"/>
                <w:szCs w:val="4"/>
                <w:color w:val="auto"/>
              </w:rPr>
            </w:pPr>
          </w:p>
        </w:tc>
        <w:tc>
          <w:tcPr>
            <w:tcW w:w="1160" w:type="dxa"/>
            <w:vAlign w:val="bottom"/>
            <w:tcBorders>
              <w:bottom w:val="single" w:sz="8" w:color="005CB9"/>
            </w:tcBorders>
          </w:tcPr>
          <w:p>
            <w:pPr>
              <w:spacing w:after="0"/>
              <w:rPr>
                <w:sz w:val="4"/>
                <w:szCs w:val="4"/>
                <w:color w:val="auto"/>
              </w:rPr>
            </w:pPr>
          </w:p>
        </w:tc>
        <w:tc>
          <w:tcPr>
            <w:tcW w:w="5760" w:type="dxa"/>
            <w:vAlign w:val="bottom"/>
            <w:tcBorders>
              <w:bottom w:val="single" w:sz="8" w:color="005CB9"/>
            </w:tcBorders>
            <w:gridSpan w:val="2"/>
          </w:tcPr>
          <w:p>
            <w:pPr>
              <w:spacing w:after="0"/>
              <w:rPr>
                <w:sz w:val="4"/>
                <w:szCs w:val="4"/>
                <w:color w:val="auto"/>
              </w:rPr>
            </w:pPr>
          </w:p>
        </w:tc>
        <w:tc>
          <w:tcPr>
            <w:tcW w:w="180" w:type="dxa"/>
            <w:vAlign w:val="bottom"/>
            <w:tcBorders>
              <w:bottom w:val="single" w:sz="8" w:color="005CB9"/>
            </w:tcBorders>
          </w:tcPr>
          <w:p>
            <w:pPr>
              <w:spacing w:after="0"/>
              <w:rPr>
                <w:sz w:val="4"/>
                <w:szCs w:val="4"/>
                <w:color w:val="auto"/>
              </w:rPr>
            </w:pPr>
          </w:p>
        </w:tc>
        <w:tc>
          <w:tcPr>
            <w:tcW w:w="20" w:type="dxa"/>
            <w:vAlign w:val="bottom"/>
            <w:tcBorders>
              <w:bottom w:val="single" w:sz="8" w:color="005CB9"/>
            </w:tcBorders>
          </w:tcPr>
          <w:p>
            <w:pPr>
              <w:spacing w:after="0"/>
              <w:rPr>
                <w:sz w:val="4"/>
                <w:szCs w:val="4"/>
                <w:color w:val="auto"/>
              </w:rPr>
            </w:pPr>
          </w:p>
        </w:tc>
        <w:tc>
          <w:tcPr>
            <w:tcW w:w="260" w:type="dxa"/>
            <w:vAlign w:val="bottom"/>
            <w:tcBorders>
              <w:bottom w:val="single" w:sz="8" w:color="005CB9"/>
            </w:tcBorders>
          </w:tcPr>
          <w:p>
            <w:pPr>
              <w:spacing w:after="0"/>
              <w:rPr>
                <w:sz w:val="4"/>
                <w:szCs w:val="4"/>
                <w:color w:val="auto"/>
              </w:rPr>
            </w:pPr>
          </w:p>
        </w:tc>
        <w:tc>
          <w:tcPr>
            <w:tcW w:w="2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  Robert D. Johnson</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77</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2005</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Chairman, Spirit AeroSystems Holdings, Inc.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  Thomas P. Joyce, Jr.</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64</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2021</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President and Chief Executive Officer, Danaher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  John F. Murphy</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56</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2024</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Former Executive Vice President and Chief Financial Officer, Adobe Inc.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  Laura G. Thatcher</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2015</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Head of Executive Compensation Practice,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ind w:left="80"/>
              <w:spacing w:after="0"/>
              <w:rPr>
                <w:sz w:val="20"/>
                <w:szCs w:val="20"/>
                <w:color w:val="auto"/>
              </w:rPr>
            </w:pPr>
            <w:r>
              <w:rPr>
                <w:rFonts w:ascii="Arial" w:cs="Arial" w:eastAsia="Arial" w:hAnsi="Arial"/>
                <w:sz w:val="17"/>
                <w:szCs w:val="17"/>
                <w:color w:val="auto"/>
              </w:rPr>
              <w:t>Alston &amp; Bird LLP</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  Richard F. Wallman</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74</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2007</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Chief Financial Officer and Senior Vice President, Honeywell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ind w:left="80"/>
              <w:spacing w:after="0"/>
              <w:rPr>
                <w:sz w:val="20"/>
                <w:szCs w:val="20"/>
                <w:color w:val="auto"/>
              </w:rPr>
            </w:pPr>
            <w:r>
              <w:rPr>
                <w:rFonts w:ascii="Arial" w:cs="Arial" w:eastAsia="Arial" w:hAnsi="Arial"/>
                <w:sz w:val="17"/>
                <w:szCs w:val="17"/>
                <w:color w:val="auto"/>
              </w:rPr>
              <w:t>International Inc.</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4080" w:type="dxa"/>
            <w:vAlign w:val="bottom"/>
            <w:tcBorders>
              <w:bottom w:val="single" w:sz="8" w:color="005CB9"/>
            </w:tcBorders>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vMerge w:val="restart"/>
          </w:tcPr>
          <w:p>
            <w:pPr>
              <w:ind w:left="1120"/>
              <w:spacing w:after="0"/>
              <w:rPr>
                <w:sz w:val="20"/>
                <w:szCs w:val="20"/>
                <w:color w:val="auto"/>
              </w:rPr>
            </w:pPr>
            <w:r>
              <w:rPr>
                <w:rFonts w:ascii="Arial" w:cs="Arial" w:eastAsia="Arial" w:hAnsi="Arial"/>
                <w:sz w:val="16"/>
                <w:szCs w:val="16"/>
                <w:b w:val="1"/>
                <w:bCs w:val="1"/>
                <w:color w:val="005CB9"/>
              </w:rPr>
              <w:t xml:space="preserve">  </w:t>
            </w:r>
          </w:p>
        </w:tc>
        <w:tc>
          <w:tcPr>
            <w:tcW w:w="4080" w:type="dxa"/>
            <w:vAlign w:val="bottom"/>
            <w:vMerge w:val="restart"/>
          </w:tcPr>
          <w:p>
            <w:pPr>
              <w:ind w:left="24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180" w:type="dxa"/>
            <w:vAlign w:val="bottom"/>
            <w:vMerge w:val="restart"/>
          </w:tcPr>
          <w:p>
            <w:pPr>
              <w:ind w:left="2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2"/>
                <w:szCs w:val="12"/>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5CB9"/>
                <w:w w:val="81"/>
              </w:rPr>
              <w:t>   1</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40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4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5CB9"/>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5CB9"/>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BOARD OF DIRECTORS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Nominee Information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005CB9"/>
        </w:rPr>
        <w:t>for terms expiring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Shellye L. Archambeau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Executive Officer, MetricStream,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177165</wp:posOffset>
            </wp:positionV>
            <wp:extent cx="3420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600"/>
        <w:spacing w:after="0" w:line="254" w:lineRule="auto"/>
        <w:rPr>
          <w:sz w:val="20"/>
          <w:szCs w:val="20"/>
          <w:color w:val="auto"/>
        </w:rPr>
      </w:pPr>
      <w:r>
        <w:rPr>
          <w:rFonts w:ascii="Arial" w:cs="Arial" w:eastAsia="Arial" w:hAnsi="Arial"/>
          <w:sz w:val="16"/>
          <w:szCs w:val="16"/>
          <w:color w:val="auto"/>
        </w:rPr>
        <w:t>Ms. Archambeau is the former Chief Executive Officer of MetricStream, Inc., a global provider of governance, risk, compliance and quality management solutions to organizations across diverse industries. She served</w:t>
      </w:r>
    </w:p>
    <w:p>
      <w:pPr>
        <w:spacing w:after="0" w:line="3"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in this role from the time she joined MetricStream in 2002 until 2018. Prior to joining MetricStream, Ms. Archambeau served as Chief Marketing Officer and Executive Vice President of Sales for Loudcloud, Inc., a provider of Internet infrastructure services; Chief Marketing Officer of NorthPoint Communications, a provider of local data network services; and President of Blockbuster, Inc.’s e-commerce division, where she launched the entertainment retailer’s first online presence. Before she joined Blockbuster, Ms. Archambeau held domestic and international executive positions during a 15-year career at IBM Corporation. Ms. Archambeau has served as director of Okta, Inc., a provider of identity management solutions, since 2018, Verizon Communications, Inc., since 2013, and Lineage, Inc., a leader in cold storage and logistics, since 2024. She has previously served as a director of Nordstrom, Inc., a leading fashion retailer.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 Nominating and Governance (Chair)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 Lineage,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 Okta,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Verizon Communications,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660"/>
        <w:spacing w:after="0" w:line="315"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 Software, technology and e-commerce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 Cybersecurity experience</w:t>
      </w:r>
    </w:p>
    <w:p>
      <w:pPr>
        <w:spacing w:after="0" w:line="1" w:lineRule="exact"/>
        <w:rPr>
          <w:sz w:val="20"/>
          <w:szCs w:val="20"/>
          <w:color w:val="auto"/>
        </w:rPr>
      </w:pPr>
    </w:p>
    <w:p>
      <w:pPr>
        <w:ind w:left="1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 Developing and marketing emerging technology</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software applications and solutions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 Innovation, digital media and communications</w:t>
      </w:r>
    </w:p>
    <w:p>
      <w:pPr>
        <w:spacing w:after="0" w:line="58" w:lineRule="exact"/>
        <w:rPr>
          <w:sz w:val="20"/>
          <w:szCs w:val="20"/>
          <w:color w:val="auto"/>
        </w:rPr>
      </w:pPr>
    </w:p>
    <w:p>
      <w:pPr>
        <w:ind w:left="160" w:right="5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 Building and scaling consumer and B2B</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businesses in the technology industry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 Entrepreneurial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pacing w:after="0" w:line="200" w:lineRule="exact"/>
        <w:rPr>
          <w:sz w:val="20"/>
          <w:szCs w:val="20"/>
          <w:color w:val="auto"/>
        </w:rPr>
      </w:pPr>
    </w:p>
    <w:p>
      <w:pPr>
        <w:sectPr>
          <w:pgSz w:w="11900" w:h="16838" w:orient="portrait"/>
          <w:cols w:equalWidth="0" w:num="2">
            <w:col w:w="6960" w:space="440"/>
            <w:col w:w="3560"/>
          </w:cols>
          <w:pgMar w:left="320" w:top="482"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2</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Amy Woods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Founder, AWB Consulting,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177165</wp:posOffset>
            </wp:positionV>
            <wp:extent cx="34201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Brinkley is the founder, owner and manager of AWB Consulting, LLC, an executive advising and risk management consulting firm. Ms. Brinkley served as Chief Risk Officer for Bank of America Corporation from</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2002 until her retirement in 2009, after more than 30 years with the company. Prior to 2002, she served as President of Bank of America’s Consumer Products division and was responsible for the credit card, mortgage, consumer finance, telephone, and e-commerce businesses. During her employment at Bank of America, Ms. Brinkley also held the positions of Executive Vice President and Chief Marketing Officer overseeing the company’s Olympic sponsorship and its national rebranding and name change. Ms. Brinkley served as director of TD Bank Group, from 2010 to April 2025. Ms. Brinkley continues to serve as a director of several of TD Bank Group’s subsidiaries: TD Group US Holdings, LLC, TD Bank US Holding Company, TD Bank, NA, and TD Bank, USA. In addition, she served as a director of Carter’s Inc., a branded marketer in North America of apparel and related products exclusively for babies and young children, from 2010 to 2021. She also served as a Commissioner for Atrium Health, a non-profit hospital network from 2001 to 2019 and as a Trustee for the Princeton Theological Seminary from 2002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541655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69</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58" w:lineRule="exact"/>
        <w:rPr>
          <w:sz w:val="20"/>
          <w:szCs w:val="20"/>
          <w:color w:val="auto"/>
        </w:rPr>
      </w:pPr>
    </w:p>
    <w:p>
      <w:pPr>
        <w:ind w:right="1560"/>
        <w:spacing w:after="0" w:line="392"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 Nominating and Governance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 Executive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820" w:hanging="171"/>
        <w:spacing w:after="0" w:line="26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14" w:lineRule="exact"/>
        <w:rPr>
          <w:sz w:val="20"/>
          <w:szCs w:val="20"/>
          <w:color w:val="auto"/>
        </w:rPr>
      </w:pPr>
    </w:p>
    <w:p>
      <w:pPr>
        <w:ind w:left="160" w:right="20" w:hanging="171"/>
        <w:spacing w:after="0" w:line="256"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 Financial reporting rules and regulations and audit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procedures</w:t>
      </w:r>
    </w:p>
    <w:p>
      <w:pPr>
        <w:spacing w:after="0" w:line="1" w:lineRule="exact"/>
        <w:rPr>
          <w:sz w:val="20"/>
          <w:szCs w:val="20"/>
          <w:color w:val="auto"/>
        </w:rPr>
      </w:pPr>
    </w:p>
    <w:p>
      <w:pPr>
        <w:ind w:left="160" w:right="120" w:hanging="171"/>
        <w:spacing w:after="0" w:line="25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 Broad-based knowledge of banking and financial</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 Marketing and e-commerce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 Corporate governance</w:t>
      </w:r>
    </w:p>
    <w:p>
      <w:pPr>
        <w:spacing w:after="0" w:line="18" w:lineRule="exact"/>
        <w:rPr>
          <w:sz w:val="20"/>
          <w:szCs w:val="20"/>
          <w:color w:val="auto"/>
        </w:rPr>
      </w:pPr>
    </w:p>
    <w:p>
      <w:pPr>
        <w:ind w:right="1180"/>
        <w:spacing w:after="0" w:line="377"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 Public company board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 Talent and team development</w:t>
      </w:r>
    </w:p>
    <w:p>
      <w:pPr>
        <w:spacing w:after="0" w:line="200"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p>
      <w:pPr>
        <w:spacing w:after="0" w:line="219"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Chief Financial Officer,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202565</wp:posOffset>
            </wp:positionV>
            <wp:extent cx="3420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Esteves has served as the Executive Vice President and Chief Financial Officer of Spirit AeroSystems Holdings, Inc. since June 2024. Prior to</w:t>
      </w:r>
    </w:p>
    <w:p>
      <w:pPr>
        <w:spacing w:after="0" w:line="2"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that position, she most recently served as Executive Vice President and Chief Financial Officer of Time Warner Cable Inc. from July 2011 to May 2013. She also previously served as Executive Vice President and Chief Financial Officer of XL Group plc and prior to that position Ms. Esteves was Executive Vice President and Chief Financial Officer of Regions Financial Corporation. Ms. Esteves has served as a director of KKR Real Estate Finance Trust Inc. since 2018 and Spirit AeroSystems Holdings, Inc. since 2015. In the last five years, Ms. Esteves also served as director of Aramark, and R.R. Donnelly &amp; Sons Company.</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Audit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Nominating and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KKR Real Estate Finance Trust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Spirit AeroSystems Holdings, Inc.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120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 Finance and accounting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 Multi-industry perspective</w:t>
      </w:r>
    </w:p>
    <w:p>
      <w:pPr>
        <w:spacing w:after="0" w:line="1" w:lineRule="exact"/>
        <w:rPr>
          <w:sz w:val="20"/>
          <w:szCs w:val="20"/>
          <w:color w:val="auto"/>
        </w:rPr>
      </w:pPr>
    </w:p>
    <w:p>
      <w:pPr>
        <w:ind w:right="162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 Global business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 Mergers and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right="1180"/>
        <w:spacing w:after="0" w:line="394"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 Public company board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 Talent and team development</w:t>
      </w:r>
    </w:p>
    <w:p>
      <w:pPr>
        <w:spacing w:after="0" w:line="53"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tbl>
      <w:tblPr>
        <w:tblLayout w:type="fixed"/>
        <w:tblInd w:w="60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-277495</wp:posOffset>
            </wp:positionV>
            <wp:extent cx="4345940" cy="1028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President and Chief Executive Officer, 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151130</wp:posOffset>
            </wp:positionV>
            <wp:extent cx="34201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66"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Prior to being named President and Chief Executive Officer in August 2018, Mr. Hunn served as Executive Vice President and Chief Operating Officer from 2017</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at MedAssets, Inc. an Atlanta- based SaaS company, during which time he served in a variety of roles including as Executive Vice President and Chief Financial Officer and as President of its revenue cycle technology businesses. He successfully led MedAssets’ initial public offering and the execution of several M&amp;A transactions. Mr. Hunn also held roles at CMGI, Inc. an incubator of Internet businesses, and Parthenon Group, a strategy consulting firm. Mr. Hunn has been a director of Deere &amp; Company, a global leader in the delivery of agricultural, construction, and forestry equipment,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542290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 Deere &amp; Company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80" w:hanging="171"/>
        <w:spacing w:after="0" w:line="271"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jc w:val="both"/>
        <w:ind w:right="900"/>
        <w:spacing w:after="0" w:line="263"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 Deep understanding of organization</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 Software and technology expertise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 Strategic focus and planning</w:t>
      </w:r>
    </w:p>
    <w:p>
      <w:pPr>
        <w:ind w:right="400"/>
        <w:spacing w:after="0" w:line="281"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industry and operational experience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 Mergers and acquisitions, capital markets</w:t>
      </w:r>
    </w:p>
    <w:p>
      <w:pPr>
        <w:spacing w:after="0" w:line="1" w:lineRule="exact"/>
        <w:rPr>
          <w:sz w:val="20"/>
          <w:szCs w:val="20"/>
          <w:color w:val="auto"/>
        </w:rPr>
      </w:pPr>
    </w:p>
    <w:p>
      <w:pPr>
        <w:ind w:left="160" w:hanging="171"/>
        <w:spacing w:after="0" w:line="26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business challenges and opportunities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 Healthcare experience</w:t>
      </w:r>
    </w:p>
    <w:p>
      <w:pPr>
        <w:spacing w:after="0" w:line="42" w:lineRule="exact"/>
        <w:rPr>
          <w:sz w:val="20"/>
          <w:szCs w:val="20"/>
          <w:color w:val="auto"/>
        </w:rPr>
      </w:pPr>
    </w:p>
    <w:p>
      <w:pPr>
        <w:ind w:left="160" w:right="240" w:hanging="171"/>
        <w:spacing w:after="0" w:line="30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 Provides key leadership and guidance for the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Company’s growth</w:t>
      </w:r>
    </w:p>
    <w:p>
      <w:pPr>
        <w:spacing w:after="0" w:line="200" w:lineRule="exact"/>
        <w:rPr>
          <w:sz w:val="20"/>
          <w:szCs w:val="20"/>
          <w:color w:val="auto"/>
        </w:rPr>
      </w:pPr>
    </w:p>
    <w:p>
      <w:pPr>
        <w:sectPr>
          <w:pgSz w:w="11900" w:h="16838" w:orient="portrait"/>
          <w:cols w:equalWidth="0" w:num="2">
            <w:col w:w="6960" w:space="440"/>
            <w:col w:w="3600"/>
          </w:cols>
          <w:pgMar w:left="320" w:top="48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-286385</wp:posOffset>
            </wp:positionV>
            <wp:extent cx="4345940" cy="1028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Chairman,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228600</wp:posOffset>
            </wp:positionV>
            <wp:extent cx="3420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Johnson was Chief Executive Officer of Dubai Aerospace Enterprise Ltd., a global aerospace engineering and services company, from August 2006 to</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December 2008. Mr. Johnson also served as Chairman of Honeywell Aerospace, a leading global supplier of aircraft engines, equipment, systems and services, from January 2005 to January 2006, and as its President and Chief Executive Officer from 1999 to 2005. Mr. Johnson similarly served as President and Chief Executive Officer for Honeywell Aerospace’s predecessor, AlliedSignal, Inc. an aerospace, automotive and engineering company. He also held management positions with AAR Corporation, a provider of aviation and expeditionary services to the global commercial, government and defense aviation industries, and GE Aviation, an aircraft engine supplier. Mr. Johnson has served as Chairman of the Board for Spirit AeroSystems Holdings, Inc., a global leader in aerostructures design and manufacturing, since 2006, and as a director of SIFCO Industries, Inc., a manufacturer of forgings and machined components for the aerospace and defense, energy and commercial space markets, since 2024. Mr. Johnson also served as a director of Spirit Airlines, Inc., from 2010 to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4</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 Nominating and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 SIFCO Industries,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 Spirit AeroSystems Holdings, Inc.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left="160" w:right="20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 Manufacturing, supply chain, engineering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production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ind w:left="160" w:right="52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and operations</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 Extensive business acumen</w:t>
      </w:r>
    </w:p>
    <w:p>
      <w:pPr>
        <w:spacing w:after="0" w:line="58" w:lineRule="exact"/>
        <w:rPr>
          <w:sz w:val="20"/>
          <w:szCs w:val="20"/>
          <w:color w:val="auto"/>
        </w:rPr>
      </w:pPr>
    </w:p>
    <w:p>
      <w:pPr>
        <w:ind w:left="160" w:right="300" w:hanging="171"/>
        <w:spacing w:after="0" w:line="269"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 including</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governance and executive compensation expertise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 Talent and team development</w:t>
      </w:r>
    </w:p>
    <w:p>
      <w:pPr>
        <w:sectPr>
          <w:pgSz w:w="11900" w:h="16838" w:orient="portrait"/>
          <w:cols w:equalWidth="0" w:num="2">
            <w:col w:w="6960" w:space="440"/>
            <w:col w:w="3600"/>
          </w:cols>
          <w:pgMar w:left="320" w:top="482" w:right="5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President and Chief Executive Officer, Danaher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177165</wp:posOffset>
            </wp:positionV>
            <wp:extent cx="34201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66"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Joyce served as Danaher Corporation’s President and Chief Executive Officer from September 2014 to September 2020. He also served as a senior advisor to</w:t>
      </w:r>
    </w:p>
    <w:p>
      <w:pPr>
        <w:spacing w:after="0" w:line="2" w:lineRule="exact"/>
        <w:rPr>
          <w:sz w:val="20"/>
          <w:szCs w:val="20"/>
          <w:color w:val="auto"/>
        </w:rPr>
      </w:pPr>
    </w:p>
    <w:p>
      <w:pPr>
        <w:jc w:val="both"/>
        <w:ind w:left="120"/>
        <w:spacing w:after="0" w:line="254" w:lineRule="auto"/>
        <w:rPr>
          <w:sz w:val="20"/>
          <w:szCs w:val="20"/>
          <w:color w:val="auto"/>
        </w:rPr>
      </w:pPr>
      <w:r>
        <w:rPr>
          <w:rFonts w:ascii="Arial" w:cs="Arial" w:eastAsia="Arial" w:hAnsi="Arial"/>
          <w:sz w:val="16"/>
          <w:szCs w:val="16"/>
          <w:color w:val="auto"/>
        </w:rPr>
        <w:t>Danaher from September 2020 to February 2021. Mr. Joyce joined Danaher in 1989 and served in leadership positions in a variety of different functions and businesses before his promotion to President and Chief Executive Officer. Mr. Joyce also served as a director of Danaher from 2014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1452880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Audit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 Multi-industry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 Finance and accounting expertise</w:t>
      </w:r>
    </w:p>
    <w:p>
      <w:pPr>
        <w:spacing w:after="0" w:line="58" w:lineRule="exact"/>
        <w:rPr>
          <w:sz w:val="20"/>
          <w:szCs w:val="20"/>
          <w:color w:val="auto"/>
        </w:rPr>
      </w:pPr>
    </w:p>
    <w:p>
      <w:pPr>
        <w:ind w:left="160" w:right="3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manufacturing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operations 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 Business strategy expertise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left="160" w:right="140" w:hanging="171"/>
        <w:spacing w:after="0" w:line="30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global challenges and opportunities</w:t>
      </w:r>
    </w:p>
    <w:p>
      <w:pPr>
        <w:spacing w:after="0" w:line="200"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p>
      <w:pPr>
        <w:spacing w:after="0" w:line="391"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John F.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71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5940" cy="1071245"/>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Executive Vice President and Chief Financial Officer, Adobe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219710</wp:posOffset>
            </wp:positionV>
            <wp:extent cx="34201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Murphy served as the Executive Vice President and Chief Financial Officer of Adobe Inc., a multinational computer software company, from April 2018 until</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October 2021, and served as Adobe’s Senior Vice President, Chief Accounting Officer and Corporate Controller from March 2017 until April 2018. Prior to joining Adobe, Mr. Murphy served as Senior Vice President, Chief Accounting Officer and Corporate Controller of Qualcomm Incorporated from September 2014 to March 2017. He previously served as Senior Vice President, Controller and Chief Accounting Officer of DIRECTV Inc. from November 2007 to August 2014, and Vice President and General Auditor of DIRECTV from October 2004 to November 2007. Prior to joining DIRECTV he worked at several global companies, including Experian, Nestle, and Atlantic Richfield (ARCO), in a variety of finance and accounting roles. Mr. Murphy also serves as a director of Pure Storage, Inc., a provider of advanced data storage technology and services, and LegalZoom.com, Inc., a leading online platform for business formation and related services in the United States.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Audit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LegalZoom.com,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Pure Storage, Inc.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120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 Finance and accounting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 Multi-industry perspective</w:t>
      </w:r>
    </w:p>
    <w:p>
      <w:pPr>
        <w:spacing w:after="0" w:line="1" w:lineRule="exact"/>
        <w:rPr>
          <w:sz w:val="20"/>
          <w:szCs w:val="20"/>
          <w:color w:val="auto"/>
        </w:rPr>
      </w:pPr>
    </w:p>
    <w:p>
      <w:pPr>
        <w:ind w:right="162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 Global business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 Mergers and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right="100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 Software and technology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 Cybersecurity experience</w:t>
      </w:r>
    </w:p>
    <w:p>
      <w:pPr>
        <w:spacing w:after="0" w:line="1" w:lineRule="exact"/>
        <w:rPr>
          <w:sz w:val="20"/>
          <w:szCs w:val="20"/>
          <w:color w:val="auto"/>
        </w:rPr>
      </w:pPr>
    </w:p>
    <w:p>
      <w:pPr>
        <w:ind w:right="1180"/>
        <w:spacing w:after="0" w:line="394"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 Public company board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 Talent and team development</w:t>
      </w:r>
    </w:p>
    <w:p>
      <w:pPr>
        <w:spacing w:after="0" w:line="200"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p>
      <w:pPr>
        <w:spacing w:after="0" w:line="96" w:lineRule="exact"/>
        <w:rPr>
          <w:sz w:val="20"/>
          <w:szCs w:val="20"/>
          <w:color w:val="auto"/>
        </w:rPr>
      </w:pPr>
    </w:p>
    <w:tbl>
      <w:tblPr>
        <w:tblLayout w:type="fixed"/>
        <w:tblInd w:w="60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Laura G.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4345940" cy="1028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Head of Executive Compensation Practice, Alston &amp; Bird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133985</wp:posOffset>
            </wp:positionV>
            <wp:extent cx="3420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26"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Thatcher retired in December 2013 after 33 years of legal practice at Alston &amp; Bird LLP, where she developed and led the firm’s executive compensation</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practice for 18 years and served as special executive compensation counsel to many U.S. and international publicly traded companies. Ms. Thatcher co- authored the Compensation Committee Handbook, 3rd edition (John Wiley &amp; Sons, 2008), which serves as a guidebook for executive compensation strategies and practices, addressing a full range of functional issues facing compensation committees of public companies, including organizing, planning, compliance, and sound corporate governance. Ms. Thatcher served on the Board of Directors of Batson-Cook Company, a regional commercial construction and development company, from 1994 to 2007. She also served on the Board of Directors of The Atlanta Legal Aid Society, Inc., from 2008 to 2014, and was a Past Chair of the Advisory Board of the Certified Equity Professional Institute (CEPI) of Santa Clara University and was on the Board of Review for a special project sponsored by CEPI that provided universally accepted industry guidance regarding areas of risk and appropriate controls in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207010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 (Chair)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right="1020"/>
        <w:spacing w:after="0" w:line="289"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 Executive compensation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 Organizational development</w:t>
      </w:r>
    </w:p>
    <w:p>
      <w:pPr>
        <w:ind w:right="80"/>
        <w:spacing w:after="0" w:line="263"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 Senior leadership and management experience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 Corporate governance</w:t>
      </w: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 Talent and team development</w:t>
      </w:r>
    </w:p>
    <w:p>
      <w:pPr>
        <w:spacing w:after="0" w:line="1201" w:lineRule="exact"/>
        <w:rPr>
          <w:sz w:val="20"/>
          <w:szCs w:val="20"/>
          <w:color w:val="auto"/>
        </w:rPr>
      </w:pPr>
    </w:p>
    <w:p>
      <w:pPr>
        <w:sectPr>
          <w:pgSz w:w="11900" w:h="16838" w:orient="portrait"/>
          <w:cols w:equalWidth="0" w:num="2">
            <w:col w:w="6960" w:space="440"/>
            <w:col w:w="3600"/>
          </w:cols>
          <w:pgMar w:left="320" w:top="482" w:right="579" w:bottom="1440" w:gutter="0" w:footer="0" w:header="0"/>
          <w:type w:val="continuous"/>
        </w:sectPr>
      </w:pPr>
    </w:p>
    <w:p>
      <w:pPr>
        <w:spacing w:after="0" w:line="318"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right="320"/>
        <w:spacing w:after="0" w:line="278" w:lineRule="auto"/>
        <w:rPr>
          <w:sz w:val="20"/>
          <w:szCs w:val="20"/>
          <w:color w:val="auto"/>
        </w:rPr>
      </w:pPr>
      <w:r>
        <w:rPr>
          <w:rFonts w:ascii="Arial" w:cs="Arial" w:eastAsia="Arial" w:hAnsi="Arial"/>
          <w:sz w:val="15"/>
          <w:szCs w:val="15"/>
          <w:b w:val="1"/>
          <w:bCs w:val="1"/>
          <w:color w:val="auto"/>
        </w:rPr>
        <w:t>Retired Chief Financial Officer and Senior Vice President,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67310</wp:posOffset>
            </wp:positionV>
            <wp:extent cx="34201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6"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Wallman served as the Chief Financial Officer and Senior Vice President of Honeywell International Inc., a diversified industrial technology and manufacturing</w:t>
      </w:r>
    </w:p>
    <w:p>
      <w:pPr>
        <w:spacing w:after="0" w:line="2"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company, and its predecessor AlliedSignal, Inc., from 1995 until his retirement in 2003. Mr. Wallman has also served in senior financial positions with IBM Corporation and Chrysler Corporation. Mr. Wallman has served as a director of CECO Environmental Corp., a global air quality and fluid handling company, since 2021, and Charles River Laboratories International, Inc., a provider of laboratory services for the pharmaceutical, medical device and biotechnology industries, since 2011. In the last five years, Mr. Wallman served as a director of Wright Medical Group N.V., a global medical device company, Boart Longyear Ltd., a global mineral exploration company, Extended Stay America, Inc., a hospitality and lodging company, SmileDirectClub, Inc., an oral care company, and Spirit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6</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 Audit (Chair)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 CECO Environmental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 Charles River Laboratories International,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80" w:hanging="171"/>
        <w:spacing w:after="0" w:line="26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1060"/>
        <w:spacing w:after="0" w:line="277"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 Finance and accounting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 Multi-industry perspective</w:t>
      </w:r>
    </w:p>
    <w:p>
      <w:pPr>
        <w:spacing w:after="0" w:line="1" w:lineRule="exact"/>
        <w:rPr>
          <w:sz w:val="20"/>
          <w:szCs w:val="20"/>
          <w:color w:val="auto"/>
        </w:rPr>
      </w:pPr>
    </w:p>
    <w:p>
      <w:pPr>
        <w:ind w:left="160" w:right="240" w:hanging="171"/>
        <w:spacing w:after="0" w:line="27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manufacturing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operations 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18" w:lineRule="exact"/>
        <w:rPr>
          <w:sz w:val="20"/>
          <w:szCs w:val="20"/>
          <w:color w:val="auto"/>
        </w:rPr>
      </w:pPr>
    </w:p>
    <w:p>
      <w:pPr>
        <w:ind w:left="160" w:hanging="171"/>
        <w:spacing w:after="0" w:line="256"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global challenges and opportunities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ectPr>
          <w:pgSz w:w="11900" w:h="16838" w:orient="portrait"/>
          <w:cols w:equalWidth="0" w:num="2">
            <w:col w:w="6960" w:space="440"/>
            <w:col w:w="3600"/>
          </w:cols>
          <w:pgMar w:left="320" w:top="482" w:right="5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CORPORATE GOVERNANCE</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Corporate Governance Guidelines</w:t>
      </w:r>
    </w:p>
    <w:p>
      <w:pPr>
        <w:spacing w:after="0" w:line="100"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Our Board of Directors is committed to maintaining high standards of ethical business conduct and sound corporate governance practices and policies. Our Corporate Governance Guidelines reflect our Board’s commitment to monitoring the effectiveness of the Board and its committees in exercising their responsibilities.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Code of Conduct</w:t>
      </w:r>
    </w:p>
    <w:p>
      <w:pPr>
        <w:spacing w:after="0" w:line="10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Code of Ethics (the “Code of Ethics”) addresses the professional, honest and transparent conduct of our directors, officers and employees. The Code of Ethics also addresses conflicts of interest, disclosure processes, compliance with laws, rules, and regulations (including insider trading laws), corporate opportunities, confidentiality, fair dealing, and protection and proper use of Company assets. The Code of Ethics encourages the reporting of any illegal or unethical behavior. Any amendments to, or waivers of, the Code of Ethics will be disclosed on our website promptly following the date of such amendment or waiver as required by law. Copies of the Code of Ethics may be obtained in print without charge upon written request by any stockholder to the Company’s office at 6496 University Parkway, Sarasota, Florida 34240.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Insider Trading Policy</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have adopted a securities transaction compliance program applicable to our directors, officers and employees, and have implemented procedures for the Company governing the purchase, sale, and other disposition of our securities. We believe our insider trading policy and procedures are reasonably designed to promote compliance with insider trading laws, rules and regulations, and listing standards applicable to 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Director Independence</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Our Corporate Governance Guidelines require that a majority of our directors qualify as “independent,” as defined by the listing standards of Nasdaq.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immediate family members and Roper and/or Roper’s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management. As a result of this review our Board affirmatively determined that all directors are independent, except for Mr. Hunn, and that each member of the Audit, Compensation, and Nominating and Governance Committees is independent under applicable Nasdaq and Securities and Exchange Commission (“SEC”) rules for purposes of serving on such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-1772920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Nominating Process</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Nominating and Governance Committee, acting under its charter, determines the desired skills, abilities, judgment, diversity of background and experience, and other criteria deemed appropriate for service as a director and is responsible for recommending new director candidates and renomination of incumbent directors based on those criteria, which include but is not limited to:</w:t>
      </w:r>
    </w:p>
    <w:p>
      <w:pPr>
        <w:spacing w:after="0" w:line="88" w:lineRule="exact"/>
        <w:rPr>
          <w:sz w:val="20"/>
          <w:szCs w:val="20"/>
          <w:color w:val="auto"/>
        </w:rPr>
      </w:pPr>
    </w:p>
    <w:p>
      <w:pPr>
        <w:ind w:left="380" w:hanging="22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 personal and professional ethics;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integrity and values;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knowledge of our business environment;</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sound judgment and analytical ability;</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skills and experience in the context of the needs of our Board;</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breadth of business experience and diversity of perspective; and</w:t>
      </w:r>
    </w:p>
    <w:p>
      <w:pPr>
        <w:spacing w:after="0" w:line="115" w:lineRule="exact"/>
        <w:rPr>
          <w:rFonts w:ascii="Arial" w:cs="Arial" w:eastAsia="Arial" w:hAnsi="Arial"/>
          <w:sz w:val="17"/>
          <w:szCs w:val="17"/>
          <w:color w:val="auto"/>
        </w:rPr>
      </w:pPr>
    </w:p>
    <w:p>
      <w:pPr>
        <w:ind w:left="380" w:right="40" w:hanging="224"/>
        <w:spacing w:after="0" w:line="267"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the candidate meets the applicable independence requirements under Nasdaq and SEC rules.</w:t>
      </w:r>
    </w:p>
    <w:p>
      <w:pPr>
        <w:spacing w:after="0" w:line="159"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Our Board’s process for identifying and evaluating potential director nominees includes soliciting recommendations from our directors and engaging a third party to assist in identifying potential director nominees when a Board position becomes available.</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2026 Annual Meeting of Shareholders” for additional information regarding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48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7</w:t>
            </w:r>
          </w:p>
        </w:tc>
        <w:tc>
          <w:tcPr>
            <w:tcW w:w="0" w:type="dxa"/>
            <w:vAlign w:val="bottom"/>
          </w:tcPr>
          <w:p>
            <w:pPr>
              <w:spacing w:after="0"/>
              <w:rPr>
                <w:sz w:val="1"/>
                <w:szCs w:val="1"/>
                <w:color w:val="auto"/>
              </w:rPr>
            </w:pPr>
          </w:p>
        </w:tc>
      </w:tr>
      <w:tr>
        <w:trPr>
          <w:trHeight w:val="60"/>
        </w:trPr>
        <w:tc>
          <w:tcPr>
            <w:tcW w:w="48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8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-205105</wp:posOffset>
            </wp:positionV>
            <wp:extent cx="41973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SNAPSHOT (does not include Christopher Wright who is retiring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326390</wp:posOffset>
            </wp:positionV>
            <wp:extent cx="10287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54864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514985</wp:posOffset>
            </wp:positionV>
            <wp:extent cx="102870" cy="360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3600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532130</wp:posOffset>
            </wp:positionV>
            <wp:extent cx="102870" cy="342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643255</wp:posOffset>
            </wp:positionV>
            <wp:extent cx="102870" cy="2311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497840</wp:posOffset>
            </wp:positionV>
            <wp:extent cx="102870" cy="377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3771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617855</wp:posOffset>
            </wp:positionV>
            <wp:extent cx="10287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25717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549275</wp:posOffset>
            </wp:positionV>
            <wp:extent cx="10287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488950</wp:posOffset>
            </wp:positionV>
            <wp:extent cx="102870" cy="386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3860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497840</wp:posOffset>
            </wp:positionV>
            <wp:extent cx="102870" cy="3689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7120" w:type="dxa"/>
            <w:vAlign w:val="bottom"/>
            <w:tcBorders>
              <w:top w:val="single" w:sz="8" w:color="005CB9"/>
              <w:bottom w:val="single" w:sz="8" w:color="005CB9"/>
            </w:tcBorders>
          </w:tcPr>
          <w:p>
            <w:pPr>
              <w:spacing w:after="0"/>
              <w:rPr>
                <w:sz w:val="20"/>
                <w:szCs w:val="20"/>
                <w:color w:val="auto"/>
              </w:rPr>
            </w:pPr>
            <w:r>
              <w:rPr>
                <w:rFonts w:ascii="Arial" w:cs="Arial" w:eastAsia="Arial" w:hAnsi="Arial"/>
                <w:sz w:val="13"/>
                <w:szCs w:val="13"/>
                <w:b w:val="1"/>
                <w:bCs w:val="1"/>
                <w:color w:val="005CB9"/>
              </w:rPr>
              <w:t>  Executive Leadership Experience</w:t>
            </w:r>
          </w:p>
        </w:tc>
        <w:tc>
          <w:tcPr>
            <w:tcW w:w="44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tcPr>
          <w:p>
            <w:pPr>
              <w:spacing w:after="0"/>
              <w:rPr>
                <w:sz w:val="24"/>
                <w:szCs w:val="24"/>
                <w:color w:val="auto"/>
              </w:rPr>
            </w:pPr>
          </w:p>
        </w:tc>
        <w:tc>
          <w:tcPr>
            <w:tcW w:w="44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Financial and Accounting Expertise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Corporate Governance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Decentralized Operating Model Experience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Software/Technology Industry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Cybersecurity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spacing w:after="0"/>
              <w:rPr>
                <w:sz w:val="24"/>
                <w:szCs w:val="24"/>
                <w:color w:val="auto"/>
              </w:rPr>
            </w:pP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Healthcare Industry Experience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Capital Deployment Experience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Organizational Development/Talent Management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Risk Management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Strategic Planning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311"/>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Years on the Board</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w:t>
            </w:r>
          </w:p>
        </w:tc>
        <w:tc>
          <w:tcPr>
            <w:tcW w:w="42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10</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4</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7</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20</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4</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1</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10</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18</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Age</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62</w:t>
            </w:r>
          </w:p>
        </w:tc>
        <w:tc>
          <w:tcPr>
            <w:tcW w:w="42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69</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66</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53</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77</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64</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56</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69</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74</w:t>
            </w:r>
          </w:p>
        </w:tc>
      </w:tr>
    </w:tbl>
    <w:p>
      <w:pPr>
        <w:spacing w:after="0" w:line="7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The demographic profile of the Board includes characteristics such as race/ethnicity (2 directors) and/or gender (4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323850</wp:posOffset>
            </wp:positionV>
            <wp:extent cx="3360420" cy="1131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042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8</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Limitations on Outside Board Service</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Our Corporate Governance Guidelines limit the number of other public company boards on which a Company director may serve. Directors may serve on the board of directors of other public companies but are required to limit such service to boards of no more than three public companies in addition to the Company’s Board. Additionally, directors who also serve as the Chief Executive Officer of a public company are expected to serve on no more than one other public company board of directors in addition to the Company’s Board.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Proxy Access</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Our By-laws enable a shareholder, or a group of up to twenty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Review and Approval of Related Person Transactions</w:t>
      </w:r>
    </w:p>
    <w:p>
      <w:pPr>
        <w:spacing w:after="0" w:line="100"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-1164590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0"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Shareholders or other interested parties may send written communications to our Board of Directors or non-management Board members in care of the Corporate Secretary to the address set forth below.</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This process is also set forth on our website at </w:t>
      </w:r>
      <w:r>
        <w:rPr>
          <w:rFonts w:ascii="Arial" w:cs="Arial" w:eastAsia="Arial" w:hAnsi="Arial"/>
          <w:sz w:val="17"/>
          <w:szCs w:val="17"/>
          <w:i w:val="1"/>
          <w:iCs w:val="1"/>
          <w:color w:val="auto"/>
        </w:rPr>
        <w:t>www.ropertech.com</w:t>
      </w:r>
      <w:r>
        <w:rPr>
          <w:rFonts w:ascii="Arial" w:cs="Arial" w:eastAsia="Arial" w:hAnsi="Arial"/>
          <w:sz w:val="17"/>
          <w:szCs w:val="17"/>
          <w:color w:val="auto"/>
        </w:rPr>
        <w:t>. All communications will be kept confidential and promptly forwarded to the appropriate director. Items unrelated to a director’s duties and 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Our Corporate Governance Guidelines, Code of Ethics, Director Independence Standards, and By-laws are available on our website at </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Requests for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documents or of the full text of the By-law provision regarding director candidate nominations and communications to our Board of Directors or non-management Board members should be addressed to:</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Roper Technologies, Inc.</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6496 University Parkway</w:t>
      </w:r>
    </w:p>
    <w:p>
      <w:pPr>
        <w:ind w:left="680"/>
        <w:spacing w:after="0" w:line="232" w:lineRule="auto"/>
        <w:rPr>
          <w:sz w:val="20"/>
          <w:szCs w:val="20"/>
          <w:color w:val="auto"/>
        </w:rPr>
      </w:pPr>
      <w:r>
        <w:rPr>
          <w:rFonts w:ascii="Arial" w:cs="Arial" w:eastAsia="Arial" w:hAnsi="Arial"/>
          <w:sz w:val="17"/>
          <w:szCs w:val="17"/>
          <w:color w:val="auto"/>
        </w:rPr>
        <w:t>Sarasota, Florida 34240</w:t>
      </w:r>
    </w:p>
    <w:p>
      <w:pPr>
        <w:ind w:left="680"/>
        <w:spacing w:after="0"/>
        <w:rPr>
          <w:sz w:val="20"/>
          <w:szCs w:val="20"/>
          <w:color w:val="auto"/>
        </w:rPr>
      </w:pPr>
      <w:r>
        <w:rPr>
          <w:rFonts w:ascii="Arial" w:cs="Arial" w:eastAsia="Arial" w:hAnsi="Arial"/>
          <w:sz w:val="17"/>
          <w:szCs w:val="17"/>
          <w:color w:val="auto"/>
        </w:rPr>
        <w:t>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-205105</wp:posOffset>
            </wp:positionV>
            <wp:extent cx="41973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SUSTAINABILITY</w:t>
      </w:r>
    </w:p>
    <w:p>
      <w:pPr>
        <w:spacing w:after="0" w:line="200" w:lineRule="exact"/>
        <w:rPr>
          <w:sz w:val="20"/>
          <w:szCs w:val="20"/>
          <w:color w:val="auto"/>
        </w:rPr>
      </w:pPr>
    </w:p>
    <w:p>
      <w:pPr>
        <w:spacing w:after="0" w:line="232"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We endeavor to conduct our business in an ethically and socially responsible manner. We also recognize the importance of these topics to our current and potential future shareholders, customers, and employees.</w:t>
      </w:r>
    </w:p>
    <w:p>
      <w:pPr>
        <w:spacing w:after="0" w:line="177"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Although Roper’s operating and governance structure is highly decentralized, our goal is to provide an environment and governance system that enables each business to further improve over time. This includes not only our financial performance, but our performance in sustainability-related matters. Our businesses are expected to improve each year in these areas, and we afford our leaders latitude to develop programs to drive the expected performance improvement in sustainability and meet the needs of their respective stakeholders.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Sustainability Strategy and Roadmap</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We have developed a Sustainability Roadmap to help us identify our priorities, engage our businesses, and articulate the next steps in building our program. As part of our Sustainability Roadmap in 2024 we: (i) collected and disclosed our Scope 3 emissions; and (ii) made a commitment to the Science Based Target initiative (SBTi) to set a near-term science-based emission reduction target. We plan to publish a 2024 sustainability data update in May 2025 reporting 2024 emissions and other sustainability data. We also continue to enhance our disclosures to the CDP to reflect the evolution and development of our program.</w:t>
      </w:r>
    </w:p>
    <w:p>
      <w:pPr>
        <w:spacing w:after="0" w:line="184"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Given the highly decentralized operating model of our company, and the diversity in size and industry of our operating businesses, we envision making progress by empowering each of our businesses to focus on the unique needs of their respective stakeholders while providing a common structure for strategic and collaborative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Our Chief Sustainability Officer oversees our sustainability program and each of our businesses has appointed a sustainability coordinator to support continued progress along our Sustainability Roadmap. The coordinators serve essential roles as we sustain the momentum generated from our collective effort. Our sustainability governance structure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-1772920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146685</wp:posOffset>
            </wp:positionV>
            <wp:extent cx="3514725" cy="19888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1472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Approach to Sustainability</w:t>
      </w:r>
    </w:p>
    <w:p>
      <w:pPr>
        <w:spacing w:after="0" w:line="10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In developing our sustainability strategy, our priority was to align with existing Roper operating principles. Our method of management recognizes the diversity of our businesses and allows and encourages their respective strengths and areas of opportunity to develop organically.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intend to maintain our unique operational approach and allow our businesses to operate under our decentralized governance structure while we provide encouragement, support, and assistance on sustainability matters. To aid this effort, we engaged a third-party sustainability consultant to supplement the efforts of Roper’s sustainability team and to provide technical expertise with respect to greenhouse gas reporting.</w:t>
      </w:r>
    </w:p>
    <w:p>
      <w:pPr>
        <w:sectPr>
          <w:pgSz w:w="11900" w:h="16838" w:orient="portrait"/>
          <w:cols w:equalWidth="0" w:num="2">
            <w:col w:w="5400" w:space="340"/>
            <w:col w:w="540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SUSTAINABILITY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The Sustainability Road Ahead</w:t>
      </w:r>
    </w:p>
    <w:p>
      <w:pPr>
        <w:spacing w:after="0" w:line="10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As we advance our sustainability efforts, we understand that we still have work ahead of us. However, we remain confident in our ability to continue to drive improvement across the enterprise to meet the expectations of our stakeholders.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For more information on Roper’s approach to sustainability and our programs, see our prior sustainability reports available on our website. The information contained on, or available through, our website is not incorporated by reference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-1536065</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-205105</wp:posOffset>
            </wp:positionV>
            <wp:extent cx="42037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8"/>
          <w:szCs w:val="28"/>
          <w:color w:val="005CB9"/>
        </w:rPr>
        <w:t>BOARD COMMITTEES AND MEETINGS</w:t>
      </w:r>
    </w:p>
    <w:p>
      <w:pPr>
        <w:spacing w:after="0" w:line="200" w:lineRule="exact"/>
        <w:rPr>
          <w:sz w:val="20"/>
          <w:szCs w:val="20"/>
          <w:color w:val="auto"/>
        </w:rPr>
      </w:pPr>
    </w:p>
    <w:p>
      <w:pPr>
        <w:spacing w:after="0" w:line="24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Our Board of Directors held six meetings in 2024. All directors on the Board during 2024 attended more than 75 percent of the total Board and committee meetings to which they were assigned.</w:t>
      </w:r>
    </w:p>
    <w:p>
      <w:pPr>
        <w:spacing w:after="0" w:line="6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Our Board has not implemented a formal policy regarding director attendance at the Annual Meeting of Shareholders, but encourages all directors to attend. All of our directors attended the 2024 Annual Meeting of Shareholders.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Leadership Structure</w:t>
      </w:r>
    </w:p>
    <w:p>
      <w:pPr>
        <w:spacing w:after="0" w:line="100"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7"/>
          <w:szCs w:val="17"/>
          <w:color w:val="auto"/>
        </w:rPr>
        <w:t>The Company has separated the roles of the Board Chair and CEO. The Board believes this structure allows our CEO to focus on strategy and operations, and allows our Board Chair to lead the Board in its oversight responsibilities. Ms. Brinkley became the Independent Board Chair in June 2021. Ms. Brinkley’s in-depth knowledge of our Company and deep expertise in risk management allows her to effectively identify strategic priorities, lead Board discussions, and oversee the execution of our Company’s strategy and business plans. The non-management directors meet in executive session as frequently as they wish, but at least five times a year. The Independent Chair of the Board presides over these executive sessions.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Effective Board Processes</w:t>
      </w:r>
    </w:p>
    <w:p>
      <w:pPr>
        <w:spacing w:after="0" w:line="100"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7"/>
          <w:szCs w:val="17"/>
          <w:color w:val="auto"/>
        </w:rPr>
        <w:t>As a result of our Board structure and processes, our directors are actively involved in overseeing the strategy, business, and affairs of our Company, including our continued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w:t>
      </w:r>
    </w:p>
    <w:p>
      <w:pPr>
        <w:spacing w:after="0" w:line="77"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The Board, including its Nominating and Governance Committee, has an effective Board recruitment and evaluation process that facilitates bringing together a group of directors who complement each other and collectively provide oversight of management in ways that include challenging and discussing different perspectives.</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Executive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-1164590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0" w:lineRule="exact"/>
        <w:rPr>
          <w:sz w:val="20"/>
          <w:szCs w:val="20"/>
          <w:color w:val="auto"/>
        </w:rPr>
      </w:pPr>
    </w:p>
    <w:p>
      <w:pPr>
        <w:jc w:val="both"/>
        <w:ind w:left="6"/>
        <w:spacing w:after="0" w:line="238" w:lineRule="auto"/>
        <w:rPr>
          <w:sz w:val="20"/>
          <w:szCs w:val="20"/>
          <w:color w:val="auto"/>
        </w:rPr>
      </w:pPr>
      <w:r>
        <w:rPr>
          <w:rFonts w:ascii="Arial" w:cs="Arial" w:eastAsia="Arial" w:hAnsi="Arial"/>
          <w:sz w:val="17"/>
          <w:szCs w:val="17"/>
          <w:color w:val="auto"/>
        </w:rPr>
        <w:t>Our Board recognizes the importance of effective leadership to our Company’s success and is actively engaged and involved, on a continual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w:t>
      </w:r>
    </w:p>
    <w:p>
      <w:pPr>
        <w:spacing w:after="0" w:line="18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Risk Oversight</w:t>
      </w:r>
    </w:p>
    <w:p>
      <w:pPr>
        <w:spacing w:after="0" w:line="100" w:lineRule="exact"/>
        <w:rPr>
          <w:sz w:val="20"/>
          <w:szCs w:val="20"/>
          <w:color w:val="auto"/>
        </w:rPr>
      </w:pPr>
    </w:p>
    <w:p>
      <w:pPr>
        <w:jc w:val="both"/>
        <w:ind w:left="6"/>
        <w:spacing w:after="0" w:line="236" w:lineRule="auto"/>
        <w:rPr>
          <w:sz w:val="20"/>
          <w:szCs w:val="20"/>
          <w:color w:val="auto"/>
        </w:rPr>
      </w:pPr>
      <w:r>
        <w:rPr>
          <w:rFonts w:ascii="Arial" w:cs="Arial" w:eastAsia="Arial" w:hAnsi="Arial"/>
          <w:sz w:val="17"/>
          <w:szCs w:val="17"/>
          <w:color w:val="auto"/>
        </w:rPr>
        <w:t>Our Board has overall responsibility for the oversight of risk management at our Company, which it generally carries out through Board committees. However, several categories of risk management, such as cybersecurity and data privacy,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who is responsible for the implementation of the process to identify, manage and monitor risks, keeps the entire Board regularly apprised of the different risks associated with our Company.</w:t>
      </w:r>
    </w:p>
    <w:p>
      <w:pPr>
        <w:spacing w:after="0" w:line="86" w:lineRule="exact"/>
        <w:rPr>
          <w:sz w:val="20"/>
          <w:szCs w:val="20"/>
          <w:color w:val="auto"/>
        </w:rPr>
      </w:pPr>
    </w:p>
    <w:p>
      <w:pPr>
        <w:jc w:val="both"/>
        <w:ind w:left="206" w:hanging="206"/>
        <w:spacing w:after="0" w:line="236" w:lineRule="auto"/>
        <w:tabs>
          <w:tab w:leader="none" w:pos="2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Audit Committee oversees financial risk, including such factors as liquidity, credit, currency exchange, interest rates and market conditions, through review and discussion with management, and monitors our Company’s risk management practices, including its enterprise risk management program. It meets regularly with our independent auditors together with our Chief Compliance Officer, and our Vice President of Financial Audit Services, both of whom report directly to the Audit Committee. In addition to financial risk, the Audit Committee also reviews and discusses other risks that relate to our business activities and operations.</w:t>
      </w:r>
    </w:p>
    <w:p>
      <w:pPr>
        <w:spacing w:after="0" w:line="89" w:lineRule="exact"/>
        <w:rPr>
          <w:rFonts w:ascii="Arial" w:cs="Arial" w:eastAsia="Arial" w:hAnsi="Arial"/>
          <w:sz w:val="17"/>
          <w:szCs w:val="17"/>
          <w:color w:val="auto"/>
        </w:rPr>
      </w:pPr>
    </w:p>
    <w:p>
      <w:pPr>
        <w:jc w:val="both"/>
        <w:ind w:left="206" w:hanging="206"/>
        <w:spacing w:after="0" w:line="244" w:lineRule="auto"/>
        <w:tabs>
          <w:tab w:leader="none" w:pos="2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82" w:lineRule="exact"/>
        <w:rPr>
          <w:rFonts w:ascii="Arial" w:cs="Arial" w:eastAsia="Arial" w:hAnsi="Arial"/>
          <w:sz w:val="17"/>
          <w:szCs w:val="17"/>
          <w:color w:val="auto"/>
        </w:rPr>
      </w:pPr>
    </w:p>
    <w:p>
      <w:pPr>
        <w:jc w:val="both"/>
        <w:ind w:left="206" w:hanging="206"/>
        <w:spacing w:after="0" w:line="249" w:lineRule="auto"/>
        <w:tabs>
          <w:tab w:leader="none" w:pos="2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Nominating and Governance Committee monitors the compliance of our corporate governance practices and policies with applicable requirements and evolving developments.</w:t>
      </w:r>
    </w:p>
    <w:p>
      <w:pPr>
        <w:sectPr>
          <w:pgSz w:w="11900" w:h="16838" w:orient="portrait"/>
          <w:cols w:equalWidth="0" w:num="2">
            <w:col w:w="5420" w:space="314"/>
            <w:col w:w="5386"/>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Cybersecurity and Data Privacy</w:t>
      </w:r>
    </w:p>
    <w:p>
      <w:pPr>
        <w:spacing w:after="0" w:line="10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Board of Directors has not delegated responsibility for cybersecurity matters or data privacy matters to a Board committee. Rather, the Board believes that due to the importance and continually evolving nature of risks from cybersecurity threats and data privacy obligations, all members of the Board should participate in the oversight of these topics. As a result, management briefs the Board on cybersecurity at least five times a year, and on data privacy matters at least four times a year. Roper’s Vice President of Financial Audit Services also periodically briefs the Audit Committee on cybersecurity matters and related risks. Cybersecurity and data privacy are also addressed in the Company’s enterprise risk management program.</w:t>
      </w:r>
    </w:p>
    <w:p>
      <w:pPr>
        <w:spacing w:after="0" w:line="79"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Roper has also established a Cyber Disclosure Committee chaired by the Vice President of Cybersecurity to track and evaluate potentially material cybersecurity incidents and to assess their potential impact on the organization. This process builds upon Roper’s Cybersecurity Incident Response Plan (“CSIRP”) and provides a framework for Roper management to monitor potentially material cybersecurity incidents. The Cyber Disclosure Committee reports its activities and findings, as appropriate, to the Chief Executive Officer, Chief Financial Officer, Principal Accounting Officer, and General Counsel, and, if appropriate, to the Board of Directors.</w:t>
      </w:r>
    </w:p>
    <w:p>
      <w:pPr>
        <w:spacing w:after="0" w:line="76"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Roper maintains a global Cybersecurity Program supervised by the Vice President of Cybersecurity that outlines required cybersecurity controls for all Roper businesses. Given the decentralized nature of Roper’s operating model, day-to-day management and implementation of the Cybersecurity Program and deployment of the program’s cybersecurity controls are managed locally by each of Roper’s 28 business units. In addition, because Roper’s businesses generally operate independently and maintain separate infrastructure and systems, we believe the risk of an enterprise-wide cybersecurity incident is somewhat reduced.</w:t>
      </w:r>
    </w:p>
    <w:p>
      <w:pPr>
        <w:spacing w:after="0" w:line="76"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While cybersecurity technologies and implementation may differ based on the needs and risk profile of each individual business, Roper has also implemented cybersecurity tools and managed services to centrally monitor certain aspects of the Cybersecurity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Roper deploys cybersecurity practices and tools across all of its businesses designed to protect data, maintain resilient operations, and limit the impact of cybercrime. We deploy a Managed Detection and Response solution across all of our business units and our corporate infrastructure that is designed to address the detection, response, and remediation effectiveness for cybersecurity threats. This solution is intended to provide real-time visibility of the endpoint footprint across the enterprise, including patch management and vulnerabilities, device encryption, and cybersecurity threats and detections.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-2129790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9"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Roper performs cybersecurity risk assessments to assess compliance with mandated cybersecurity controls and to assess the likelihood and impact of specific cyberattacks. Cybersecurity risk assessments are periodically performed to assess internal compliance with cybersecurity strategy and the implementation of cybersecurity controls. Areas identified for enhancement and improvement are monitored and tracked to remediation by the Roper cybersecurity team, including the Vice President of Cybersecurity.</w:t>
      </w:r>
    </w:p>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maintain a centralized incident response process with a third-party forensic partner on retainer. In addition, we have cybersecurity insurance policies in place. Roper maintains a CSIRP, which requires each Roper business to designate a Cybersecurity Incident Response Team that is responsible for receiving, reviewing, and responding to cybersecurity incident reports and activities. Cybersecurity incidents are required to be promptly reported to the Roper cybersecurity team, who then monitors such incidents through their resolution. We work on security awareness with our employees throughout the year with annual cybersecurity training and monthly simulated phishing campaigns to better identify and report unusual behavior and to mitigate the likelihood and impact of possible cybersecurity incidents.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Board Committees</w:t>
      </w:r>
    </w:p>
    <w:p>
      <w:pPr>
        <w:spacing w:after="0" w:line="10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Board has four standing committees: Audit, Compensation, Nominating and Governance, and Executive. All four committees operate under written charters, copies of which may be obtained upon request from the Corporate Secretary or viewed on Roper’s website (</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Each committee reviews its charter annually and reports its activities to the full Board on a regular basis.</w:t>
      </w: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-205105</wp:posOffset>
            </wp:positionV>
            <wp:extent cx="42037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current committee memberships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155575</wp:posOffset>
            </wp:positionV>
            <wp:extent cx="7011670" cy="299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1670" cy="299720"/>
                    </a:xfrm>
                    <a:prstGeom prst="rect">
                      <a:avLst/>
                    </a:prstGeom>
                    <a:noFill/>
                  </pic:spPr>
                </pic:pic>
              </a:graphicData>
            </a:graphic>
          </wp:anchor>
        </w:drawing>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shd w:val="clear" w:color="auto" w:fill="005CB9"/>
          </w:tcPr>
          <w:p>
            <w:pPr>
              <w:spacing w:after="0"/>
              <w:rPr>
                <w:sz w:val="14"/>
                <w:szCs w:val="14"/>
                <w:color w:val="auto"/>
              </w:rPr>
            </w:pPr>
          </w:p>
        </w:tc>
        <w:tc>
          <w:tcPr>
            <w:tcW w:w="3020" w:type="dxa"/>
            <w:vAlign w:val="bottom"/>
            <w:shd w:val="clear" w:color="auto" w:fill="005CB9"/>
          </w:tcPr>
          <w:p>
            <w:pPr>
              <w:spacing w:after="0"/>
              <w:rPr>
                <w:sz w:val="14"/>
                <w:szCs w:val="14"/>
                <w:color w:val="auto"/>
              </w:rPr>
            </w:pPr>
          </w:p>
        </w:tc>
        <w:tc>
          <w:tcPr>
            <w:tcW w:w="1260" w:type="dxa"/>
            <w:vAlign w:val="bottom"/>
            <w:shd w:val="clear" w:color="auto" w:fill="005CB9"/>
          </w:tcPr>
          <w:p>
            <w:pPr>
              <w:spacing w:after="0"/>
              <w:rPr>
                <w:sz w:val="14"/>
                <w:szCs w:val="14"/>
                <w:color w:val="auto"/>
              </w:rPr>
            </w:pPr>
          </w:p>
        </w:tc>
        <w:tc>
          <w:tcPr>
            <w:tcW w:w="142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Nominating and</w:t>
            </w:r>
          </w:p>
        </w:tc>
        <w:tc>
          <w:tcPr>
            <w:tcW w:w="1040" w:type="dxa"/>
            <w:vAlign w:val="bottom"/>
            <w:shd w:val="clear" w:color="auto" w:fill="005CB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60" w:type="dxa"/>
            <w:vAlign w:val="bottom"/>
            <w:shd w:val="clear" w:color="auto" w:fill="005CB9"/>
          </w:tcPr>
          <w:p>
            <w:pPr>
              <w:spacing w:after="0"/>
              <w:rPr>
                <w:sz w:val="20"/>
                <w:szCs w:val="20"/>
                <w:color w:val="auto"/>
              </w:rPr>
            </w:pPr>
            <w:r>
              <w:rPr>
                <w:rFonts w:ascii="Arial" w:cs="Arial" w:eastAsia="Arial" w:hAnsi="Arial"/>
                <w:sz w:val="14"/>
                <w:szCs w:val="14"/>
                <w:color w:val="FFFFFF"/>
              </w:rPr>
              <w:t> Director</w:t>
            </w:r>
          </w:p>
        </w:tc>
        <w:tc>
          <w:tcPr>
            <w:tcW w:w="3020" w:type="dxa"/>
            <w:vAlign w:val="bottom"/>
            <w:shd w:val="clear" w:color="auto" w:fill="005CB9"/>
          </w:tcPr>
          <w:p>
            <w:pPr>
              <w:jc w:val="center"/>
              <w:ind w:left="2185"/>
              <w:spacing w:after="0"/>
              <w:rPr>
                <w:sz w:val="20"/>
                <w:szCs w:val="20"/>
                <w:color w:val="auto"/>
              </w:rPr>
            </w:pPr>
            <w:r>
              <w:rPr>
                <w:rFonts w:ascii="Arial" w:cs="Arial" w:eastAsia="Arial" w:hAnsi="Arial"/>
                <w:sz w:val="14"/>
                <w:szCs w:val="14"/>
                <w:color w:val="FFFFFF"/>
              </w:rPr>
              <w:t>Audit</w:t>
            </w:r>
          </w:p>
        </w:tc>
        <w:tc>
          <w:tcPr>
            <w:tcW w:w="12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Compensation</w:t>
            </w:r>
          </w:p>
        </w:tc>
        <w:tc>
          <w:tcPr>
            <w:tcW w:w="142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Governance</w:t>
            </w:r>
          </w:p>
        </w:tc>
        <w:tc>
          <w:tcPr>
            <w:tcW w:w="1040" w:type="dxa"/>
            <w:vAlign w:val="bottom"/>
            <w:shd w:val="clear" w:color="auto" w:fill="005CB9"/>
          </w:tcPr>
          <w:p>
            <w:pPr>
              <w:ind w:left="180"/>
              <w:spacing w:after="0"/>
              <w:rPr>
                <w:sz w:val="20"/>
                <w:szCs w:val="20"/>
                <w:color w:val="auto"/>
              </w:rPr>
            </w:pPr>
            <w:r>
              <w:rPr>
                <w:rFonts w:ascii="Arial" w:cs="Arial" w:eastAsia="Arial" w:hAnsi="Arial"/>
                <w:sz w:val="14"/>
                <w:szCs w:val="14"/>
                <w:color w:val="FFFFFF"/>
              </w:rPr>
              <w:t> Executive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4260" w:type="dxa"/>
            <w:vAlign w:val="bottom"/>
            <w:vMerge w:val="restart"/>
          </w:tcPr>
          <w:p>
            <w:pPr>
              <w:ind w:left="60"/>
              <w:spacing w:after="0"/>
              <w:rPr>
                <w:sz w:val="20"/>
                <w:szCs w:val="20"/>
                <w:color w:val="auto"/>
              </w:rPr>
            </w:pPr>
            <w:r>
              <w:rPr>
                <w:rFonts w:ascii="Arial" w:cs="Arial" w:eastAsia="Arial" w:hAnsi="Arial"/>
                <w:sz w:val="17"/>
                <w:szCs w:val="17"/>
                <w:color w:val="auto"/>
              </w:rPr>
              <w:t>Shellye L. Archambeau</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Arial" w:cs="Arial" w:eastAsia="Arial" w:hAnsi="Arial"/>
                <w:sz w:val="17"/>
                <w:szCs w:val="17"/>
                <w:b w:val="1"/>
                <w:bCs w:val="1"/>
                <w:color w:val="005CB9"/>
              </w:rPr>
              <w:t>Chair</w:t>
            </w:r>
          </w:p>
        </w:tc>
        <w:tc>
          <w:tcPr>
            <w:tcW w:w="1040" w:type="dxa"/>
            <w:vAlign w:val="bottom"/>
          </w:tcPr>
          <w:p>
            <w:pPr>
              <w:jc w:val="center"/>
              <w:ind w:left="5"/>
              <w:spacing w:after="0"/>
              <w:rPr>
                <w:sz w:val="20"/>
                <w:szCs w:val="20"/>
                <w:color w:val="auto"/>
              </w:rPr>
            </w:pPr>
            <w:r>
              <w:rPr>
                <w:rFonts w:ascii="Wingdings" w:cs="Wingdings" w:eastAsia="Wingdings" w:hAnsi="Wingdings"/>
                <w:sz w:val="14"/>
                <w:szCs w:val="14"/>
                <w:b w:val="1"/>
                <w:bCs w:val="1"/>
                <w:color w:val="005CB9"/>
              </w:rPr>
              <w:t>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60" w:type="dxa"/>
            <w:vAlign w:val="bottom"/>
            <w:vMerge w:val="continue"/>
          </w:tcPr>
          <w:p>
            <w:pPr>
              <w:spacing w:after="0"/>
              <w:rPr>
                <w:sz w:val="7"/>
                <w:szCs w:val="7"/>
                <w:color w:val="auto"/>
              </w:rPr>
            </w:pPr>
          </w:p>
        </w:tc>
        <w:tc>
          <w:tcPr>
            <w:tcW w:w="3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260" w:type="dxa"/>
            <w:vAlign w:val="bottom"/>
          </w:tcPr>
          <w:p>
            <w:pPr>
              <w:ind w:left="60"/>
              <w:spacing w:after="0"/>
              <w:rPr>
                <w:sz w:val="20"/>
                <w:szCs w:val="20"/>
                <w:color w:val="auto"/>
              </w:rPr>
            </w:pPr>
            <w:r>
              <w:rPr>
                <w:rFonts w:ascii="Arial" w:cs="Arial" w:eastAsia="Arial" w:hAnsi="Arial"/>
                <w:sz w:val="17"/>
                <w:szCs w:val="17"/>
                <w:color w:val="auto"/>
              </w:rPr>
              <w:t>Amy Woods Brinkley</w:t>
            </w:r>
          </w:p>
        </w:tc>
        <w:tc>
          <w:tcPr>
            <w:tcW w:w="30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20" w:type="dxa"/>
            <w:vAlign w:val="bottom"/>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1040" w:type="dxa"/>
            <w:vAlign w:val="bottom"/>
          </w:tcPr>
          <w:p>
            <w:pPr>
              <w:jc w:val="center"/>
              <w:ind w:left="5"/>
              <w:spacing w:after="0"/>
              <w:rPr>
                <w:sz w:val="20"/>
                <w:szCs w:val="20"/>
                <w:color w:val="auto"/>
              </w:rPr>
            </w:pPr>
            <w:r>
              <w:rPr>
                <w:rFonts w:ascii="Arial" w:cs="Arial" w:eastAsia="Arial" w:hAnsi="Arial"/>
                <w:sz w:val="17"/>
                <w:szCs w:val="17"/>
                <w:b w:val="1"/>
                <w:bCs w:val="1"/>
                <w:color w:val="005CB9"/>
              </w:rPr>
              <w:t>Chair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260" w:type="dxa"/>
            <w:vAlign w:val="bottom"/>
          </w:tcPr>
          <w:p>
            <w:pPr>
              <w:ind w:left="60"/>
              <w:spacing w:after="0"/>
              <w:rPr>
                <w:sz w:val="20"/>
                <w:szCs w:val="20"/>
                <w:color w:val="auto"/>
              </w:rPr>
            </w:pPr>
            <w:r>
              <w:rPr>
                <w:rFonts w:ascii="Arial" w:cs="Arial" w:eastAsia="Arial" w:hAnsi="Arial"/>
                <w:sz w:val="17"/>
                <w:szCs w:val="17"/>
                <w:color w:val="auto"/>
              </w:rPr>
              <w:t>Irene M. Esteves</w:t>
            </w:r>
          </w:p>
        </w:tc>
        <w:tc>
          <w:tcPr>
            <w:tcW w:w="3020" w:type="dxa"/>
            <w:vAlign w:val="bottom"/>
          </w:tcPr>
          <w:p>
            <w:pPr>
              <w:jc w:val="center"/>
              <w:ind w:left="2185"/>
              <w:spacing w:after="0"/>
              <w:rPr>
                <w:sz w:val="20"/>
                <w:szCs w:val="20"/>
                <w:color w:val="auto"/>
              </w:rPr>
            </w:pPr>
            <w:r>
              <w:rPr>
                <w:rFonts w:ascii="Wingdings" w:cs="Wingdings" w:eastAsia="Wingdings" w:hAnsi="Wingdings"/>
                <w:sz w:val="14"/>
                <w:szCs w:val="14"/>
                <w:b w:val="1"/>
                <w:bCs w:val="1"/>
                <w:color w:val="005CB9"/>
              </w:rPr>
              <w:t>l</w:t>
            </w:r>
          </w:p>
        </w:tc>
        <w:tc>
          <w:tcPr>
            <w:tcW w:w="12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260" w:type="dxa"/>
            <w:vAlign w:val="bottom"/>
          </w:tcPr>
          <w:p>
            <w:pPr>
              <w:ind w:left="60"/>
              <w:spacing w:after="0"/>
              <w:rPr>
                <w:sz w:val="20"/>
                <w:szCs w:val="20"/>
                <w:color w:val="auto"/>
              </w:rPr>
            </w:pPr>
            <w:r>
              <w:rPr>
                <w:rFonts w:ascii="Arial" w:cs="Arial" w:eastAsia="Arial" w:hAnsi="Arial"/>
                <w:sz w:val="17"/>
                <w:szCs w:val="17"/>
                <w:color w:val="auto"/>
              </w:rPr>
              <w:t>Robert D. Johnson</w:t>
            </w:r>
          </w:p>
        </w:tc>
        <w:tc>
          <w:tcPr>
            <w:tcW w:w="30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20" w:type="dxa"/>
            <w:vAlign w:val="bottom"/>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260" w:type="dxa"/>
            <w:vAlign w:val="bottom"/>
          </w:tcPr>
          <w:p>
            <w:pPr>
              <w:ind w:left="60"/>
              <w:spacing w:after="0"/>
              <w:rPr>
                <w:sz w:val="20"/>
                <w:szCs w:val="20"/>
                <w:color w:val="auto"/>
              </w:rPr>
            </w:pPr>
            <w:r>
              <w:rPr>
                <w:rFonts w:ascii="Arial" w:cs="Arial" w:eastAsia="Arial" w:hAnsi="Arial"/>
                <w:sz w:val="17"/>
                <w:szCs w:val="17"/>
                <w:color w:val="auto"/>
              </w:rPr>
              <w:t>Thomas P. Joyce, Jr.</w:t>
            </w:r>
          </w:p>
        </w:tc>
        <w:tc>
          <w:tcPr>
            <w:tcW w:w="30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260" w:type="dxa"/>
            <w:vAlign w:val="bottom"/>
          </w:tcPr>
          <w:p>
            <w:pPr>
              <w:ind w:left="60"/>
              <w:spacing w:after="0"/>
              <w:rPr>
                <w:sz w:val="20"/>
                <w:szCs w:val="20"/>
                <w:color w:val="auto"/>
              </w:rPr>
            </w:pPr>
            <w:r>
              <w:rPr>
                <w:rFonts w:ascii="Arial" w:cs="Arial" w:eastAsia="Arial" w:hAnsi="Arial"/>
                <w:sz w:val="17"/>
                <w:szCs w:val="17"/>
                <w:color w:val="auto"/>
              </w:rPr>
              <w:t>John F. Murphy</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260" w:type="dxa"/>
            <w:vAlign w:val="bottom"/>
          </w:tcPr>
          <w:p>
            <w:pPr>
              <w:ind w:left="60"/>
              <w:spacing w:after="0"/>
              <w:rPr>
                <w:sz w:val="20"/>
                <w:szCs w:val="20"/>
                <w:color w:val="auto"/>
              </w:rPr>
            </w:pPr>
            <w:r>
              <w:rPr>
                <w:rFonts w:ascii="Arial" w:cs="Arial" w:eastAsia="Arial" w:hAnsi="Arial"/>
                <w:sz w:val="17"/>
                <w:szCs w:val="17"/>
                <w:color w:val="auto"/>
              </w:rPr>
              <w:t>Laura G. Thatcher</w:t>
            </w:r>
          </w:p>
        </w:tc>
        <w:tc>
          <w:tcPr>
            <w:tcW w:w="30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005CB9"/>
              </w:rPr>
              <w:t>Chair</w:t>
            </w:r>
          </w:p>
        </w:tc>
        <w:tc>
          <w:tcPr>
            <w:tcW w:w="1420" w:type="dxa"/>
            <w:vAlign w:val="bottom"/>
          </w:tcPr>
          <w:p>
            <w:pPr>
              <w:spacing w:after="0"/>
              <w:rPr>
                <w:sz w:val="24"/>
                <w:szCs w:val="24"/>
                <w:color w:val="auto"/>
              </w:rPr>
            </w:pPr>
          </w:p>
        </w:tc>
        <w:tc>
          <w:tcPr>
            <w:tcW w:w="1040" w:type="dxa"/>
            <w:vAlign w:val="bottom"/>
          </w:tcPr>
          <w:p>
            <w:pPr>
              <w:jc w:val="center"/>
              <w:ind w:left="5"/>
              <w:spacing w:after="0"/>
              <w:rPr>
                <w:sz w:val="20"/>
                <w:szCs w:val="20"/>
                <w:color w:val="auto"/>
              </w:rPr>
            </w:pPr>
            <w:r>
              <w:rPr>
                <w:rFonts w:ascii="Wingdings" w:cs="Wingdings" w:eastAsia="Wingdings" w:hAnsi="Wingdings"/>
                <w:sz w:val="14"/>
                <w:szCs w:val="14"/>
                <w:b w:val="1"/>
                <w:bCs w:val="1"/>
                <w:color w:val="005CB9"/>
              </w:rPr>
              <w:t>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260" w:type="dxa"/>
            <w:vAlign w:val="bottom"/>
          </w:tcPr>
          <w:p>
            <w:pPr>
              <w:ind w:left="60"/>
              <w:spacing w:after="0"/>
              <w:rPr>
                <w:sz w:val="20"/>
                <w:szCs w:val="20"/>
                <w:color w:val="auto"/>
              </w:rPr>
            </w:pPr>
            <w:r>
              <w:rPr>
                <w:rFonts w:ascii="Arial" w:cs="Arial" w:eastAsia="Arial" w:hAnsi="Arial"/>
                <w:sz w:val="17"/>
                <w:szCs w:val="17"/>
                <w:color w:val="auto"/>
              </w:rPr>
              <w:t>Richard F. Wallman</w:t>
            </w:r>
          </w:p>
        </w:tc>
        <w:tc>
          <w:tcPr>
            <w:tcW w:w="3020" w:type="dxa"/>
            <w:vAlign w:val="bottom"/>
          </w:tcPr>
          <w:p>
            <w:pPr>
              <w:jc w:val="center"/>
              <w:ind w:left="2185"/>
              <w:spacing w:after="0"/>
              <w:rPr>
                <w:sz w:val="20"/>
                <w:szCs w:val="20"/>
                <w:color w:val="auto"/>
              </w:rPr>
            </w:pPr>
            <w:r>
              <w:rPr>
                <w:rFonts w:ascii="Arial" w:cs="Arial" w:eastAsia="Arial" w:hAnsi="Arial"/>
                <w:sz w:val="17"/>
                <w:szCs w:val="17"/>
                <w:b w:val="1"/>
                <w:bCs w:val="1"/>
                <w:color w:val="005CB9"/>
              </w:rPr>
              <w:t>Chair</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jc w:val="center"/>
              <w:ind w:left="5"/>
              <w:spacing w:after="0"/>
              <w:rPr>
                <w:sz w:val="20"/>
                <w:szCs w:val="20"/>
                <w:color w:val="auto"/>
              </w:rPr>
            </w:pPr>
            <w:r>
              <w:rPr>
                <w:rFonts w:ascii="Wingdings" w:cs="Wingdings" w:eastAsia="Wingdings" w:hAnsi="Wingdings"/>
                <w:sz w:val="14"/>
                <w:szCs w:val="14"/>
                <w:b w:val="1"/>
                <w:bCs w:val="1"/>
                <w:color w:val="005CB9"/>
              </w:rPr>
              <w:t>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260" w:type="dxa"/>
            <w:vAlign w:val="bottom"/>
          </w:tcPr>
          <w:p>
            <w:pPr>
              <w:ind w:left="60"/>
              <w:spacing w:after="0"/>
              <w:rPr>
                <w:sz w:val="20"/>
                <w:szCs w:val="20"/>
                <w:color w:val="auto"/>
              </w:rPr>
            </w:pPr>
            <w:r>
              <w:rPr>
                <w:rFonts w:ascii="Arial" w:cs="Arial" w:eastAsia="Arial" w:hAnsi="Arial"/>
                <w:sz w:val="17"/>
                <w:szCs w:val="17"/>
                <w:color w:val="auto"/>
              </w:rPr>
              <w:t>Christopher Wright</w:t>
            </w:r>
          </w:p>
        </w:tc>
        <w:tc>
          <w:tcPr>
            <w:tcW w:w="3020" w:type="dxa"/>
            <w:vAlign w:val="bottom"/>
          </w:tcPr>
          <w:p>
            <w:pPr>
              <w:jc w:val="center"/>
              <w:ind w:left="2185"/>
              <w:spacing w:after="0"/>
              <w:rPr>
                <w:sz w:val="20"/>
                <w:szCs w:val="20"/>
                <w:color w:val="auto"/>
              </w:rPr>
            </w:pPr>
            <w:r>
              <w:rPr>
                <w:rFonts w:ascii="Wingdings" w:cs="Wingdings" w:eastAsia="Wingdings" w:hAnsi="Wingdings"/>
                <w:sz w:val="14"/>
                <w:szCs w:val="14"/>
                <w:b w:val="1"/>
                <w:bCs w:val="1"/>
                <w:color w:val="005CB9"/>
              </w:rPr>
              <w:t>l</w:t>
            </w:r>
          </w:p>
        </w:tc>
        <w:tc>
          <w:tcPr>
            <w:tcW w:w="126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260" w:type="dxa"/>
            <w:vAlign w:val="bottom"/>
            <w:tcBorders>
              <w:bottom w:val="single" w:sz="8" w:color="005CB9"/>
            </w:tcBorders>
          </w:tcPr>
          <w:p>
            <w:pPr>
              <w:spacing w:after="0"/>
              <w:rPr>
                <w:sz w:val="5"/>
                <w:szCs w:val="5"/>
                <w:color w:val="auto"/>
              </w:rPr>
            </w:pPr>
          </w:p>
        </w:tc>
        <w:tc>
          <w:tcPr>
            <w:tcW w:w="3020" w:type="dxa"/>
            <w:vAlign w:val="bottom"/>
            <w:tcBorders>
              <w:bottom w:val="single" w:sz="8" w:color="005CB9"/>
            </w:tcBorders>
          </w:tcPr>
          <w:p>
            <w:pPr>
              <w:spacing w:after="0"/>
              <w:rPr>
                <w:sz w:val="5"/>
                <w:szCs w:val="5"/>
                <w:color w:val="auto"/>
              </w:rPr>
            </w:pPr>
          </w:p>
        </w:tc>
        <w:tc>
          <w:tcPr>
            <w:tcW w:w="1260" w:type="dxa"/>
            <w:vAlign w:val="bottom"/>
            <w:tcBorders>
              <w:bottom w:val="single" w:sz="8" w:color="005CB9"/>
            </w:tcBorders>
          </w:tcPr>
          <w:p>
            <w:pPr>
              <w:spacing w:after="0"/>
              <w:rPr>
                <w:sz w:val="5"/>
                <w:szCs w:val="5"/>
                <w:color w:val="auto"/>
              </w:rPr>
            </w:pPr>
          </w:p>
        </w:tc>
        <w:tc>
          <w:tcPr>
            <w:tcW w:w="1420" w:type="dxa"/>
            <w:vAlign w:val="bottom"/>
            <w:tcBorders>
              <w:bottom w:val="single" w:sz="8" w:color="005CB9"/>
            </w:tcBorders>
          </w:tcPr>
          <w:p>
            <w:pPr>
              <w:spacing w:after="0"/>
              <w:rPr>
                <w:sz w:val="5"/>
                <w:szCs w:val="5"/>
                <w:color w:val="auto"/>
              </w:rPr>
            </w:pPr>
          </w:p>
        </w:tc>
        <w:tc>
          <w:tcPr>
            <w:tcW w:w="1040" w:type="dxa"/>
            <w:vAlign w:val="bottom"/>
            <w:tcBorders>
              <w:bottom w:val="single" w:sz="8" w:color="005CB9"/>
            </w:tcBorders>
          </w:tcPr>
          <w:p>
            <w:pPr>
              <w:spacing w:after="0"/>
              <w:rPr>
                <w:sz w:val="5"/>
                <w:szCs w:val="5"/>
                <w:color w:val="auto"/>
              </w:rPr>
            </w:pPr>
          </w:p>
        </w:tc>
        <w:tc>
          <w:tcPr>
            <w:tcW w:w="2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Audit Committee: </w:t>
      </w:r>
      <w:r>
        <w:rPr>
          <w:rFonts w:ascii="Arial" w:cs="Arial" w:eastAsia="Arial" w:hAnsi="Arial"/>
          <w:sz w:val="18"/>
          <w:szCs w:val="18"/>
          <w:b w:val="1"/>
          <w:bCs w:val="1"/>
          <w:color w:val="005CB9"/>
        </w:rPr>
        <w:t>10 Meetings Held in 2024</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assists our Board in its oversight of the quality and integrity of our financial statements, our structure for compliance with legal and regulatory requirements, and the performance of our internal audit functions. The Board has determined that based upon their extensive background and expertise, Ms. Esteves and Messrs. Joyce, Murphy, Wallman and Wright meet the criteria of an “audit committee financial expert” under SEC rules. The Board has determined that all Audit Committee members meet the heightened independence standards under Nasdaq and SEC rules applicable to audit committees and satisfy the Nasdaq standard of financial literacy, having accounting and related financial management expertise.</w:t>
      </w:r>
    </w:p>
    <w:p>
      <w:pPr>
        <w:spacing w:after="0" w:line="73"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Pursuant to its charter, the Audit Committee has the authority and responsibility to:</w:t>
      </w:r>
    </w:p>
    <w:p>
      <w:pPr>
        <w:spacing w:after="0" w:line="65" w:lineRule="exact"/>
        <w:rPr>
          <w:sz w:val="20"/>
          <w:szCs w:val="20"/>
          <w:color w:val="auto"/>
        </w:rPr>
      </w:pPr>
    </w:p>
    <w:p>
      <w:pPr>
        <w:jc w:val="both"/>
        <w:ind w:left="320" w:hanging="204"/>
        <w:spacing w:after="0" w:line="241"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appoint, compensate, retain and oversee the independent registered public accounting firm engaged by us; approve all audit engagement fees and terms, as well as pre-approve all non-audit engagements; and ensure that the independent auditors remain independent and objective;</w:t>
      </w:r>
    </w:p>
    <w:p>
      <w:pPr>
        <w:spacing w:after="0" w:line="85" w:lineRule="exact"/>
        <w:rPr>
          <w:rFonts w:ascii="Arial" w:cs="Arial" w:eastAsia="Arial" w:hAnsi="Arial"/>
          <w:sz w:val="17"/>
          <w:szCs w:val="17"/>
          <w:color w:val="auto"/>
        </w:rPr>
      </w:pPr>
    </w:p>
    <w:p>
      <w:pPr>
        <w:jc w:val="both"/>
        <w:ind w:left="320" w:hanging="204"/>
        <w:spacing w:after="0" w:line="244"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 the appointment and replacement of the Vice President of Financial Audit Services, who provides the Audit Committee with significant reports to management and management’s responses thereto;</w:t>
      </w:r>
    </w:p>
    <w:p>
      <w:pPr>
        <w:spacing w:after="0" w:line="82"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consider any reports or communications submitted by the independent auditors relating to our financial statements, policies, processes or determinations;</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ind w:left="206" w:right="20" w:hanging="206"/>
        <w:spacing w:after="0" w:line="244" w:lineRule="auto"/>
        <w:tabs>
          <w:tab w:leader="none" w:pos="2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82" w:lineRule="exact"/>
        <w:rPr>
          <w:rFonts w:ascii="Arial" w:cs="Arial" w:eastAsia="Arial" w:hAnsi="Arial"/>
          <w:sz w:val="17"/>
          <w:szCs w:val="17"/>
          <w:color w:val="auto"/>
        </w:rPr>
      </w:pPr>
    </w:p>
    <w:p>
      <w:pPr>
        <w:jc w:val="both"/>
        <w:ind w:left="206" w:right="20" w:hanging="206"/>
        <w:spacing w:after="0" w:line="238" w:lineRule="auto"/>
        <w:tabs>
          <w:tab w:leader="none" w:pos="2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w:t>
      </w:r>
    </w:p>
    <w:p>
      <w:pPr>
        <w:spacing w:after="0" w:line="87"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 significant risks and exposures and the steps taken to monitor and minimize such risks, including overseeing the Company’s enterprise risk management program;</w:t>
      </w:r>
    </w:p>
    <w:p>
      <w:pPr>
        <w:spacing w:after="0" w:line="80" w:lineRule="exact"/>
        <w:rPr>
          <w:rFonts w:ascii="Arial" w:cs="Arial" w:eastAsia="Arial" w:hAnsi="Arial"/>
          <w:sz w:val="17"/>
          <w:szCs w:val="17"/>
          <w:color w:val="auto"/>
        </w:rPr>
      </w:pPr>
    </w:p>
    <w:p>
      <w:pPr>
        <w:jc w:val="both"/>
        <w:ind w:left="206" w:right="20" w:hanging="206"/>
        <w:spacing w:after="0" w:line="241" w:lineRule="auto"/>
        <w:tabs>
          <w:tab w:leader="none" w:pos="2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w:t>
      </w:r>
    </w:p>
    <w:p>
      <w:pPr>
        <w:spacing w:after="0" w:line="85"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prepare reports and disclosures required to be included in this Proxy Statement, including the “Audit Committee Report” below.</w:t>
      </w:r>
    </w:p>
    <w:p>
      <w:pPr>
        <w:sectPr>
          <w:pgSz w:w="11900" w:h="16838" w:orient="portrait"/>
          <w:cols w:equalWidth="0" w:num="2">
            <w:col w:w="5400" w:space="334"/>
            <w:col w:w="5406"/>
          </w:cols>
          <w:pgMar w:left="320" w:top="482"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Compensation Committee: </w:t>
      </w:r>
      <w:r>
        <w:rPr>
          <w:rFonts w:ascii="Arial" w:cs="Arial" w:eastAsia="Arial" w:hAnsi="Arial"/>
          <w:sz w:val="18"/>
          <w:szCs w:val="18"/>
          <w:b w:val="1"/>
          <w:bCs w:val="1"/>
          <w:color w:val="005CB9"/>
        </w:rPr>
        <w:t>6 Meetings Held in 2024</w:t>
      </w:r>
    </w:p>
    <w:p>
      <w:pPr>
        <w:spacing w:after="0" w:line="10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Compensation Committee administers our executive incentive compensation programs and determines annual salary levels and incentive compensation awards for our executive officers. The Board has determined that all Compensation Committee members meet the heightened independence standards under Nasdaq and SEC rules applicable to compensation committees. The Compensation Committee also, at the direction of the Board, periodically reviews and determines the form and amounts of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84"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Pursuant to its charter, the Compensation Committee has the authority and responsibility to:</w:t>
      </w:r>
    </w:p>
    <w:p>
      <w:pPr>
        <w:spacing w:after="0" w:line="65" w:lineRule="exact"/>
        <w:rPr>
          <w:sz w:val="20"/>
          <w:szCs w:val="20"/>
          <w:color w:val="auto"/>
        </w:rPr>
      </w:pPr>
    </w:p>
    <w:p>
      <w:pPr>
        <w:jc w:val="both"/>
        <w:ind w:left="320" w:hanging="204"/>
        <w:spacing w:after="0" w:line="244"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our CEO’s compensation and based on that evaluation, determine and approve our CEO’s compensation, including salary, bonus, incentive and equity compensation;</w:t>
      </w:r>
    </w:p>
    <w:p>
      <w:pPr>
        <w:spacing w:after="0" w:line="82"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annually review performance and approve compensation, including salary, bonus, incentive and equity compensation for our executive officers;</w:t>
      </w:r>
    </w:p>
    <w:p>
      <w:pPr>
        <w:spacing w:after="0" w:line="80" w:lineRule="exact"/>
        <w:rPr>
          <w:rFonts w:ascii="Arial" w:cs="Arial" w:eastAsia="Arial" w:hAnsi="Arial"/>
          <w:sz w:val="17"/>
          <w:szCs w:val="17"/>
          <w:color w:val="auto"/>
        </w:rPr>
      </w:pPr>
    </w:p>
    <w:p>
      <w:pPr>
        <w:jc w:val="both"/>
        <w:ind w:left="320" w:right="20" w:hanging="204"/>
        <w:spacing w:after="0" w:line="24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grant awards and otherwise make determinations under our equity, incentive, retirement, and deferred compensation plans, to the extent provided in such plans;</w:t>
      </w:r>
    </w:p>
    <w:p>
      <w:pPr>
        <w:spacing w:after="0" w:line="80" w:lineRule="exact"/>
        <w:rPr>
          <w:rFonts w:ascii="Arial" w:cs="Arial" w:eastAsia="Arial" w:hAnsi="Arial"/>
          <w:sz w:val="17"/>
          <w:szCs w:val="17"/>
          <w:color w:val="auto"/>
        </w:rPr>
      </w:pPr>
    </w:p>
    <w:p>
      <w:pPr>
        <w:jc w:val="both"/>
        <w:ind w:left="320" w:right="20" w:hanging="204"/>
        <w:spacing w:after="0" w:line="24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determine performance goals and certify whether performance goals have been satisfied for incentive plans containing performance criteria;</w:t>
      </w:r>
    </w:p>
    <w:p>
      <w:pPr>
        <w:spacing w:after="0" w:line="80"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periodically review and make recommendations to the Board concerning our equity, incentive, retirement, and deferred compensation plans;</w:t>
      </w:r>
    </w:p>
    <w:p>
      <w:pPr>
        <w:spacing w:after="0" w:line="80" w:lineRule="exact"/>
        <w:rPr>
          <w:rFonts w:ascii="Arial" w:cs="Arial" w:eastAsia="Arial" w:hAnsi="Arial"/>
          <w:sz w:val="17"/>
          <w:szCs w:val="17"/>
          <w:color w:val="auto"/>
        </w:rPr>
      </w:pPr>
    </w:p>
    <w:p>
      <w:pPr>
        <w:jc w:val="both"/>
        <w:ind w:left="320" w:right="20" w:hanging="204"/>
        <w:spacing w:after="0" w:line="24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 risks associated with compensation and assess those reasonably likely to have a material adverse effect on the Company;</w:t>
      </w:r>
    </w:p>
    <w:p>
      <w:pPr>
        <w:spacing w:after="0" w:line="80"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periodically review and determine the form and amounts of director compensation;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06" w:right="20" w:hanging="206"/>
        <w:spacing w:after="0" w:line="249" w:lineRule="auto"/>
        <w:tabs>
          <w:tab w:leader="none" w:pos="20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 and discuss with management the Compensation Discussion and Analysis disclosure regarding named executive officer compensation included in our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-1417320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58" w:lineRule="exact"/>
        <w:rPr>
          <w:sz w:val="20"/>
          <w:szCs w:val="20"/>
          <w:color w:val="auto"/>
        </w:rPr>
      </w:pPr>
    </w:p>
    <w:p>
      <w:pPr>
        <w:ind w:left="6" w:right="280"/>
        <w:spacing w:after="0" w:line="281" w:lineRule="auto"/>
        <w:rPr>
          <w:sz w:val="20"/>
          <w:szCs w:val="20"/>
          <w:color w:val="auto"/>
        </w:rPr>
      </w:pPr>
      <w:r>
        <w:rPr>
          <w:rFonts w:ascii="Arial" w:cs="Arial" w:eastAsia="Arial" w:hAnsi="Arial"/>
          <w:sz w:val="18"/>
          <w:szCs w:val="18"/>
          <w:b w:val="1"/>
          <w:bCs w:val="1"/>
          <w:i w:val="1"/>
          <w:iCs w:val="1"/>
          <w:color w:val="005CB9"/>
        </w:rPr>
        <w:t>Nominating and Governance Committee</w:t>
      </w:r>
      <w:r>
        <w:rPr>
          <w:rFonts w:ascii="Arial" w:cs="Arial" w:eastAsia="Arial" w:hAnsi="Arial"/>
          <w:sz w:val="18"/>
          <w:szCs w:val="18"/>
          <w:b w:val="1"/>
          <w:bCs w:val="1"/>
          <w:color w:val="005CB9"/>
        </w:rPr>
        <w:t>: 5 Meetings Held in</w:t>
      </w:r>
      <w:r>
        <w:rPr>
          <w:rFonts w:ascii="Arial" w:cs="Arial" w:eastAsia="Arial" w:hAnsi="Arial"/>
          <w:sz w:val="18"/>
          <w:szCs w:val="18"/>
          <w:b w:val="1"/>
          <w:bCs w:val="1"/>
          <w:i w:val="1"/>
          <w:iCs w:val="1"/>
          <w:color w:val="005CB9"/>
        </w:rPr>
        <w:t xml:space="preserve"> </w:t>
      </w:r>
      <w:r>
        <w:rPr>
          <w:rFonts w:ascii="Arial" w:cs="Arial" w:eastAsia="Arial" w:hAnsi="Arial"/>
          <w:sz w:val="18"/>
          <w:szCs w:val="18"/>
          <w:b w:val="1"/>
          <w:bCs w:val="1"/>
          <w:color w:val="005CB9"/>
        </w:rPr>
        <w:t>2024</w:t>
      </w:r>
    </w:p>
    <w:p>
      <w:pPr>
        <w:spacing w:after="0" w:line="25" w:lineRule="exact"/>
        <w:rPr>
          <w:sz w:val="20"/>
          <w:szCs w:val="20"/>
          <w:color w:val="auto"/>
        </w:rPr>
      </w:pPr>
    </w:p>
    <w:p>
      <w:pPr>
        <w:jc w:val="both"/>
        <w:ind w:left="6"/>
        <w:spacing w:after="0" w:line="239" w:lineRule="auto"/>
        <w:rPr>
          <w:sz w:val="20"/>
          <w:szCs w:val="20"/>
          <w:color w:val="auto"/>
        </w:rPr>
      </w:pPr>
      <w:r>
        <w:rPr>
          <w:rFonts w:ascii="Arial" w:cs="Arial" w:eastAsia="Arial" w:hAnsi="Arial"/>
          <w:sz w:val="17"/>
          <w:szCs w:val="17"/>
          <w:color w:val="auto"/>
        </w:rPr>
        <w:t>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74" w:lineRule="exact"/>
        <w:rPr>
          <w:sz w:val="20"/>
          <w:szCs w:val="20"/>
          <w:color w:val="auto"/>
        </w:rPr>
      </w:pPr>
    </w:p>
    <w:p>
      <w:pPr>
        <w:jc w:val="both"/>
        <w:ind w:left="6" w:right="20"/>
        <w:spacing w:after="0" w:line="267" w:lineRule="auto"/>
        <w:rPr>
          <w:sz w:val="20"/>
          <w:szCs w:val="20"/>
          <w:color w:val="auto"/>
        </w:rPr>
      </w:pPr>
      <w:r>
        <w:rPr>
          <w:rFonts w:ascii="Arial" w:cs="Arial" w:eastAsia="Arial" w:hAnsi="Arial"/>
          <w:sz w:val="17"/>
          <w:szCs w:val="17"/>
          <w:color w:val="auto"/>
        </w:rPr>
        <w:t>Pursuant to its charter, the Nominating and Governance Committee has the authority and responsibility to:</w:t>
      </w:r>
    </w:p>
    <w:p>
      <w:pPr>
        <w:spacing w:after="0" w:line="65" w:lineRule="exact"/>
        <w:rPr>
          <w:sz w:val="20"/>
          <w:szCs w:val="20"/>
          <w:color w:val="auto"/>
        </w:rPr>
      </w:pPr>
    </w:p>
    <w:p>
      <w:pPr>
        <w:jc w:val="both"/>
        <w:ind w:left="206" w:right="20" w:hanging="206"/>
        <w:spacing w:after="0" w:line="244"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 a candidate’s qualification based on a variety of factors, including such candidate’s integrity, reputation, judgment, knowledge, and diversity of background and experience, as well as our Board’s needs;</w:t>
      </w:r>
    </w:p>
    <w:p>
      <w:pPr>
        <w:spacing w:after="0" w:line="82"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 qualified individuals for Board membership, including individuals suggested by directors and/or shareholders;</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periodically review the size and responsibilities of our Board and its committees and recommend changes to our Board;</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annually review and recommend committee slates and additional committee members to our Board as needed;</w:t>
      </w:r>
    </w:p>
    <w:p>
      <w:pPr>
        <w:spacing w:after="0" w:line="64"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periodically review the Company’s sustainability strategy, initiatives and policies and receive updates on significant sustainability activities;</w:t>
      </w:r>
    </w:p>
    <w:p>
      <w:pPr>
        <w:spacing w:after="0" w:line="80" w:lineRule="exact"/>
        <w:rPr>
          <w:rFonts w:ascii="Arial" w:cs="Arial" w:eastAsia="Arial" w:hAnsi="Arial"/>
          <w:sz w:val="17"/>
          <w:szCs w:val="17"/>
          <w:color w:val="auto"/>
        </w:rPr>
      </w:pPr>
    </w:p>
    <w:p>
      <w:pPr>
        <w:ind w:left="206" w:right="40" w:hanging="206"/>
        <w:spacing w:after="0" w:line="267"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 together with the full Board, the Company’s programs for the development and management of human capital;</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annually review the Company’s Compliance Program and discuss potential revisions to the Company’s Code of Ethics;</w:t>
      </w:r>
    </w:p>
    <w:p>
      <w:pPr>
        <w:spacing w:after="0" w:line="64"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 and recommend to our Board a set of corporate governance guidelines and periodically review such guidelines and propose changes to our Board;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6" w:lineRule="exact"/>
        <w:rPr>
          <w:sz w:val="20"/>
          <w:szCs w:val="20"/>
          <w:color w:val="auto"/>
        </w:rPr>
      </w:pPr>
    </w:p>
    <w:p>
      <w:pPr>
        <w:jc w:val="both"/>
        <w:ind w:left="320" w:hanging="204"/>
        <w:spacing w:after="0" w:line="249"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and recommend to our Board an annual self-evaluation process for our Board and its committees and administer and oversee the evaluation process.</w:t>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 xml:space="preserve">Executive Committee: </w:t>
      </w:r>
      <w:r>
        <w:rPr>
          <w:rFonts w:ascii="Arial" w:cs="Arial" w:eastAsia="Arial" w:hAnsi="Arial"/>
          <w:sz w:val="18"/>
          <w:szCs w:val="18"/>
          <w:b w:val="1"/>
          <w:bCs w:val="1"/>
          <w:color w:val="005CB9"/>
        </w:rPr>
        <w:t>No Meetings Held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-1164590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Executive Committee has the authority to exercise all powers of the Board between regularly scheduled Board meetings.</w:t>
      </w:r>
    </w:p>
    <w:p>
      <w:pPr>
        <w:sectPr>
          <w:pgSz w:w="11900" w:h="16838" w:orient="portrait"/>
          <w:cols w:equalWidth="0" w:num="2">
            <w:col w:w="5400" w:space="340"/>
            <w:col w:w="538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DIRECTOR COMPENSATION</w:t>
      </w:r>
    </w:p>
    <w:p>
      <w:pPr>
        <w:spacing w:after="0" w:line="338"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Compensation for our non-employee directors is governed by our Director Compensation Plan, which is a sub-plan of our 2021 Incentive Plan. The Director Compensation Plan permits recognition of the Board’s instrumental contribution to Roper’s long-term success and creation of superior shareholder value. Over the past 15 years, our shareholders have earned a cumulative 983.7% return – compared to the S&amp;P 500’s 602.7% return. Compensation paid to our directors reflects the significant time commitment and effort associated with serving on our Board, in addition to numerous Committee meetings throughout the year. These time commitments, together with our focus on capital deployment for software and technology enabled product companies, and continual market developments present unique challenges to recruiting individuals capable of adding value to our high-growth, asset-light, diversified enterprise. Despite these challenges, in the past seven years, we have added four new independent directors to the Board bringing needed key skills, strengths and capabilities to the Board. Going forward, the Board will continue to insist on the high standards of qualifications that are in place.</w:t>
      </w:r>
    </w:p>
    <w:p>
      <w:pPr>
        <w:spacing w:after="0" w:line="7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Consistent with Roper’s long-standing “pay-for-performance” philosophy, the Director Compensation Plan ties director compensation directly to the Company’s stock performance, closely aligning the financial interests of our directors with those of our shareholders. Directors receive limited cash retainers and no perquisites (such as deferred compensation benefits), and instead receive a higher percentage of their compensation in shares of Company stock. The compensation paid under the Director Compensation Plan is summarized in the table below.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10020" w:type="dxa"/>
            <w:vAlign w:val="bottom"/>
            <w:tcBorders>
              <w:bottom w:val="single" w:sz="8" w:color="E5EEF8"/>
            </w:tcBorders>
            <w:shd w:val="clear" w:color="auto" w:fill="E5EEF8"/>
          </w:tcPr>
          <w:p>
            <w:pPr>
              <w:spacing w:after="0"/>
              <w:rPr>
                <w:sz w:val="20"/>
                <w:szCs w:val="20"/>
                <w:color w:val="auto"/>
              </w:rPr>
            </w:pPr>
            <w:r>
              <w:rPr>
                <w:rFonts w:ascii="Arial" w:cs="Arial" w:eastAsia="Arial" w:hAnsi="Arial"/>
                <w:sz w:val="17"/>
                <w:szCs w:val="17"/>
                <w:b w:val="1"/>
                <w:bCs w:val="1"/>
                <w:i w:val="1"/>
                <w:iCs w:val="1"/>
                <w:color w:val="auto"/>
              </w:rPr>
              <w:t> 2024 Annual Equity Award</w:t>
            </w:r>
          </w:p>
        </w:tc>
        <w:tc>
          <w:tcPr>
            <w:tcW w:w="320" w:type="dxa"/>
            <w:vAlign w:val="bottom"/>
            <w:tcBorders>
              <w:bottom w:val="single" w:sz="8" w:color="E5EEF8"/>
            </w:tcBorders>
            <w:shd w:val="clear" w:color="auto" w:fill="E5EEF8"/>
          </w:tcPr>
          <w:p>
            <w:pPr>
              <w:spacing w:after="0"/>
              <w:rPr>
                <w:sz w:val="24"/>
                <w:szCs w:val="24"/>
                <w:color w:val="auto"/>
              </w:rPr>
            </w:pPr>
          </w:p>
        </w:tc>
        <w:tc>
          <w:tcPr>
            <w:tcW w:w="680" w:type="dxa"/>
            <w:vAlign w:val="bottom"/>
            <w:tcBorders>
              <w:bottom w:val="single" w:sz="8" w:color="E5EEF8"/>
            </w:tcBorders>
            <w:shd w:val="clear" w:color="auto" w:fill="E5EEF8"/>
          </w:tcPr>
          <w:p>
            <w:pPr>
              <w:spacing w:after="0"/>
              <w:rPr>
                <w:sz w:val="24"/>
                <w:szCs w:val="24"/>
                <w:color w:val="auto"/>
              </w:rPr>
            </w:pPr>
          </w:p>
        </w:tc>
      </w:tr>
      <w:tr>
        <w:trPr>
          <w:trHeight w:val="270"/>
        </w:trPr>
        <w:tc>
          <w:tcPr>
            <w:tcW w:w="10020" w:type="dxa"/>
            <w:vAlign w:val="bottom"/>
          </w:tcPr>
          <w:p>
            <w:pPr>
              <w:spacing w:after="0"/>
              <w:rPr>
                <w:sz w:val="20"/>
                <w:szCs w:val="20"/>
                <w:color w:val="auto"/>
              </w:rPr>
            </w:pPr>
            <w:r>
              <w:rPr>
                <w:rFonts w:ascii="Arial" w:cs="Arial" w:eastAsia="Arial" w:hAnsi="Arial"/>
                <w:sz w:val="17"/>
                <w:szCs w:val="17"/>
                <w:color w:val="auto"/>
              </w:rPr>
              <w:t> Economic value of $385,000 (based on the closing price of the Company’s stock on the date of grant)</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94"/>
        </w:trPr>
        <w:tc>
          <w:tcPr>
            <w:tcW w:w="10020" w:type="dxa"/>
            <w:vAlign w:val="bottom"/>
          </w:tcPr>
          <w:p>
            <w:pPr>
              <w:ind w:left="80"/>
              <w:spacing w:after="0" w:line="194" w:lineRule="exact"/>
              <w:rPr>
                <w:sz w:val="20"/>
                <w:szCs w:val="20"/>
                <w:color w:val="auto"/>
              </w:rPr>
            </w:pPr>
            <w:r>
              <w:rPr>
                <w:rFonts w:ascii="Arial" w:cs="Arial" w:eastAsia="Arial" w:hAnsi="Arial"/>
                <w:sz w:val="17"/>
                <w:szCs w:val="17"/>
                <w:color w:val="auto"/>
              </w:rPr>
              <w:t>•    Award vests 50% on the six-month anniversary of the grant date and 50% on the day prior to the next Annual Meeting of</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8"/>
        </w:trPr>
        <w:tc>
          <w:tcPr>
            <w:tcW w:w="10020" w:type="dxa"/>
            <w:vAlign w:val="bottom"/>
          </w:tcPr>
          <w:p>
            <w:pPr>
              <w:ind w:left="340"/>
              <w:spacing w:after="0"/>
              <w:rPr>
                <w:sz w:val="20"/>
                <w:szCs w:val="20"/>
                <w:color w:val="auto"/>
              </w:rPr>
            </w:pPr>
            <w:r>
              <w:rPr>
                <w:rFonts w:ascii="Arial" w:cs="Arial" w:eastAsia="Arial" w:hAnsi="Arial"/>
                <w:sz w:val="17"/>
                <w:szCs w:val="17"/>
                <w:color w:val="auto"/>
              </w:rPr>
              <w:t>Shareholders</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385,000</w:t>
            </w:r>
          </w:p>
        </w:tc>
      </w:tr>
      <w:tr>
        <w:trPr>
          <w:trHeight w:val="54"/>
        </w:trPr>
        <w:tc>
          <w:tcPr>
            <w:tcW w:w="10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10020" w:type="dxa"/>
            <w:vAlign w:val="bottom"/>
            <w:tcBorders>
              <w:bottom w:val="single" w:sz="8" w:color="E5EEF8"/>
            </w:tcBorders>
            <w:shd w:val="clear" w:color="auto" w:fill="E5EEF8"/>
          </w:tcPr>
          <w:p>
            <w:pPr>
              <w:spacing w:after="0"/>
              <w:rPr>
                <w:sz w:val="20"/>
                <w:szCs w:val="20"/>
                <w:color w:val="auto"/>
              </w:rPr>
            </w:pPr>
            <w:r>
              <w:rPr>
                <w:rFonts w:ascii="Arial" w:cs="Arial" w:eastAsia="Arial" w:hAnsi="Arial"/>
                <w:sz w:val="17"/>
                <w:szCs w:val="17"/>
                <w:b w:val="1"/>
                <w:bCs w:val="1"/>
                <w:i w:val="1"/>
                <w:iCs w:val="1"/>
                <w:color w:val="auto"/>
              </w:rPr>
              <w:t> 2024 Annual Cash Retainer</w:t>
            </w:r>
          </w:p>
        </w:tc>
        <w:tc>
          <w:tcPr>
            <w:tcW w:w="320" w:type="dxa"/>
            <w:vAlign w:val="bottom"/>
            <w:tcBorders>
              <w:bottom w:val="single" w:sz="8" w:color="E5EEF8"/>
            </w:tcBorders>
            <w:shd w:val="clear" w:color="auto" w:fill="E5EEF8"/>
          </w:tcPr>
          <w:p>
            <w:pPr>
              <w:spacing w:after="0"/>
              <w:rPr>
                <w:sz w:val="24"/>
                <w:szCs w:val="24"/>
                <w:color w:val="auto"/>
              </w:rPr>
            </w:pPr>
          </w:p>
        </w:tc>
        <w:tc>
          <w:tcPr>
            <w:tcW w:w="680" w:type="dxa"/>
            <w:vAlign w:val="bottom"/>
            <w:tcBorders>
              <w:bottom w:val="single" w:sz="8" w:color="E5EEF8"/>
            </w:tcBorders>
            <w:shd w:val="clear" w:color="auto" w:fill="E5EEF8"/>
          </w:tcPr>
          <w:p>
            <w:pPr>
              <w:spacing w:after="0"/>
              <w:rPr>
                <w:sz w:val="24"/>
                <w:szCs w:val="24"/>
                <w:color w:val="auto"/>
              </w:rPr>
            </w:pPr>
          </w:p>
        </w:tc>
      </w:tr>
      <w:tr>
        <w:trPr>
          <w:trHeight w:val="270"/>
        </w:trPr>
        <w:tc>
          <w:tcPr>
            <w:tcW w:w="10020" w:type="dxa"/>
            <w:vAlign w:val="bottom"/>
          </w:tcPr>
          <w:p>
            <w:pPr>
              <w:spacing w:after="0"/>
              <w:rPr>
                <w:sz w:val="20"/>
                <w:szCs w:val="20"/>
                <w:color w:val="auto"/>
              </w:rPr>
            </w:pPr>
            <w:r>
              <w:rPr>
                <w:rFonts w:ascii="Arial" w:cs="Arial" w:eastAsia="Arial" w:hAnsi="Arial"/>
                <w:sz w:val="17"/>
                <w:szCs w:val="17"/>
                <w:color w:val="auto"/>
              </w:rPr>
              <w:t> Cash Retainer</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60,000</w:t>
            </w:r>
          </w:p>
        </w:tc>
      </w:tr>
      <w:tr>
        <w:trPr>
          <w:trHeight w:val="54"/>
        </w:trPr>
        <w:tc>
          <w:tcPr>
            <w:tcW w:w="10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10020" w:type="dxa"/>
            <w:vAlign w:val="bottom"/>
            <w:tcBorders>
              <w:bottom w:val="single" w:sz="8" w:color="E5EEF8"/>
            </w:tcBorders>
            <w:shd w:val="clear" w:color="auto" w:fill="E5EEF8"/>
          </w:tcPr>
          <w:p>
            <w:pPr>
              <w:spacing w:after="0"/>
              <w:rPr>
                <w:sz w:val="20"/>
                <w:szCs w:val="20"/>
                <w:color w:val="auto"/>
              </w:rPr>
            </w:pPr>
            <w:r>
              <w:rPr>
                <w:rFonts w:ascii="Arial" w:cs="Arial" w:eastAsia="Arial" w:hAnsi="Arial"/>
                <w:sz w:val="17"/>
                <w:szCs w:val="17"/>
                <w:b w:val="1"/>
                <w:bCs w:val="1"/>
                <w:i w:val="1"/>
                <w:iCs w:val="1"/>
                <w:color w:val="auto"/>
              </w:rPr>
              <w:t> 2024 Supplemental Annual Cash Retainers</w:t>
            </w:r>
          </w:p>
        </w:tc>
        <w:tc>
          <w:tcPr>
            <w:tcW w:w="320" w:type="dxa"/>
            <w:vAlign w:val="bottom"/>
            <w:tcBorders>
              <w:bottom w:val="single" w:sz="8" w:color="E5EEF8"/>
            </w:tcBorders>
            <w:shd w:val="clear" w:color="auto" w:fill="E5EEF8"/>
          </w:tcPr>
          <w:p>
            <w:pPr>
              <w:spacing w:after="0"/>
              <w:rPr>
                <w:sz w:val="24"/>
                <w:szCs w:val="24"/>
                <w:color w:val="auto"/>
              </w:rPr>
            </w:pPr>
          </w:p>
        </w:tc>
        <w:tc>
          <w:tcPr>
            <w:tcW w:w="680" w:type="dxa"/>
            <w:vAlign w:val="bottom"/>
            <w:tcBorders>
              <w:bottom w:val="single" w:sz="8" w:color="E5EEF8"/>
            </w:tcBorders>
            <w:shd w:val="clear" w:color="auto" w:fill="E5EEF8"/>
          </w:tcPr>
          <w:p>
            <w:pPr>
              <w:spacing w:after="0"/>
              <w:rPr>
                <w:sz w:val="24"/>
                <w:szCs w:val="24"/>
                <w:color w:val="auto"/>
              </w:rPr>
            </w:pPr>
          </w:p>
        </w:tc>
      </w:tr>
      <w:tr>
        <w:trPr>
          <w:trHeight w:val="270"/>
        </w:trPr>
        <w:tc>
          <w:tcPr>
            <w:tcW w:w="10020" w:type="dxa"/>
            <w:vAlign w:val="bottom"/>
          </w:tcPr>
          <w:p>
            <w:pPr>
              <w:spacing w:after="0"/>
              <w:rPr>
                <w:sz w:val="20"/>
                <w:szCs w:val="20"/>
                <w:color w:val="auto"/>
              </w:rPr>
            </w:pPr>
            <w:r>
              <w:rPr>
                <w:rFonts w:ascii="Arial" w:cs="Arial" w:eastAsia="Arial" w:hAnsi="Arial"/>
                <w:sz w:val="17"/>
                <w:szCs w:val="17"/>
                <w:color w:val="auto"/>
              </w:rPr>
              <w:t> Independent Chair</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125,000</w:t>
            </w:r>
          </w:p>
        </w:tc>
      </w:tr>
      <w:tr>
        <w:trPr>
          <w:trHeight w:val="324"/>
        </w:trPr>
        <w:tc>
          <w:tcPr>
            <w:tcW w:w="10020" w:type="dxa"/>
            <w:vAlign w:val="bottom"/>
          </w:tcPr>
          <w:p>
            <w:pPr>
              <w:spacing w:after="0"/>
              <w:rPr>
                <w:sz w:val="20"/>
                <w:szCs w:val="20"/>
                <w:color w:val="auto"/>
              </w:rPr>
            </w:pPr>
            <w:r>
              <w:rPr>
                <w:rFonts w:ascii="Arial" w:cs="Arial" w:eastAsia="Arial" w:hAnsi="Arial"/>
                <w:sz w:val="17"/>
                <w:szCs w:val="17"/>
                <w:color w:val="auto"/>
              </w:rPr>
              <w:t> Chair of Audit 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324"/>
        </w:trPr>
        <w:tc>
          <w:tcPr>
            <w:tcW w:w="10020" w:type="dxa"/>
            <w:vAlign w:val="bottom"/>
          </w:tcPr>
          <w:p>
            <w:pPr>
              <w:spacing w:after="0"/>
              <w:rPr>
                <w:sz w:val="20"/>
                <w:szCs w:val="20"/>
                <w:color w:val="auto"/>
              </w:rPr>
            </w:pPr>
            <w:r>
              <w:rPr>
                <w:rFonts w:ascii="Arial" w:cs="Arial" w:eastAsia="Arial" w:hAnsi="Arial"/>
                <w:sz w:val="17"/>
                <w:szCs w:val="17"/>
                <w:color w:val="auto"/>
              </w:rPr>
              <w:t> Chair of Compensation 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324"/>
        </w:trPr>
        <w:tc>
          <w:tcPr>
            <w:tcW w:w="10020" w:type="dxa"/>
            <w:vAlign w:val="bottom"/>
          </w:tcPr>
          <w:p>
            <w:pPr>
              <w:spacing w:after="0"/>
              <w:rPr>
                <w:sz w:val="20"/>
                <w:szCs w:val="20"/>
                <w:color w:val="auto"/>
              </w:rPr>
            </w:pPr>
            <w:r>
              <w:rPr>
                <w:rFonts w:ascii="Arial" w:cs="Arial" w:eastAsia="Arial" w:hAnsi="Arial"/>
                <w:sz w:val="17"/>
                <w:szCs w:val="17"/>
                <w:color w:val="auto"/>
              </w:rPr>
              <w:t> Chair of Nominating and Governance 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bl>
    <w:p>
      <w:pPr>
        <w:spacing w:after="0" w:line="14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We also reimburse our directors for reasonable travel expenses incurred in connection with attendance at Board, Committee and shareholder meetings and other Company business. In addition, the cash retainer and the number of equity awards granted are prorated for any new director appointed during the year based on the number of full months such director serves as a non-employee director during the year.</w:t>
      </w:r>
    </w:p>
    <w:p>
      <w:pPr>
        <w:spacing w:after="0" w:line="129"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DIRECTOR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Mr. Hunn is an employee of our Company and did not receive any compensation for his service as a director. His compensation is set forth in the “Executive Compensation” section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76835</wp:posOffset>
            </wp:positionV>
            <wp:extent cx="4491355" cy="393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91355" cy="393700"/>
                    </a:xfrm>
                    <a:prstGeom prst="rect">
                      <a:avLst/>
                    </a:prstGeom>
                    <a:noFill/>
                  </pic:spPr>
                </pic:pic>
              </a:graphicData>
            </a:graphic>
          </wp:anchor>
        </w:drawing>
      </w:r>
    </w:p>
    <w:p>
      <w:pPr>
        <w:spacing w:after="0" w:line="14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gridSpan w:val="2"/>
            <w:shd w:val="clear" w:color="auto" w:fill="005CB9"/>
          </w:tcPr>
          <w:p>
            <w:pPr>
              <w:ind w:left="4000"/>
              <w:spacing w:after="0"/>
              <w:rPr>
                <w:sz w:val="20"/>
                <w:szCs w:val="20"/>
                <w:color w:val="auto"/>
              </w:rPr>
            </w:pPr>
            <w:r>
              <w:rPr>
                <w:rFonts w:ascii="Arial" w:cs="Arial" w:eastAsia="Arial" w:hAnsi="Arial"/>
                <w:sz w:val="14"/>
                <w:szCs w:val="14"/>
                <w:color w:val="FFFFFF"/>
                <w:w w:val="85"/>
              </w:rPr>
              <w:t> </w:t>
            </w:r>
          </w:p>
        </w:tc>
        <w:tc>
          <w:tcPr>
            <w:tcW w:w="1120" w:type="dxa"/>
            <w:vAlign w:val="bottom"/>
            <w:shd w:val="clear" w:color="auto" w:fill="005CB9"/>
          </w:tcPr>
          <w:p>
            <w:pPr>
              <w:jc w:val="right"/>
              <w:ind w:right="38"/>
              <w:spacing w:after="0"/>
              <w:rPr>
                <w:sz w:val="20"/>
                <w:szCs w:val="20"/>
                <w:color w:val="auto"/>
              </w:rPr>
            </w:pPr>
            <w:r>
              <w:rPr>
                <w:rFonts w:ascii="Arial" w:cs="Arial" w:eastAsia="Arial" w:hAnsi="Arial"/>
                <w:sz w:val="14"/>
                <w:szCs w:val="14"/>
                <w:color w:val="FFFFFF"/>
              </w:rPr>
              <w:t>Fees Earned or</w:t>
            </w:r>
          </w:p>
        </w:tc>
        <w:tc>
          <w:tcPr>
            <w:tcW w:w="10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Stock</w:t>
            </w:r>
          </w:p>
        </w:tc>
        <w:tc>
          <w:tcPr>
            <w:tcW w:w="720" w:type="dxa"/>
            <w:vAlign w:val="bottom"/>
            <w:vMerge w:val="restart"/>
            <w:shd w:val="clear" w:color="auto" w:fill="005CB9"/>
          </w:tcPr>
          <w:p>
            <w:pPr>
              <w:ind w:left="26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005CB9"/>
          </w:tcPr>
          <w:p>
            <w:pPr>
              <w:spacing w:after="0"/>
              <w:rPr>
                <w:sz w:val="12"/>
                <w:szCs w:val="12"/>
                <w:color w:val="auto"/>
              </w:rPr>
            </w:pPr>
          </w:p>
        </w:tc>
        <w:tc>
          <w:tcPr>
            <w:tcW w:w="100" w:type="dxa"/>
            <w:vAlign w:val="bottom"/>
            <w:shd w:val="clear" w:color="auto" w:fill="005CB9"/>
          </w:tcPr>
          <w:p>
            <w:pPr>
              <w:ind w:left="40"/>
              <w:spacing w:after="0"/>
              <w:rPr>
                <w:sz w:val="20"/>
                <w:szCs w:val="20"/>
                <w:color w:val="auto"/>
              </w:rPr>
            </w:pPr>
            <w:r>
              <w:rPr>
                <w:rFonts w:ascii="Arial" w:cs="Arial" w:eastAsia="Arial" w:hAnsi="Arial"/>
                <w:sz w:val="5"/>
                <w:szCs w:val="5"/>
                <w:color w:val="FFFFFF"/>
                <w:w w:val="79"/>
              </w:rPr>
              <w:t> </w:t>
            </w:r>
          </w:p>
        </w:tc>
        <w:tc>
          <w:tcPr>
            <w:tcW w:w="1120" w:type="dxa"/>
            <w:vAlign w:val="bottom"/>
            <w:shd w:val="clear" w:color="auto" w:fill="005CB9"/>
          </w:tcPr>
          <w:p>
            <w:pPr>
              <w:jc w:val="right"/>
              <w:ind w:right="138"/>
              <w:spacing w:after="0" w:line="149" w:lineRule="exact"/>
              <w:rPr>
                <w:sz w:val="20"/>
                <w:szCs w:val="20"/>
                <w:color w:val="auto"/>
              </w:rPr>
            </w:pPr>
            <w:r>
              <w:rPr>
                <w:rFonts w:ascii="Arial" w:cs="Arial" w:eastAsia="Arial" w:hAnsi="Arial"/>
                <w:sz w:val="14"/>
                <w:szCs w:val="14"/>
                <w:color w:val="FFFFFF"/>
              </w:rPr>
              <w:t>Paid in Cash</w:t>
            </w:r>
          </w:p>
        </w:tc>
        <w:tc>
          <w:tcPr>
            <w:tcW w:w="1040" w:type="dxa"/>
            <w:vAlign w:val="bottom"/>
            <w:shd w:val="clear" w:color="auto" w:fill="005CB9"/>
          </w:tcPr>
          <w:p>
            <w:pPr>
              <w:jc w:val="center"/>
              <w:spacing w:after="0" w:line="149" w:lineRule="exact"/>
              <w:rPr>
                <w:sz w:val="20"/>
                <w:szCs w:val="20"/>
                <w:color w:val="auto"/>
              </w:rPr>
            </w:pPr>
            <w:r>
              <w:rPr>
                <w:rFonts w:ascii="Arial" w:cs="Arial" w:eastAsia="Arial" w:hAnsi="Arial"/>
                <w:sz w:val="14"/>
                <w:szCs w:val="14"/>
                <w:color w:val="FFFFFF"/>
              </w:rPr>
              <w:t>Awards</w:t>
            </w:r>
          </w:p>
        </w:tc>
        <w:tc>
          <w:tcPr>
            <w:tcW w:w="720" w:type="dxa"/>
            <w:vAlign w:val="bottom"/>
            <w:vMerge w:val="continue"/>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40" w:type="dxa"/>
            <w:vAlign w:val="bottom"/>
            <w:gridSpan w:val="2"/>
            <w:shd w:val="clear" w:color="auto" w:fill="005CB9"/>
          </w:tcPr>
          <w:p>
            <w:pPr>
              <w:spacing w:after="0"/>
              <w:rPr>
                <w:sz w:val="20"/>
                <w:szCs w:val="20"/>
                <w:color w:val="auto"/>
              </w:rPr>
            </w:pPr>
            <w:r>
              <w:rPr>
                <w:rFonts w:ascii="Arial" w:cs="Arial" w:eastAsia="Arial" w:hAnsi="Arial"/>
                <w:sz w:val="14"/>
                <w:szCs w:val="14"/>
                <w:color w:val="FFFFFF"/>
              </w:rPr>
              <w:t>  Name</w:t>
            </w:r>
          </w:p>
        </w:tc>
        <w:tc>
          <w:tcPr>
            <w:tcW w:w="1120" w:type="dxa"/>
            <w:vAlign w:val="bottom"/>
            <w:shd w:val="clear" w:color="auto" w:fill="005CB9"/>
          </w:tcPr>
          <w:p>
            <w:pPr>
              <w:jc w:val="right"/>
              <w:ind w:right="458"/>
              <w:spacing w:after="0"/>
              <w:rPr>
                <w:sz w:val="20"/>
                <w:szCs w:val="20"/>
                <w:color w:val="auto"/>
              </w:rPr>
            </w:pPr>
            <w:r>
              <w:rPr>
                <w:rFonts w:ascii="Arial" w:cs="Arial" w:eastAsia="Arial" w:hAnsi="Arial"/>
                <w:sz w:val="14"/>
                <w:szCs w:val="14"/>
                <w:color w:val="FFFFFF"/>
              </w:rPr>
              <w:t>   ($)</w:t>
            </w:r>
          </w:p>
        </w:tc>
        <w:tc>
          <w:tcPr>
            <w:tcW w:w="10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720" w:type="dxa"/>
            <w:vAlign w:val="bottom"/>
            <w:shd w:val="clear" w:color="auto" w:fill="005CB9"/>
          </w:tcPr>
          <w:p>
            <w:pPr>
              <w:jc w:val="center"/>
              <w:ind w:left="17"/>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68"/>
        </w:trPr>
        <w:tc>
          <w:tcPr>
            <w:tcW w:w="4160" w:type="dxa"/>
            <w:vAlign w:val="bottom"/>
            <w:gridSpan w:val="3"/>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06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Shellye L. Archambeau</w:t>
            </w:r>
          </w:p>
        </w:tc>
        <w:tc>
          <w:tcPr>
            <w:tcW w:w="100" w:type="dxa"/>
            <w:vAlign w:val="bottom"/>
            <w:tcBorders>
              <w:bottom w:val="single" w:sz="8" w:color="CCDEF1"/>
            </w:tcBorders>
            <w:shd w:val="clear" w:color="auto" w:fill="CCDEF1"/>
          </w:tcPr>
          <w:p>
            <w:pPr>
              <w:spacing w:after="0"/>
              <w:rPr>
                <w:sz w:val="24"/>
                <w:szCs w:val="24"/>
                <w:color w:val="auto"/>
              </w:rPr>
            </w:pPr>
          </w:p>
        </w:tc>
        <w:tc>
          <w:tcPr>
            <w:tcW w:w="1120" w:type="dxa"/>
            <w:vAlign w:val="bottom"/>
            <w:tcBorders>
              <w:bottom w:val="single" w:sz="8" w:color="CCDEF1"/>
            </w:tcBorders>
            <w:shd w:val="clear" w:color="auto" w:fill="CCDEF1"/>
          </w:tcPr>
          <w:p>
            <w:pPr>
              <w:jc w:val="right"/>
              <w:ind w:right="98"/>
              <w:spacing w:after="0"/>
              <w:rPr>
                <w:sz w:val="20"/>
                <w:szCs w:val="20"/>
                <w:color w:val="auto"/>
              </w:rPr>
            </w:pPr>
            <w:r>
              <w:rPr>
                <w:rFonts w:ascii="Arial" w:cs="Arial" w:eastAsia="Arial" w:hAnsi="Arial"/>
                <w:sz w:val="17"/>
                <w:szCs w:val="17"/>
                <w:color w:val="auto"/>
              </w:rPr>
              <w:t xml:space="preserve">65,000    </w:t>
            </w:r>
          </w:p>
        </w:tc>
        <w:tc>
          <w:tcPr>
            <w:tcW w:w="1040" w:type="dxa"/>
            <w:vAlign w:val="bottom"/>
            <w:tcBorders>
              <w:bottom w:val="single" w:sz="8" w:color="CCDEF1"/>
            </w:tcBorders>
            <w:shd w:val="clear" w:color="auto" w:fill="CCDEF1"/>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tcBorders>
              <w:bottom w:val="single" w:sz="8" w:color="CCDEF1"/>
            </w:tcBorders>
            <w:shd w:val="clear" w:color="auto" w:fill="CCDEF1"/>
          </w:tcPr>
          <w:p>
            <w:pPr>
              <w:jc w:val="center"/>
              <w:ind w:left="37"/>
              <w:spacing w:after="0"/>
              <w:rPr>
                <w:sz w:val="20"/>
                <w:szCs w:val="20"/>
                <w:color w:val="auto"/>
              </w:rPr>
            </w:pPr>
            <w:r>
              <w:rPr>
                <w:rFonts w:ascii="Arial" w:cs="Arial" w:eastAsia="Arial" w:hAnsi="Arial"/>
                <w:sz w:val="17"/>
                <w:szCs w:val="17"/>
                <w:color w:val="auto"/>
                <w:w w:val="97"/>
              </w:rPr>
              <w:t>450,000</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7"/>
                <w:szCs w:val="17"/>
                <w:color w:val="auto"/>
              </w:rPr>
              <w:t>  Amy Woods Brinkley</w:t>
            </w:r>
          </w:p>
        </w:tc>
        <w:tc>
          <w:tcPr>
            <w:tcW w:w="1120" w:type="dxa"/>
            <w:vAlign w:val="bottom"/>
          </w:tcPr>
          <w:p>
            <w:pPr>
              <w:jc w:val="right"/>
              <w:ind w:right="318"/>
              <w:spacing w:after="0"/>
              <w:rPr>
                <w:sz w:val="20"/>
                <w:szCs w:val="20"/>
                <w:color w:val="auto"/>
              </w:rPr>
            </w:pPr>
            <w:r>
              <w:rPr>
                <w:rFonts w:ascii="Arial" w:cs="Arial" w:eastAsia="Arial" w:hAnsi="Arial"/>
                <w:sz w:val="17"/>
                <w:szCs w:val="17"/>
                <w:color w:val="auto"/>
              </w:rPr>
              <w:t>185,000</w:t>
            </w:r>
          </w:p>
        </w:tc>
        <w:tc>
          <w:tcPr>
            <w:tcW w:w="1040" w:type="dxa"/>
            <w:vAlign w:val="bottom"/>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tcPr>
          <w:p>
            <w:pPr>
              <w:jc w:val="center"/>
              <w:ind w:left="37"/>
              <w:spacing w:after="0"/>
              <w:rPr>
                <w:sz w:val="20"/>
                <w:szCs w:val="20"/>
                <w:color w:val="auto"/>
              </w:rPr>
            </w:pPr>
            <w:r>
              <w:rPr>
                <w:rFonts w:ascii="Arial" w:cs="Arial" w:eastAsia="Arial" w:hAnsi="Arial"/>
                <w:sz w:val="17"/>
                <w:szCs w:val="17"/>
                <w:color w:val="auto"/>
                <w:w w:val="97"/>
              </w:rPr>
              <w:t>570,000</w:t>
            </w:r>
          </w:p>
        </w:tc>
        <w:tc>
          <w:tcPr>
            <w:tcW w:w="0" w:type="dxa"/>
            <w:vAlign w:val="bottom"/>
          </w:tcPr>
          <w:p>
            <w:pPr>
              <w:spacing w:after="0"/>
              <w:rPr>
                <w:sz w:val="1"/>
                <w:szCs w:val="1"/>
                <w:color w:val="auto"/>
              </w:rPr>
            </w:pPr>
          </w:p>
        </w:tc>
      </w:tr>
      <w:tr>
        <w:trPr>
          <w:trHeight w:val="41"/>
        </w:trPr>
        <w:tc>
          <w:tcPr>
            <w:tcW w:w="4160" w:type="dxa"/>
            <w:vAlign w:val="bottom"/>
            <w:gridSpan w:val="3"/>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60" w:type="dxa"/>
            <w:vAlign w:val="bottom"/>
            <w:gridSpan w:val="2"/>
            <w:vMerge w:val="restart"/>
            <w:shd w:val="clear" w:color="auto" w:fill="CCDEF1"/>
          </w:tcPr>
          <w:p>
            <w:pPr>
              <w:spacing w:after="0"/>
              <w:rPr>
                <w:sz w:val="20"/>
                <w:szCs w:val="20"/>
                <w:color w:val="auto"/>
              </w:rPr>
            </w:pPr>
            <w:r>
              <w:rPr>
                <w:rFonts w:ascii="Arial" w:cs="Arial" w:eastAsia="Arial" w:hAnsi="Arial"/>
                <w:sz w:val="17"/>
                <w:szCs w:val="17"/>
                <w:color w:val="auto"/>
              </w:rPr>
              <w:t>  Irene M. Esteves</w:t>
            </w:r>
          </w:p>
        </w:tc>
        <w:tc>
          <w:tcPr>
            <w:tcW w:w="100" w:type="dxa"/>
            <w:vAlign w:val="bottom"/>
            <w:shd w:val="clear" w:color="auto" w:fill="CCDEF1"/>
          </w:tcPr>
          <w:p>
            <w:pPr>
              <w:spacing w:after="0"/>
              <w:rPr>
                <w:sz w:val="5"/>
                <w:szCs w:val="5"/>
                <w:color w:val="auto"/>
              </w:rPr>
            </w:pPr>
          </w:p>
        </w:tc>
        <w:tc>
          <w:tcPr>
            <w:tcW w:w="1120" w:type="dxa"/>
            <w:vAlign w:val="bottom"/>
            <w:vMerge w:val="restart"/>
            <w:shd w:val="clear" w:color="auto" w:fill="CCDEF1"/>
          </w:tcPr>
          <w:p>
            <w:pPr>
              <w:jc w:val="right"/>
              <w:ind w:right="318"/>
              <w:spacing w:after="0"/>
              <w:rPr>
                <w:sz w:val="20"/>
                <w:szCs w:val="20"/>
                <w:color w:val="auto"/>
              </w:rPr>
            </w:pPr>
            <w:r>
              <w:rPr>
                <w:rFonts w:ascii="Arial" w:cs="Arial" w:eastAsia="Arial" w:hAnsi="Arial"/>
                <w:sz w:val="17"/>
                <w:szCs w:val="17"/>
                <w:color w:val="auto"/>
              </w:rPr>
              <w:t>60,000</w:t>
            </w:r>
          </w:p>
        </w:tc>
        <w:tc>
          <w:tcPr>
            <w:tcW w:w="1040" w:type="dxa"/>
            <w:vAlign w:val="bottom"/>
            <w:vMerge w:val="restart"/>
            <w:shd w:val="clear" w:color="auto" w:fill="CCDEF1"/>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60" w:type="dxa"/>
            <w:vAlign w:val="bottom"/>
            <w:gridSpan w:val="2"/>
            <w:vMerge w:val="continue"/>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120" w:type="dxa"/>
            <w:vAlign w:val="bottom"/>
            <w:vMerge w:val="continue"/>
            <w:shd w:val="clear" w:color="auto" w:fill="CCDEF1"/>
          </w:tcPr>
          <w:p>
            <w:pPr>
              <w:spacing w:after="0"/>
              <w:rPr>
                <w:sz w:val="21"/>
                <w:szCs w:val="21"/>
                <w:color w:val="auto"/>
              </w:rPr>
            </w:pPr>
          </w:p>
        </w:tc>
        <w:tc>
          <w:tcPr>
            <w:tcW w:w="1040" w:type="dxa"/>
            <w:vAlign w:val="bottom"/>
            <w:vMerge w:val="continue"/>
            <w:shd w:val="clear" w:color="auto" w:fill="CCDEF1"/>
          </w:tcPr>
          <w:p>
            <w:pPr>
              <w:spacing w:after="0"/>
              <w:rPr>
                <w:sz w:val="21"/>
                <w:szCs w:val="21"/>
                <w:color w:val="auto"/>
              </w:rPr>
            </w:pPr>
          </w:p>
        </w:tc>
        <w:tc>
          <w:tcPr>
            <w:tcW w:w="720" w:type="dxa"/>
            <w:vAlign w:val="bottom"/>
            <w:shd w:val="clear" w:color="auto" w:fill="CCDEF1"/>
          </w:tcPr>
          <w:p>
            <w:pPr>
              <w:jc w:val="center"/>
              <w:ind w:left="37"/>
              <w:spacing w:after="0"/>
              <w:rPr>
                <w:sz w:val="20"/>
                <w:szCs w:val="20"/>
                <w:color w:val="auto"/>
              </w:rPr>
            </w:pPr>
            <w:r>
              <w:rPr>
                <w:rFonts w:ascii="Arial" w:cs="Arial" w:eastAsia="Arial" w:hAnsi="Arial"/>
                <w:sz w:val="17"/>
                <w:szCs w:val="17"/>
                <w:color w:val="auto"/>
                <w:w w:val="97"/>
              </w:rPr>
              <w:t>445,000</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7"/>
                <w:szCs w:val="17"/>
                <w:color w:val="auto"/>
              </w:rPr>
              <w:t>  Robert D. Johnson</w:t>
            </w:r>
          </w:p>
        </w:tc>
        <w:tc>
          <w:tcPr>
            <w:tcW w:w="1120" w:type="dxa"/>
            <w:vAlign w:val="bottom"/>
          </w:tcPr>
          <w:p>
            <w:pPr>
              <w:jc w:val="right"/>
              <w:ind w:right="318"/>
              <w:spacing w:after="0"/>
              <w:rPr>
                <w:sz w:val="20"/>
                <w:szCs w:val="20"/>
                <w:color w:val="auto"/>
              </w:rPr>
            </w:pPr>
            <w:r>
              <w:rPr>
                <w:rFonts w:ascii="Arial" w:cs="Arial" w:eastAsia="Arial" w:hAnsi="Arial"/>
                <w:sz w:val="17"/>
                <w:szCs w:val="17"/>
                <w:color w:val="auto"/>
              </w:rPr>
              <w:t>60,000</w:t>
            </w:r>
          </w:p>
        </w:tc>
        <w:tc>
          <w:tcPr>
            <w:tcW w:w="1040" w:type="dxa"/>
            <w:vAlign w:val="bottom"/>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tcPr>
          <w:p>
            <w:pPr>
              <w:jc w:val="center"/>
              <w:ind w:left="37"/>
              <w:spacing w:after="0"/>
              <w:rPr>
                <w:sz w:val="20"/>
                <w:szCs w:val="20"/>
                <w:color w:val="auto"/>
              </w:rPr>
            </w:pPr>
            <w:r>
              <w:rPr>
                <w:rFonts w:ascii="Arial" w:cs="Arial" w:eastAsia="Arial" w:hAnsi="Arial"/>
                <w:sz w:val="17"/>
                <w:szCs w:val="17"/>
                <w:color w:val="auto"/>
                <w:w w:val="97"/>
              </w:rPr>
              <w:t>445,000</w:t>
            </w:r>
          </w:p>
        </w:tc>
        <w:tc>
          <w:tcPr>
            <w:tcW w:w="0" w:type="dxa"/>
            <w:vAlign w:val="bottom"/>
          </w:tcPr>
          <w:p>
            <w:pPr>
              <w:spacing w:after="0"/>
              <w:rPr>
                <w:sz w:val="1"/>
                <w:szCs w:val="1"/>
                <w:color w:val="auto"/>
              </w:rPr>
            </w:pPr>
          </w:p>
        </w:tc>
      </w:tr>
      <w:tr>
        <w:trPr>
          <w:trHeight w:val="40"/>
        </w:trPr>
        <w:tc>
          <w:tcPr>
            <w:tcW w:w="4160" w:type="dxa"/>
            <w:vAlign w:val="bottom"/>
            <w:gridSpan w:val="3"/>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60" w:type="dxa"/>
            <w:vAlign w:val="bottom"/>
            <w:gridSpan w:val="2"/>
            <w:vMerge w:val="restart"/>
            <w:shd w:val="clear" w:color="auto" w:fill="CCDEF1"/>
          </w:tcPr>
          <w:p>
            <w:pPr>
              <w:spacing w:after="0"/>
              <w:rPr>
                <w:sz w:val="20"/>
                <w:szCs w:val="20"/>
                <w:color w:val="auto"/>
              </w:rPr>
            </w:pPr>
            <w:r>
              <w:rPr>
                <w:rFonts w:ascii="Arial" w:cs="Arial" w:eastAsia="Arial" w:hAnsi="Arial"/>
                <w:sz w:val="17"/>
                <w:szCs w:val="17"/>
                <w:color w:val="auto"/>
              </w:rPr>
              <w:t>  Thomas P. Joyce, Jr.</w:t>
            </w:r>
          </w:p>
        </w:tc>
        <w:tc>
          <w:tcPr>
            <w:tcW w:w="100" w:type="dxa"/>
            <w:vAlign w:val="bottom"/>
            <w:shd w:val="clear" w:color="auto" w:fill="CCDEF1"/>
          </w:tcPr>
          <w:p>
            <w:pPr>
              <w:spacing w:after="0"/>
              <w:rPr>
                <w:sz w:val="5"/>
                <w:szCs w:val="5"/>
                <w:color w:val="auto"/>
              </w:rPr>
            </w:pPr>
          </w:p>
        </w:tc>
        <w:tc>
          <w:tcPr>
            <w:tcW w:w="1120" w:type="dxa"/>
            <w:vAlign w:val="bottom"/>
            <w:vMerge w:val="restart"/>
            <w:shd w:val="clear" w:color="auto" w:fill="CCDEF1"/>
          </w:tcPr>
          <w:p>
            <w:pPr>
              <w:jc w:val="right"/>
              <w:ind w:right="318"/>
              <w:spacing w:after="0"/>
              <w:rPr>
                <w:sz w:val="20"/>
                <w:szCs w:val="20"/>
                <w:color w:val="auto"/>
              </w:rPr>
            </w:pPr>
            <w:r>
              <w:rPr>
                <w:rFonts w:ascii="Arial" w:cs="Arial" w:eastAsia="Arial" w:hAnsi="Arial"/>
                <w:sz w:val="17"/>
                <w:szCs w:val="17"/>
                <w:color w:val="auto"/>
              </w:rPr>
              <w:t>60,000</w:t>
            </w:r>
          </w:p>
        </w:tc>
        <w:tc>
          <w:tcPr>
            <w:tcW w:w="1040" w:type="dxa"/>
            <w:vAlign w:val="bottom"/>
            <w:vMerge w:val="restart"/>
            <w:shd w:val="clear" w:color="auto" w:fill="CCDEF1"/>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60" w:type="dxa"/>
            <w:vAlign w:val="bottom"/>
            <w:gridSpan w:val="2"/>
            <w:vMerge w:val="continue"/>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120" w:type="dxa"/>
            <w:vAlign w:val="bottom"/>
            <w:vMerge w:val="continue"/>
            <w:shd w:val="clear" w:color="auto" w:fill="CCDEF1"/>
          </w:tcPr>
          <w:p>
            <w:pPr>
              <w:spacing w:after="0"/>
              <w:rPr>
                <w:sz w:val="21"/>
                <w:szCs w:val="21"/>
                <w:color w:val="auto"/>
              </w:rPr>
            </w:pPr>
          </w:p>
        </w:tc>
        <w:tc>
          <w:tcPr>
            <w:tcW w:w="1040" w:type="dxa"/>
            <w:vAlign w:val="bottom"/>
            <w:vMerge w:val="continue"/>
            <w:shd w:val="clear" w:color="auto" w:fill="CCDEF1"/>
          </w:tcPr>
          <w:p>
            <w:pPr>
              <w:spacing w:after="0"/>
              <w:rPr>
                <w:sz w:val="21"/>
                <w:szCs w:val="21"/>
                <w:color w:val="auto"/>
              </w:rPr>
            </w:pPr>
          </w:p>
        </w:tc>
        <w:tc>
          <w:tcPr>
            <w:tcW w:w="720" w:type="dxa"/>
            <w:vAlign w:val="bottom"/>
            <w:shd w:val="clear" w:color="auto" w:fill="CCDEF1"/>
          </w:tcPr>
          <w:p>
            <w:pPr>
              <w:jc w:val="center"/>
              <w:ind w:left="37"/>
              <w:spacing w:after="0"/>
              <w:rPr>
                <w:sz w:val="20"/>
                <w:szCs w:val="20"/>
                <w:color w:val="auto"/>
              </w:rPr>
            </w:pPr>
            <w:r>
              <w:rPr>
                <w:rFonts w:ascii="Arial" w:cs="Arial" w:eastAsia="Arial" w:hAnsi="Arial"/>
                <w:sz w:val="17"/>
                <w:szCs w:val="17"/>
                <w:color w:val="auto"/>
                <w:w w:val="97"/>
              </w:rPr>
              <w:t>445,000</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7"/>
                <w:szCs w:val="17"/>
                <w:color w:val="auto"/>
              </w:rPr>
              <w:t>  John F. Murphy</w:t>
            </w:r>
          </w:p>
        </w:tc>
        <w:tc>
          <w:tcPr>
            <w:tcW w:w="1120" w:type="dxa"/>
            <w:vAlign w:val="bottom"/>
          </w:tcPr>
          <w:p>
            <w:pPr>
              <w:jc w:val="right"/>
              <w:ind w:right="318"/>
              <w:spacing w:after="0"/>
              <w:rPr>
                <w:sz w:val="20"/>
                <w:szCs w:val="20"/>
                <w:color w:val="auto"/>
              </w:rPr>
            </w:pPr>
            <w:r>
              <w:rPr>
                <w:rFonts w:ascii="Arial" w:cs="Arial" w:eastAsia="Arial" w:hAnsi="Arial"/>
                <w:sz w:val="17"/>
                <w:szCs w:val="17"/>
                <w:color w:val="auto"/>
              </w:rPr>
              <w:t>40,000</w:t>
            </w:r>
          </w:p>
        </w:tc>
        <w:tc>
          <w:tcPr>
            <w:tcW w:w="1040" w:type="dxa"/>
            <w:vAlign w:val="bottom"/>
          </w:tcPr>
          <w:p>
            <w:pPr>
              <w:ind w:left="140"/>
              <w:spacing w:after="0"/>
              <w:rPr>
                <w:sz w:val="20"/>
                <w:szCs w:val="20"/>
                <w:color w:val="auto"/>
              </w:rPr>
            </w:pPr>
            <w:r>
              <w:rPr>
                <w:rFonts w:ascii="Arial" w:cs="Arial" w:eastAsia="Arial" w:hAnsi="Arial"/>
                <w:sz w:val="17"/>
                <w:szCs w:val="17"/>
                <w:color w:val="auto"/>
              </w:rPr>
              <w:t>450,000</w:t>
            </w:r>
            <w:r>
              <w:rPr>
                <w:rFonts w:ascii="Arial" w:cs="Arial" w:eastAsia="Arial" w:hAnsi="Arial"/>
                <w:sz w:val="12"/>
                <w:szCs w:val="12"/>
                <w:color w:val="auto"/>
              </w:rPr>
              <w:t>(2)</w:t>
            </w:r>
          </w:p>
        </w:tc>
        <w:tc>
          <w:tcPr>
            <w:tcW w:w="720" w:type="dxa"/>
            <w:vAlign w:val="bottom"/>
          </w:tcPr>
          <w:p>
            <w:pPr>
              <w:jc w:val="center"/>
              <w:ind w:left="37"/>
              <w:spacing w:after="0"/>
              <w:rPr>
                <w:sz w:val="20"/>
                <w:szCs w:val="20"/>
                <w:color w:val="auto"/>
              </w:rPr>
            </w:pPr>
            <w:r>
              <w:rPr>
                <w:rFonts w:ascii="Arial" w:cs="Arial" w:eastAsia="Arial" w:hAnsi="Arial"/>
                <w:sz w:val="17"/>
                <w:szCs w:val="17"/>
                <w:color w:val="auto"/>
                <w:w w:val="97"/>
              </w:rPr>
              <w:t>490,000</w:t>
            </w:r>
          </w:p>
        </w:tc>
        <w:tc>
          <w:tcPr>
            <w:tcW w:w="0" w:type="dxa"/>
            <w:vAlign w:val="bottom"/>
          </w:tcPr>
          <w:p>
            <w:pPr>
              <w:spacing w:after="0"/>
              <w:rPr>
                <w:sz w:val="1"/>
                <w:szCs w:val="1"/>
                <w:color w:val="auto"/>
              </w:rPr>
            </w:pPr>
          </w:p>
        </w:tc>
      </w:tr>
      <w:tr>
        <w:trPr>
          <w:trHeight w:val="40"/>
        </w:trPr>
        <w:tc>
          <w:tcPr>
            <w:tcW w:w="4160" w:type="dxa"/>
            <w:vAlign w:val="bottom"/>
            <w:gridSpan w:val="3"/>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60" w:type="dxa"/>
            <w:vAlign w:val="bottom"/>
            <w:gridSpan w:val="2"/>
            <w:vMerge w:val="restart"/>
            <w:shd w:val="clear" w:color="auto" w:fill="CCDEF1"/>
          </w:tcPr>
          <w:p>
            <w:pPr>
              <w:spacing w:after="0"/>
              <w:rPr>
                <w:sz w:val="20"/>
                <w:szCs w:val="20"/>
                <w:color w:val="auto"/>
              </w:rPr>
            </w:pPr>
            <w:r>
              <w:rPr>
                <w:rFonts w:ascii="Arial" w:cs="Arial" w:eastAsia="Arial" w:hAnsi="Arial"/>
                <w:sz w:val="17"/>
                <w:szCs w:val="17"/>
                <w:color w:val="auto"/>
              </w:rPr>
              <w:t>  Laura G. Thatcher</w:t>
            </w:r>
          </w:p>
        </w:tc>
        <w:tc>
          <w:tcPr>
            <w:tcW w:w="100" w:type="dxa"/>
            <w:vAlign w:val="bottom"/>
            <w:shd w:val="clear" w:color="auto" w:fill="CCDEF1"/>
          </w:tcPr>
          <w:p>
            <w:pPr>
              <w:spacing w:after="0"/>
              <w:rPr>
                <w:sz w:val="5"/>
                <w:szCs w:val="5"/>
                <w:color w:val="auto"/>
              </w:rPr>
            </w:pPr>
          </w:p>
        </w:tc>
        <w:tc>
          <w:tcPr>
            <w:tcW w:w="1120" w:type="dxa"/>
            <w:vAlign w:val="bottom"/>
            <w:vMerge w:val="restart"/>
            <w:shd w:val="clear" w:color="auto" w:fill="CCDEF1"/>
          </w:tcPr>
          <w:p>
            <w:pPr>
              <w:jc w:val="right"/>
              <w:ind w:right="318"/>
              <w:spacing w:after="0"/>
              <w:rPr>
                <w:sz w:val="20"/>
                <w:szCs w:val="20"/>
                <w:color w:val="auto"/>
              </w:rPr>
            </w:pPr>
            <w:r>
              <w:rPr>
                <w:rFonts w:ascii="Arial" w:cs="Arial" w:eastAsia="Arial" w:hAnsi="Arial"/>
                <w:sz w:val="17"/>
                <w:szCs w:val="17"/>
                <w:color w:val="auto"/>
              </w:rPr>
              <w:t>65,000</w:t>
            </w:r>
          </w:p>
        </w:tc>
        <w:tc>
          <w:tcPr>
            <w:tcW w:w="1040" w:type="dxa"/>
            <w:vAlign w:val="bottom"/>
            <w:vMerge w:val="restart"/>
            <w:shd w:val="clear" w:color="auto" w:fill="CCDEF1"/>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60" w:type="dxa"/>
            <w:vAlign w:val="bottom"/>
            <w:gridSpan w:val="2"/>
            <w:vMerge w:val="continue"/>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120" w:type="dxa"/>
            <w:vAlign w:val="bottom"/>
            <w:vMerge w:val="continue"/>
            <w:shd w:val="clear" w:color="auto" w:fill="CCDEF1"/>
          </w:tcPr>
          <w:p>
            <w:pPr>
              <w:spacing w:after="0"/>
              <w:rPr>
                <w:sz w:val="21"/>
                <w:szCs w:val="21"/>
                <w:color w:val="auto"/>
              </w:rPr>
            </w:pPr>
          </w:p>
        </w:tc>
        <w:tc>
          <w:tcPr>
            <w:tcW w:w="1040" w:type="dxa"/>
            <w:vAlign w:val="bottom"/>
            <w:vMerge w:val="continue"/>
            <w:shd w:val="clear" w:color="auto" w:fill="CCDEF1"/>
          </w:tcPr>
          <w:p>
            <w:pPr>
              <w:spacing w:after="0"/>
              <w:rPr>
                <w:sz w:val="21"/>
                <w:szCs w:val="21"/>
                <w:color w:val="auto"/>
              </w:rPr>
            </w:pPr>
          </w:p>
        </w:tc>
        <w:tc>
          <w:tcPr>
            <w:tcW w:w="720" w:type="dxa"/>
            <w:vAlign w:val="bottom"/>
            <w:shd w:val="clear" w:color="auto" w:fill="CCDEF1"/>
          </w:tcPr>
          <w:p>
            <w:pPr>
              <w:jc w:val="center"/>
              <w:ind w:left="37"/>
              <w:spacing w:after="0"/>
              <w:rPr>
                <w:sz w:val="20"/>
                <w:szCs w:val="20"/>
                <w:color w:val="auto"/>
              </w:rPr>
            </w:pPr>
            <w:r>
              <w:rPr>
                <w:rFonts w:ascii="Arial" w:cs="Arial" w:eastAsia="Arial" w:hAnsi="Arial"/>
                <w:sz w:val="17"/>
                <w:szCs w:val="17"/>
                <w:color w:val="auto"/>
                <w:w w:val="97"/>
              </w:rPr>
              <w:t>450,000</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7"/>
                <w:szCs w:val="17"/>
                <w:color w:val="auto"/>
              </w:rPr>
              <w:t>  Richard F. Wallman</w:t>
            </w:r>
          </w:p>
        </w:tc>
        <w:tc>
          <w:tcPr>
            <w:tcW w:w="1120" w:type="dxa"/>
            <w:vAlign w:val="bottom"/>
          </w:tcPr>
          <w:p>
            <w:pPr>
              <w:jc w:val="right"/>
              <w:ind w:right="318"/>
              <w:spacing w:after="0"/>
              <w:rPr>
                <w:sz w:val="20"/>
                <w:szCs w:val="20"/>
                <w:color w:val="auto"/>
              </w:rPr>
            </w:pPr>
            <w:r>
              <w:rPr>
                <w:rFonts w:ascii="Arial" w:cs="Arial" w:eastAsia="Arial" w:hAnsi="Arial"/>
                <w:sz w:val="17"/>
                <w:szCs w:val="17"/>
                <w:color w:val="auto"/>
              </w:rPr>
              <w:t>65,000</w:t>
            </w:r>
          </w:p>
        </w:tc>
        <w:tc>
          <w:tcPr>
            <w:tcW w:w="1040" w:type="dxa"/>
            <w:vAlign w:val="bottom"/>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tcPr>
          <w:p>
            <w:pPr>
              <w:jc w:val="center"/>
              <w:ind w:left="37"/>
              <w:spacing w:after="0"/>
              <w:rPr>
                <w:sz w:val="20"/>
                <w:szCs w:val="20"/>
                <w:color w:val="auto"/>
              </w:rPr>
            </w:pPr>
            <w:r>
              <w:rPr>
                <w:rFonts w:ascii="Arial" w:cs="Arial" w:eastAsia="Arial" w:hAnsi="Arial"/>
                <w:sz w:val="17"/>
                <w:szCs w:val="17"/>
                <w:color w:val="auto"/>
                <w:w w:val="97"/>
              </w:rPr>
              <w:t>450,000</w:t>
            </w:r>
          </w:p>
        </w:tc>
        <w:tc>
          <w:tcPr>
            <w:tcW w:w="0" w:type="dxa"/>
            <w:vAlign w:val="bottom"/>
          </w:tcPr>
          <w:p>
            <w:pPr>
              <w:spacing w:after="0"/>
              <w:rPr>
                <w:sz w:val="1"/>
                <w:szCs w:val="1"/>
                <w:color w:val="auto"/>
              </w:rPr>
            </w:pPr>
          </w:p>
        </w:tc>
      </w:tr>
      <w:tr>
        <w:trPr>
          <w:trHeight w:val="40"/>
        </w:trPr>
        <w:tc>
          <w:tcPr>
            <w:tcW w:w="4160" w:type="dxa"/>
            <w:vAlign w:val="bottom"/>
            <w:gridSpan w:val="3"/>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60" w:type="dxa"/>
            <w:vAlign w:val="bottom"/>
            <w:gridSpan w:val="2"/>
            <w:vMerge w:val="restart"/>
            <w:shd w:val="clear" w:color="auto" w:fill="CCDEF1"/>
          </w:tcPr>
          <w:p>
            <w:pPr>
              <w:spacing w:after="0"/>
              <w:rPr>
                <w:sz w:val="20"/>
                <w:szCs w:val="20"/>
                <w:color w:val="auto"/>
              </w:rPr>
            </w:pPr>
            <w:r>
              <w:rPr>
                <w:rFonts w:ascii="Arial" w:cs="Arial" w:eastAsia="Arial" w:hAnsi="Arial"/>
                <w:sz w:val="17"/>
                <w:szCs w:val="17"/>
                <w:color w:val="auto"/>
              </w:rPr>
              <w:t>  Christopher Wright</w:t>
            </w:r>
          </w:p>
        </w:tc>
        <w:tc>
          <w:tcPr>
            <w:tcW w:w="100" w:type="dxa"/>
            <w:vAlign w:val="bottom"/>
            <w:shd w:val="clear" w:color="auto" w:fill="CCDEF1"/>
          </w:tcPr>
          <w:p>
            <w:pPr>
              <w:spacing w:after="0"/>
              <w:rPr>
                <w:sz w:val="5"/>
                <w:szCs w:val="5"/>
                <w:color w:val="auto"/>
              </w:rPr>
            </w:pPr>
          </w:p>
        </w:tc>
        <w:tc>
          <w:tcPr>
            <w:tcW w:w="1120" w:type="dxa"/>
            <w:vAlign w:val="bottom"/>
            <w:vMerge w:val="restart"/>
            <w:shd w:val="clear" w:color="auto" w:fill="CCDEF1"/>
          </w:tcPr>
          <w:p>
            <w:pPr>
              <w:jc w:val="right"/>
              <w:ind w:right="318"/>
              <w:spacing w:after="0"/>
              <w:rPr>
                <w:sz w:val="20"/>
                <w:szCs w:val="20"/>
                <w:color w:val="auto"/>
              </w:rPr>
            </w:pPr>
            <w:r>
              <w:rPr>
                <w:rFonts w:ascii="Arial" w:cs="Arial" w:eastAsia="Arial" w:hAnsi="Arial"/>
                <w:sz w:val="17"/>
                <w:szCs w:val="17"/>
                <w:color w:val="auto"/>
              </w:rPr>
              <w:t>60,000</w:t>
            </w:r>
          </w:p>
        </w:tc>
        <w:tc>
          <w:tcPr>
            <w:tcW w:w="1040" w:type="dxa"/>
            <w:vAlign w:val="bottom"/>
            <w:vMerge w:val="restart"/>
            <w:shd w:val="clear" w:color="auto" w:fill="CCDEF1"/>
          </w:tcPr>
          <w:p>
            <w:pPr>
              <w:ind w:left="140"/>
              <w:spacing w:after="0"/>
              <w:rPr>
                <w:sz w:val="20"/>
                <w:szCs w:val="20"/>
                <w:color w:val="auto"/>
              </w:rPr>
            </w:pPr>
            <w:r>
              <w:rPr>
                <w:rFonts w:ascii="Arial" w:cs="Arial" w:eastAsia="Arial" w:hAnsi="Arial"/>
                <w:sz w:val="17"/>
                <w:szCs w:val="17"/>
                <w:color w:val="auto"/>
              </w:rPr>
              <w:t>385,000</w:t>
            </w:r>
          </w:p>
        </w:tc>
        <w:tc>
          <w:tcPr>
            <w:tcW w:w="7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60" w:type="dxa"/>
            <w:vAlign w:val="bottom"/>
            <w:gridSpan w:val="2"/>
            <w:vMerge w:val="continue"/>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120" w:type="dxa"/>
            <w:vAlign w:val="bottom"/>
            <w:vMerge w:val="continue"/>
            <w:shd w:val="clear" w:color="auto" w:fill="CCDEF1"/>
          </w:tcPr>
          <w:p>
            <w:pPr>
              <w:spacing w:after="0"/>
              <w:rPr>
                <w:sz w:val="21"/>
                <w:szCs w:val="21"/>
                <w:color w:val="auto"/>
              </w:rPr>
            </w:pPr>
          </w:p>
        </w:tc>
        <w:tc>
          <w:tcPr>
            <w:tcW w:w="1040" w:type="dxa"/>
            <w:vAlign w:val="bottom"/>
            <w:vMerge w:val="continue"/>
            <w:shd w:val="clear" w:color="auto" w:fill="CCDEF1"/>
          </w:tcPr>
          <w:p>
            <w:pPr>
              <w:spacing w:after="0"/>
              <w:rPr>
                <w:sz w:val="21"/>
                <w:szCs w:val="21"/>
                <w:color w:val="auto"/>
              </w:rPr>
            </w:pPr>
          </w:p>
        </w:tc>
        <w:tc>
          <w:tcPr>
            <w:tcW w:w="720" w:type="dxa"/>
            <w:vAlign w:val="bottom"/>
            <w:shd w:val="clear" w:color="auto" w:fill="CCDEF1"/>
          </w:tcPr>
          <w:p>
            <w:pPr>
              <w:jc w:val="center"/>
              <w:ind w:left="37"/>
              <w:spacing w:after="0"/>
              <w:rPr>
                <w:sz w:val="20"/>
                <w:szCs w:val="20"/>
                <w:color w:val="auto"/>
              </w:rPr>
            </w:pPr>
            <w:r>
              <w:rPr>
                <w:rFonts w:ascii="Arial" w:cs="Arial" w:eastAsia="Arial" w:hAnsi="Arial"/>
                <w:sz w:val="17"/>
                <w:szCs w:val="17"/>
                <w:color w:val="auto"/>
                <w:w w:val="97"/>
              </w:rPr>
              <w:t>445,000</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540" w:hanging="424"/>
        <w:spacing w:after="0" w:line="214" w:lineRule="auto"/>
        <w:tabs>
          <w:tab w:leader="none" w:pos="54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restricted stock or RSUs, as the case may be, granted to these directors during 2024, calculated in accordance with Financial Accounting Standards Board Accounting Standards Codification Topic 718 (“ASC Topic 718”). The restricted stock and RSUs generally vest in equal increments 50% six months from the date of grant and 50% on the day prior to the 2024 Annual Meeting.</w:t>
      </w:r>
    </w:p>
    <w:p>
      <w:pPr>
        <w:spacing w:after="0" w:line="32" w:lineRule="exact"/>
        <w:rPr>
          <w:rFonts w:ascii="Arial" w:cs="Arial" w:eastAsia="Arial" w:hAnsi="Arial"/>
          <w:sz w:val="22"/>
          <w:szCs w:val="22"/>
          <w:color w:val="auto"/>
          <w:vertAlign w:val="superscript"/>
        </w:rPr>
      </w:pPr>
    </w:p>
    <w:p>
      <w:pPr>
        <w:ind w:left="540" w:hanging="424"/>
        <w:spacing w:after="0"/>
        <w:tabs>
          <w:tab w:leader="none" w:pos="54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Includes partial year award granted in 2024 in connection with Mr. Murphy’s appointment to the Board of Directors on April 8, 2024.</w:t>
      </w:r>
    </w:p>
    <w:p>
      <w:pPr>
        <w:spacing w:after="0" w:line="8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Our share ownership and retention guidelines for non-employee directors require each director to own shares of our common stock with a value of at least 10 times the annual cash base retainer, or $600,000 in value, within five years of becoming a director. Until the ownership requirements are met, non-employee directors are required to retain 60% of any shares they receive under our Director Compensation Plan. Each of our directors is in compliance with these guidelines.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BENEFICIAL OWNERSHIP</w:t>
      </w:r>
    </w:p>
    <w:p>
      <w:pPr>
        <w:spacing w:after="0" w:line="33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Beneficial ownership is determined in accordance with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the percentage of ownership held by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180"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color w:val="auto"/>
        </w:rPr>
        <w:t>The following table shows the beneficial ownership of Roper common stock as of March 31, 2025 by (i) each of our director nominees, (ii) each named executive officer in the “2024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6496 University Parkway, Sarasota, Florida 34240</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127000</wp:posOffset>
            </wp:positionV>
            <wp:extent cx="7011670" cy="299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1670" cy="299720"/>
                    </a:xfrm>
                    <a:prstGeom prst="rect">
                      <a:avLst/>
                    </a:prstGeom>
                    <a:noFill/>
                  </pic:spPr>
                </pic:pic>
              </a:graphicData>
            </a:graphic>
          </wp:anchor>
        </w:drawing>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shd w:val="clear" w:color="auto" w:fill="005CB9"/>
          </w:tcPr>
          <w:p>
            <w:pPr>
              <w:spacing w:after="0"/>
              <w:rPr>
                <w:sz w:val="14"/>
                <w:szCs w:val="14"/>
                <w:color w:val="auto"/>
              </w:rPr>
            </w:pPr>
          </w:p>
        </w:tc>
        <w:tc>
          <w:tcPr>
            <w:tcW w:w="7760" w:type="dxa"/>
            <w:vAlign w:val="bottom"/>
            <w:shd w:val="clear" w:color="auto" w:fill="005CB9"/>
          </w:tcPr>
          <w:p>
            <w:pPr>
              <w:spacing w:after="0"/>
              <w:rPr>
                <w:sz w:val="14"/>
                <w:szCs w:val="14"/>
                <w:color w:val="auto"/>
              </w:rPr>
            </w:pPr>
          </w:p>
        </w:tc>
        <w:tc>
          <w:tcPr>
            <w:tcW w:w="540" w:type="dxa"/>
            <w:vAlign w:val="bottom"/>
            <w:shd w:val="clear" w:color="auto" w:fill="005CB9"/>
          </w:tcPr>
          <w:p>
            <w:pPr>
              <w:ind w:left="500"/>
              <w:spacing w:after="0"/>
              <w:rPr>
                <w:sz w:val="20"/>
                <w:szCs w:val="20"/>
                <w:color w:val="auto"/>
              </w:rPr>
            </w:pPr>
            <w:r>
              <w:rPr>
                <w:rFonts w:ascii="Arial" w:cs="Arial" w:eastAsia="Arial" w:hAnsi="Arial"/>
                <w:sz w:val="2"/>
                <w:szCs w:val="2"/>
                <w:color w:val="FFFFFF"/>
                <w:w w:val="97"/>
              </w:rPr>
              <w:t> </w:t>
            </w:r>
          </w:p>
        </w:tc>
        <w:tc>
          <w:tcPr>
            <w:tcW w:w="1640" w:type="dxa"/>
            <w:vAlign w:val="bottom"/>
            <w:shd w:val="clear" w:color="auto" w:fill="005CB9"/>
          </w:tcPr>
          <w:p>
            <w:pPr>
              <w:jc w:val="right"/>
              <w:ind w:right="96"/>
              <w:spacing w:after="0"/>
              <w:rPr>
                <w:sz w:val="20"/>
                <w:szCs w:val="20"/>
                <w:color w:val="auto"/>
              </w:rPr>
            </w:pPr>
            <w:r>
              <w:rPr>
                <w:rFonts w:ascii="Arial" w:cs="Arial" w:eastAsia="Arial" w:hAnsi="Arial"/>
                <w:sz w:val="14"/>
                <w:szCs w:val="14"/>
                <w:color w:val="FFFFFF"/>
              </w:rPr>
              <w:t>Beneficial Ownership</w:t>
            </w:r>
          </w:p>
        </w:tc>
        <w:tc>
          <w:tcPr>
            <w:tcW w:w="8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Percent</w:t>
            </w:r>
          </w:p>
        </w:tc>
        <w:tc>
          <w:tcPr>
            <w:tcW w:w="20" w:type="dxa"/>
            <w:vAlign w:val="bottom"/>
          </w:tcPr>
          <w:p>
            <w:pPr>
              <w:spacing w:after="0"/>
              <w:rPr>
                <w:sz w:val="14"/>
                <w:szCs w:val="14"/>
                <w:color w:val="auto"/>
              </w:rPr>
            </w:pPr>
          </w:p>
        </w:tc>
      </w:tr>
      <w:tr>
        <w:trPr>
          <w:trHeight w:val="185"/>
        </w:trPr>
        <w:tc>
          <w:tcPr>
            <w:tcW w:w="8560" w:type="dxa"/>
            <w:vAlign w:val="bottom"/>
            <w:gridSpan w:val="3"/>
            <w:shd w:val="clear" w:color="auto" w:fill="005CB9"/>
          </w:tcPr>
          <w:p>
            <w:pPr>
              <w:spacing w:after="0"/>
              <w:rPr>
                <w:sz w:val="20"/>
                <w:szCs w:val="20"/>
                <w:color w:val="auto"/>
              </w:rPr>
            </w:pPr>
            <w:r>
              <w:rPr>
                <w:rFonts w:ascii="Arial" w:cs="Arial" w:eastAsia="Arial" w:hAnsi="Arial"/>
                <w:sz w:val="14"/>
                <w:szCs w:val="14"/>
                <w:color w:val="FFFFFF"/>
              </w:rPr>
              <w:t> Name of Beneficial Owner</w:t>
            </w:r>
          </w:p>
        </w:tc>
        <w:tc>
          <w:tcPr>
            <w:tcW w:w="1640" w:type="dxa"/>
            <w:vAlign w:val="bottom"/>
            <w:shd w:val="clear" w:color="auto" w:fill="005CB9"/>
          </w:tcPr>
          <w:p>
            <w:pPr>
              <w:jc w:val="right"/>
              <w:ind w:right="96"/>
              <w:spacing w:after="0"/>
              <w:rPr>
                <w:sz w:val="20"/>
                <w:szCs w:val="20"/>
                <w:color w:val="auto"/>
              </w:rPr>
            </w:pPr>
            <w:r>
              <w:rPr>
                <w:rFonts w:ascii="Arial" w:cs="Arial" w:eastAsia="Arial" w:hAnsi="Arial"/>
                <w:sz w:val="14"/>
                <w:szCs w:val="14"/>
                <w:color w:val="FFFFFF"/>
                <w:w w:val="92"/>
              </w:rPr>
              <w:t>   of Common Stock</w:t>
            </w:r>
            <w:r>
              <w:rPr>
                <w:rFonts w:ascii="Arial" w:cs="Arial" w:eastAsia="Arial" w:hAnsi="Arial"/>
                <w:sz w:val="14"/>
                <w:szCs w:val="14"/>
                <w:color w:val="FFFFFF"/>
                <w:w w:val="92"/>
                <w:vertAlign w:val="superscript"/>
              </w:rPr>
              <w:t>(1)(2)</w:t>
            </w:r>
          </w:p>
        </w:tc>
        <w:tc>
          <w:tcPr>
            <w:tcW w:w="8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of Class</w:t>
            </w:r>
          </w:p>
        </w:tc>
        <w:tc>
          <w:tcPr>
            <w:tcW w:w="20" w:type="dxa"/>
            <w:vAlign w:val="bottom"/>
          </w:tcPr>
          <w:p>
            <w:pPr>
              <w:spacing w:after="0"/>
              <w:rPr>
                <w:sz w:val="16"/>
                <w:szCs w:val="16"/>
                <w:color w:val="auto"/>
              </w:rPr>
            </w:pPr>
          </w:p>
        </w:tc>
      </w:tr>
      <w:tr>
        <w:trPr>
          <w:trHeight w:val="68"/>
        </w:trPr>
        <w:tc>
          <w:tcPr>
            <w:tcW w:w="8560" w:type="dxa"/>
            <w:vAlign w:val="bottom"/>
            <w:gridSpan w:val="3"/>
          </w:tcPr>
          <w:p>
            <w:pPr>
              <w:spacing w:after="0"/>
              <w:rPr>
                <w:sz w:val="5"/>
                <w:szCs w:val="5"/>
                <w:color w:val="auto"/>
              </w:rPr>
            </w:pPr>
          </w:p>
        </w:tc>
        <w:tc>
          <w:tcPr>
            <w:tcW w:w="1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4"/>
        </w:trPr>
        <w:tc>
          <w:tcPr>
            <w:tcW w:w="802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 The Vanguard Group</w:t>
            </w:r>
          </w:p>
        </w:tc>
        <w:tc>
          <w:tcPr>
            <w:tcW w:w="540" w:type="dxa"/>
            <w:vAlign w:val="bottom"/>
            <w:shd w:val="clear" w:color="auto" w:fill="CCDEF1"/>
          </w:tcPr>
          <w:p>
            <w:pPr>
              <w:spacing w:after="0"/>
              <w:rPr>
                <w:sz w:val="20"/>
                <w:szCs w:val="20"/>
                <w:color w:val="auto"/>
              </w:rPr>
            </w:pPr>
          </w:p>
        </w:tc>
        <w:tc>
          <w:tcPr>
            <w:tcW w:w="16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9,946,612</w:t>
            </w:r>
            <w:r>
              <w:rPr>
                <w:rFonts w:ascii="Arial" w:cs="Arial" w:eastAsia="Arial" w:hAnsi="Arial"/>
                <w:sz w:val="12"/>
                <w:szCs w:val="12"/>
                <w:color w:val="auto"/>
              </w:rPr>
              <w:t>(3)</w:t>
            </w:r>
          </w:p>
        </w:tc>
        <w:tc>
          <w:tcPr>
            <w:tcW w:w="800" w:type="dxa"/>
            <w:vAlign w:val="bottom"/>
            <w:shd w:val="clear" w:color="auto" w:fill="CCDEF1"/>
          </w:tcPr>
          <w:p>
            <w:pPr>
              <w:ind w:left="160"/>
              <w:spacing w:after="0"/>
              <w:rPr>
                <w:sz w:val="20"/>
                <w:szCs w:val="20"/>
                <w:color w:val="auto"/>
              </w:rPr>
            </w:pPr>
            <w:r>
              <w:rPr>
                <w:rFonts w:ascii="Arial" w:cs="Arial" w:eastAsia="Arial" w:hAnsi="Arial"/>
                <w:sz w:val="17"/>
                <w:szCs w:val="17"/>
                <w:color w:val="auto"/>
              </w:rPr>
              <w:t>9.3%</w:t>
            </w:r>
          </w:p>
        </w:tc>
        <w:tc>
          <w:tcPr>
            <w:tcW w:w="20" w:type="dxa"/>
            <w:vAlign w:val="bottom"/>
            <w:shd w:val="clear" w:color="auto" w:fill="CCDEF1"/>
          </w:tcPr>
          <w:p>
            <w:pPr>
              <w:spacing w:after="0"/>
              <w:rPr>
                <w:sz w:val="20"/>
                <w:szCs w:val="20"/>
                <w:color w:val="auto"/>
              </w:rPr>
            </w:pPr>
          </w:p>
        </w:tc>
      </w:tr>
      <w:tr>
        <w:trPr>
          <w:trHeight w:val="259"/>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 100 Vanguard Blvd., Malvern, PA 19355</w:t>
            </w:r>
          </w:p>
        </w:tc>
        <w:tc>
          <w:tcPr>
            <w:tcW w:w="540" w:type="dxa"/>
            <w:vAlign w:val="bottom"/>
            <w:tcBorders>
              <w:bottom w:val="single" w:sz="8" w:color="CCDEF1"/>
            </w:tcBorders>
            <w:shd w:val="clear" w:color="auto" w:fill="CCDEF1"/>
          </w:tcPr>
          <w:p>
            <w:pPr>
              <w:spacing w:after="0"/>
              <w:rPr>
                <w:sz w:val="22"/>
                <w:szCs w:val="22"/>
                <w:color w:val="auto"/>
              </w:rPr>
            </w:pPr>
          </w:p>
        </w:tc>
        <w:tc>
          <w:tcPr>
            <w:tcW w:w="1640" w:type="dxa"/>
            <w:vAlign w:val="bottom"/>
            <w:tcBorders>
              <w:bottom w:val="single" w:sz="8" w:color="CCDEF1"/>
            </w:tcBorders>
            <w:shd w:val="clear" w:color="auto" w:fill="CCDEF1"/>
          </w:tcPr>
          <w:p>
            <w:pPr>
              <w:spacing w:after="0"/>
              <w:rPr>
                <w:sz w:val="22"/>
                <w:szCs w:val="22"/>
                <w:color w:val="auto"/>
              </w:rPr>
            </w:pPr>
          </w:p>
        </w:tc>
        <w:tc>
          <w:tcPr>
            <w:tcW w:w="800" w:type="dxa"/>
            <w:vAlign w:val="bottom"/>
            <w:tcBorders>
              <w:bottom w:val="single" w:sz="8" w:color="CCDEF1"/>
            </w:tcBorders>
            <w:shd w:val="clear" w:color="auto" w:fill="CCDEF1"/>
          </w:tcPr>
          <w:p>
            <w:pPr>
              <w:spacing w:after="0"/>
              <w:rPr>
                <w:sz w:val="22"/>
                <w:szCs w:val="22"/>
                <w:color w:val="auto"/>
              </w:rPr>
            </w:pPr>
          </w:p>
        </w:tc>
        <w:tc>
          <w:tcPr>
            <w:tcW w:w="20" w:type="dxa"/>
            <w:vAlign w:val="bottom"/>
            <w:tcBorders>
              <w:bottom w:val="single" w:sz="8" w:color="CCDEF1"/>
            </w:tcBorders>
            <w:shd w:val="clear" w:color="auto" w:fill="CCDEF1"/>
          </w:tcPr>
          <w:p>
            <w:pPr>
              <w:spacing w:after="0"/>
              <w:rPr>
                <w:sz w:val="22"/>
                <w:szCs w:val="22"/>
                <w:color w:val="auto"/>
              </w:rPr>
            </w:pPr>
          </w:p>
        </w:tc>
      </w:tr>
      <w:tr>
        <w:trPr>
          <w:trHeight w:val="234"/>
        </w:trPr>
        <w:tc>
          <w:tcPr>
            <w:tcW w:w="8560" w:type="dxa"/>
            <w:vAlign w:val="bottom"/>
            <w:gridSpan w:val="3"/>
          </w:tcPr>
          <w:p>
            <w:pPr>
              <w:spacing w:after="0"/>
              <w:rPr>
                <w:sz w:val="20"/>
                <w:szCs w:val="20"/>
                <w:color w:val="auto"/>
              </w:rPr>
            </w:pPr>
            <w:r>
              <w:rPr>
                <w:rFonts w:ascii="Arial" w:cs="Arial" w:eastAsia="Arial" w:hAnsi="Arial"/>
                <w:sz w:val="17"/>
                <w:szCs w:val="17"/>
                <w:color w:val="auto"/>
              </w:rPr>
              <w:t> BlackRock, Inc.</w:t>
            </w:r>
          </w:p>
        </w:tc>
        <w:tc>
          <w:tcPr>
            <w:tcW w:w="1640" w:type="dxa"/>
            <w:vAlign w:val="bottom"/>
          </w:tcPr>
          <w:p>
            <w:pPr>
              <w:jc w:val="right"/>
              <w:ind w:right="376"/>
              <w:spacing w:after="0"/>
              <w:rPr>
                <w:sz w:val="20"/>
                <w:szCs w:val="20"/>
                <w:color w:val="auto"/>
              </w:rPr>
            </w:pPr>
            <w:r>
              <w:rPr>
                <w:rFonts w:ascii="Arial" w:cs="Arial" w:eastAsia="Arial" w:hAnsi="Arial"/>
                <w:sz w:val="17"/>
                <w:szCs w:val="17"/>
                <w:color w:val="auto"/>
              </w:rPr>
              <w:t>9,638,792</w:t>
            </w:r>
            <w:r>
              <w:rPr>
                <w:rFonts w:ascii="Arial" w:cs="Arial" w:eastAsia="Arial" w:hAnsi="Arial"/>
                <w:sz w:val="12"/>
                <w:szCs w:val="12"/>
                <w:color w:val="auto"/>
              </w:rPr>
              <w:t>(4)</w:t>
            </w:r>
          </w:p>
        </w:tc>
        <w:tc>
          <w:tcPr>
            <w:tcW w:w="800" w:type="dxa"/>
            <w:vAlign w:val="bottom"/>
          </w:tcPr>
          <w:p>
            <w:pPr>
              <w:ind w:left="160"/>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20"/>
                <w:szCs w:val="20"/>
                <w:color w:val="auto"/>
              </w:rPr>
            </w:pPr>
          </w:p>
        </w:tc>
      </w:tr>
      <w:tr>
        <w:trPr>
          <w:trHeight w:val="225"/>
        </w:trPr>
        <w:tc>
          <w:tcPr>
            <w:tcW w:w="8560" w:type="dxa"/>
            <w:vAlign w:val="bottom"/>
            <w:gridSpan w:val="3"/>
          </w:tcPr>
          <w:p>
            <w:pPr>
              <w:spacing w:after="0"/>
              <w:rPr>
                <w:sz w:val="20"/>
                <w:szCs w:val="20"/>
                <w:color w:val="auto"/>
              </w:rPr>
            </w:pPr>
            <w:r>
              <w:rPr>
                <w:rFonts w:ascii="Arial" w:cs="Arial" w:eastAsia="Arial" w:hAnsi="Arial"/>
                <w:sz w:val="17"/>
                <w:szCs w:val="17"/>
                <w:color w:val="auto"/>
              </w:rPr>
              <w:t> 50 Hudson Yards, New York, NY, 10001</w:t>
            </w: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4"/>
        </w:trPr>
        <w:tc>
          <w:tcPr>
            <w:tcW w:w="8560" w:type="dxa"/>
            <w:vAlign w:val="bottom"/>
            <w:gridSpan w:val="3"/>
          </w:tcPr>
          <w:p>
            <w:pPr>
              <w:spacing w:after="0"/>
              <w:rPr>
                <w:sz w:val="4"/>
                <w:szCs w:val="4"/>
                <w:color w:val="auto"/>
              </w:rPr>
            </w:pPr>
          </w:p>
        </w:tc>
        <w:tc>
          <w:tcPr>
            <w:tcW w:w="1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4"/>
        </w:trPr>
        <w:tc>
          <w:tcPr>
            <w:tcW w:w="802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 T. Rowe Price Associates, Inc.</w:t>
            </w:r>
          </w:p>
        </w:tc>
        <w:tc>
          <w:tcPr>
            <w:tcW w:w="540" w:type="dxa"/>
            <w:vAlign w:val="bottom"/>
            <w:shd w:val="clear" w:color="auto" w:fill="CCDEF1"/>
          </w:tcPr>
          <w:p>
            <w:pPr>
              <w:spacing w:after="0"/>
              <w:rPr>
                <w:sz w:val="20"/>
                <w:szCs w:val="20"/>
                <w:color w:val="auto"/>
              </w:rPr>
            </w:pPr>
          </w:p>
        </w:tc>
        <w:tc>
          <w:tcPr>
            <w:tcW w:w="16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6,537,372</w:t>
            </w:r>
            <w:r>
              <w:rPr>
                <w:rFonts w:ascii="Arial" w:cs="Arial" w:eastAsia="Arial" w:hAnsi="Arial"/>
                <w:sz w:val="12"/>
                <w:szCs w:val="12"/>
                <w:color w:val="auto"/>
              </w:rPr>
              <w:t>(5)</w:t>
            </w:r>
          </w:p>
        </w:tc>
        <w:tc>
          <w:tcPr>
            <w:tcW w:w="800" w:type="dxa"/>
            <w:vAlign w:val="bottom"/>
            <w:shd w:val="clear" w:color="auto" w:fill="CCDEF1"/>
          </w:tcPr>
          <w:p>
            <w:pPr>
              <w:ind w:left="160"/>
              <w:spacing w:after="0"/>
              <w:rPr>
                <w:sz w:val="20"/>
                <w:szCs w:val="20"/>
                <w:color w:val="auto"/>
              </w:rPr>
            </w:pPr>
            <w:r>
              <w:rPr>
                <w:rFonts w:ascii="Arial" w:cs="Arial" w:eastAsia="Arial" w:hAnsi="Arial"/>
                <w:sz w:val="17"/>
                <w:szCs w:val="17"/>
                <w:color w:val="auto"/>
              </w:rPr>
              <w:t>6.1%</w:t>
            </w:r>
          </w:p>
        </w:tc>
        <w:tc>
          <w:tcPr>
            <w:tcW w:w="20" w:type="dxa"/>
            <w:vAlign w:val="bottom"/>
            <w:shd w:val="clear" w:color="auto" w:fill="CCDEF1"/>
          </w:tcPr>
          <w:p>
            <w:pPr>
              <w:spacing w:after="0"/>
              <w:rPr>
                <w:sz w:val="20"/>
                <w:szCs w:val="20"/>
                <w:color w:val="auto"/>
              </w:rPr>
            </w:pPr>
          </w:p>
        </w:tc>
      </w:tr>
      <w:tr>
        <w:trPr>
          <w:trHeight w:val="259"/>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 100 E. Pratt Street, Baltimore, MD 21202</w:t>
            </w:r>
          </w:p>
        </w:tc>
        <w:tc>
          <w:tcPr>
            <w:tcW w:w="540" w:type="dxa"/>
            <w:vAlign w:val="bottom"/>
            <w:tcBorders>
              <w:bottom w:val="single" w:sz="8" w:color="CCDEF1"/>
            </w:tcBorders>
            <w:shd w:val="clear" w:color="auto" w:fill="CCDEF1"/>
          </w:tcPr>
          <w:p>
            <w:pPr>
              <w:spacing w:after="0"/>
              <w:rPr>
                <w:sz w:val="22"/>
                <w:szCs w:val="22"/>
                <w:color w:val="auto"/>
              </w:rPr>
            </w:pPr>
          </w:p>
        </w:tc>
        <w:tc>
          <w:tcPr>
            <w:tcW w:w="1640" w:type="dxa"/>
            <w:vAlign w:val="bottom"/>
            <w:tcBorders>
              <w:bottom w:val="single" w:sz="8" w:color="CCDEF1"/>
            </w:tcBorders>
            <w:shd w:val="clear" w:color="auto" w:fill="CCDEF1"/>
          </w:tcPr>
          <w:p>
            <w:pPr>
              <w:spacing w:after="0"/>
              <w:rPr>
                <w:sz w:val="22"/>
                <w:szCs w:val="22"/>
                <w:color w:val="auto"/>
              </w:rPr>
            </w:pPr>
          </w:p>
        </w:tc>
        <w:tc>
          <w:tcPr>
            <w:tcW w:w="800" w:type="dxa"/>
            <w:vAlign w:val="bottom"/>
            <w:tcBorders>
              <w:bottom w:val="single" w:sz="8" w:color="CCDEF1"/>
            </w:tcBorders>
            <w:shd w:val="clear" w:color="auto" w:fill="CCDEF1"/>
          </w:tcPr>
          <w:p>
            <w:pPr>
              <w:spacing w:after="0"/>
              <w:rPr>
                <w:sz w:val="22"/>
                <w:szCs w:val="22"/>
                <w:color w:val="auto"/>
              </w:rPr>
            </w:pPr>
          </w:p>
        </w:tc>
        <w:tc>
          <w:tcPr>
            <w:tcW w:w="20" w:type="dxa"/>
            <w:vAlign w:val="bottom"/>
            <w:tcBorders>
              <w:bottom w:val="single" w:sz="8" w:color="CCDEF1"/>
            </w:tcBorders>
            <w:shd w:val="clear" w:color="auto" w:fill="CCDEF1"/>
          </w:tcPr>
          <w:p>
            <w:pPr>
              <w:spacing w:after="0"/>
              <w:rPr>
                <w:sz w:val="22"/>
                <w:szCs w:val="22"/>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 Shellye L. Archambeau</w:t>
            </w:r>
          </w:p>
        </w:tc>
        <w:tc>
          <w:tcPr>
            <w:tcW w:w="1640" w:type="dxa"/>
            <w:vAlign w:val="bottom"/>
          </w:tcPr>
          <w:p>
            <w:pPr>
              <w:jc w:val="right"/>
              <w:ind w:right="536"/>
              <w:spacing w:after="0"/>
              <w:rPr>
                <w:sz w:val="20"/>
                <w:szCs w:val="20"/>
                <w:color w:val="auto"/>
              </w:rPr>
            </w:pPr>
            <w:r>
              <w:rPr>
                <w:rFonts w:ascii="Arial" w:cs="Arial" w:eastAsia="Arial" w:hAnsi="Arial"/>
                <w:sz w:val="17"/>
                <w:szCs w:val="17"/>
                <w:color w:val="auto"/>
              </w:rPr>
              <w:t>7,103</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0"/>
        </w:trPr>
        <w:tc>
          <w:tcPr>
            <w:tcW w:w="8560" w:type="dxa"/>
            <w:vAlign w:val="bottom"/>
            <w:gridSpan w:val="3"/>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1"/>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 Amy Woods Brinkley</w:t>
            </w:r>
          </w:p>
        </w:tc>
        <w:tc>
          <w:tcPr>
            <w:tcW w:w="540" w:type="dxa"/>
            <w:vAlign w:val="bottom"/>
            <w:tcBorders>
              <w:bottom w:val="single" w:sz="8" w:color="CCDEF1"/>
            </w:tcBorders>
            <w:shd w:val="clear" w:color="auto" w:fill="CCDEF1"/>
          </w:tcPr>
          <w:p>
            <w:pPr>
              <w:spacing w:after="0"/>
              <w:rPr>
                <w:sz w:val="24"/>
                <w:szCs w:val="24"/>
                <w:color w:val="auto"/>
              </w:rPr>
            </w:pPr>
          </w:p>
        </w:tc>
        <w:tc>
          <w:tcPr>
            <w:tcW w:w="164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16,309</w:t>
            </w:r>
          </w:p>
        </w:tc>
        <w:tc>
          <w:tcPr>
            <w:tcW w:w="800" w:type="dxa"/>
            <w:vAlign w:val="bottom"/>
            <w:tcBorders>
              <w:bottom w:val="single" w:sz="8" w:color="CCDEF1"/>
            </w:tcBorders>
            <w:shd w:val="clear" w:color="auto" w:fill="CCDEF1"/>
          </w:tcPr>
          <w:p>
            <w:pPr>
              <w:ind w:lef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 Jason P. Conley</w:t>
            </w:r>
          </w:p>
        </w:tc>
        <w:tc>
          <w:tcPr>
            <w:tcW w:w="1640" w:type="dxa"/>
            <w:vAlign w:val="bottom"/>
          </w:tcPr>
          <w:p>
            <w:pPr>
              <w:jc w:val="right"/>
              <w:ind w:right="536"/>
              <w:spacing w:after="0"/>
              <w:rPr>
                <w:sz w:val="20"/>
                <w:szCs w:val="20"/>
                <w:color w:val="auto"/>
              </w:rPr>
            </w:pPr>
            <w:r>
              <w:rPr>
                <w:rFonts w:ascii="Arial" w:cs="Arial" w:eastAsia="Arial" w:hAnsi="Arial"/>
                <w:sz w:val="17"/>
                <w:szCs w:val="17"/>
                <w:color w:val="auto"/>
              </w:rPr>
              <w:t>101,937</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0"/>
        </w:trPr>
        <w:tc>
          <w:tcPr>
            <w:tcW w:w="8560" w:type="dxa"/>
            <w:vAlign w:val="bottom"/>
            <w:gridSpan w:val="3"/>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 Irene M. Esteves</w:t>
            </w:r>
          </w:p>
        </w:tc>
        <w:tc>
          <w:tcPr>
            <w:tcW w:w="540" w:type="dxa"/>
            <w:vAlign w:val="bottom"/>
            <w:tcBorders>
              <w:bottom w:val="single" w:sz="8" w:color="CCDEF1"/>
            </w:tcBorders>
            <w:shd w:val="clear" w:color="auto" w:fill="CCDEF1"/>
          </w:tcPr>
          <w:p>
            <w:pPr>
              <w:spacing w:after="0"/>
              <w:rPr>
                <w:sz w:val="24"/>
                <w:szCs w:val="24"/>
                <w:color w:val="auto"/>
              </w:rPr>
            </w:pPr>
          </w:p>
        </w:tc>
        <w:tc>
          <w:tcPr>
            <w:tcW w:w="164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2,689</w:t>
            </w:r>
          </w:p>
        </w:tc>
        <w:tc>
          <w:tcPr>
            <w:tcW w:w="800" w:type="dxa"/>
            <w:vAlign w:val="bottom"/>
            <w:tcBorders>
              <w:bottom w:val="single" w:sz="8" w:color="CCDEF1"/>
            </w:tcBorders>
            <w:shd w:val="clear" w:color="auto" w:fill="CCDEF1"/>
          </w:tcPr>
          <w:p>
            <w:pPr>
              <w:ind w:lef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 L. Neil Hunn</w:t>
            </w:r>
          </w:p>
        </w:tc>
        <w:tc>
          <w:tcPr>
            <w:tcW w:w="1640" w:type="dxa"/>
            <w:vAlign w:val="bottom"/>
          </w:tcPr>
          <w:p>
            <w:pPr>
              <w:jc w:val="right"/>
              <w:ind w:right="376"/>
              <w:spacing w:after="0"/>
              <w:rPr>
                <w:sz w:val="20"/>
                <w:szCs w:val="20"/>
                <w:color w:val="auto"/>
              </w:rPr>
            </w:pPr>
            <w:r>
              <w:rPr>
                <w:rFonts w:ascii="Arial" w:cs="Arial" w:eastAsia="Arial" w:hAnsi="Arial"/>
                <w:sz w:val="17"/>
                <w:szCs w:val="17"/>
                <w:color w:val="auto"/>
              </w:rPr>
              <w:t>515,663</w:t>
            </w:r>
            <w:r>
              <w:rPr>
                <w:rFonts w:ascii="Arial" w:cs="Arial" w:eastAsia="Arial" w:hAnsi="Arial"/>
                <w:sz w:val="12"/>
                <w:szCs w:val="12"/>
                <w:color w:val="auto"/>
              </w:rPr>
              <w:t>(6)</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0"/>
        </w:trPr>
        <w:tc>
          <w:tcPr>
            <w:tcW w:w="8560" w:type="dxa"/>
            <w:vAlign w:val="bottom"/>
            <w:gridSpan w:val="3"/>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1"/>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 Robert D. Johnson</w:t>
            </w:r>
          </w:p>
        </w:tc>
        <w:tc>
          <w:tcPr>
            <w:tcW w:w="540" w:type="dxa"/>
            <w:vAlign w:val="bottom"/>
            <w:tcBorders>
              <w:bottom w:val="single" w:sz="8" w:color="CCDEF1"/>
            </w:tcBorders>
            <w:shd w:val="clear" w:color="auto" w:fill="CCDEF1"/>
          </w:tcPr>
          <w:p>
            <w:pPr>
              <w:spacing w:after="0"/>
              <w:rPr>
                <w:sz w:val="24"/>
                <w:szCs w:val="24"/>
                <w:color w:val="auto"/>
              </w:rPr>
            </w:pPr>
          </w:p>
        </w:tc>
        <w:tc>
          <w:tcPr>
            <w:tcW w:w="164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3,867</w:t>
            </w:r>
          </w:p>
        </w:tc>
        <w:tc>
          <w:tcPr>
            <w:tcW w:w="800" w:type="dxa"/>
            <w:vAlign w:val="bottom"/>
            <w:tcBorders>
              <w:bottom w:val="single" w:sz="8" w:color="CCDEF1"/>
            </w:tcBorders>
            <w:shd w:val="clear" w:color="auto" w:fill="CCDEF1"/>
          </w:tcPr>
          <w:p>
            <w:pPr>
              <w:ind w:lef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 Thomas P. Joyce, Jr.</w:t>
            </w:r>
          </w:p>
        </w:tc>
        <w:tc>
          <w:tcPr>
            <w:tcW w:w="1640" w:type="dxa"/>
            <w:vAlign w:val="bottom"/>
          </w:tcPr>
          <w:p>
            <w:pPr>
              <w:jc w:val="right"/>
              <w:ind w:right="536"/>
              <w:spacing w:after="0"/>
              <w:rPr>
                <w:sz w:val="20"/>
                <w:szCs w:val="20"/>
                <w:color w:val="auto"/>
              </w:rPr>
            </w:pPr>
            <w:r>
              <w:rPr>
                <w:rFonts w:ascii="Arial" w:cs="Arial" w:eastAsia="Arial" w:hAnsi="Arial"/>
                <w:sz w:val="17"/>
                <w:szCs w:val="17"/>
                <w:color w:val="auto"/>
              </w:rPr>
              <w:t>2,689</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0"/>
        </w:trPr>
        <w:tc>
          <w:tcPr>
            <w:tcW w:w="8560" w:type="dxa"/>
            <w:vAlign w:val="bottom"/>
            <w:gridSpan w:val="3"/>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 John F. Murphy</w:t>
            </w:r>
          </w:p>
        </w:tc>
        <w:tc>
          <w:tcPr>
            <w:tcW w:w="540" w:type="dxa"/>
            <w:vAlign w:val="bottom"/>
            <w:tcBorders>
              <w:bottom w:val="single" w:sz="8" w:color="CCDEF1"/>
            </w:tcBorders>
            <w:shd w:val="clear" w:color="auto" w:fill="CCDEF1"/>
          </w:tcPr>
          <w:p>
            <w:pPr>
              <w:spacing w:after="0"/>
              <w:rPr>
                <w:sz w:val="24"/>
                <w:szCs w:val="24"/>
                <w:color w:val="auto"/>
              </w:rPr>
            </w:pPr>
          </w:p>
        </w:tc>
        <w:tc>
          <w:tcPr>
            <w:tcW w:w="164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821</w:t>
            </w:r>
          </w:p>
        </w:tc>
        <w:tc>
          <w:tcPr>
            <w:tcW w:w="800" w:type="dxa"/>
            <w:vAlign w:val="bottom"/>
            <w:tcBorders>
              <w:bottom w:val="single" w:sz="8" w:color="CCDEF1"/>
            </w:tcBorders>
            <w:shd w:val="clear" w:color="auto" w:fill="CCDEF1"/>
          </w:tcPr>
          <w:p>
            <w:pPr>
              <w:ind w:lef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 Laura G. Thatcher</w:t>
            </w:r>
          </w:p>
        </w:tc>
        <w:tc>
          <w:tcPr>
            <w:tcW w:w="1640" w:type="dxa"/>
            <w:vAlign w:val="bottom"/>
          </w:tcPr>
          <w:p>
            <w:pPr>
              <w:jc w:val="right"/>
              <w:ind w:right="536"/>
              <w:spacing w:after="0"/>
              <w:rPr>
                <w:sz w:val="20"/>
                <w:szCs w:val="20"/>
                <w:color w:val="auto"/>
              </w:rPr>
            </w:pPr>
            <w:r>
              <w:rPr>
                <w:rFonts w:ascii="Arial" w:cs="Arial" w:eastAsia="Arial" w:hAnsi="Arial"/>
                <w:sz w:val="17"/>
                <w:szCs w:val="17"/>
                <w:color w:val="auto"/>
              </w:rPr>
              <w:t>20,249</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0"/>
        </w:trPr>
        <w:tc>
          <w:tcPr>
            <w:tcW w:w="8560" w:type="dxa"/>
            <w:vAlign w:val="bottom"/>
            <w:gridSpan w:val="3"/>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 Richard F. Wallman</w:t>
            </w:r>
          </w:p>
        </w:tc>
        <w:tc>
          <w:tcPr>
            <w:tcW w:w="540" w:type="dxa"/>
            <w:vAlign w:val="bottom"/>
            <w:tcBorders>
              <w:bottom w:val="single" w:sz="8" w:color="CCDEF1"/>
            </w:tcBorders>
            <w:shd w:val="clear" w:color="auto" w:fill="CCDEF1"/>
          </w:tcPr>
          <w:p>
            <w:pPr>
              <w:spacing w:after="0"/>
              <w:rPr>
                <w:sz w:val="24"/>
                <w:szCs w:val="24"/>
                <w:color w:val="auto"/>
              </w:rPr>
            </w:pPr>
          </w:p>
        </w:tc>
        <w:tc>
          <w:tcPr>
            <w:tcW w:w="164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20,187</w:t>
            </w:r>
          </w:p>
        </w:tc>
        <w:tc>
          <w:tcPr>
            <w:tcW w:w="800" w:type="dxa"/>
            <w:vAlign w:val="bottom"/>
            <w:tcBorders>
              <w:bottom w:val="single" w:sz="8" w:color="CCDEF1"/>
            </w:tcBorders>
            <w:shd w:val="clear" w:color="auto" w:fill="CCDEF1"/>
          </w:tcPr>
          <w:p>
            <w:pPr>
              <w:ind w:lef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 Christopher Wright</w:t>
            </w:r>
          </w:p>
        </w:tc>
        <w:tc>
          <w:tcPr>
            <w:tcW w:w="1640" w:type="dxa"/>
            <w:vAlign w:val="bottom"/>
          </w:tcPr>
          <w:p>
            <w:pPr>
              <w:jc w:val="right"/>
              <w:ind w:right="376"/>
              <w:spacing w:after="0"/>
              <w:rPr>
                <w:sz w:val="20"/>
                <w:szCs w:val="20"/>
                <w:color w:val="auto"/>
              </w:rPr>
            </w:pPr>
            <w:r>
              <w:rPr>
                <w:rFonts w:ascii="Arial" w:cs="Arial" w:eastAsia="Arial" w:hAnsi="Arial"/>
                <w:sz w:val="17"/>
                <w:szCs w:val="17"/>
                <w:color w:val="auto"/>
              </w:rPr>
              <w:t>48,782</w:t>
            </w:r>
            <w:r>
              <w:rPr>
                <w:rFonts w:ascii="Arial" w:cs="Arial" w:eastAsia="Arial" w:hAnsi="Arial"/>
                <w:sz w:val="12"/>
                <w:szCs w:val="12"/>
                <w:color w:val="auto"/>
              </w:rPr>
              <w:t>(7)</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0"/>
        </w:trPr>
        <w:tc>
          <w:tcPr>
            <w:tcW w:w="8560" w:type="dxa"/>
            <w:vAlign w:val="bottom"/>
            <w:gridSpan w:val="3"/>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802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 John K. Stipancich</w:t>
            </w:r>
          </w:p>
        </w:tc>
        <w:tc>
          <w:tcPr>
            <w:tcW w:w="540" w:type="dxa"/>
            <w:vAlign w:val="bottom"/>
            <w:tcBorders>
              <w:bottom w:val="single" w:sz="8" w:color="CCDEF1"/>
            </w:tcBorders>
            <w:shd w:val="clear" w:color="auto" w:fill="CCDEF1"/>
          </w:tcPr>
          <w:p>
            <w:pPr>
              <w:spacing w:after="0"/>
              <w:rPr>
                <w:sz w:val="24"/>
                <w:szCs w:val="24"/>
                <w:color w:val="auto"/>
              </w:rPr>
            </w:pPr>
          </w:p>
        </w:tc>
        <w:tc>
          <w:tcPr>
            <w:tcW w:w="164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101,645</w:t>
            </w:r>
          </w:p>
        </w:tc>
        <w:tc>
          <w:tcPr>
            <w:tcW w:w="800" w:type="dxa"/>
            <w:vAlign w:val="bottom"/>
            <w:tcBorders>
              <w:bottom w:val="single" w:sz="8" w:color="CCDEF1"/>
            </w:tcBorders>
            <w:shd w:val="clear" w:color="auto" w:fill="CCDEF1"/>
          </w:tcPr>
          <w:p>
            <w:pPr>
              <w:ind w:lef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8560" w:type="dxa"/>
            <w:vAlign w:val="bottom"/>
            <w:gridSpan w:val="3"/>
          </w:tcPr>
          <w:p>
            <w:pPr>
              <w:spacing w:after="0"/>
              <w:rPr>
                <w:sz w:val="20"/>
                <w:szCs w:val="20"/>
                <w:color w:val="auto"/>
              </w:rPr>
            </w:pPr>
            <w:r>
              <w:rPr>
                <w:rFonts w:ascii="Arial" w:cs="Arial" w:eastAsia="Arial" w:hAnsi="Arial"/>
                <w:sz w:val="17"/>
                <w:szCs w:val="17"/>
                <w:color w:val="auto"/>
              </w:rPr>
              <w:t> All current directors and named executive officers as a group (12 individuals)</w:t>
            </w:r>
          </w:p>
        </w:tc>
        <w:tc>
          <w:tcPr>
            <w:tcW w:w="1640" w:type="dxa"/>
            <w:vAlign w:val="bottom"/>
          </w:tcPr>
          <w:p>
            <w:pPr>
              <w:jc w:val="right"/>
              <w:ind w:right="536"/>
              <w:spacing w:after="0"/>
              <w:rPr>
                <w:sz w:val="20"/>
                <w:szCs w:val="20"/>
                <w:color w:val="auto"/>
              </w:rPr>
            </w:pPr>
            <w:r>
              <w:rPr>
                <w:rFonts w:ascii="Arial" w:cs="Arial" w:eastAsia="Arial" w:hAnsi="Arial"/>
                <w:sz w:val="17"/>
                <w:szCs w:val="17"/>
                <w:color w:val="auto"/>
              </w:rPr>
              <w:t>841,941</w:t>
            </w:r>
          </w:p>
        </w:tc>
        <w:tc>
          <w:tcPr>
            <w:tcW w:w="800" w:type="dxa"/>
            <w:vAlign w:val="bottom"/>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221"/>
        </w:trPr>
        <w:tc>
          <w:tcPr>
            <w:tcW w:w="260" w:type="dxa"/>
            <w:vAlign w:val="bottom"/>
          </w:tcPr>
          <w:p>
            <w:pPr>
              <w:spacing w:after="0"/>
              <w:rPr>
                <w:sz w:val="20"/>
                <w:szCs w:val="20"/>
                <w:color w:val="auto"/>
              </w:rPr>
            </w:pPr>
            <w:r>
              <w:rPr>
                <w:rFonts w:ascii="Arial" w:cs="Arial" w:eastAsia="Arial" w:hAnsi="Arial"/>
                <w:sz w:val="14"/>
                <w:szCs w:val="14"/>
                <w:color w:val="auto"/>
              </w:rPr>
              <w:t>**</w:t>
            </w:r>
          </w:p>
        </w:tc>
        <w:tc>
          <w:tcPr>
            <w:tcW w:w="8300" w:type="dxa"/>
            <w:vAlign w:val="bottom"/>
            <w:gridSpan w:val="2"/>
          </w:tcPr>
          <w:p>
            <w:pPr>
              <w:ind w:left="160"/>
              <w:spacing w:after="0"/>
              <w:rPr>
                <w:sz w:val="20"/>
                <w:szCs w:val="20"/>
                <w:color w:val="auto"/>
              </w:rPr>
            </w:pPr>
            <w:r>
              <w:rPr>
                <w:rFonts w:ascii="Arial" w:cs="Arial" w:eastAsia="Arial" w:hAnsi="Arial"/>
                <w:sz w:val="14"/>
                <w:szCs w:val="14"/>
                <w:color w:val="auto"/>
              </w:rPr>
              <w:t>Less than 1%.</w:t>
            </w: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53" w:lineRule="exact"/>
        <w:rPr>
          <w:sz w:val="20"/>
          <w:szCs w:val="20"/>
          <w:color w:val="auto"/>
        </w:rPr>
      </w:pPr>
    </w:p>
    <w:p>
      <w:pPr>
        <w:jc w:val="both"/>
        <w:ind w:left="540" w:right="20" w:hanging="424"/>
        <w:spacing w:after="0" w:line="214" w:lineRule="auto"/>
        <w:tabs>
          <w:tab w:leader="none" w:pos="5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that could be acquired on or before May 30, 2025 upon exercise of stock options issued under Company plans as follows: Mr. Conley (70,242), Mr. Hunn (335,544), Mr. Stipancich (62,713), and all current directors and executive officers as a group (468,499). Holders do not have voting or investment power over unexercised option shares.</w:t>
      </w:r>
    </w:p>
    <w:p>
      <w:pPr>
        <w:spacing w:after="0" w:line="54" w:lineRule="exact"/>
        <w:rPr>
          <w:rFonts w:ascii="Arial" w:cs="Arial" w:eastAsia="Arial" w:hAnsi="Arial"/>
          <w:sz w:val="22"/>
          <w:szCs w:val="22"/>
          <w:color w:val="auto"/>
          <w:vertAlign w:val="superscript"/>
        </w:rPr>
      </w:pPr>
    </w:p>
    <w:p>
      <w:pPr>
        <w:jc w:val="both"/>
        <w:ind w:left="540" w:hanging="424"/>
        <w:spacing w:after="0" w:line="214" w:lineRule="auto"/>
        <w:tabs>
          <w:tab w:leader="none" w:pos="5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of unvested restricted stock held by directors and named executives officers over which they have sole voting power but no investment power: Ms. Brinkley (352), Mr. Conley (8,815), Mr. Hunn (32,665), Mr. Murphy (352), Mr. Stipancich (8,110), Ms. Thatcher (352), and Mr. Wallman (352). The total for all current directors and executive officers as a group is (50,998).</w:t>
      </w:r>
    </w:p>
    <w:p>
      <w:pPr>
        <w:spacing w:after="0" w:line="54" w:lineRule="exact"/>
        <w:rPr>
          <w:rFonts w:ascii="Arial" w:cs="Arial" w:eastAsia="Arial" w:hAnsi="Arial"/>
          <w:sz w:val="22"/>
          <w:szCs w:val="22"/>
          <w:color w:val="auto"/>
          <w:vertAlign w:val="superscript"/>
        </w:rPr>
      </w:pPr>
    </w:p>
    <w:p>
      <w:pPr>
        <w:jc w:val="both"/>
        <w:ind w:left="540" w:right="20" w:hanging="424"/>
        <w:spacing w:after="0" w:line="214" w:lineRule="auto"/>
        <w:tabs>
          <w:tab w:leader="none" w:pos="5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February 13, 2024, as of December 29, 2023, The Vanguard Group (“Vanguard”) beneficially owned 9,946,612 shares of Roper common stock with shared voting power over 131,576 shares, sole dispositive power over 9,511,976 shares, and shared dispositive power over 434,636 shares.</w:t>
      </w:r>
    </w:p>
    <w:p>
      <w:pPr>
        <w:spacing w:after="0" w:line="54"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January 25, 2024, as of December 31, 2023, BlackRock, Inc. (and certain of its subsidiaries) beneficially owned 9,638,792 shares of Roper common stock with sole voting power over 8,851,717 shares and sole dispositive power over 9,638,792 shares.</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November 14, 2024, as of September 30, 2024, T. Rowe Price Associates, Inc. beneficially owned 6,537,372 shares of Roper common stock with sole voting power over 6,343,733 shares and sole dispositive power over 6,508,478 shares.</w:t>
      </w:r>
    </w:p>
    <w:p>
      <w:pPr>
        <w:spacing w:after="0" w:line="6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-77470</wp:posOffset>
            </wp:positionV>
            <wp:extent cx="8255" cy="283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28321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-635</wp:posOffset>
            </wp:positionV>
            <wp:extent cx="42037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jc w:val="right"/>
        <w:spacing w:after="0" w:line="181" w:lineRule="auto"/>
        <w:tabs>
          <w:tab w:leader="none" w:pos="280" w:val="left"/>
        </w:tabs>
        <w:rPr>
          <w:sz w:val="20"/>
          <w:szCs w:val="20"/>
          <w:color w:val="auto"/>
        </w:rPr>
      </w:pPr>
      <w:r>
        <w:rPr>
          <w:rFonts w:ascii="Arial" w:cs="Arial" w:eastAsia="Arial" w:hAnsi="Arial"/>
          <w:sz w:val="14"/>
          <w:szCs w:val="14"/>
          <w:b w:val="1"/>
          <w:bCs w:val="1"/>
          <w:color w:val="005CB9"/>
        </w:rPr>
        <w:t>   Roper Technologies, Inc. 2025 Proxy Statement</w:t>
      </w:r>
      <w:r>
        <w:rPr>
          <w:sz w:val="20"/>
          <w:szCs w:val="20"/>
          <w:color w:val="auto"/>
        </w:rPr>
        <w:tab/>
      </w:r>
      <w:r>
        <w:rPr>
          <w:rFonts w:ascii="Arial" w:cs="Arial" w:eastAsia="Arial" w:hAnsi="Arial"/>
          <w:sz w:val="14"/>
          <w:szCs w:val="14"/>
          <w:b w:val="1"/>
          <w:bCs w:val="1"/>
          <w:color w:val="005CB9"/>
        </w:rPr>
        <w:t>   19</w:t>
      </w:r>
    </w:p>
    <w:p>
      <w:pPr>
        <w:ind w:left="594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BENEFICIAL OWNERSHIP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05" w:lineRule="exact"/>
        <w:rPr>
          <w:sz w:val="20"/>
          <w:szCs w:val="20"/>
          <w:color w:val="auto"/>
        </w:rPr>
      </w:pPr>
    </w:p>
    <w:p>
      <w:pPr>
        <w:jc w:val="both"/>
        <w:ind w:left="540" w:right="20" w:hanging="424"/>
        <w:spacing w:after="0" w:line="214" w:lineRule="auto"/>
        <w:tabs>
          <w:tab w:leader="none" w:pos="5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Includes 92,808 shares held by a limited partnership which is owned 49.5% by a trust created by Mr. Hunn, 49.5% by a trust created by Mr. Hunn’s spouse, and 1% by an LLC which serves as the general partner of the limited partnership. The LLC is owned 50% by Mr. Hunn’s trust and 50% by Mr. Hunn’s spouse’s trust. Mr. Hunn serves as the sole manager of the LLC.</w:t>
      </w:r>
    </w:p>
    <w:p>
      <w:pPr>
        <w:spacing w:after="0" w:line="54"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Includes 14,500 shares held by an LLC of which Mr. Wright is a managing member, and in which he retains a continuing beneficial ownership of 1%. The shares held by the LLC are held in a margin account. In addition, 31,095 shares directly held by Mr. Wright are held in a margin account.</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DELINQUENT SECTION 16(a) REPORTS</w:t>
      </w:r>
    </w:p>
    <w:p>
      <w:pPr>
        <w:spacing w:after="0" w:line="33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Section 16(a) of the Securities Exchange Act of 1934, as amended (the “Exchange Act”) requires the Company’s directors, executive officers, and greater than 10% shareholders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w:t>
      </w:r>
    </w:p>
    <w:p>
      <w:pPr>
        <w:spacing w:after="0" w:line="69"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To the Company’s knowledge, based solely on a review of the copies of such reports filed electronically with the SEC and written representations that no other reports were required, all Section 16(a) filing requirements applicable to its officers, directors, and greater than 10% shareholders were complied with in fiscal year 2024, except for the inadvertent late Form 4 reports relating to (i) a gift of 235 shares by director Christopher Wright and, (ii) a gift of 940 shares by director Shellye Archambeau.</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DISCUSSION AND ANALYSIS</w:t>
      </w:r>
    </w:p>
    <w:p>
      <w:pPr>
        <w:spacing w:after="0" w:line="33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This Compensation Discussion and Analysis (“CD&amp;A”) provides information about our compensation objectives and policies for our CEO and other executive officers included in the Summary Compensation Table and referred to in this CD&amp;A as “named executive officers.” Our named executive officers for 2024 are:</w:t>
      </w:r>
    </w:p>
    <w:p>
      <w:pPr>
        <w:spacing w:after="0" w:line="80"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 Neil Hunn, President and Chief Executive Officer;</w:t>
      </w:r>
    </w:p>
    <w:p>
      <w:pPr>
        <w:spacing w:after="0" w:line="9" w:lineRule="exact"/>
        <w:rPr>
          <w:rFonts w:ascii="Arial" w:cs="Arial" w:eastAsia="Arial" w:hAnsi="Arial"/>
          <w:sz w:val="17"/>
          <w:szCs w:val="17"/>
          <w:color w:val="auto"/>
        </w:rPr>
      </w:pPr>
    </w:p>
    <w:p>
      <w:pPr>
        <w:ind w:left="340" w:hanging="224"/>
        <w:spacing w:after="0" w:line="232"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Jason P. Conley, Executive Vice President and Chief Financial Officer; and</w:t>
      </w:r>
    </w:p>
    <w:p>
      <w:pPr>
        <w:ind w:left="340" w:hanging="224"/>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John K. Stipancich, Executive Vice President, General Counsel and Corporate Secretary.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goal of generating long-term value for our shareholders, we maintain an executive compensation program designed to:</w:t>
      </w:r>
    </w:p>
    <w:p>
      <w:pPr>
        <w:spacing w:after="0" w:line="115" w:lineRule="exact"/>
        <w:rPr>
          <w:sz w:val="20"/>
          <w:szCs w:val="20"/>
          <w:color w:val="auto"/>
        </w:rPr>
      </w:pPr>
    </w:p>
    <w:p>
      <w:pPr>
        <w:ind w:left="340" w:right="20" w:hanging="224"/>
        <w:spacing w:after="0" w:line="26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attract and retain executives with the leadership skills, attributes, and experience necessary to succeed in an enterprise with Roper’s unique strategic focus, capital deployment strategy, and broad portfolio diversity;</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motivate executives to demonstrate exceptional personal performance and perform consistently at or above the levels that we expect, over the long-term and through a range of economic cycles;</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link compensation to the achievement of goals and objectives that we believe best correlate with the creation of long-term shareholder value; and</w:t>
      </w:r>
    </w:p>
    <w:p>
      <w:pPr>
        <w:spacing w:after="0" w:line="64" w:lineRule="exact"/>
        <w:rPr>
          <w:rFonts w:ascii="Arial" w:cs="Arial" w:eastAsia="Arial" w:hAnsi="Arial"/>
          <w:sz w:val="17"/>
          <w:szCs w:val="17"/>
          <w:color w:val="auto"/>
        </w:rPr>
      </w:pPr>
    </w:p>
    <w:p>
      <w:pPr>
        <w:jc w:val="both"/>
        <w:ind w:left="340" w:right="20" w:hanging="224"/>
        <w:spacing w:after="0" w:line="24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compensate executives in a manner consistent with private equity opportunities in light of their dual obligations for (i) supervising the operating performance of our diverse set of 28 businesses, and (ii) effectively deploying capital to acquire high-quality companies consistent with our strategic focus.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To achieve these objectives our compensation program combines annual and long-term components, cash and equity, and fixed and variable elements, with a bias toward long-term equity awards tied closely to driving growth and shareholder returns. Our executive compensation program rewards our executive officers when they help increase long-term shareholder value, achieve annual business goals, effectively deploy capital, and successfully execute other strategic objectives.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2024 Financial Performance</w:t>
      </w:r>
    </w:p>
    <w:p>
      <w:pPr>
        <w:spacing w:after="0" w:line="10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In 2024, following the completion of our portfolio transformation we continued to demonstrate the resilience of our operating model and produced another year of strong results.</w:t>
      </w:r>
      <w:r>
        <w:rPr>
          <w:rFonts w:ascii="Arial" w:cs="Arial" w:eastAsia="Arial" w:hAnsi="Arial"/>
          <w:sz w:val="12"/>
          <w:szCs w:val="12"/>
          <w:color w:val="auto"/>
        </w:rPr>
        <w:t>(1)</w:t>
      </w:r>
    </w:p>
    <w:p>
      <w:pPr>
        <w:spacing w:after="0" w:line="65"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GAAP revenue increased 14% to $7.04 billion and organic revenue increased 6%;</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increased by 13% to $2.83 billion;</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operating cash flow increased 16% to $2.39 billion and adjusted free cash flow increased 16% to $2.28 billion;</w:t>
      </w:r>
    </w:p>
    <w:p>
      <w:pPr>
        <w:spacing w:after="0" w:line="115"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deployed $3.6 billion of capital toward vertical software acquisitions, highlighted by Procare Solutions, a leading provider of software and solutions to early childhood education centers, for $1.86 billion and Transact Campus, a leading provider of innovative campus technology and integrated payment solutions, for $1.60 billion, which was combined with our CBORD business;</w:t>
      </w:r>
    </w:p>
    <w:p>
      <w:pPr>
        <w:spacing w:after="0" w:line="80" w:lineRule="exact"/>
        <w:rPr>
          <w:rFonts w:ascii="Arial" w:cs="Arial" w:eastAsia="Arial" w:hAnsi="Arial"/>
          <w:sz w:val="17"/>
          <w:szCs w:val="17"/>
          <w:color w:val="auto"/>
        </w:rPr>
      </w:pPr>
    </w:p>
    <w:p>
      <w:pPr>
        <w:ind w:left="340" w:hanging="22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First quarter 2025 shareholder return of 13.6%, compared to -4.3% for the S&amp;P 500; and</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32</w:t>
      </w:r>
      <w:r>
        <w:rPr>
          <w:rFonts w:ascii="Arial" w:cs="Arial" w:eastAsia="Arial" w:hAnsi="Arial"/>
          <w:sz w:val="12"/>
          <w:szCs w:val="12"/>
          <w:color w:val="auto"/>
        </w:rPr>
        <w:t>nd</w:t>
      </w:r>
      <w:r>
        <w:rPr>
          <w:rFonts w:ascii="Arial" w:cs="Arial" w:eastAsia="Arial" w:hAnsi="Arial"/>
          <w:sz w:val="17"/>
          <w:szCs w:val="17"/>
          <w:color w:val="auto"/>
        </w:rPr>
        <w:t xml:space="preserve"> consecutive year.</w:t>
      </w:r>
    </w:p>
    <w:p>
      <w:pPr>
        <w:spacing w:after="0" w:line="128" w:lineRule="exact"/>
        <w:rPr>
          <w:sz w:val="20"/>
          <w:szCs w:val="20"/>
          <w:color w:val="auto"/>
        </w:rPr>
      </w:pPr>
    </w:p>
    <w:p>
      <w:pPr>
        <w:ind w:left="540" w:right="20" w:hanging="424"/>
        <w:spacing w:after="0" w:line="204" w:lineRule="auto"/>
        <w:tabs>
          <w:tab w:leader="none" w:pos="54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130"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21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CREATING SHAREHOLDER VALUE</w:t>
      </w:r>
    </w:p>
    <w:p>
      <w:pPr>
        <w:spacing w:after="0" w:line="104"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and corporate strategy. The compensation of our named executive officers is closely aligned with the long-term interests of our shareholders.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Superior Long-Term Returns for Roper Shareholders¹</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Roper is proud of its long track record of superior returns for its shareholders. Roper has outperformed the S&amp;P 500 over the past 10 and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436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1670" cy="436880"/>
                    </a:xfrm>
                    <a:prstGeom prst="rect">
                      <a:avLst/>
                    </a:prstGeom>
                    <a:noFill/>
                  </pic:spPr>
                </pic:pic>
              </a:graphicData>
            </a:graphic>
          </wp:anchor>
        </w:drawing>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shd w:val="clear" w:color="auto" w:fill="005CB9"/>
          </w:tcPr>
          <w:p>
            <w:pPr>
              <w:spacing w:after="0"/>
              <w:rPr>
                <w:sz w:val="14"/>
                <w:szCs w:val="14"/>
                <w:color w:val="auto"/>
              </w:rPr>
            </w:pPr>
          </w:p>
        </w:tc>
        <w:tc>
          <w:tcPr>
            <w:tcW w:w="6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20" w:type="dxa"/>
            <w:vAlign w:val="bottom"/>
            <w:shd w:val="clear" w:color="auto" w:fill="005CB9"/>
          </w:tcPr>
          <w:p>
            <w:pPr>
              <w:spacing w:after="0"/>
              <w:rPr>
                <w:sz w:val="14"/>
                <w:szCs w:val="14"/>
                <w:color w:val="auto"/>
              </w:rPr>
            </w:pPr>
          </w:p>
        </w:tc>
        <w:tc>
          <w:tcPr>
            <w:tcW w:w="660" w:type="dxa"/>
            <w:vAlign w:val="bottom"/>
            <w:shd w:val="clear" w:color="auto" w:fill="005CB9"/>
          </w:tcPr>
          <w:p>
            <w:pPr>
              <w:spacing w:after="0"/>
              <w:rPr>
                <w:sz w:val="14"/>
                <w:szCs w:val="14"/>
                <w:color w:val="auto"/>
              </w:rPr>
            </w:pPr>
          </w:p>
        </w:tc>
        <w:tc>
          <w:tcPr>
            <w:tcW w:w="8060" w:type="dxa"/>
            <w:vAlign w:val="bottom"/>
            <w:gridSpan w:val="2"/>
            <w:shd w:val="clear" w:color="auto" w:fill="005CB9"/>
          </w:tcPr>
          <w:p>
            <w:pPr>
              <w:ind w:left="6580"/>
              <w:spacing w:after="0"/>
              <w:rPr>
                <w:sz w:val="20"/>
                <w:szCs w:val="20"/>
                <w:color w:val="auto"/>
              </w:rPr>
            </w:pPr>
            <w:r>
              <w:rPr>
                <w:rFonts w:ascii="Arial" w:cs="Arial" w:eastAsia="Arial" w:hAnsi="Arial"/>
                <w:sz w:val="14"/>
                <w:szCs w:val="14"/>
                <w:color w:val="FFFFFF"/>
              </w:rPr>
              <w:t>Compound Annual</w:t>
            </w:r>
          </w:p>
        </w:tc>
        <w:tc>
          <w:tcPr>
            <w:tcW w:w="186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Total Shareholder Return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shd w:val="clear" w:color="auto" w:fill="005CB9"/>
          </w:tcPr>
          <w:p>
            <w:pPr>
              <w:spacing w:after="0"/>
              <w:rPr>
                <w:sz w:val="14"/>
                <w:szCs w:val="14"/>
                <w:color w:val="auto"/>
              </w:rPr>
            </w:pPr>
          </w:p>
        </w:tc>
        <w:tc>
          <w:tcPr>
            <w:tcW w:w="6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20" w:type="dxa"/>
            <w:vAlign w:val="bottom"/>
            <w:shd w:val="clear" w:color="auto" w:fill="005CB9"/>
          </w:tcPr>
          <w:p>
            <w:pPr>
              <w:spacing w:after="0"/>
              <w:rPr>
                <w:sz w:val="14"/>
                <w:szCs w:val="14"/>
                <w:color w:val="auto"/>
              </w:rPr>
            </w:pPr>
          </w:p>
        </w:tc>
        <w:tc>
          <w:tcPr>
            <w:tcW w:w="660" w:type="dxa"/>
            <w:vAlign w:val="bottom"/>
            <w:shd w:val="clear" w:color="auto" w:fill="005CB9"/>
          </w:tcPr>
          <w:p>
            <w:pPr>
              <w:spacing w:after="0"/>
              <w:rPr>
                <w:sz w:val="14"/>
                <w:szCs w:val="14"/>
                <w:color w:val="auto"/>
              </w:rPr>
            </w:pPr>
          </w:p>
        </w:tc>
        <w:tc>
          <w:tcPr>
            <w:tcW w:w="8060" w:type="dxa"/>
            <w:vAlign w:val="bottom"/>
            <w:gridSpan w:val="2"/>
            <w:shd w:val="clear" w:color="auto" w:fill="005CB9"/>
          </w:tcPr>
          <w:p>
            <w:pPr>
              <w:ind w:left="6560"/>
              <w:spacing w:after="0"/>
              <w:rPr>
                <w:sz w:val="20"/>
                <w:szCs w:val="20"/>
                <w:color w:val="auto"/>
              </w:rPr>
            </w:pPr>
            <w:r>
              <w:rPr>
                <w:rFonts w:ascii="Arial" w:cs="Arial" w:eastAsia="Arial" w:hAnsi="Arial"/>
                <w:sz w:val="14"/>
                <w:szCs w:val="14"/>
                <w:color w:val="FFFFFF"/>
              </w:rPr>
              <w:t>Shareholder Return</w:t>
            </w:r>
          </w:p>
        </w:tc>
        <w:tc>
          <w:tcPr>
            <w:tcW w:w="800" w:type="dxa"/>
            <w:vAlign w:val="bottom"/>
            <w:shd w:val="clear" w:color="auto" w:fill="005CB9"/>
          </w:tcPr>
          <w:p>
            <w:pPr>
              <w:spacing w:after="0"/>
              <w:rPr>
                <w:sz w:val="14"/>
                <w:szCs w:val="14"/>
                <w:color w:val="auto"/>
              </w:rPr>
            </w:pPr>
          </w:p>
        </w:tc>
        <w:tc>
          <w:tcPr>
            <w:tcW w:w="1060" w:type="dxa"/>
            <w:vAlign w:val="bottom"/>
            <w:shd w:val="clear" w:color="auto" w:fill="005CB9"/>
          </w:tcPr>
          <w:p>
            <w:pPr>
              <w:jc w:val="right"/>
              <w:ind w:right="598"/>
              <w:spacing w:after="0"/>
              <w:rPr>
                <w:sz w:val="20"/>
                <w:szCs w:val="20"/>
                <w:color w:val="auto"/>
              </w:rPr>
            </w:pPr>
            <w:r>
              <w:rPr>
                <w:rFonts w:ascii="Arial" w:cs="Arial" w:eastAsia="Arial" w:hAnsi="Arial"/>
                <w:sz w:val="14"/>
                <w:szCs w:val="14"/>
                <w:color w:val="FFFFFF"/>
                <w:w w:val="96"/>
              </w:rPr>
              <w:t>(TSR)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005CB9"/>
            </w:tcBorders>
            <w:shd w:val="clear" w:color="auto" w:fill="005CB9"/>
          </w:tcPr>
          <w:p>
            <w:pPr>
              <w:spacing w:after="0"/>
              <w:rPr>
                <w:sz w:val="18"/>
                <w:szCs w:val="18"/>
                <w:color w:val="auto"/>
              </w:rPr>
            </w:pPr>
          </w:p>
        </w:tc>
        <w:tc>
          <w:tcPr>
            <w:tcW w:w="940" w:type="dxa"/>
            <w:vAlign w:val="bottom"/>
            <w:tcBorders>
              <w:bottom w:val="single" w:sz="8" w:color="005CB9"/>
            </w:tcBorders>
            <w:gridSpan w:val="4"/>
            <w:shd w:val="clear" w:color="auto" w:fill="005CB9"/>
          </w:tcPr>
          <w:p>
            <w:pPr>
              <w:spacing w:after="0"/>
              <w:rPr>
                <w:sz w:val="20"/>
                <w:szCs w:val="20"/>
                <w:color w:val="auto"/>
              </w:rPr>
            </w:pPr>
            <w:r>
              <w:rPr>
                <w:rFonts w:ascii="Arial" w:cs="Arial" w:eastAsia="Arial" w:hAnsi="Arial"/>
                <w:sz w:val="14"/>
                <w:szCs w:val="14"/>
                <w:color w:val="FFFFFF"/>
              </w:rPr>
              <w:t>Period</w:t>
            </w:r>
          </w:p>
        </w:tc>
        <w:tc>
          <w:tcPr>
            <w:tcW w:w="7000" w:type="dxa"/>
            <w:vAlign w:val="bottom"/>
            <w:tcBorders>
              <w:bottom w:val="single" w:sz="8" w:color="005CB9"/>
            </w:tcBorders>
            <w:shd w:val="clear" w:color="auto" w:fill="005CB9"/>
          </w:tcPr>
          <w:p>
            <w:pPr>
              <w:ind w:left="6560"/>
              <w:spacing w:after="0"/>
              <w:rPr>
                <w:sz w:val="20"/>
                <w:szCs w:val="20"/>
                <w:color w:val="auto"/>
              </w:rPr>
            </w:pPr>
            <w:r>
              <w:rPr>
                <w:rFonts w:ascii="Arial" w:cs="Arial" w:eastAsia="Arial" w:hAnsi="Arial"/>
                <w:sz w:val="14"/>
                <w:szCs w:val="14"/>
                <w:color w:val="FFFFFF"/>
              </w:rPr>
              <w:t>Roper</w:t>
            </w:r>
          </w:p>
        </w:tc>
        <w:tc>
          <w:tcPr>
            <w:tcW w:w="1060" w:type="dxa"/>
            <w:vAlign w:val="bottom"/>
            <w:tcBorders>
              <w:bottom w:val="single" w:sz="8" w:color="005CB9"/>
            </w:tcBorders>
            <w:shd w:val="clear" w:color="auto" w:fill="005CB9"/>
          </w:tcPr>
          <w:p>
            <w:pPr>
              <w:jc w:val="right"/>
              <w:ind w:right="216"/>
              <w:spacing w:after="0"/>
              <w:rPr>
                <w:sz w:val="20"/>
                <w:szCs w:val="20"/>
                <w:color w:val="auto"/>
              </w:rPr>
            </w:pPr>
            <w:r>
              <w:rPr>
                <w:rFonts w:ascii="Arial" w:cs="Arial" w:eastAsia="Arial" w:hAnsi="Arial"/>
                <w:sz w:val="14"/>
                <w:szCs w:val="14"/>
                <w:color w:val="FFFFFF"/>
              </w:rPr>
              <w:t>S&amp;P 500</w:t>
            </w:r>
          </w:p>
        </w:tc>
        <w:tc>
          <w:tcPr>
            <w:tcW w:w="800" w:type="dxa"/>
            <w:vAlign w:val="bottom"/>
            <w:tcBorders>
              <w:bottom w:val="single" w:sz="8" w:color="005CB9"/>
            </w:tcBorders>
            <w:shd w:val="clear" w:color="auto" w:fill="005CB9"/>
          </w:tcPr>
          <w:p>
            <w:pPr>
              <w:jc w:val="right"/>
              <w:ind w:right="78"/>
              <w:spacing w:after="0"/>
              <w:rPr>
                <w:sz w:val="20"/>
                <w:szCs w:val="20"/>
                <w:color w:val="auto"/>
              </w:rPr>
            </w:pPr>
            <w:r>
              <w:rPr>
                <w:rFonts w:ascii="Arial" w:cs="Arial" w:eastAsia="Arial" w:hAnsi="Arial"/>
                <w:sz w:val="14"/>
                <w:szCs w:val="14"/>
                <w:color w:val="FFFFFF"/>
              </w:rPr>
              <w:t>Roper</w:t>
            </w:r>
          </w:p>
        </w:tc>
        <w:tc>
          <w:tcPr>
            <w:tcW w:w="1060" w:type="dxa"/>
            <w:vAlign w:val="bottom"/>
            <w:tcBorders>
              <w:bottom w:val="single" w:sz="8" w:color="005CB9"/>
            </w:tcBorders>
            <w:shd w:val="clear" w:color="auto" w:fill="005CB9"/>
          </w:tcPr>
          <w:p>
            <w:pPr>
              <w:jc w:val="right"/>
              <w:ind w:right="118"/>
              <w:spacing w:after="0"/>
              <w:rPr>
                <w:sz w:val="20"/>
                <w:szCs w:val="20"/>
                <w:color w:val="auto"/>
              </w:rPr>
            </w:pPr>
            <w:r>
              <w:rPr>
                <w:rFonts w:ascii="Arial" w:cs="Arial" w:eastAsia="Arial" w:hAnsi="Arial"/>
                <w:sz w:val="14"/>
                <w:szCs w:val="14"/>
                <w:color w:val="FFFFFF"/>
              </w:rPr>
              <w:t>S&amp;P 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080" w:type="dxa"/>
            <w:vAlign w:val="bottom"/>
            <w:gridSpan w:val="5"/>
            <w:shd w:val="clear" w:color="auto" w:fill="CCDEF1"/>
          </w:tcPr>
          <w:p>
            <w:pPr>
              <w:ind w:left="60"/>
              <w:spacing w:after="0"/>
              <w:rPr>
                <w:sz w:val="20"/>
                <w:szCs w:val="20"/>
                <w:color w:val="auto"/>
              </w:rPr>
            </w:pPr>
            <w:r>
              <w:rPr>
                <w:rFonts w:ascii="Arial" w:cs="Arial" w:eastAsia="Arial" w:hAnsi="Arial"/>
                <w:sz w:val="17"/>
                <w:szCs w:val="17"/>
                <w:color w:val="auto"/>
              </w:rPr>
              <w:t>Q1 2025</w:t>
            </w:r>
          </w:p>
        </w:tc>
        <w:tc>
          <w:tcPr>
            <w:tcW w:w="7000" w:type="dxa"/>
            <w:vAlign w:val="bottom"/>
            <w:shd w:val="clear" w:color="auto" w:fill="CCDEF1"/>
          </w:tcPr>
          <w:p>
            <w:pPr>
              <w:ind w:left="6580"/>
              <w:spacing w:after="0"/>
              <w:rPr>
                <w:sz w:val="20"/>
                <w:szCs w:val="20"/>
                <w:color w:val="auto"/>
              </w:rPr>
            </w:pPr>
            <w:r>
              <w:rPr>
                <w:rFonts w:ascii="Arial" w:cs="Arial" w:eastAsia="Arial" w:hAnsi="Arial"/>
                <w:sz w:val="17"/>
                <w:szCs w:val="17"/>
                <w:b w:val="1"/>
                <w:bCs w:val="1"/>
                <w:color w:val="auto"/>
              </w:rPr>
              <w:t>N/A</w:t>
            </w:r>
          </w:p>
        </w:tc>
        <w:tc>
          <w:tcPr>
            <w:tcW w:w="1060" w:type="dxa"/>
            <w:vAlign w:val="bottom"/>
            <w:shd w:val="clear" w:color="auto" w:fill="CCDEF1"/>
          </w:tcPr>
          <w:p>
            <w:pPr>
              <w:jc w:val="right"/>
              <w:ind w:right="96"/>
              <w:spacing w:after="0"/>
              <w:rPr>
                <w:sz w:val="20"/>
                <w:szCs w:val="20"/>
                <w:color w:val="auto"/>
              </w:rPr>
            </w:pPr>
            <w:r>
              <w:rPr>
                <w:rFonts w:ascii="Arial" w:cs="Arial" w:eastAsia="Arial" w:hAnsi="Arial"/>
                <w:sz w:val="17"/>
                <w:szCs w:val="17"/>
                <w:color w:val="auto"/>
              </w:rPr>
              <w:t xml:space="preserve">N/A   </w:t>
            </w:r>
          </w:p>
        </w:tc>
        <w:tc>
          <w:tcPr>
            <w:tcW w:w="80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13.6% </w:t>
            </w:r>
          </w:p>
        </w:tc>
        <w:tc>
          <w:tcPr>
            <w:tcW w:w="106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-4.3%</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80" w:type="dxa"/>
            <w:vAlign w:val="bottom"/>
            <w:gridSpan w:val="5"/>
          </w:tcPr>
          <w:p>
            <w:pPr>
              <w:ind w:left="60"/>
              <w:spacing w:after="0"/>
              <w:rPr>
                <w:sz w:val="20"/>
                <w:szCs w:val="20"/>
                <w:color w:val="auto"/>
              </w:rPr>
            </w:pPr>
            <w:r>
              <w:rPr>
                <w:rFonts w:ascii="Arial" w:cs="Arial" w:eastAsia="Arial" w:hAnsi="Arial"/>
                <w:sz w:val="17"/>
                <w:szCs w:val="17"/>
                <w:color w:val="auto"/>
              </w:rPr>
              <w:t>1-Year</w:t>
            </w:r>
          </w:p>
        </w:tc>
        <w:tc>
          <w:tcPr>
            <w:tcW w:w="7000" w:type="dxa"/>
            <w:vAlign w:val="bottom"/>
          </w:tcPr>
          <w:p>
            <w:pPr>
              <w:jc w:val="right"/>
              <w:ind w:right="39"/>
              <w:spacing w:after="0"/>
              <w:rPr>
                <w:sz w:val="20"/>
                <w:szCs w:val="20"/>
                <w:color w:val="auto"/>
              </w:rPr>
            </w:pPr>
            <w:r>
              <w:rPr>
                <w:rFonts w:ascii="Arial" w:cs="Arial" w:eastAsia="Arial" w:hAnsi="Arial"/>
                <w:sz w:val="17"/>
                <w:szCs w:val="17"/>
                <w:b w:val="1"/>
                <w:bCs w:val="1"/>
                <w:color w:val="auto"/>
              </w:rPr>
              <w:t>-4.1%</w:t>
            </w:r>
          </w:p>
        </w:tc>
        <w:tc>
          <w:tcPr>
            <w:tcW w:w="1060" w:type="dxa"/>
            <w:vAlign w:val="bottom"/>
          </w:tcPr>
          <w:p>
            <w:pPr>
              <w:jc w:val="right"/>
              <w:ind w:right="176"/>
              <w:spacing w:after="0"/>
              <w:rPr>
                <w:sz w:val="20"/>
                <w:szCs w:val="20"/>
                <w:color w:val="auto"/>
              </w:rPr>
            </w:pPr>
            <w:r>
              <w:rPr>
                <w:rFonts w:ascii="Arial" w:cs="Arial" w:eastAsia="Arial" w:hAnsi="Arial"/>
                <w:sz w:val="17"/>
                <w:szCs w:val="17"/>
                <w:color w:val="auto"/>
                <w:w w:val="88"/>
              </w:rPr>
              <w:t>    25.0% </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60" w:type="dxa"/>
            <w:vAlign w:val="bottom"/>
          </w:tcPr>
          <w:p>
            <w:pPr>
              <w:jc w:val="right"/>
              <w:spacing w:after="0"/>
              <w:rPr>
                <w:sz w:val="20"/>
                <w:szCs w:val="20"/>
                <w:color w:val="auto"/>
              </w:rPr>
            </w:pPr>
            <w:r>
              <w:rPr>
                <w:rFonts w:ascii="Arial" w:cs="Arial" w:eastAsia="Arial" w:hAnsi="Arial"/>
                <w:sz w:val="17"/>
                <w:szCs w:val="17"/>
                <w:color w:val="auto"/>
              </w:rPr>
              <w:t>25.0%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080" w:type="dxa"/>
            <w:vAlign w:val="bottom"/>
            <w:gridSpan w:val="5"/>
            <w:shd w:val="clear" w:color="auto" w:fill="CCDEF1"/>
          </w:tcPr>
          <w:p>
            <w:pPr>
              <w:ind w:left="60"/>
              <w:spacing w:after="0"/>
              <w:rPr>
                <w:sz w:val="20"/>
                <w:szCs w:val="20"/>
                <w:color w:val="auto"/>
              </w:rPr>
            </w:pPr>
            <w:r>
              <w:rPr>
                <w:rFonts w:ascii="Arial" w:cs="Arial" w:eastAsia="Arial" w:hAnsi="Arial"/>
                <w:sz w:val="17"/>
                <w:szCs w:val="17"/>
                <w:color w:val="auto"/>
              </w:rPr>
              <w:t>3-Years</w:t>
            </w:r>
          </w:p>
        </w:tc>
        <w:tc>
          <w:tcPr>
            <w:tcW w:w="7000" w:type="dxa"/>
            <w:vAlign w:val="bottom"/>
            <w:shd w:val="clear" w:color="auto" w:fill="CCDEF1"/>
          </w:tcPr>
          <w:p>
            <w:pPr>
              <w:jc w:val="right"/>
              <w:ind w:right="39"/>
              <w:spacing w:after="0"/>
              <w:rPr>
                <w:sz w:val="20"/>
                <w:szCs w:val="20"/>
                <w:color w:val="auto"/>
              </w:rPr>
            </w:pPr>
            <w:r>
              <w:rPr>
                <w:rFonts w:ascii="Arial" w:cs="Arial" w:eastAsia="Arial" w:hAnsi="Arial"/>
                <w:sz w:val="17"/>
                <w:szCs w:val="17"/>
                <w:b w:val="1"/>
                <w:bCs w:val="1"/>
                <w:color w:val="auto"/>
              </w:rPr>
              <w:t>2.4%</w:t>
            </w:r>
          </w:p>
        </w:tc>
        <w:tc>
          <w:tcPr>
            <w:tcW w:w="1060" w:type="dxa"/>
            <w:vAlign w:val="bottom"/>
            <w:shd w:val="clear" w:color="auto" w:fill="CCDEF1"/>
          </w:tcPr>
          <w:p>
            <w:pPr>
              <w:jc w:val="right"/>
              <w:ind w:right="176"/>
              <w:spacing w:after="0"/>
              <w:rPr>
                <w:sz w:val="20"/>
                <w:szCs w:val="20"/>
                <w:color w:val="auto"/>
              </w:rPr>
            </w:pPr>
            <w:r>
              <w:rPr>
                <w:rFonts w:ascii="Arial" w:cs="Arial" w:eastAsia="Arial" w:hAnsi="Arial"/>
                <w:sz w:val="17"/>
                <w:szCs w:val="17"/>
                <w:color w:val="auto"/>
              </w:rPr>
              <w:t>8.9% </w:t>
            </w:r>
          </w:p>
        </w:tc>
        <w:tc>
          <w:tcPr>
            <w:tcW w:w="80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7.5%</w:t>
            </w:r>
          </w:p>
        </w:tc>
        <w:tc>
          <w:tcPr>
            <w:tcW w:w="10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29.3%</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80" w:type="dxa"/>
            <w:vAlign w:val="bottom"/>
            <w:gridSpan w:val="5"/>
          </w:tcPr>
          <w:p>
            <w:pPr>
              <w:ind w:left="60"/>
              <w:spacing w:after="0"/>
              <w:rPr>
                <w:sz w:val="20"/>
                <w:szCs w:val="20"/>
                <w:color w:val="auto"/>
              </w:rPr>
            </w:pPr>
            <w:r>
              <w:rPr>
                <w:rFonts w:ascii="Arial" w:cs="Arial" w:eastAsia="Arial" w:hAnsi="Arial"/>
                <w:sz w:val="17"/>
                <w:szCs w:val="17"/>
                <w:color w:val="auto"/>
              </w:rPr>
              <w:t>5-Years</w:t>
            </w:r>
          </w:p>
        </w:tc>
        <w:tc>
          <w:tcPr>
            <w:tcW w:w="7000" w:type="dxa"/>
            <w:vAlign w:val="bottom"/>
          </w:tcPr>
          <w:p>
            <w:pPr>
              <w:jc w:val="right"/>
              <w:ind w:right="39"/>
              <w:spacing w:after="0"/>
              <w:rPr>
                <w:sz w:val="20"/>
                <w:szCs w:val="20"/>
                <w:color w:val="auto"/>
              </w:rPr>
            </w:pPr>
            <w:r>
              <w:rPr>
                <w:rFonts w:ascii="Arial" w:cs="Arial" w:eastAsia="Arial" w:hAnsi="Arial"/>
                <w:sz w:val="17"/>
                <w:szCs w:val="17"/>
                <w:b w:val="1"/>
                <w:bCs w:val="1"/>
                <w:color w:val="auto"/>
              </w:rPr>
              <w:t>8.6%</w:t>
            </w: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14.5% </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50.9%</w:t>
            </w:r>
          </w:p>
        </w:tc>
        <w:tc>
          <w:tcPr>
            <w:tcW w:w="1060" w:type="dxa"/>
            <w:vAlign w:val="bottom"/>
          </w:tcPr>
          <w:p>
            <w:pPr>
              <w:jc w:val="right"/>
              <w:spacing w:after="0"/>
              <w:rPr>
                <w:sz w:val="20"/>
                <w:szCs w:val="20"/>
                <w:color w:val="auto"/>
              </w:rPr>
            </w:pPr>
            <w:r>
              <w:rPr>
                <w:rFonts w:ascii="Arial" w:cs="Arial" w:eastAsia="Arial" w:hAnsi="Arial"/>
                <w:sz w:val="17"/>
                <w:szCs w:val="17"/>
                <w:color w:val="auto"/>
              </w:rPr>
              <w:t>97.0%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080" w:type="dxa"/>
            <w:vAlign w:val="bottom"/>
            <w:gridSpan w:val="5"/>
            <w:shd w:val="clear" w:color="auto" w:fill="CCDEF1"/>
          </w:tcPr>
          <w:p>
            <w:pPr>
              <w:ind w:left="60"/>
              <w:spacing w:after="0"/>
              <w:rPr>
                <w:sz w:val="20"/>
                <w:szCs w:val="20"/>
                <w:color w:val="auto"/>
              </w:rPr>
            </w:pPr>
            <w:r>
              <w:rPr>
                <w:rFonts w:ascii="Arial" w:cs="Arial" w:eastAsia="Arial" w:hAnsi="Arial"/>
                <w:sz w:val="17"/>
                <w:szCs w:val="17"/>
                <w:color w:val="auto"/>
              </w:rPr>
              <w:t>10-Years</w:t>
            </w:r>
          </w:p>
        </w:tc>
        <w:tc>
          <w:tcPr>
            <w:tcW w:w="7000" w:type="dxa"/>
            <w:vAlign w:val="bottom"/>
            <w:shd w:val="clear" w:color="auto" w:fill="CCDEF1"/>
          </w:tcPr>
          <w:p>
            <w:pPr>
              <w:jc w:val="right"/>
              <w:ind w:right="39"/>
              <w:spacing w:after="0"/>
              <w:rPr>
                <w:sz w:val="20"/>
                <w:szCs w:val="20"/>
                <w:color w:val="auto"/>
              </w:rPr>
            </w:pPr>
            <w:r>
              <w:rPr>
                <w:rFonts w:ascii="Arial" w:cs="Arial" w:eastAsia="Arial" w:hAnsi="Arial"/>
                <w:sz w:val="17"/>
                <w:szCs w:val="17"/>
                <w:b w:val="1"/>
                <w:bCs w:val="1"/>
                <w:color w:val="auto"/>
              </w:rPr>
              <w:t>13.4%</w:t>
            </w:r>
          </w:p>
        </w:tc>
        <w:tc>
          <w:tcPr>
            <w:tcW w:w="1060" w:type="dxa"/>
            <w:vAlign w:val="bottom"/>
            <w:shd w:val="clear" w:color="auto" w:fill="CCDEF1"/>
          </w:tcPr>
          <w:p>
            <w:pPr>
              <w:jc w:val="right"/>
              <w:ind w:right="176"/>
              <w:spacing w:after="0"/>
              <w:rPr>
                <w:sz w:val="20"/>
                <w:szCs w:val="20"/>
                <w:color w:val="auto"/>
              </w:rPr>
            </w:pPr>
            <w:r>
              <w:rPr>
                <w:rFonts w:ascii="Arial" w:cs="Arial" w:eastAsia="Arial" w:hAnsi="Arial"/>
                <w:sz w:val="17"/>
                <w:szCs w:val="17"/>
                <w:color w:val="auto"/>
              </w:rPr>
              <w:t>13.1% </w:t>
            </w:r>
          </w:p>
        </w:tc>
        <w:tc>
          <w:tcPr>
            <w:tcW w:w="80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252.7%</w:t>
            </w:r>
          </w:p>
        </w:tc>
        <w:tc>
          <w:tcPr>
            <w:tcW w:w="10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242.5%</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080" w:type="dxa"/>
            <w:vAlign w:val="bottom"/>
            <w:gridSpan w:val="5"/>
          </w:tcPr>
          <w:p>
            <w:pPr>
              <w:ind w:left="60"/>
              <w:spacing w:after="0"/>
              <w:rPr>
                <w:sz w:val="20"/>
                <w:szCs w:val="20"/>
                <w:color w:val="auto"/>
              </w:rPr>
            </w:pPr>
            <w:r>
              <w:rPr>
                <w:rFonts w:ascii="Arial" w:cs="Arial" w:eastAsia="Arial" w:hAnsi="Arial"/>
                <w:sz w:val="17"/>
                <w:szCs w:val="17"/>
                <w:color w:val="auto"/>
              </w:rPr>
              <w:t>15-Years</w:t>
            </w:r>
          </w:p>
        </w:tc>
        <w:tc>
          <w:tcPr>
            <w:tcW w:w="7000" w:type="dxa"/>
            <w:vAlign w:val="bottom"/>
          </w:tcPr>
          <w:p>
            <w:pPr>
              <w:jc w:val="right"/>
              <w:ind w:right="39"/>
              <w:spacing w:after="0"/>
              <w:rPr>
                <w:sz w:val="20"/>
                <w:szCs w:val="20"/>
                <w:color w:val="auto"/>
              </w:rPr>
            </w:pPr>
            <w:r>
              <w:rPr>
                <w:rFonts w:ascii="Arial" w:cs="Arial" w:eastAsia="Arial" w:hAnsi="Arial"/>
                <w:sz w:val="17"/>
                <w:szCs w:val="17"/>
                <w:b w:val="1"/>
                <w:bCs w:val="1"/>
                <w:color w:val="auto"/>
              </w:rPr>
              <w:t>17.2%</w:t>
            </w: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13.9% </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983.7%</w:t>
            </w:r>
          </w:p>
        </w:tc>
        <w:tc>
          <w:tcPr>
            <w:tcW w:w="1060" w:type="dxa"/>
            <w:vAlign w:val="bottom"/>
          </w:tcPr>
          <w:p>
            <w:pPr>
              <w:jc w:val="right"/>
              <w:spacing w:after="0"/>
              <w:rPr>
                <w:sz w:val="20"/>
                <w:szCs w:val="20"/>
                <w:color w:val="auto"/>
              </w:rPr>
            </w:pPr>
            <w:r>
              <w:rPr>
                <w:rFonts w:ascii="Arial" w:cs="Arial" w:eastAsia="Arial" w:hAnsi="Arial"/>
                <w:sz w:val="17"/>
                <w:szCs w:val="17"/>
                <w:color w:val="auto"/>
              </w:rPr>
              <w:t>602.7%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00" w:type="dxa"/>
            <w:vAlign w:val="bottom"/>
            <w:gridSpan w:val="2"/>
            <w:vMerge w:val="restart"/>
          </w:tcPr>
          <w:p>
            <w:pPr>
              <w:spacing w:after="0"/>
              <w:rPr>
                <w:sz w:val="20"/>
                <w:szCs w:val="20"/>
                <w:color w:val="auto"/>
              </w:rPr>
            </w:pPr>
            <w:r>
              <w:rPr>
                <w:rFonts w:ascii="Arial" w:cs="Arial" w:eastAsia="Arial" w:hAnsi="Arial"/>
                <w:sz w:val="16"/>
                <w:szCs w:val="16"/>
                <w:b w:val="1"/>
                <w:bCs w:val="1"/>
                <w:color w:val="005CB9"/>
              </w:rPr>
              <w:t>22</w:t>
            </w:r>
          </w:p>
        </w:tc>
        <w:tc>
          <w:tcPr>
            <w:tcW w:w="200" w:type="dxa"/>
            <w:vAlign w:val="bottom"/>
            <w:vMerge w:val="restart"/>
          </w:tcPr>
          <w:p>
            <w:pPr>
              <w:ind w:left="4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3"/>
                <w:szCs w:val="13"/>
                <w:color w:val="auto"/>
              </w:rPr>
            </w:pPr>
          </w:p>
        </w:tc>
        <w:tc>
          <w:tcPr>
            <w:tcW w:w="6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7000" w:type="dxa"/>
            <w:vAlign w:val="bottom"/>
            <w:vMerge w:val="restart"/>
          </w:tcPr>
          <w:p>
            <w:pPr>
              <w:jc w:val="right"/>
              <w:ind w:right="2759"/>
              <w:spacing w:after="0"/>
              <w:rPr>
                <w:sz w:val="20"/>
                <w:szCs w:val="20"/>
                <w:color w:val="auto"/>
              </w:rPr>
            </w:pPr>
            <w:r>
              <w:rPr>
                <w:rFonts w:ascii="Arial" w:cs="Arial" w:eastAsia="Arial" w:hAnsi="Arial"/>
                <w:sz w:val="16"/>
                <w:szCs w:val="16"/>
                <w:b w:val="1"/>
                <w:bCs w:val="1"/>
                <w:color w:val="005CB9"/>
              </w:rPr>
              <w:t>   Roper Technologies, Inc. 2025 Proxy Statement</w:t>
            </w: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660" w:type="dxa"/>
            <w:vAlign w:val="bottom"/>
            <w:vMerge w:val="continue"/>
          </w:tcPr>
          <w:p>
            <w:pPr>
              <w:spacing w:after="0"/>
              <w:rPr>
                <w:sz w:val="18"/>
                <w:szCs w:val="18"/>
                <w:color w:val="auto"/>
              </w:rPr>
            </w:pPr>
          </w:p>
        </w:tc>
        <w:tc>
          <w:tcPr>
            <w:tcW w:w="7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5CB9"/>
          </w:tcPr>
          <w:p>
            <w:pPr>
              <w:spacing w:after="0"/>
              <w:rPr>
                <w:sz w:val="8"/>
                <w:szCs w:val="8"/>
                <w:color w:val="auto"/>
              </w:rPr>
            </w:pPr>
          </w:p>
        </w:tc>
        <w:tc>
          <w:tcPr>
            <w:tcW w:w="660" w:type="dxa"/>
            <w:vAlign w:val="bottom"/>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shd w:val="clear" w:color="auto" w:fill="005CB9"/>
          </w:tcPr>
          <w:p>
            <w:pPr>
              <w:spacing w:after="0"/>
              <w:rPr>
                <w:sz w:val="7"/>
                <w:szCs w:val="7"/>
                <w:color w:val="auto"/>
              </w:rPr>
            </w:pPr>
          </w:p>
        </w:tc>
        <w:tc>
          <w:tcPr>
            <w:tcW w:w="660" w:type="dxa"/>
            <w:vAlign w:val="bottom"/>
            <w:vMerge w:val="continue"/>
          </w:tcPr>
          <w:p>
            <w:pPr>
              <w:spacing w:after="0"/>
              <w:rPr>
                <w:sz w:val="7"/>
                <w:szCs w:val="7"/>
                <w:color w:val="auto"/>
              </w:rPr>
            </w:pPr>
          </w:p>
        </w:tc>
        <w:tc>
          <w:tcPr>
            <w:tcW w:w="7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As outlined in the graph below, $100 invested in Roper at the end of 2001 would have yielded an investor $2,748 as of March 31, 2025, compared to only $763 for the same investment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4911725" cy="3566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1172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periods ending December 31 of the referenced year (except as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Focus on Cash Generation</w:t>
      </w:r>
    </w:p>
    <w:p>
      <w:pPr>
        <w:spacing w:after="0" w:line="100"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7"/>
          <w:szCs w:val="17"/>
          <w:color w:val="auto"/>
        </w:rPr>
        <w:t>We believe that cash generation is the best overall measure of our performance and far superior to other traditional financial metrics. Through a combination of strategic and operational excellence and disciplined capital deployment, Roper has historically delivered meaningful year-over-year increases in free cash flow. After servicing debt obligations and returning capital to our shareholders through dividends, we deploy excess cash flow to acquire high-quality companies with significant cash generation potential. We then provide these companies with oversight, guidance, and incentive systems to help drive profitable growth in our unique operating structure. This strategy has proven to be successful over the long-term, generating a compound annual shareholder return of 17.2% over the past 15 years.</w:t>
      </w:r>
    </w:p>
    <w:p>
      <w:pPr>
        <w:spacing w:after="0" w:line="137"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23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Strong 2024 Performance for Roper</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Roper experienced another solid year highlighted by strong operational and strategic execution. Our strategic focus on asset-light, diversified technology businesses and our ability to generate and compound cash flow delivered another strong year of performance.</w:t>
      </w:r>
      <w:r>
        <w:rPr>
          <w:rFonts w:ascii="Arial" w:cs="Arial" w:eastAsia="Arial" w:hAnsi="Arial"/>
          <w:sz w:val="12"/>
          <w:szCs w:val="12"/>
          <w:color w:val="auto"/>
        </w:rPr>
        <w:t>(1)</w:t>
      </w:r>
    </w:p>
    <w:p>
      <w:pPr>
        <w:sectPr>
          <w:pgSz w:w="11900" w:h="16838" w:orient="portrait"/>
          <w:cols w:equalWidth="0" w:num="1">
            <w:col w:w="11140"/>
          </w:cols>
          <w:pgMar w:left="320" w:top="482" w:right="439" w:bottom="1440" w:gutter="0" w:footer="0" w:header="0"/>
        </w:sectPr>
      </w:pPr>
    </w:p>
    <w:p>
      <w:pPr>
        <w:spacing w:after="0" w:line="119" w:lineRule="exact"/>
        <w:rPr>
          <w:sz w:val="20"/>
          <w:szCs w:val="20"/>
          <w:color w:val="auto"/>
        </w:rPr>
      </w:pPr>
    </w:p>
    <w:p>
      <w:pPr>
        <w:ind w:left="320" w:hanging="204"/>
        <w:spacing w:after="0" w:line="267"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GAAP revenue increased 14% to $7.04 billion with organic revenue up 6%</w:t>
      </w:r>
    </w:p>
    <w:p>
      <w:pPr>
        <w:spacing w:after="0" w:line="64" w:lineRule="exact"/>
        <w:rPr>
          <w:rFonts w:ascii="Arial" w:cs="Arial" w:eastAsia="Arial" w:hAnsi="Arial"/>
          <w:sz w:val="17"/>
          <w:szCs w:val="17"/>
          <w:color w:val="auto"/>
        </w:rPr>
      </w:pPr>
    </w:p>
    <w:p>
      <w:pPr>
        <w:ind w:left="320" w:hanging="204"/>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increased 13% to $2.83 billion</w:t>
      </w:r>
    </w:p>
    <w:p>
      <w:pPr>
        <w:spacing w:after="0" w:line="115"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operating cash flow increased 16% to $2.39 billion and adjusted free cash flow increased 16% to $2.28 billion</w:t>
      </w:r>
    </w:p>
    <w:p>
      <w:pPr>
        <w:spacing w:after="0" w:line="64"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Deployed $3.6 billion of capital toward vertical software acquisitions, highlighted by Procare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left="206" w:right="20"/>
        <w:spacing w:after="0" w:line="241" w:lineRule="auto"/>
        <w:rPr>
          <w:sz w:val="20"/>
          <w:szCs w:val="20"/>
          <w:color w:val="auto"/>
        </w:rPr>
      </w:pPr>
      <w:r>
        <w:rPr>
          <w:rFonts w:ascii="Arial" w:cs="Arial" w:eastAsia="Arial" w:hAnsi="Arial"/>
          <w:sz w:val="17"/>
          <w:szCs w:val="17"/>
          <w:color w:val="auto"/>
        </w:rPr>
        <w:t>Solutions, a leading provider of software and solutions to early childhood education centers, for $1.86 billion, and Transact Campus, a leading provider of innovative campus technology and integrated payment solutions, for $1.60 billion, which was combined with our CBORD business</w:t>
      </w:r>
    </w:p>
    <w:p>
      <w:pPr>
        <w:spacing w:after="0" w:line="85" w:lineRule="exact"/>
        <w:rPr>
          <w:sz w:val="20"/>
          <w:szCs w:val="20"/>
          <w:color w:val="auto"/>
        </w:rPr>
      </w:pPr>
    </w:p>
    <w:p>
      <w:pPr>
        <w:ind w:left="206" w:right="20" w:hanging="206"/>
        <w:spacing w:after="0" w:line="267" w:lineRule="auto"/>
        <w:tabs>
          <w:tab w:leader="none" w:pos="2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First quarter 2025 shareholder return of 13.6%, compared to -4.3% for the S&amp;P 500</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Annual dividend increased by 10%, increasing for the 32nd consecutive year</w:t>
      </w:r>
    </w:p>
    <w:p>
      <w:pPr>
        <w:spacing w:after="0" w:line="200" w:lineRule="exact"/>
        <w:rPr>
          <w:sz w:val="20"/>
          <w:szCs w:val="20"/>
          <w:color w:val="auto"/>
        </w:rPr>
      </w:pPr>
    </w:p>
    <w:p>
      <w:pPr>
        <w:sectPr>
          <w:pgSz w:w="11900" w:h="16838" w:orient="portrait"/>
          <w:cols w:equalWidth="0" w:num="2">
            <w:col w:w="5400" w:space="334"/>
            <w:col w:w="5406"/>
          </w:cols>
          <w:pgMar w:left="320" w:top="482" w:right="439" w:bottom="1440" w:gutter="0" w:footer="0" w:header="0"/>
          <w:type w:val="continuous"/>
        </w:sectPr>
      </w:pPr>
    </w:p>
    <w:p>
      <w:pPr>
        <w:spacing w:after="0" w:line="13" w:lineRule="exact"/>
        <w:rPr>
          <w:sz w:val="20"/>
          <w:szCs w:val="20"/>
          <w:color w:val="auto"/>
        </w:rPr>
      </w:pPr>
    </w:p>
    <w:p>
      <w:pPr>
        <w:ind w:left="540" w:right="20" w:hanging="424"/>
        <w:spacing w:after="0" w:line="204" w:lineRule="auto"/>
        <w:tabs>
          <w:tab w:leader="none" w:pos="54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Simple Strategy Rigorously Applied Drives Powerful Value Creation</w:t>
      </w:r>
    </w:p>
    <w:p>
      <w:pPr>
        <w:spacing w:after="0" w:line="100"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Roper has a simple and successful business model that is unique among vertical software and technology-enabled products companies. We operate high-margin, high cash-generating, asset-light businesses across a wide range of diverse end-markets. Our high-performing businesses generate excess free cash flow that our executive team deploys to acquire additional high-performing businesses. This creates a “compounding effect” for cash flow that drives long-term value creation. Despite completing the divestiture of businesses that represented over 30% of our 2019 revenue in 2022, our adjusted free cash flow increased from $800 million in 2014 to $2.282 billion in 2024 (on a continuing operations basis), a compound annual growth rate of 11% driven by our combination of outstanding business performance and value-creating capital deployment.</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146685</wp:posOffset>
            </wp:positionV>
            <wp:extent cx="5220335" cy="2289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20335"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Free Cash Flow = Cash from Operations less Capital Expenditures less Capitalized Software Expenditures.</w:t>
      </w:r>
    </w:p>
    <w:p>
      <w:pPr>
        <w:spacing w:after="0" w:line="82" w:lineRule="exact"/>
        <w:rPr>
          <w:sz w:val="20"/>
          <w:szCs w:val="20"/>
          <w:color w:val="auto"/>
        </w:rPr>
      </w:pPr>
    </w:p>
    <w:p>
      <w:pPr>
        <w:ind w:left="540" w:hanging="424"/>
        <w:spacing w:after="0" w:line="204" w:lineRule="auto"/>
        <w:tabs>
          <w:tab w:leader="none" w:pos="54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an adjusted (non-GAAP) and consolidated basis. A reconciliation from non-GAAP financial measures to the most comparable GAAP measure and other related information is available in “Appendix A—Reconciliations”.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Capitalization Growth</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Roper’s market capitalization has increased approximately $51 billion since January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164465</wp:posOffset>
            </wp:positionV>
            <wp:extent cx="5109210" cy="3651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0921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Chart reflects ending period as December 31, 2024.</w:t>
      </w:r>
    </w:p>
    <w:p>
      <w:pPr>
        <w:spacing w:after="0" w:line="159"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25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Acquisition-Focused Capital Deployment</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We deploy the majority of our free cash flow toward acquisitions to generate long-term growth and create long-term shareholder value. Our CEO and other top executives are responsible for the disciplined deployment of capital through acquisitions. As such, our executives must be well-versed at improving operations and optimizing capital deployment, as both are significant contributors to value creation for our shareholders.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80645</wp:posOffset>
            </wp:positionV>
            <wp:extent cx="7011670" cy="3660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1670" cy="3660140"/>
                    </a:xfrm>
                    <a:prstGeom prst="rect">
                      <a:avLst/>
                    </a:prstGeom>
                    <a:noFill/>
                  </pic:spPr>
                </pic:pic>
              </a:graphicData>
            </a:graphic>
          </wp:anchor>
        </w:drawing>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5CB9"/>
        </w:rPr>
        <w:t>Consideration of Say-on-Pay Vote</w:t>
      </w:r>
    </w:p>
    <w:p>
      <w:pPr>
        <w:spacing w:after="0" w:line="100" w:lineRule="exact"/>
        <w:rPr>
          <w:sz w:val="20"/>
          <w:szCs w:val="20"/>
          <w:color w:val="auto"/>
        </w:rPr>
      </w:pPr>
    </w:p>
    <w:p>
      <w:pPr>
        <w:jc w:val="both"/>
        <w:ind w:left="240" w:right="140"/>
        <w:spacing w:after="0" w:line="239" w:lineRule="auto"/>
        <w:rPr>
          <w:sz w:val="20"/>
          <w:szCs w:val="20"/>
          <w:color w:val="auto"/>
        </w:rPr>
      </w:pPr>
      <w:r>
        <w:rPr>
          <w:rFonts w:ascii="Arial" w:cs="Arial" w:eastAsia="Arial" w:hAnsi="Arial"/>
          <w:sz w:val="17"/>
          <w:szCs w:val="17"/>
          <w:color w:val="auto"/>
        </w:rPr>
        <w:t>At the 2024 Annual Meeting of Shareholders, over 89% of the votes cast were in favor of the advisory vote to approve our named executive officer compensation, compared to over 93% in 2023, and over 90% in 2022. The Compensation Committee believes the Say-on-Pay vote continues to reflect the solid support of our shareholders for our long-standing pay-for-performance philosophy and approach of integrating executive compensation with our value creation model, as well as for recent changes to our executive compensation program. As we did in 2023, we reached out to eight of our largest shareholders who we believed voted against the compensation program to better understand and address their concerns.</w:t>
      </w:r>
    </w:p>
    <w:p>
      <w:pPr>
        <w:spacing w:after="0" w:line="74" w:lineRule="exact"/>
        <w:rPr>
          <w:sz w:val="20"/>
          <w:szCs w:val="20"/>
          <w:color w:val="auto"/>
        </w:rPr>
      </w:pPr>
    </w:p>
    <w:p>
      <w:pPr>
        <w:jc w:val="both"/>
        <w:ind w:left="240" w:right="140"/>
        <w:spacing w:after="0" w:line="267" w:lineRule="auto"/>
        <w:rPr>
          <w:sz w:val="20"/>
          <w:szCs w:val="20"/>
          <w:color w:val="auto"/>
        </w:rPr>
      </w:pPr>
      <w:r>
        <w:rPr>
          <w:rFonts w:ascii="Arial" w:cs="Arial" w:eastAsia="Arial" w:hAnsi="Arial"/>
          <w:sz w:val="17"/>
          <w:szCs w:val="17"/>
          <w:color w:val="auto"/>
        </w:rPr>
        <w:t>Roper has implemented numerous changes over the past several years to our executive compensation program to help ensure it remains closely aligned with the long-term interests of our shareholders:</w:t>
      </w:r>
    </w:p>
    <w:p>
      <w:pPr>
        <w:spacing w:after="0" w:line="65" w:lineRule="exact"/>
        <w:rPr>
          <w:sz w:val="20"/>
          <w:szCs w:val="20"/>
          <w:color w:val="auto"/>
        </w:rPr>
      </w:pPr>
    </w:p>
    <w:p>
      <w:pPr>
        <w:ind w:left="460" w:right="160" w:hanging="218"/>
        <w:spacing w:after="0" w:line="267"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100% of restricted shares and restricted stock units are performance-based, with all vesting contingent upon meeting multi-year objective financial performance requirements.</w:t>
      </w:r>
    </w:p>
    <w:p>
      <w:pPr>
        <w:spacing w:after="0" w:line="64" w:lineRule="exact"/>
        <w:rPr>
          <w:rFonts w:ascii="Arial" w:cs="Arial" w:eastAsia="Arial" w:hAnsi="Arial"/>
          <w:sz w:val="17"/>
          <w:szCs w:val="17"/>
          <w:color w:val="auto"/>
        </w:rPr>
      </w:pPr>
    </w:p>
    <w:p>
      <w:pPr>
        <w:ind w:left="460" w:hanging="218"/>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Only stock options, which are inherently performance-based, vest by continued time-based service alone.</w:t>
      </w:r>
    </w:p>
    <w:p>
      <w:pPr>
        <w:spacing w:after="0" w:line="115" w:lineRule="exact"/>
        <w:rPr>
          <w:rFonts w:ascii="Arial" w:cs="Arial" w:eastAsia="Arial" w:hAnsi="Arial"/>
          <w:sz w:val="17"/>
          <w:szCs w:val="17"/>
          <w:color w:val="auto"/>
        </w:rPr>
      </w:pPr>
    </w:p>
    <w:p>
      <w:pPr>
        <w:ind w:left="460" w:hanging="218"/>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Equity awards made to all named executive officers may vest only at the end of a three-year period.</w:t>
      </w:r>
    </w:p>
    <w:p>
      <w:pPr>
        <w:spacing w:after="0" w:line="115" w:lineRule="exact"/>
        <w:rPr>
          <w:rFonts w:ascii="Arial" w:cs="Arial" w:eastAsia="Arial" w:hAnsi="Arial"/>
          <w:sz w:val="17"/>
          <w:szCs w:val="17"/>
          <w:color w:val="auto"/>
        </w:rPr>
      </w:pPr>
    </w:p>
    <w:p>
      <w:pPr>
        <w:ind w:left="460" w:right="140" w:hanging="218"/>
        <w:spacing w:after="0" w:line="267"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Dividends on restricted shares and dividend equivalents on restricted stock units are not paid until the shares are earned and are forfeited if shares are not earned.</w:t>
      </w:r>
    </w:p>
    <w:p>
      <w:pPr>
        <w:spacing w:after="0" w:line="64" w:lineRule="exact"/>
        <w:rPr>
          <w:rFonts w:ascii="Arial" w:cs="Arial" w:eastAsia="Arial" w:hAnsi="Arial"/>
          <w:sz w:val="17"/>
          <w:szCs w:val="17"/>
          <w:color w:val="auto"/>
        </w:rPr>
      </w:pPr>
    </w:p>
    <w:p>
      <w:pPr>
        <w:jc w:val="both"/>
        <w:ind w:left="460" w:right="140" w:hanging="218"/>
        <w:spacing w:after="0" w:line="241"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Starting in 2024, we began using adjusted net earnings together with a relative total shareholder return modifier for our long-term stock incentives to more closely align the long-term program with our future growth ambitions and to be reflective of the cost of capital utilized to support our strategic objectives. We also incorporated an opportunity to achieve a maximum potential payout of 200% of the target opportunity for exceptional growth. Long-term stock incentives granted prior to 2024 used multi-year cumulative EBITDA and relative operating cash flow margin performance requirements.</w:t>
      </w:r>
    </w:p>
    <w:p>
      <w:pPr>
        <w:spacing w:after="0" w:line="85" w:lineRule="exact"/>
        <w:rPr>
          <w:rFonts w:ascii="Arial" w:cs="Arial" w:eastAsia="Arial" w:hAnsi="Arial"/>
          <w:sz w:val="17"/>
          <w:szCs w:val="17"/>
          <w:color w:val="auto"/>
        </w:rPr>
      </w:pPr>
    </w:p>
    <w:p>
      <w:pPr>
        <w:jc w:val="both"/>
        <w:ind w:left="460" w:right="140" w:hanging="218"/>
        <w:spacing w:after="0" w:line="249"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Additionally in 2024, we began using growth in adjusted EBITDA as the performance metric for our annual cash incentive program to more closely align the program with our revised strategy for enhanced growth and reflect peer compensation practices. We also incorporated an opportunity to achieve a maximum potential payout of 150% of the target opportunity to further incent growth.</w:t>
      </w:r>
    </w:p>
    <w:p>
      <w:pPr>
        <w:spacing w:after="0" w:line="80" w:lineRule="exact"/>
        <w:rPr>
          <w:rFonts w:ascii="Arial" w:cs="Arial" w:eastAsia="Arial" w:hAnsi="Arial"/>
          <w:sz w:val="17"/>
          <w:szCs w:val="17"/>
          <w:color w:val="auto"/>
        </w:rPr>
      </w:pPr>
    </w:p>
    <w:p>
      <w:pPr>
        <w:ind w:left="460" w:hanging="218"/>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96% of our CEO’s compensation is subject to performance risk and tied to financial results and stock price.</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Checklist of Compensation Practices</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Consistent with shareholder interests and market best practices, positive features of our executive compensation program are identified below, as well as problematic pay practices we do not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132080</wp:posOffset>
            </wp:positionV>
            <wp:extent cx="7020560" cy="3399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20560" cy="3399155"/>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742"/>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ind w:left="1940"/>
              <w:spacing w:after="0"/>
              <w:rPr>
                <w:sz w:val="20"/>
                <w:szCs w:val="20"/>
                <w:color w:val="auto"/>
              </w:rPr>
            </w:pPr>
            <w:r>
              <w:rPr>
                <w:rFonts w:ascii="Arial" w:cs="Arial" w:eastAsia="Arial" w:hAnsi="Arial"/>
                <w:sz w:val="25"/>
                <w:szCs w:val="25"/>
                <w:color w:val="FFFFFF"/>
              </w:rPr>
              <w:t>What We Do</w:t>
            </w: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ind w:left="1580"/>
              <w:spacing w:after="0"/>
              <w:rPr>
                <w:sz w:val="20"/>
                <w:szCs w:val="20"/>
                <w:color w:val="auto"/>
              </w:rPr>
            </w:pPr>
            <w:r>
              <w:rPr>
                <w:rFonts w:ascii="Arial" w:cs="Arial" w:eastAsia="Arial" w:hAnsi="Arial"/>
                <w:sz w:val="25"/>
                <w:szCs w:val="25"/>
                <w:color w:val="FFFFFF"/>
              </w:rPr>
              <w:t>What We Don’t Do</w:t>
            </w:r>
          </w:p>
        </w:tc>
        <w:tc>
          <w:tcPr>
            <w:tcW w:w="0" w:type="dxa"/>
            <w:vAlign w:val="bottom"/>
          </w:tcPr>
          <w:p>
            <w:pPr>
              <w:spacing w:after="0"/>
              <w:rPr>
                <w:sz w:val="1"/>
                <w:szCs w:val="1"/>
                <w:color w:val="auto"/>
              </w:rPr>
            </w:pPr>
          </w:p>
        </w:tc>
      </w:tr>
      <w:tr>
        <w:trPr>
          <w:trHeight w:val="177"/>
        </w:trPr>
        <w:tc>
          <w:tcPr>
            <w:tcW w:w="160" w:type="dxa"/>
            <w:vAlign w:val="bottom"/>
            <w:shd w:val="clear" w:color="auto" w:fill="005CB9"/>
          </w:tcPr>
          <w:p>
            <w:pPr>
              <w:spacing w:after="0"/>
              <w:rPr>
                <w:sz w:val="15"/>
                <w:szCs w:val="15"/>
                <w:color w:val="auto"/>
              </w:rPr>
            </w:pPr>
          </w:p>
        </w:tc>
        <w:tc>
          <w:tcPr>
            <w:tcW w:w="5460" w:type="dxa"/>
            <w:vAlign w:val="bottom"/>
            <w:shd w:val="clear" w:color="auto" w:fill="005CB9"/>
          </w:tcPr>
          <w:p>
            <w:pPr>
              <w:spacing w:after="0"/>
              <w:rPr>
                <w:sz w:val="15"/>
                <w:szCs w:val="15"/>
                <w:color w:val="auto"/>
              </w:rPr>
            </w:pPr>
          </w:p>
        </w:tc>
        <w:tc>
          <w:tcPr>
            <w:tcW w:w="120" w:type="dxa"/>
            <w:vAlign w:val="bottom"/>
            <w:shd w:val="clear" w:color="auto" w:fill="005CB9"/>
          </w:tcPr>
          <w:p>
            <w:pPr>
              <w:spacing w:after="0"/>
              <w:rPr>
                <w:sz w:val="15"/>
                <w:szCs w:val="15"/>
                <w:color w:val="auto"/>
              </w:rPr>
            </w:pPr>
          </w:p>
        </w:tc>
        <w:tc>
          <w:tcPr>
            <w:tcW w:w="528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 w:type="dxa"/>
            <w:vAlign w:val="bottom"/>
            <w:shd w:val="clear" w:color="auto" w:fill="E5EEF8"/>
          </w:tcPr>
          <w:p>
            <w:pPr>
              <w:spacing w:after="0"/>
              <w:rPr>
                <w:sz w:val="16"/>
                <w:szCs w:val="16"/>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Substantially all compensation for named executive officers is tied to</w:t>
            </w:r>
          </w:p>
        </w:tc>
        <w:tc>
          <w:tcPr>
            <w:tcW w:w="120" w:type="dxa"/>
            <w:vAlign w:val="bottom"/>
            <w:shd w:val="clear" w:color="auto" w:fill="E5EEF8"/>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payment of dividends or dividend equivalents on performance-</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performance.</w:t>
            </w: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based restricted stock or restricted stock unit awards until earned.</w:t>
            </w:r>
          </w:p>
        </w:tc>
        <w:tc>
          <w:tcPr>
            <w:tcW w:w="0" w:type="dxa"/>
            <w:vAlign w:val="bottom"/>
          </w:tcPr>
          <w:p>
            <w:pPr>
              <w:spacing w:after="0"/>
              <w:rPr>
                <w:sz w:val="1"/>
                <w:szCs w:val="1"/>
                <w:color w:val="auto"/>
              </w:rPr>
            </w:pPr>
          </w:p>
        </w:tc>
      </w:tr>
      <w:tr>
        <w:trPr>
          <w:trHeight w:val="339"/>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Performance-based vesting requirements apply to 100% of restricted</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defined-benefit pension plan or SERPs for named executive</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stock and restricted stock unit awards (no time vesting alone).</w:t>
            </w: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373"/>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share ownership and retention guidelines.</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“single trigger” equity vesting upon change-in-control.</w:t>
            </w:r>
          </w:p>
        </w:tc>
        <w:tc>
          <w:tcPr>
            <w:tcW w:w="0" w:type="dxa"/>
            <w:vAlign w:val="bottom"/>
          </w:tcPr>
          <w:p>
            <w:pPr>
              <w:spacing w:after="0"/>
              <w:rPr>
                <w:sz w:val="1"/>
                <w:szCs w:val="1"/>
                <w:color w:val="auto"/>
              </w:rPr>
            </w:pPr>
          </w:p>
        </w:tc>
      </w:tr>
      <w:tr>
        <w:trPr>
          <w:trHeight w:val="330"/>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“clawback” policy to recoup certain erroneously paid cash and equity</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Severance pay is very limited, as is the use of employment</w:t>
            </w: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compensation, and a supplemental clawback policy adopted in 2024</w:t>
            </w:r>
          </w:p>
        </w:tc>
        <w:tc>
          <w:tcPr>
            <w:tcW w:w="120" w:type="dxa"/>
            <w:vAlign w:val="bottom"/>
            <w:shd w:val="clear" w:color="auto" w:fill="E5EEF8"/>
          </w:tcPr>
          <w:p>
            <w:pPr>
              <w:spacing w:after="0"/>
              <w:rPr>
                <w:sz w:val="16"/>
                <w:szCs w:val="16"/>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allowing the Board to seek recoupment of incentive-based</w:t>
            </w:r>
          </w:p>
        </w:tc>
        <w:tc>
          <w:tcPr>
            <w:tcW w:w="120" w:type="dxa"/>
            <w:vAlign w:val="bottom"/>
            <w:shd w:val="clear" w:color="auto" w:fill="E5EEF8"/>
          </w:tcPr>
          <w:p>
            <w:pPr>
              <w:spacing w:after="0"/>
              <w:rPr>
                <w:sz w:val="16"/>
                <w:szCs w:val="16"/>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hedging or pledging of Company stock is permitted (with the</w:t>
            </w:r>
          </w:p>
        </w:tc>
        <w:tc>
          <w:tcPr>
            <w:tcW w:w="0" w:type="dxa"/>
            <w:vAlign w:val="bottom"/>
          </w:tcPr>
          <w:p>
            <w:pPr>
              <w:spacing w:after="0"/>
              <w:rPr>
                <w:sz w:val="1"/>
                <w:szCs w:val="1"/>
                <w:color w:val="auto"/>
              </w:rPr>
            </w:pPr>
          </w:p>
        </w:tc>
      </w:tr>
      <w:tr>
        <w:trPr>
          <w:trHeight w:val="176"/>
        </w:trPr>
        <w:tc>
          <w:tcPr>
            <w:tcW w:w="160" w:type="dxa"/>
            <w:vAlign w:val="bottom"/>
            <w:shd w:val="clear" w:color="auto" w:fill="E5EEF8"/>
          </w:tcPr>
          <w:p>
            <w:pPr>
              <w:spacing w:after="0"/>
              <w:rPr>
                <w:sz w:val="15"/>
                <w:szCs w:val="15"/>
                <w:color w:val="auto"/>
              </w:rPr>
            </w:pPr>
          </w:p>
        </w:tc>
        <w:tc>
          <w:tcPr>
            <w:tcW w:w="5460" w:type="dxa"/>
            <w:vAlign w:val="bottom"/>
          </w:tcPr>
          <w:p>
            <w:pPr>
              <w:ind w:left="260"/>
              <w:spacing w:after="0" w:line="175" w:lineRule="exact"/>
              <w:rPr>
                <w:sz w:val="20"/>
                <w:szCs w:val="20"/>
                <w:color w:val="auto"/>
              </w:rPr>
            </w:pPr>
            <w:r>
              <w:rPr>
                <w:rFonts w:ascii="Arial" w:cs="Arial" w:eastAsia="Arial" w:hAnsi="Arial"/>
                <w:sz w:val="16"/>
                <w:szCs w:val="16"/>
                <w:color w:val="auto"/>
              </w:rPr>
              <w:t>compensation (cash or equity, including time-based equity) from its</w:t>
            </w:r>
          </w:p>
        </w:tc>
        <w:tc>
          <w:tcPr>
            <w:tcW w:w="120" w:type="dxa"/>
            <w:vAlign w:val="bottom"/>
            <w:shd w:val="clear" w:color="auto" w:fill="E5EEF8"/>
          </w:tcPr>
          <w:p>
            <w:pPr>
              <w:spacing w:after="0"/>
              <w:rPr>
                <w:sz w:val="15"/>
                <w:szCs w:val="15"/>
                <w:color w:val="auto"/>
              </w:rPr>
            </w:pP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executive officers in the event of certain misconduct.</w:t>
            </w:r>
          </w:p>
        </w:tc>
        <w:tc>
          <w:tcPr>
            <w:tcW w:w="120" w:type="dxa"/>
            <w:vAlign w:val="bottom"/>
            <w:shd w:val="clear" w:color="auto" w:fill="E5EEF8"/>
          </w:tcPr>
          <w:p>
            <w:pPr>
              <w:spacing w:after="0"/>
              <w:rPr>
                <w:sz w:val="16"/>
                <w:szCs w:val="16"/>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exception of the number of shares pledged as of the date of the</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Risk assessment review as part of risk mitigation process.</w:t>
            </w: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adoption of the policy in January 2015 for one independent director).</w:t>
            </w:r>
          </w:p>
        </w:tc>
        <w:tc>
          <w:tcPr>
            <w:tcW w:w="0" w:type="dxa"/>
            <w:vAlign w:val="bottom"/>
          </w:tcPr>
          <w:p>
            <w:pPr>
              <w:spacing w:after="0"/>
              <w:rPr>
                <w:sz w:val="1"/>
                <w:szCs w:val="1"/>
                <w:color w:val="auto"/>
              </w:rPr>
            </w:pPr>
          </w:p>
        </w:tc>
      </w:tr>
      <w:tr>
        <w:trPr>
          <w:trHeight w:val="198"/>
        </w:trPr>
        <w:tc>
          <w:tcPr>
            <w:tcW w:w="160" w:type="dxa"/>
            <w:vAlign w:val="bottom"/>
            <w:shd w:val="clear" w:color="auto" w:fill="E5EEF8"/>
          </w:tcPr>
          <w:p>
            <w:pPr>
              <w:spacing w:after="0"/>
              <w:rPr>
                <w:sz w:val="17"/>
                <w:szCs w:val="17"/>
                <w:color w:val="auto"/>
              </w:rPr>
            </w:pPr>
          </w:p>
        </w:tc>
        <w:tc>
          <w:tcPr>
            <w:tcW w:w="5460" w:type="dxa"/>
            <w:vAlign w:val="bottom"/>
            <w:vMerge w:val="continue"/>
          </w:tcPr>
          <w:p>
            <w:pPr>
              <w:spacing w:after="0"/>
              <w:rPr>
                <w:sz w:val="17"/>
                <w:szCs w:val="17"/>
                <w:color w:val="auto"/>
              </w:rPr>
            </w:pPr>
          </w:p>
        </w:tc>
        <w:tc>
          <w:tcPr>
            <w:tcW w:w="120" w:type="dxa"/>
            <w:vAlign w:val="bottom"/>
            <w:shd w:val="clear" w:color="auto" w:fill="E5EEF8"/>
          </w:tcPr>
          <w:p>
            <w:pPr>
              <w:spacing w:after="0"/>
              <w:rPr>
                <w:sz w:val="17"/>
                <w:szCs w:val="17"/>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excise tax gross-ups on change-in-control payments.</w:t>
            </w:r>
          </w:p>
        </w:tc>
        <w:tc>
          <w:tcPr>
            <w:tcW w:w="0" w:type="dxa"/>
            <w:vAlign w:val="bottom"/>
          </w:tcPr>
          <w:p>
            <w:pPr>
              <w:spacing w:after="0"/>
              <w:rPr>
                <w:sz w:val="1"/>
                <w:szCs w:val="1"/>
                <w:color w:val="auto"/>
              </w:rPr>
            </w:pPr>
          </w:p>
        </w:tc>
      </w:tr>
      <w:tr>
        <w:trPr>
          <w:trHeight w:val="167"/>
        </w:trPr>
        <w:tc>
          <w:tcPr>
            <w:tcW w:w="160" w:type="dxa"/>
            <w:vAlign w:val="bottom"/>
            <w:shd w:val="clear" w:color="auto" w:fill="E5EEF8"/>
          </w:tcPr>
          <w:p>
            <w:pPr>
              <w:spacing w:after="0"/>
              <w:rPr>
                <w:sz w:val="14"/>
                <w:szCs w:val="14"/>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Independent compensation consultant retained by the Compensation</w:t>
            </w:r>
          </w:p>
        </w:tc>
        <w:tc>
          <w:tcPr>
            <w:tcW w:w="120" w:type="dxa"/>
            <w:vAlign w:val="bottom"/>
            <w:shd w:val="clear" w:color="auto" w:fill="E5EEF8"/>
          </w:tcPr>
          <w:p>
            <w:pPr>
              <w:spacing w:after="0"/>
              <w:rPr>
                <w:sz w:val="14"/>
                <w:szCs w:val="14"/>
                <w:color w:val="auto"/>
              </w:rPr>
            </w:pPr>
          </w:p>
        </w:tc>
        <w:tc>
          <w:tcPr>
            <w:tcW w:w="5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 w:type="dxa"/>
            <w:vAlign w:val="bottom"/>
            <w:shd w:val="clear" w:color="auto" w:fill="E5EEF8"/>
          </w:tcPr>
          <w:p>
            <w:pPr>
              <w:spacing w:after="0"/>
              <w:rPr>
                <w:sz w:val="14"/>
                <w:szCs w:val="14"/>
                <w:color w:val="auto"/>
              </w:rPr>
            </w:pPr>
          </w:p>
        </w:tc>
        <w:tc>
          <w:tcPr>
            <w:tcW w:w="5460" w:type="dxa"/>
            <w:vAlign w:val="bottom"/>
            <w:vMerge w:val="continue"/>
          </w:tcPr>
          <w:p>
            <w:pPr>
              <w:spacing w:after="0"/>
              <w:rPr>
                <w:sz w:val="14"/>
                <w:szCs w:val="14"/>
                <w:color w:val="auto"/>
              </w:rPr>
            </w:pPr>
          </w:p>
        </w:tc>
        <w:tc>
          <w:tcPr>
            <w:tcW w:w="120" w:type="dxa"/>
            <w:vAlign w:val="bottom"/>
            <w:shd w:val="clear" w:color="auto" w:fill="E5EEF8"/>
          </w:tcPr>
          <w:p>
            <w:pPr>
              <w:spacing w:after="0"/>
              <w:rPr>
                <w:sz w:val="14"/>
                <w:szCs w:val="14"/>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re-pricing of underwater stock options or cash buy-outs without</w:t>
            </w:r>
          </w:p>
        </w:tc>
        <w:tc>
          <w:tcPr>
            <w:tcW w:w="0" w:type="dxa"/>
            <w:vAlign w:val="bottom"/>
          </w:tcPr>
          <w:p>
            <w:pPr>
              <w:spacing w:after="0"/>
              <w:rPr>
                <w:sz w:val="1"/>
                <w:szCs w:val="1"/>
                <w:color w:val="auto"/>
              </w:rPr>
            </w:pPr>
          </w:p>
        </w:tc>
      </w:tr>
      <w:tr>
        <w:trPr>
          <w:trHeight w:val="175"/>
        </w:trPr>
        <w:tc>
          <w:tcPr>
            <w:tcW w:w="160" w:type="dxa"/>
            <w:vAlign w:val="bottom"/>
            <w:shd w:val="clear" w:color="auto" w:fill="E5EEF8"/>
          </w:tcPr>
          <w:p>
            <w:pPr>
              <w:spacing w:after="0"/>
              <w:rPr>
                <w:sz w:val="15"/>
                <w:szCs w:val="15"/>
                <w:color w:val="auto"/>
              </w:rPr>
            </w:pPr>
          </w:p>
        </w:tc>
        <w:tc>
          <w:tcPr>
            <w:tcW w:w="5460" w:type="dxa"/>
            <w:vAlign w:val="bottom"/>
          </w:tcPr>
          <w:p>
            <w:pPr>
              <w:ind w:left="260"/>
              <w:spacing w:after="0" w:line="175" w:lineRule="exact"/>
              <w:rPr>
                <w:sz w:val="20"/>
                <w:szCs w:val="20"/>
                <w:color w:val="auto"/>
              </w:rPr>
            </w:pPr>
            <w:r>
              <w:rPr>
                <w:rFonts w:ascii="Arial" w:cs="Arial" w:eastAsia="Arial" w:hAnsi="Arial"/>
                <w:sz w:val="16"/>
                <w:szCs w:val="16"/>
                <w:color w:val="auto"/>
              </w:rPr>
              <w:t>Committee.</w:t>
            </w:r>
          </w:p>
        </w:tc>
        <w:tc>
          <w:tcPr>
            <w:tcW w:w="120" w:type="dxa"/>
            <w:vAlign w:val="bottom"/>
            <w:shd w:val="clear" w:color="auto" w:fill="E5EEF8"/>
          </w:tcPr>
          <w:p>
            <w:pPr>
              <w:spacing w:after="0"/>
              <w:rPr>
                <w:sz w:val="15"/>
                <w:szCs w:val="15"/>
                <w:color w:val="auto"/>
              </w:rPr>
            </w:pP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shareholder approval.</w:t>
            </w:r>
          </w:p>
        </w:tc>
        <w:tc>
          <w:tcPr>
            <w:tcW w:w="0" w:type="dxa"/>
            <w:vAlign w:val="bottom"/>
          </w:tcPr>
          <w:p>
            <w:pPr>
              <w:spacing w:after="0"/>
              <w:rPr>
                <w:sz w:val="1"/>
                <w:szCs w:val="1"/>
                <w:color w:val="auto"/>
              </w:rPr>
            </w:pPr>
          </w:p>
        </w:tc>
      </w:tr>
      <w:tr>
        <w:trPr>
          <w:trHeight w:val="339"/>
        </w:trPr>
        <w:tc>
          <w:tcPr>
            <w:tcW w:w="160" w:type="dxa"/>
            <w:vAlign w:val="bottom"/>
            <w:shd w:val="clear" w:color="auto" w:fill="E5EEF8"/>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granting of stock options with an exercise price less than fair</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market value at grant.</w:t>
            </w:r>
          </w:p>
        </w:tc>
        <w:tc>
          <w:tcPr>
            <w:tcW w:w="0" w:type="dxa"/>
            <w:vAlign w:val="bottom"/>
          </w:tcPr>
          <w:p>
            <w:pPr>
              <w:spacing w:after="0"/>
              <w:rPr>
                <w:sz w:val="1"/>
                <w:szCs w:val="1"/>
                <w:color w:val="auto"/>
              </w:rPr>
            </w:pPr>
          </w:p>
        </w:tc>
      </w:tr>
      <w:tr>
        <w:trPr>
          <w:trHeight w:val="326"/>
        </w:trPr>
        <w:tc>
          <w:tcPr>
            <w:tcW w:w="160" w:type="dxa"/>
            <w:vAlign w:val="bottom"/>
            <w:shd w:val="clear" w:color="auto" w:fill="E5EEF8"/>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Objectives of our Executive Compensation Program</w:t>
      </w:r>
    </w:p>
    <w:p>
      <w:pPr>
        <w:spacing w:after="0" w:line="100"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Our compensation program for our named executive officers reflects our business needs, market requirements, and challenges in creating long-term shareholder value, and is designed to:</w:t>
      </w:r>
    </w:p>
    <w:p>
      <w:pPr>
        <w:sectPr>
          <w:pgSz w:w="11900" w:h="16838" w:orient="portrait"/>
          <w:cols w:equalWidth="0" w:num="1">
            <w:col w:w="11140"/>
          </w:cols>
          <w:pgMar w:left="320" w:top="482" w:right="439" w:bottom="1440" w:gutter="0" w:footer="0" w:header="0"/>
        </w:sectPr>
      </w:pPr>
    </w:p>
    <w:p>
      <w:pPr>
        <w:spacing w:after="0" w:line="119" w:lineRule="exact"/>
        <w:rPr>
          <w:sz w:val="20"/>
          <w:szCs w:val="20"/>
          <w:color w:val="auto"/>
        </w:rPr>
      </w:pPr>
    </w:p>
    <w:p>
      <w:pPr>
        <w:ind w:left="320" w:hanging="204"/>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Drive long-term performance for the benefit of shareholders.</w:t>
      </w:r>
    </w:p>
    <w:p>
      <w:pPr>
        <w:spacing w:after="0" w:line="115"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Emphasize equity compensation to align named executive officers’ interests with those of shareholders.</w:t>
      </w:r>
    </w:p>
    <w:p>
      <w:pPr>
        <w:spacing w:after="0" w:line="64" w:lineRule="exact"/>
        <w:rPr>
          <w:rFonts w:ascii="Arial" w:cs="Arial" w:eastAsia="Arial" w:hAnsi="Arial"/>
          <w:sz w:val="17"/>
          <w:szCs w:val="17"/>
          <w:color w:val="auto"/>
        </w:rPr>
      </w:pPr>
    </w:p>
    <w:p>
      <w:pPr>
        <w:jc w:val="both"/>
        <w:ind w:left="320" w:hanging="204"/>
        <w:spacing w:after="0" w:line="241"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compensation levels competitive with publicly traded companies and private equity firms. This enables us to recruit and retain seasoned leadership capable of effectively deploying capital, while driving and managing a diversified technology company that competes in a wide variety of end markets.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06" w:right="40" w:hanging="206"/>
        <w:spacing w:after="0" w:line="267" w:lineRule="auto"/>
        <w:tabs>
          <w:tab w:leader="none" w:pos="2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Maintain flexibility to adjust to changing business needs in a fast-paced business environment.</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Simplify compensation design to promote transparency and facilitate ease of administration and communication.</w:t>
      </w:r>
    </w:p>
    <w:p>
      <w:pPr>
        <w:spacing w:after="0" w:line="64" w:lineRule="exact"/>
        <w:rPr>
          <w:rFonts w:ascii="Arial" w:cs="Arial" w:eastAsia="Arial" w:hAnsi="Arial"/>
          <w:sz w:val="17"/>
          <w:szCs w:val="17"/>
          <w:color w:val="auto"/>
        </w:rPr>
      </w:pPr>
    </w:p>
    <w:p>
      <w:pPr>
        <w:ind w:left="206" w:hanging="206"/>
        <w:spacing w:after="0"/>
        <w:tabs>
          <w:tab w:leader="none" w:pos="2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Solicit and consider the views of our shareholders.</w:t>
      </w:r>
    </w:p>
    <w:p>
      <w:pPr>
        <w:spacing w:after="0" w:line="115" w:lineRule="exact"/>
        <w:rPr>
          <w:rFonts w:ascii="Arial" w:cs="Arial" w:eastAsia="Arial" w:hAnsi="Arial"/>
          <w:sz w:val="17"/>
          <w:szCs w:val="17"/>
          <w:color w:val="auto"/>
        </w:rPr>
      </w:pPr>
    </w:p>
    <w:p>
      <w:pPr>
        <w:ind w:left="206" w:hanging="206"/>
        <w:spacing w:after="0"/>
        <w:tabs>
          <w:tab w:leader="none" w:pos="2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Adhere to the highest legal, governance, and ethical standards.</w:t>
      </w:r>
    </w:p>
    <w:p>
      <w:pPr>
        <w:spacing w:after="0" w:line="200" w:lineRule="exact"/>
        <w:rPr>
          <w:sz w:val="20"/>
          <w:szCs w:val="20"/>
          <w:color w:val="auto"/>
        </w:rPr>
      </w:pPr>
    </w:p>
    <w:p>
      <w:pPr>
        <w:spacing w:after="0" w:line="356"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27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ELEMENTS OF COMPENSATION</w:t>
      </w:r>
    </w:p>
    <w:p>
      <w:pPr>
        <w:spacing w:after="0" w:line="10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140"/>
          </w:cols>
          <w:pgMar w:left="320" w:top="482" w:right="43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Equity compensation is the largest and most important form of pay for our named executive officers as it achieves many of our key compensation objectives:</w:t>
      </w:r>
    </w:p>
    <w:p>
      <w:pPr>
        <w:spacing w:after="0" w:line="80" w:lineRule="exact"/>
        <w:rPr>
          <w:sz w:val="20"/>
          <w:szCs w:val="20"/>
          <w:color w:val="auto"/>
        </w:rPr>
      </w:pPr>
    </w:p>
    <w:p>
      <w:pPr>
        <w:jc w:val="both"/>
        <w:ind w:left="320" w:hanging="204"/>
        <w:spacing w:after="0" w:line="249"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Tie pay to performance by linking compensation to shareholder value creation and achievement of pre-established and objective performance criteria.</w:t>
      </w:r>
    </w:p>
    <w:p>
      <w:pPr>
        <w:spacing w:after="0" w:line="80"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Align named executive officers’ interests with those of shareholders while reinforcing a long-term planning horizon.</w:t>
      </w:r>
    </w:p>
    <w:p>
      <w:pPr>
        <w:spacing w:after="0" w:line="64"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Attract named executive officers, particularly those interested in building long-term value for shareholders.</w:t>
      </w:r>
    </w:p>
    <w:p>
      <w:pPr>
        <w:spacing w:after="0" w:line="64" w:lineRule="exact"/>
        <w:rPr>
          <w:rFonts w:ascii="Arial" w:cs="Arial" w:eastAsia="Arial" w:hAnsi="Arial"/>
          <w:sz w:val="17"/>
          <w:szCs w:val="17"/>
          <w:color w:val="auto"/>
        </w:rPr>
      </w:pPr>
    </w:p>
    <w:p>
      <w:pPr>
        <w:jc w:val="both"/>
        <w:ind w:left="320" w:right="20" w:hanging="204"/>
        <w:spacing w:after="0" w:line="249"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Retain named executive officers and reward continued service by ensuring the forfeiture of awards prior to satisfaction of three-year service requirements.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To determine the appropriate value of an equity award, the Compensation Committee considers the compensation practices of its peers as well as an executive’s individual performance and relative responsibilities.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We use two types of equity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Stock Options</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The exercise price of stock options is set at the market closing price of our common stock on the date of grant, which provides an incentive to grow shareholder value and requires continued service over multiple years to realize any gains. Stock options generally vest on the third anniversary of the grant date.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Performance-Based Restricted Stock Units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to continued service, the vesting of restricted stock units is</w:t>
      </w:r>
    </w:p>
    <w:p>
      <w:pPr>
        <w:spacing w:after="0" w:line="1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100% contingent on the Company attaining specific, pre-established and objective performance goals, as specified by the Compensation Committee. Dividend equivalents are withheld and paid only to the extent the shares are actually earned by performance. Performance-based restricted stock units are intended to encourage the retention of named executive officers, provide a continuing incentive to increase shareholder value,</w:t>
      </w: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auto"/>
                <w:w w:val="87"/>
              </w:rPr>
              <w:t> </w:t>
            </w:r>
          </w:p>
        </w:tc>
        <w:tc>
          <w:tcPr>
            <w:tcW w:w="60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60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60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-205105</wp:posOffset>
            </wp:positionV>
            <wp:extent cx="4197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and further align our named executive officers’ interests with shareholder interests.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Equity Grant Timing</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Beginning with 2023, annual equity grants of performance-based restricted stock or restricted stock units and stock options are awarded to our named executive officers at the regularly scheduled committee meeting in March of each year, to coincide with the timing of annual equity awards made to other equity recipients. As a general matter, the Compensation Committee does not take material nonpublic information into account when determining the timing and terms of stock option awards. The grant timing described above is used to provide for a routine and regular grant practice regarding all employees’ stock options, and in order to make sure that the existence (or lack thereof) of material non-public information is not a factor in decisions about the timing or size of stock option grants. Similarly, the Company has not timed the disclosure of material nonpublic information for the purpose of affecting the value of executive compensation. During 2024, the Company did not grant options to any named executive officer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186"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The exercise price for stock options is set at the market closing price of Roper common stock on the date of grant. From time to time the Compensation Committee may grant additional awards in connection with promotions or increased responsibilities as well as to newly hired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We use two types of cash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Cash Incentives</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 Annual cash incentives for named executive officers, including our CEO, are tied to annual performance.</w:t>
      </w:r>
    </w:p>
    <w:p>
      <w:pPr>
        <w:sectPr>
          <w:pgSz w:w="11900" w:h="16838" w:orient="portrait"/>
          <w:cols w:equalWidth="0" w:num="2">
            <w:col w:w="5400" w:space="340"/>
            <w:col w:w="5400"/>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Base Salary</w:t>
      </w:r>
    </w:p>
    <w:p>
      <w:pPr>
        <w:spacing w:after="0" w:line="98"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Other Pay Elements</w:t>
      </w:r>
    </w:p>
    <w:p>
      <w:pPr>
        <w:spacing w:after="0" w:line="10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Roper does not provide supplemental pensions and other compensation not tied to performance. The additional items summarized below represent only a small portion of our named executive officers’ total compensation.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Retirement Benefits</w:t>
      </w:r>
    </w:p>
    <w:p>
      <w:pPr>
        <w:spacing w:after="0" w:line="112" w:lineRule="exact"/>
        <w:rPr>
          <w:sz w:val="20"/>
          <w:szCs w:val="20"/>
          <w:color w:val="auto"/>
        </w:rPr>
      </w:pPr>
    </w:p>
    <w:p>
      <w:pPr>
        <w:jc w:val="both"/>
        <w:ind w:left="320" w:hanging="204"/>
        <w:spacing w:after="0" w:line="241"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Named executive officers may participate under the same terms as other eligible employees in a 401(k) plan that provides employer contributions capped at 7.5% of cash compensation, subject to limitations imposed by the Internal Revenue Code of 1986, as amended (the “Code”).</w:t>
      </w:r>
    </w:p>
    <w:p>
      <w:pPr>
        <w:spacing w:after="0" w:line="85" w:lineRule="exact"/>
        <w:rPr>
          <w:rFonts w:ascii="Arial" w:cs="Arial" w:eastAsia="Arial" w:hAnsi="Arial"/>
          <w:sz w:val="17"/>
          <w:szCs w:val="17"/>
          <w:color w:val="auto"/>
        </w:rPr>
      </w:pPr>
    </w:p>
    <w:p>
      <w:pPr>
        <w:jc w:val="both"/>
        <w:ind w:left="320" w:hanging="204"/>
        <w:spacing w:after="0" w:line="237"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Compensation—2024 Non-Qualified Deferred Compensation” section below.</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Perquisites and Other Benefits</w:t>
      </w:r>
    </w:p>
    <w:p>
      <w:pPr>
        <w:spacing w:after="0" w:line="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Perquisites and other non-cash benefits offered to named executive officers include limited personal 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of company aircraft and financial planning assistance (for Mr. Hunn only), and an automobile allowance and periodic medical physicals. Club memberships are permitted when they have a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-1417320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Severance and Change in Control Provisions</w:t>
      </w:r>
    </w:p>
    <w:p>
      <w:pPr>
        <w:spacing w:after="0" w:line="9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have letter agreements only with Messrs. Hunn and Stipancich. These arrangements provide severance benefits in the event of termination of employment under certain circumstances, including in connection with a change in control. For a description of these agreements and payments under various termination scenarios, see the “Executive Compensation—Potential Payments upon Termination or Change in Control” section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Double Trigger Equity Vesting</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Compensation—Potential Payments upon Termination or Change in Control” section below for additional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No Excise Tax Gross-Ups</w:t>
      </w:r>
    </w:p>
    <w:p>
      <w:pPr>
        <w:spacing w:after="0" w:line="98"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29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-205105</wp:posOffset>
            </wp:positionV>
            <wp:extent cx="42037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Mix of Total Compensation</w:t>
      </w:r>
    </w:p>
    <w:p>
      <w:pPr>
        <w:spacing w:after="0" w:line="9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Compensation for our named executive officers encourages a long-term focus and closely aligns with shareholder interests. For 2024, the total direct compensation at target that was at risk and tied to stock price and performance objectives was 96% for the CEO, and 90% on average for our other named executive officers.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2024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163195</wp:posOffset>
            </wp:positionV>
            <wp:extent cx="3806190" cy="18688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0619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PROCESS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Committee Oversight</w:t>
      </w:r>
    </w:p>
    <w:p>
      <w:pPr>
        <w:spacing w:after="0" w:line="10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The Compensation Committee oversees our executive compensation program to appropriately compensate our named executive officers, motivate our named executive officers to achieve our business objectives, and align our named executive officers’ interests with those of our shareholders. The Compensation Committee reviews each element of compensation for each named executive officer and determines any adjustments to compensation structure and levels in light of various considerations, including:</w:t>
      </w:r>
    </w:p>
    <w:p>
      <w:pPr>
        <w:spacing w:after="0" w:line="83"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scope of the named executive officer’s responsibilities, performance, and experience as well as competitive compensation levels.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financial results against prior periods.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structure of our compensation program relative to sound risk management, as discussed with management.</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results of the advisory shareholder vote on the compensation of our named executive officers and input from shareholders.</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Competitive pressures from private equity and capital deployment companies, as well as market practices and external developments generally.</w:t>
      </w:r>
    </w:p>
    <w:p>
      <w:pPr>
        <w:spacing w:after="0" w:line="64"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utilization of a compensation consultant who provides extensive external analysis of named executive officer compensation of industry peer group companies for comparison purposes.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The Compensation Committee has maintained a simple program that drives long-term performance and superior value creation for shareholders enabling Roper to attract, retain, and motivate an outstanding leadership team.</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Consultant</w:t>
      </w:r>
    </w:p>
    <w:p>
      <w:pPr>
        <w:spacing w:after="0" w:line="10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Compensation Committee has retained the services of Compensia, a national compensation consulting firm, (the “Consultant”), to closely monitor developments and trends in executive compensation and to provide recommendations for appropriate adjustments to the Company’s compensation program, policies and practices in line with the Company’s business and talent strategies and investor expectations.</w:t>
      </w:r>
    </w:p>
    <w:p>
      <w:pPr>
        <w:spacing w:after="0" w:line="80" w:lineRule="exact"/>
        <w:rPr>
          <w:sz w:val="20"/>
          <w:szCs w:val="20"/>
          <w:color w:val="auto"/>
        </w:rPr>
      </w:pPr>
    </w:p>
    <w:p>
      <w:pPr>
        <w:jc w:val="both"/>
        <w:ind w:left="340" w:right="20" w:hanging="224"/>
        <w:spacing w:after="0" w:line="249"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Consultant is independent, reports directly to the Chair of the Compensation Committee and has never performed other work for the Company. Each year the Compensation Committee confirms that its engagement of the Consultant does not raise any conflicts of interest, and consistent with prior years, for 2024 there were no conflicts of interest.</w:t>
      </w:r>
    </w:p>
    <w:p>
      <w:pPr>
        <w:spacing w:after="0" w:line="80"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Consultant attends all meetings of the Compensation Committee where evaluations of the effectiveness of our overall executive compensation program are conducted or where compensation for named executive officers is analyzed or approved.</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Chair of the Compensation Committee meets with the Consultant in advance of committee meetings and confers with the Consultant between meetings.</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Roles of Our Named Executive Officers</w:t>
      </w:r>
    </w:p>
    <w:p>
      <w:pPr>
        <w:spacing w:after="0" w:line="10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While the Compensation Committee is ultimately responsible for making all compensation decisions affecting our named executive officers, our CEO participates in the process because of his close day-to-day association with the other named executive officers and his knowledge of the Company’s diverse business operations.</w:t>
      </w:r>
    </w:p>
    <w:p>
      <w:pPr>
        <w:spacing w:after="0" w:line="80" w:lineRule="exact"/>
        <w:rPr>
          <w:sz w:val="20"/>
          <w:szCs w:val="20"/>
          <w:color w:val="auto"/>
        </w:rPr>
      </w:pPr>
    </w:p>
    <w:p>
      <w:pPr>
        <w:ind w:left="340" w:right="20" w:hanging="224"/>
        <w:spacing w:after="0" w:line="267"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CEO discusses with the Compensation Committee the performance of the Company and of each named executive officer, including himself. The CEO also discusses with the Compensation Committee the performance of other key executives.</w:t>
      </w:r>
    </w:p>
    <w:p>
      <w:pPr>
        <w:spacing w:after="0" w:line="64" w:lineRule="exact"/>
        <w:rPr>
          <w:rFonts w:ascii="Arial" w:cs="Arial" w:eastAsia="Arial" w:hAnsi="Arial"/>
          <w:sz w:val="17"/>
          <w:szCs w:val="17"/>
          <w:color w:val="auto"/>
        </w:rPr>
      </w:pPr>
    </w:p>
    <w:p>
      <w:pPr>
        <w:jc w:val="both"/>
        <w:ind w:left="340" w:right="20" w:hanging="224"/>
        <w:spacing w:after="0" w:line="249"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CEO makes recommendations on the components of compensation for the named executive officers, other than himself, but does not participate in the portion of the Compensation Committee meeting regarding the review of his own performance or the determination of the actual amounts of his compensation.</w:t>
      </w:r>
    </w:p>
    <w:p>
      <w:pPr>
        <w:spacing w:after="0" w:line="175"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Our Chief Financial Officer and our Controller also assist the Compensation Committee as an information resource in regard to metrics related to incentive compensation. Our General Counsel also provides support to the Committee, as needed, with respect to his areas of expertise.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Comparative Compensation Information</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Market pay levels and practices, including those of a self-selected peer group, are among many factors the Compensation Committee considers in making compensation decisions.</w:t>
      </w:r>
    </w:p>
    <w:p>
      <w:pPr>
        <w:spacing w:after="0" w:line="114"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31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Purpose</w:t>
      </w:r>
    </w:p>
    <w:p>
      <w:pPr>
        <w:spacing w:after="0" w:line="112" w:lineRule="exact"/>
        <w:rPr>
          <w:sz w:val="20"/>
          <w:szCs w:val="20"/>
          <w:color w:val="auto"/>
        </w:rPr>
      </w:pPr>
    </w:p>
    <w:p>
      <w:pPr>
        <w:jc w:val="both"/>
        <w:ind w:left="320" w:hanging="204"/>
        <w:spacing w:after="0" w:line="241"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review market-based comparative compensation information to provide an external frame of reference on range and reasonableness of compensation levels and practices. Market information is used as a data point in decision-making, and not as a primary factor.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Challenges</w:t>
      </w:r>
    </w:p>
    <w:p>
      <w:pPr>
        <w:spacing w:after="0" w:line="112" w:lineRule="exact"/>
        <w:rPr>
          <w:sz w:val="20"/>
          <w:szCs w:val="20"/>
          <w:color w:val="auto"/>
        </w:rPr>
      </w:pPr>
    </w:p>
    <w:p>
      <w:pPr>
        <w:jc w:val="both"/>
        <w:ind w:left="320" w:hanging="204"/>
        <w:spacing w:after="0" w:line="236" w:lineRule="auto"/>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high-margin, high-cash generative, asset-light business model and diversified end-markets make it challenging to select peers using traditional criteria, such as revenue, industry codes or competitors. Roper’s 28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comparing Roper against a peer</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2024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06" w:right="20"/>
        <w:spacing w:after="0" w:line="244" w:lineRule="auto"/>
        <w:rPr>
          <w:sz w:val="20"/>
          <w:szCs w:val="20"/>
          <w:color w:val="auto"/>
        </w:rPr>
      </w:pPr>
      <w:r>
        <w:rPr>
          <w:rFonts w:ascii="Arial" w:cs="Arial" w:eastAsia="Arial" w:hAnsi="Arial"/>
          <w:sz w:val="17"/>
          <w:szCs w:val="17"/>
          <w:color w:val="auto"/>
        </w:rPr>
        <w:t>group selected primarily on the basis of GICS code classification can lead to inappropriate comparisons, particularly in light of Roper’s diverse business mix and private equity-like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-1409700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61"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Private Equity</w:t>
      </w:r>
    </w:p>
    <w:p>
      <w:pPr>
        <w:spacing w:after="0" w:line="112" w:lineRule="exact"/>
        <w:rPr>
          <w:sz w:val="20"/>
          <w:szCs w:val="20"/>
          <w:color w:val="auto"/>
        </w:rPr>
      </w:pPr>
    </w:p>
    <w:p>
      <w:pPr>
        <w:jc w:val="both"/>
        <w:ind w:left="206" w:right="20" w:hanging="206"/>
        <w:spacing w:after="0" w:line="235" w:lineRule="auto"/>
        <w:tabs>
          <w:tab w:leader="none" w:pos="206" w:val="left"/>
        </w:tabs>
        <w:numPr>
          <w:ilvl w:val="0"/>
          <w:numId w:val="42"/>
        </w:numPr>
        <w:rPr>
          <w:rFonts w:ascii="Arial" w:cs="Arial" w:eastAsia="Arial" w:hAnsi="Arial"/>
          <w:sz w:val="17"/>
          <w:szCs w:val="17"/>
          <w:color w:val="auto"/>
        </w:rPr>
      </w:pPr>
      <w:r>
        <w:rPr>
          <w:rFonts w:ascii="Arial" w:cs="Arial" w:eastAsia="Arial" w:hAnsi="Arial"/>
          <w:sz w:val="17"/>
          <w:szCs w:val="17"/>
          <w:color w:val="auto"/>
        </w:rPr>
        <w:t>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While Roper’s operating model is closely akin to that of private equity firms,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w:t>
      </w:r>
    </w:p>
    <w:p>
      <w:pPr>
        <w:spacing w:after="0" w:line="551" w:lineRule="exact"/>
        <w:rPr>
          <w:sz w:val="20"/>
          <w:szCs w:val="20"/>
          <w:color w:val="auto"/>
        </w:rPr>
      </w:pPr>
    </w:p>
    <w:p>
      <w:pPr>
        <w:sectPr>
          <w:pgSz w:w="11900" w:h="16838" w:orient="portrait"/>
          <w:cols w:equalWidth="0" w:num="2">
            <w:col w:w="5400" w:space="334"/>
            <w:col w:w="5406"/>
          </w:cols>
          <w:pgMar w:left="320" w:top="482" w:right="439" w:bottom="1440" w:gutter="0" w:footer="0" w:header="0"/>
        </w:sectPr>
      </w:pPr>
    </w:p>
    <w:p>
      <w:pPr>
        <w:jc w:val="both"/>
        <w:ind w:left="120"/>
        <w:spacing w:after="0" w:line="236" w:lineRule="auto"/>
        <w:rPr>
          <w:sz w:val="20"/>
          <w:szCs w:val="20"/>
          <w:color w:val="auto"/>
        </w:rPr>
      </w:pPr>
      <w:r>
        <w:rPr>
          <w:rFonts w:ascii="Arial" w:cs="Arial" w:eastAsia="Arial" w:hAnsi="Arial"/>
          <w:sz w:val="17"/>
          <w:szCs w:val="17"/>
          <w:color w:val="auto"/>
        </w:rPr>
        <w:t>Our self-selected peer group reflects our continued strong growth, sustained value creation, continuing expansion into software and technology-driven businesses, market valuation relative to revenues and gross investment, and intense competition with private equity for talent and investment opportunities. Roper’s decision and subsequent transformation to focus on software and technology-enabled products has changed the performance of the Company significantly. Today, approximately 76% of Roper’s revenue is derived from our software businesses. In addition, Roper’s historical growth and exceptional shareholder returns are in part the result of Roper’s capital deployment strategy. All of these facts make it continually difficult to select appropriate peers. For 2024, the Committee added Cadence Design Systems, Inc. and Zoom Communications, Inc. to the self-selected peer group to more closely align the peer group with the Company’s portfolio of businesses and removed Motorola Solutions, Inc. from the self-selected peer group. At the time of peer company selection, the Committee determined that the self-selected peer group was appropriate based on its review of both financial and non-financial characteristics. The 2024 peer companies are listed below along with various size indicators.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427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1670" cy="4279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120" w:type="dxa"/>
            <w:vAlign w:val="bottom"/>
            <w:shd w:val="clear" w:color="auto" w:fill="005CB9"/>
          </w:tcPr>
          <w:p>
            <w:pPr>
              <w:spacing w:after="0"/>
              <w:rPr>
                <w:sz w:val="15"/>
                <w:szCs w:val="15"/>
                <w:color w:val="auto"/>
              </w:rPr>
            </w:pPr>
          </w:p>
        </w:tc>
        <w:tc>
          <w:tcPr>
            <w:tcW w:w="680" w:type="dxa"/>
            <w:vAlign w:val="bottom"/>
            <w:shd w:val="clear" w:color="auto" w:fill="005CB9"/>
          </w:tcPr>
          <w:p>
            <w:pPr>
              <w:spacing w:after="0"/>
              <w:rPr>
                <w:sz w:val="15"/>
                <w:szCs w:val="15"/>
                <w:color w:val="auto"/>
              </w:rPr>
            </w:pPr>
          </w:p>
        </w:tc>
        <w:tc>
          <w:tcPr>
            <w:tcW w:w="180" w:type="dxa"/>
            <w:vAlign w:val="bottom"/>
            <w:shd w:val="clear" w:color="auto" w:fill="005CB9"/>
          </w:tcPr>
          <w:p>
            <w:pPr>
              <w:spacing w:after="0"/>
              <w:rPr>
                <w:sz w:val="15"/>
                <w:szCs w:val="15"/>
                <w:color w:val="auto"/>
              </w:rPr>
            </w:pPr>
          </w:p>
        </w:tc>
        <w:tc>
          <w:tcPr>
            <w:tcW w:w="160" w:type="dxa"/>
            <w:vAlign w:val="bottom"/>
            <w:shd w:val="clear" w:color="auto" w:fill="005CB9"/>
          </w:tcPr>
          <w:p>
            <w:pPr>
              <w:spacing w:after="0"/>
              <w:rPr>
                <w:sz w:val="15"/>
                <w:szCs w:val="15"/>
                <w:color w:val="auto"/>
              </w:rPr>
            </w:pPr>
          </w:p>
        </w:tc>
        <w:tc>
          <w:tcPr>
            <w:tcW w:w="140" w:type="dxa"/>
            <w:vAlign w:val="bottom"/>
            <w:shd w:val="clear" w:color="auto" w:fill="005CB9"/>
          </w:tcPr>
          <w:p>
            <w:pPr>
              <w:spacing w:after="0"/>
              <w:rPr>
                <w:sz w:val="15"/>
                <w:szCs w:val="15"/>
                <w:color w:val="auto"/>
              </w:rPr>
            </w:pPr>
          </w:p>
        </w:tc>
        <w:tc>
          <w:tcPr>
            <w:tcW w:w="820" w:type="dxa"/>
            <w:vAlign w:val="bottom"/>
            <w:shd w:val="clear" w:color="auto" w:fill="005CB9"/>
          </w:tcPr>
          <w:p>
            <w:pPr>
              <w:jc w:val="right"/>
              <w:ind w:right="268"/>
              <w:spacing w:after="0"/>
              <w:rPr>
                <w:sz w:val="20"/>
                <w:szCs w:val="20"/>
                <w:color w:val="auto"/>
              </w:rPr>
            </w:pPr>
            <w:r>
              <w:rPr>
                <w:rFonts w:ascii="Arial" w:cs="Arial" w:eastAsia="Arial" w:hAnsi="Arial"/>
                <w:sz w:val="14"/>
                <w:szCs w:val="14"/>
                <w:color w:val="FFFFFF"/>
              </w:rPr>
              <w:t>Market</w:t>
            </w:r>
          </w:p>
        </w:tc>
        <w:tc>
          <w:tcPr>
            <w:tcW w:w="180" w:type="dxa"/>
            <w:vAlign w:val="bottom"/>
            <w:shd w:val="clear" w:color="auto" w:fill="005CB9"/>
          </w:tcPr>
          <w:p>
            <w:pPr>
              <w:spacing w:after="0"/>
              <w:rPr>
                <w:sz w:val="15"/>
                <w:szCs w:val="15"/>
                <w:color w:val="auto"/>
              </w:rPr>
            </w:pPr>
          </w:p>
        </w:tc>
        <w:tc>
          <w:tcPr>
            <w:tcW w:w="840" w:type="dxa"/>
            <w:vAlign w:val="bottom"/>
            <w:shd w:val="clear" w:color="auto" w:fill="005CB9"/>
          </w:tcPr>
          <w:p>
            <w:pPr>
              <w:jc w:val="center"/>
              <w:ind w:left="8"/>
              <w:spacing w:after="0"/>
              <w:rPr>
                <w:sz w:val="20"/>
                <w:szCs w:val="20"/>
                <w:color w:val="auto"/>
              </w:rPr>
            </w:pPr>
            <w:r>
              <w:rPr>
                <w:rFonts w:ascii="Arial" w:cs="Arial" w:eastAsia="Arial" w:hAnsi="Arial"/>
                <w:sz w:val="14"/>
                <w:szCs w:val="14"/>
                <w:color w:val="FFFFFF"/>
              </w:rPr>
              <w:t>Enterprise</w:t>
            </w:r>
          </w:p>
        </w:tc>
        <w:tc>
          <w:tcPr>
            <w:tcW w:w="18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72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Revenue</w:t>
            </w:r>
            <w:r>
              <w:rPr>
                <w:rFonts w:ascii="Arial" w:cs="Arial" w:eastAsia="Arial" w:hAnsi="Arial"/>
                <w:sz w:val="6"/>
                <w:szCs w:val="6"/>
                <w:color w:val="FFFFFF"/>
              </w:rPr>
              <w:t>(2)</w:t>
            </w:r>
          </w:p>
        </w:tc>
        <w:tc>
          <w:tcPr>
            <w:tcW w:w="180" w:type="dxa"/>
            <w:vAlign w:val="bottom"/>
            <w:shd w:val="clear" w:color="auto" w:fill="005CB9"/>
          </w:tcPr>
          <w:p>
            <w:pPr>
              <w:spacing w:after="0"/>
              <w:rPr>
                <w:sz w:val="15"/>
                <w:szCs w:val="15"/>
                <w:color w:val="auto"/>
              </w:rPr>
            </w:pPr>
          </w:p>
        </w:tc>
        <w:tc>
          <w:tcPr>
            <w:tcW w:w="120" w:type="dxa"/>
            <w:vAlign w:val="bottom"/>
            <w:shd w:val="clear" w:color="auto" w:fill="005CB9"/>
          </w:tcPr>
          <w:p>
            <w:pPr>
              <w:spacing w:after="0"/>
              <w:rPr>
                <w:sz w:val="15"/>
                <w:szCs w:val="15"/>
                <w:color w:val="auto"/>
              </w:rPr>
            </w:pPr>
          </w:p>
        </w:tc>
        <w:tc>
          <w:tcPr>
            <w:tcW w:w="820" w:type="dxa"/>
            <w:vAlign w:val="bottom"/>
            <w:shd w:val="clear" w:color="auto" w:fill="005CB9"/>
          </w:tcPr>
          <w:p>
            <w:pPr>
              <w:jc w:val="right"/>
              <w:ind w:right="348"/>
              <w:spacing w:after="0"/>
              <w:rPr>
                <w:sz w:val="20"/>
                <w:szCs w:val="20"/>
                <w:color w:val="auto"/>
              </w:rPr>
            </w:pPr>
            <w:r>
              <w:rPr>
                <w:rFonts w:ascii="Arial" w:cs="Arial" w:eastAsia="Arial" w:hAnsi="Arial"/>
                <w:sz w:val="14"/>
                <w:szCs w:val="14"/>
                <w:color w:val="FFFFFF"/>
              </w:rPr>
              <w:t>Net</w:t>
            </w:r>
          </w:p>
        </w:tc>
        <w:tc>
          <w:tcPr>
            <w:tcW w:w="2760" w:type="dxa"/>
            <w:vAlign w:val="bottom"/>
            <w:gridSpan w:val="2"/>
            <w:vMerge w:val="restart"/>
            <w:shd w:val="clear" w:color="auto" w:fill="005CB9"/>
          </w:tcPr>
          <w:p>
            <w:pPr>
              <w:jc w:val="center"/>
              <w:spacing w:after="0"/>
              <w:rPr>
                <w:sz w:val="20"/>
                <w:szCs w:val="20"/>
                <w:color w:val="auto"/>
              </w:rPr>
            </w:pPr>
            <w:r>
              <w:rPr>
                <w:rFonts w:ascii="Arial" w:cs="Arial" w:eastAsia="Arial" w:hAnsi="Arial"/>
                <w:sz w:val="14"/>
                <w:szCs w:val="14"/>
                <w:color w:val="FFFFFF"/>
              </w:rPr>
              <w:t>Global Industry Classification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005CB9"/>
          </w:tcPr>
          <w:p>
            <w:pPr>
              <w:spacing w:after="0"/>
              <w:rPr>
                <w:sz w:val="15"/>
                <w:szCs w:val="15"/>
                <w:color w:val="auto"/>
              </w:rPr>
            </w:pPr>
          </w:p>
        </w:tc>
        <w:tc>
          <w:tcPr>
            <w:tcW w:w="680" w:type="dxa"/>
            <w:vAlign w:val="bottom"/>
            <w:shd w:val="clear" w:color="auto" w:fill="005CB9"/>
          </w:tcPr>
          <w:p>
            <w:pPr>
              <w:spacing w:after="0"/>
              <w:rPr>
                <w:sz w:val="15"/>
                <w:szCs w:val="15"/>
                <w:color w:val="auto"/>
              </w:rPr>
            </w:pPr>
          </w:p>
        </w:tc>
        <w:tc>
          <w:tcPr>
            <w:tcW w:w="180" w:type="dxa"/>
            <w:vAlign w:val="bottom"/>
            <w:shd w:val="clear" w:color="auto" w:fill="005CB9"/>
          </w:tcPr>
          <w:p>
            <w:pPr>
              <w:spacing w:after="0"/>
              <w:rPr>
                <w:sz w:val="15"/>
                <w:szCs w:val="15"/>
                <w:color w:val="auto"/>
              </w:rPr>
            </w:pPr>
          </w:p>
        </w:tc>
        <w:tc>
          <w:tcPr>
            <w:tcW w:w="1120" w:type="dxa"/>
            <w:vAlign w:val="bottom"/>
            <w:gridSpan w:val="3"/>
            <w:shd w:val="clear" w:color="auto" w:fill="005CB9"/>
          </w:tcPr>
          <w:p>
            <w:pPr>
              <w:jc w:val="right"/>
              <w:ind w:right="8"/>
              <w:spacing w:after="0"/>
              <w:rPr>
                <w:sz w:val="20"/>
                <w:szCs w:val="20"/>
                <w:color w:val="auto"/>
              </w:rPr>
            </w:pPr>
            <w:r>
              <w:rPr>
                <w:rFonts w:ascii="Arial" w:cs="Arial" w:eastAsia="Arial" w:hAnsi="Arial"/>
                <w:sz w:val="14"/>
                <w:szCs w:val="14"/>
                <w:color w:val="FFFFFF"/>
              </w:rPr>
              <w:t>Capitalization</w:t>
            </w:r>
            <w:r>
              <w:rPr>
                <w:rFonts w:ascii="Arial" w:cs="Arial" w:eastAsia="Arial" w:hAnsi="Arial"/>
                <w:sz w:val="6"/>
                <w:szCs w:val="6"/>
                <w:color w:val="FFFFFF"/>
              </w:rPr>
              <w:t>(1)</w:t>
            </w:r>
          </w:p>
        </w:tc>
        <w:tc>
          <w:tcPr>
            <w:tcW w:w="180" w:type="dxa"/>
            <w:vAlign w:val="bottom"/>
            <w:shd w:val="clear" w:color="auto" w:fill="005CB9"/>
          </w:tcPr>
          <w:p>
            <w:pPr>
              <w:spacing w:after="0"/>
              <w:rPr>
                <w:sz w:val="15"/>
                <w:szCs w:val="15"/>
                <w:color w:val="auto"/>
              </w:rPr>
            </w:pPr>
          </w:p>
        </w:tc>
        <w:tc>
          <w:tcPr>
            <w:tcW w:w="840" w:type="dxa"/>
            <w:vAlign w:val="bottom"/>
            <w:shd w:val="clear" w:color="auto" w:fill="005CB9"/>
          </w:tcPr>
          <w:p>
            <w:pPr>
              <w:jc w:val="center"/>
              <w:ind w:left="8"/>
              <w:spacing w:after="0"/>
              <w:rPr>
                <w:sz w:val="20"/>
                <w:szCs w:val="20"/>
                <w:color w:val="auto"/>
              </w:rPr>
            </w:pPr>
            <w:r>
              <w:rPr>
                <w:rFonts w:ascii="Arial" w:cs="Arial" w:eastAsia="Arial" w:hAnsi="Arial"/>
                <w:sz w:val="14"/>
                <w:szCs w:val="14"/>
                <w:color w:val="FFFFFF"/>
              </w:rPr>
              <w:t>Value</w:t>
            </w:r>
            <w:r>
              <w:rPr>
                <w:rFonts w:ascii="Arial" w:cs="Arial" w:eastAsia="Arial" w:hAnsi="Arial"/>
                <w:sz w:val="6"/>
                <w:szCs w:val="6"/>
                <w:color w:val="FFFFFF"/>
              </w:rPr>
              <w:t>(1)</w:t>
            </w:r>
          </w:p>
        </w:tc>
        <w:tc>
          <w:tcPr>
            <w:tcW w:w="18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720" w:type="dxa"/>
            <w:vAlign w:val="bottom"/>
            <w:vMerge w:val="continue"/>
            <w:shd w:val="clear" w:color="auto" w:fill="005CB9"/>
          </w:tcPr>
          <w:p>
            <w:pPr>
              <w:spacing w:after="0"/>
              <w:rPr>
                <w:sz w:val="15"/>
                <w:szCs w:val="15"/>
                <w:color w:val="auto"/>
              </w:rPr>
            </w:pPr>
          </w:p>
        </w:tc>
        <w:tc>
          <w:tcPr>
            <w:tcW w:w="180" w:type="dxa"/>
            <w:vAlign w:val="bottom"/>
            <w:shd w:val="clear" w:color="auto" w:fill="005CB9"/>
          </w:tcPr>
          <w:p>
            <w:pPr>
              <w:spacing w:after="0"/>
              <w:rPr>
                <w:sz w:val="15"/>
                <w:szCs w:val="15"/>
                <w:color w:val="auto"/>
              </w:rPr>
            </w:pPr>
          </w:p>
        </w:tc>
        <w:tc>
          <w:tcPr>
            <w:tcW w:w="120" w:type="dxa"/>
            <w:vAlign w:val="bottom"/>
            <w:shd w:val="clear" w:color="auto" w:fill="005CB9"/>
          </w:tcPr>
          <w:p>
            <w:pPr>
              <w:spacing w:after="0"/>
              <w:rPr>
                <w:sz w:val="15"/>
                <w:szCs w:val="15"/>
                <w:color w:val="auto"/>
              </w:rPr>
            </w:pPr>
          </w:p>
        </w:tc>
        <w:tc>
          <w:tcPr>
            <w:tcW w:w="82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Income</w:t>
            </w:r>
            <w:r>
              <w:rPr>
                <w:rFonts w:ascii="Arial" w:cs="Arial" w:eastAsia="Arial" w:hAnsi="Arial"/>
                <w:sz w:val="6"/>
                <w:szCs w:val="6"/>
                <w:color w:val="FFFFFF"/>
              </w:rPr>
              <w:t>(2)</w:t>
            </w:r>
          </w:p>
        </w:tc>
        <w:tc>
          <w:tcPr>
            <w:tcW w:w="2760" w:type="dxa"/>
            <w:vAlign w:val="bottom"/>
            <w:gridSpan w:val="2"/>
            <w:vMerge w:val="continue"/>
            <w:shd w:val="clear" w:color="auto" w:fill="005CB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20" w:type="dxa"/>
            <w:vAlign w:val="bottom"/>
            <w:shd w:val="clear" w:color="auto" w:fill="005CB9"/>
          </w:tcPr>
          <w:p>
            <w:pPr>
              <w:spacing w:after="0"/>
              <w:rPr>
                <w:sz w:val="16"/>
                <w:szCs w:val="16"/>
                <w:color w:val="auto"/>
              </w:rPr>
            </w:pPr>
          </w:p>
        </w:tc>
        <w:tc>
          <w:tcPr>
            <w:tcW w:w="680" w:type="dxa"/>
            <w:vAlign w:val="bottom"/>
            <w:shd w:val="clear" w:color="auto" w:fill="005CB9"/>
          </w:tcPr>
          <w:p>
            <w:pPr>
              <w:spacing w:after="0"/>
              <w:rPr>
                <w:sz w:val="16"/>
                <w:szCs w:val="16"/>
                <w:color w:val="auto"/>
              </w:rPr>
            </w:pPr>
          </w:p>
        </w:tc>
        <w:tc>
          <w:tcPr>
            <w:tcW w:w="180" w:type="dxa"/>
            <w:vAlign w:val="bottom"/>
            <w:shd w:val="clear" w:color="auto" w:fill="005CB9"/>
          </w:tcPr>
          <w:p>
            <w:pPr>
              <w:spacing w:after="0"/>
              <w:rPr>
                <w:sz w:val="16"/>
                <w:szCs w:val="16"/>
                <w:color w:val="auto"/>
              </w:rPr>
            </w:pPr>
          </w:p>
        </w:tc>
        <w:tc>
          <w:tcPr>
            <w:tcW w:w="160" w:type="dxa"/>
            <w:vAlign w:val="bottom"/>
            <w:shd w:val="clear" w:color="auto" w:fill="005CB9"/>
          </w:tcPr>
          <w:p>
            <w:pPr>
              <w:spacing w:after="0"/>
              <w:rPr>
                <w:sz w:val="16"/>
                <w:szCs w:val="16"/>
                <w:color w:val="auto"/>
              </w:rPr>
            </w:pPr>
          </w:p>
        </w:tc>
        <w:tc>
          <w:tcPr>
            <w:tcW w:w="960" w:type="dxa"/>
            <w:vAlign w:val="bottom"/>
            <w:gridSpan w:val="2"/>
            <w:shd w:val="clear" w:color="auto" w:fill="005CB9"/>
          </w:tcPr>
          <w:p>
            <w:pPr>
              <w:ind w:left="60"/>
              <w:spacing w:after="0"/>
              <w:rPr>
                <w:sz w:val="20"/>
                <w:szCs w:val="20"/>
                <w:color w:val="auto"/>
              </w:rPr>
            </w:pPr>
            <w:r>
              <w:rPr>
                <w:rFonts w:ascii="Arial" w:cs="Arial" w:eastAsia="Arial" w:hAnsi="Arial"/>
                <w:sz w:val="14"/>
                <w:szCs w:val="14"/>
                <w:color w:val="FFFFFF"/>
              </w:rPr>
              <w:t>($ millions)</w:t>
            </w:r>
          </w:p>
        </w:tc>
        <w:tc>
          <w:tcPr>
            <w:tcW w:w="180" w:type="dxa"/>
            <w:vAlign w:val="bottom"/>
            <w:shd w:val="clear" w:color="auto" w:fill="005CB9"/>
          </w:tcPr>
          <w:p>
            <w:pPr>
              <w:spacing w:after="0"/>
              <w:rPr>
                <w:sz w:val="16"/>
                <w:szCs w:val="16"/>
                <w:color w:val="auto"/>
              </w:rPr>
            </w:pPr>
          </w:p>
        </w:tc>
        <w:tc>
          <w:tcPr>
            <w:tcW w:w="840" w:type="dxa"/>
            <w:vAlign w:val="bottom"/>
            <w:shd w:val="clear" w:color="auto" w:fill="005CB9"/>
          </w:tcPr>
          <w:p>
            <w:pPr>
              <w:jc w:val="center"/>
              <w:ind w:left="8"/>
              <w:spacing w:after="0"/>
              <w:rPr>
                <w:sz w:val="20"/>
                <w:szCs w:val="20"/>
                <w:color w:val="auto"/>
              </w:rPr>
            </w:pPr>
            <w:r>
              <w:rPr>
                <w:rFonts w:ascii="Arial" w:cs="Arial" w:eastAsia="Arial" w:hAnsi="Arial"/>
                <w:sz w:val="14"/>
                <w:szCs w:val="14"/>
                <w:color w:val="FFFFFF"/>
              </w:rPr>
              <w:t>($ millions)</w:t>
            </w:r>
          </w:p>
        </w:tc>
        <w:tc>
          <w:tcPr>
            <w:tcW w:w="180" w:type="dxa"/>
            <w:vAlign w:val="bottom"/>
            <w:shd w:val="clear" w:color="auto" w:fill="005CB9"/>
          </w:tcPr>
          <w:p>
            <w:pPr>
              <w:spacing w:after="0"/>
              <w:rPr>
                <w:sz w:val="16"/>
                <w:szCs w:val="16"/>
                <w:color w:val="auto"/>
              </w:rPr>
            </w:pPr>
          </w:p>
        </w:tc>
        <w:tc>
          <w:tcPr>
            <w:tcW w:w="82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 millions)</w:t>
            </w:r>
          </w:p>
        </w:tc>
        <w:tc>
          <w:tcPr>
            <w:tcW w:w="180" w:type="dxa"/>
            <w:vAlign w:val="bottom"/>
            <w:shd w:val="clear" w:color="auto" w:fill="005CB9"/>
          </w:tcPr>
          <w:p>
            <w:pPr>
              <w:spacing w:after="0"/>
              <w:rPr>
                <w:sz w:val="16"/>
                <w:szCs w:val="16"/>
                <w:color w:val="auto"/>
              </w:rPr>
            </w:pPr>
          </w:p>
        </w:tc>
        <w:tc>
          <w:tcPr>
            <w:tcW w:w="940" w:type="dxa"/>
            <w:vAlign w:val="bottom"/>
            <w:gridSpan w:val="2"/>
            <w:shd w:val="clear" w:color="auto" w:fill="005CB9"/>
          </w:tcPr>
          <w:p>
            <w:pPr>
              <w:ind w:left="60"/>
              <w:spacing w:after="0"/>
              <w:rPr>
                <w:sz w:val="20"/>
                <w:szCs w:val="20"/>
                <w:color w:val="auto"/>
              </w:rPr>
            </w:pPr>
            <w:r>
              <w:rPr>
                <w:rFonts w:ascii="Arial" w:cs="Arial" w:eastAsia="Arial" w:hAnsi="Arial"/>
                <w:sz w:val="14"/>
                <w:szCs w:val="14"/>
                <w:color w:val="FFFFFF"/>
              </w:rPr>
              <w:t>($ millions)</w:t>
            </w:r>
          </w:p>
        </w:tc>
        <w:tc>
          <w:tcPr>
            <w:tcW w:w="276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Standard (GICS) Sub-Industry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120" w:type="dxa"/>
            <w:vAlign w:val="bottom"/>
            <w:shd w:val="clear" w:color="auto" w:fill="E5EEF8"/>
          </w:tcPr>
          <w:p>
            <w:pPr>
              <w:ind w:left="60"/>
              <w:spacing w:after="0"/>
              <w:rPr>
                <w:sz w:val="20"/>
                <w:szCs w:val="20"/>
                <w:color w:val="auto"/>
              </w:rPr>
            </w:pPr>
            <w:r>
              <w:rPr>
                <w:rFonts w:ascii="Arial" w:cs="Arial" w:eastAsia="Arial" w:hAnsi="Arial"/>
                <w:sz w:val="14"/>
                <w:szCs w:val="14"/>
                <w:color w:val="auto"/>
              </w:rPr>
              <w:t>Salesforce, Inc.</w:t>
            </w:r>
          </w:p>
        </w:tc>
        <w:tc>
          <w:tcPr>
            <w:tcW w:w="6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CRM</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color w:val="auto"/>
                <w:w w:val="99"/>
              </w:rPr>
              <w:t>$285,042    </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shd w:val="clear" w:color="auto" w:fill="E5EEF8"/>
          </w:tcPr>
          <w:p>
            <w:pPr>
              <w:ind w:left="60"/>
              <w:spacing w:after="0"/>
              <w:rPr>
                <w:sz w:val="20"/>
                <w:szCs w:val="20"/>
                <w:color w:val="auto"/>
              </w:rPr>
            </w:pPr>
            <w:r>
              <w:rPr>
                <w:rFonts w:ascii="Arial" w:cs="Arial" w:eastAsia="Arial" w:hAnsi="Arial"/>
                <w:sz w:val="14"/>
                <w:szCs w:val="14"/>
                <w:color w:val="auto"/>
              </w:rPr>
              <w:t>  $283,892</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$37,895</w:t>
            </w:r>
          </w:p>
        </w:tc>
        <w:tc>
          <w:tcPr>
            <w:tcW w:w="180" w:type="dxa"/>
            <w:vAlign w:val="bottom"/>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 xml:space="preserve">  $6,197    </w:t>
            </w:r>
          </w:p>
        </w:tc>
        <w:tc>
          <w:tcPr>
            <w:tcW w:w="720" w:type="dxa"/>
            <w:vAlign w:val="bottom"/>
            <w:shd w:val="clear" w:color="auto" w:fill="E5EEF8"/>
          </w:tcPr>
          <w:p>
            <w:pPr>
              <w:ind w:left="40"/>
              <w:spacing w:after="0"/>
              <w:rPr>
                <w:sz w:val="20"/>
                <w:szCs w:val="20"/>
                <w:color w:val="auto"/>
              </w:rPr>
            </w:pPr>
            <w:r>
              <w:rPr>
                <w:rFonts w:ascii="Arial" w:cs="Arial" w:eastAsia="Arial" w:hAnsi="Arial"/>
                <w:sz w:val="14"/>
                <w:szCs w:val="14"/>
                <w:color w:val="auto"/>
              </w:rPr>
              <w:t xml:space="preserve">            </w:t>
            </w: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76"/>
        </w:trPr>
        <w:tc>
          <w:tcPr>
            <w:tcW w:w="3120" w:type="dxa"/>
            <w:vAlign w:val="bottom"/>
            <w:shd w:val="clear" w:color="auto" w:fill="E5EEF8"/>
          </w:tcPr>
          <w:p>
            <w:pPr>
              <w:spacing w:after="0"/>
              <w:rPr>
                <w:sz w:val="6"/>
                <w:szCs w:val="6"/>
                <w:color w:val="auto"/>
              </w:rPr>
            </w:pPr>
          </w:p>
        </w:tc>
        <w:tc>
          <w:tcPr>
            <w:tcW w:w="68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84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0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2060" w:type="dxa"/>
            <w:vAlign w:val="bottom"/>
            <w:gridSpan w:val="2"/>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120" w:type="dxa"/>
            <w:vAlign w:val="bottom"/>
          </w:tcPr>
          <w:p>
            <w:pPr>
              <w:ind w:left="60"/>
              <w:spacing w:after="0"/>
              <w:rPr>
                <w:sz w:val="20"/>
                <w:szCs w:val="20"/>
                <w:color w:val="auto"/>
              </w:rPr>
            </w:pPr>
            <w:r>
              <w:rPr>
                <w:rFonts w:ascii="Arial" w:cs="Arial" w:eastAsia="Arial" w:hAnsi="Arial"/>
                <w:sz w:val="14"/>
                <w:szCs w:val="14"/>
                <w:color w:val="auto"/>
              </w:rPr>
              <w:t>Adobe Inc.</w:t>
            </w:r>
          </w:p>
        </w:tc>
        <w:tc>
          <w:tcPr>
            <w:tcW w:w="680" w:type="dxa"/>
            <w:vAlign w:val="bottom"/>
          </w:tcPr>
          <w:p>
            <w:pPr>
              <w:jc w:val="right"/>
              <w:spacing w:after="0"/>
              <w:rPr>
                <w:sz w:val="20"/>
                <w:szCs w:val="20"/>
                <w:color w:val="auto"/>
              </w:rPr>
            </w:pPr>
            <w:r>
              <w:rPr>
                <w:rFonts w:ascii="Arial" w:cs="Arial" w:eastAsia="Arial" w:hAnsi="Arial"/>
                <w:sz w:val="14"/>
                <w:szCs w:val="14"/>
                <w:color w:val="auto"/>
              </w:rPr>
              <w:t>ADBE</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$190,729 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$191,575</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$21,525</w:t>
            </w:r>
          </w:p>
        </w:tc>
        <w:tc>
          <w:tcPr>
            <w:tcW w:w="180" w:type="dxa"/>
            <w:vAlign w:val="bottom"/>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$5,560</w:t>
            </w:r>
          </w:p>
        </w:tc>
        <w:tc>
          <w:tcPr>
            <w:tcW w:w="720" w:type="dxa"/>
            <w:vAlign w:val="bottom"/>
          </w:tcPr>
          <w:p>
            <w:pPr>
              <w:spacing w:after="0"/>
              <w:rPr>
                <w:sz w:val="23"/>
                <w:szCs w:val="23"/>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76"/>
        </w:trPr>
        <w:tc>
          <w:tcPr>
            <w:tcW w:w="3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120" w:type="dxa"/>
            <w:vAlign w:val="bottom"/>
            <w:shd w:val="clear" w:color="auto" w:fill="E5EEF8"/>
          </w:tcPr>
          <w:p>
            <w:pPr>
              <w:ind w:left="60"/>
              <w:spacing w:after="0"/>
              <w:rPr>
                <w:sz w:val="20"/>
                <w:szCs w:val="20"/>
                <w:color w:val="auto"/>
              </w:rPr>
            </w:pPr>
            <w:r>
              <w:rPr>
                <w:rFonts w:ascii="Arial" w:cs="Arial" w:eastAsia="Arial" w:hAnsi="Arial"/>
                <w:sz w:val="14"/>
                <w:szCs w:val="14"/>
                <w:color w:val="auto"/>
              </w:rPr>
              <w:t>Intuit Inc.</w:t>
            </w:r>
          </w:p>
        </w:tc>
        <w:tc>
          <w:tcPr>
            <w:tcW w:w="6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INTU</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color w:val="auto"/>
                <w:w w:val="99"/>
              </w:rPr>
              <w:t>$171,606    </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shd w:val="clear" w:color="auto" w:fill="E5EEF8"/>
          </w:tcPr>
          <w:p>
            <w:pPr>
              <w:ind w:left="60"/>
              <w:spacing w:after="0"/>
              <w:rPr>
                <w:sz w:val="20"/>
                <w:szCs w:val="20"/>
                <w:color w:val="auto"/>
              </w:rPr>
            </w:pPr>
            <w:r>
              <w:rPr>
                <w:rFonts w:ascii="Arial" w:cs="Arial" w:eastAsia="Arial" w:hAnsi="Arial"/>
                <w:sz w:val="14"/>
                <w:szCs w:val="14"/>
                <w:color w:val="auto"/>
              </w:rPr>
              <w:t>  $176,039</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$17,167</w:t>
            </w:r>
          </w:p>
        </w:tc>
        <w:tc>
          <w:tcPr>
            <w:tcW w:w="180" w:type="dxa"/>
            <w:vAlign w:val="bottom"/>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shd w:val="clear" w:color="auto" w:fill="E5EEF8"/>
          </w:tcPr>
          <w:p>
            <w:pPr>
              <w:jc w:val="right"/>
              <w:ind w:right="168"/>
              <w:spacing w:after="0"/>
              <w:rPr>
                <w:sz w:val="20"/>
                <w:szCs w:val="20"/>
                <w:color w:val="auto"/>
              </w:rPr>
            </w:pPr>
            <w:r>
              <w:rPr>
                <w:rFonts w:ascii="Arial" w:cs="Arial" w:eastAsia="Arial" w:hAnsi="Arial"/>
                <w:sz w:val="14"/>
                <w:szCs w:val="14"/>
                <w:color w:val="auto"/>
              </w:rPr>
              <w:t>  $3,037</w:t>
            </w:r>
          </w:p>
        </w:tc>
        <w:tc>
          <w:tcPr>
            <w:tcW w:w="720" w:type="dxa"/>
            <w:vAlign w:val="bottom"/>
            <w:shd w:val="clear" w:color="auto" w:fill="E5EEF8"/>
          </w:tcPr>
          <w:p>
            <w:pPr>
              <w:spacing w:after="0"/>
              <w:rPr>
                <w:sz w:val="23"/>
                <w:szCs w:val="23"/>
                <w:color w:val="auto"/>
              </w:rPr>
            </w:pP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76"/>
        </w:trPr>
        <w:tc>
          <w:tcPr>
            <w:tcW w:w="3120" w:type="dxa"/>
            <w:vAlign w:val="bottom"/>
            <w:shd w:val="clear" w:color="auto" w:fill="E5EEF8"/>
          </w:tcPr>
          <w:p>
            <w:pPr>
              <w:spacing w:after="0"/>
              <w:rPr>
                <w:sz w:val="6"/>
                <w:szCs w:val="6"/>
                <w:color w:val="auto"/>
              </w:rPr>
            </w:pPr>
          </w:p>
        </w:tc>
        <w:tc>
          <w:tcPr>
            <w:tcW w:w="68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84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0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2060" w:type="dxa"/>
            <w:vAlign w:val="bottom"/>
            <w:gridSpan w:val="2"/>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120" w:type="dxa"/>
            <w:vAlign w:val="bottom"/>
          </w:tcPr>
          <w:p>
            <w:pPr>
              <w:ind w:left="60"/>
              <w:spacing w:after="0"/>
              <w:rPr>
                <w:sz w:val="20"/>
                <w:szCs w:val="20"/>
                <w:color w:val="auto"/>
              </w:rPr>
            </w:pPr>
            <w:r>
              <w:rPr>
                <w:rFonts w:ascii="Arial" w:cs="Arial" w:eastAsia="Arial" w:hAnsi="Arial"/>
                <w:sz w:val="14"/>
                <w:szCs w:val="14"/>
                <w:color w:val="auto"/>
              </w:rPr>
              <w:t>Cadence Design Systems, Inc.</w:t>
            </w:r>
          </w:p>
        </w:tc>
        <w:tc>
          <w:tcPr>
            <w:tcW w:w="680" w:type="dxa"/>
            <w:vAlign w:val="bottom"/>
          </w:tcPr>
          <w:p>
            <w:pPr>
              <w:jc w:val="right"/>
              <w:spacing w:after="0"/>
              <w:rPr>
                <w:sz w:val="20"/>
                <w:szCs w:val="20"/>
                <w:color w:val="auto"/>
              </w:rPr>
            </w:pPr>
            <w:r>
              <w:rPr>
                <w:rFonts w:ascii="Arial" w:cs="Arial" w:eastAsia="Arial" w:hAnsi="Arial"/>
                <w:sz w:val="14"/>
                <w:szCs w:val="14"/>
                <w:color w:val="auto"/>
              </w:rPr>
              <w:t>CDNS</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  68,664 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  68,506</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  4,641</w:t>
            </w:r>
          </w:p>
        </w:tc>
        <w:tc>
          <w:tcPr>
            <w:tcW w:w="180" w:type="dxa"/>
            <w:vAlign w:val="bottom"/>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$1,055</w:t>
            </w:r>
          </w:p>
        </w:tc>
        <w:tc>
          <w:tcPr>
            <w:tcW w:w="720" w:type="dxa"/>
            <w:vAlign w:val="bottom"/>
          </w:tcPr>
          <w:p>
            <w:pPr>
              <w:spacing w:after="0"/>
              <w:rPr>
                <w:sz w:val="23"/>
                <w:szCs w:val="23"/>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76"/>
        </w:trPr>
        <w:tc>
          <w:tcPr>
            <w:tcW w:w="3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120" w:type="dxa"/>
            <w:vAlign w:val="bottom"/>
            <w:shd w:val="clear" w:color="auto" w:fill="E5EEF8"/>
          </w:tcPr>
          <w:p>
            <w:pPr>
              <w:ind w:left="60"/>
              <w:spacing w:after="0"/>
              <w:rPr>
                <w:sz w:val="20"/>
                <w:szCs w:val="20"/>
                <w:color w:val="auto"/>
              </w:rPr>
            </w:pPr>
            <w:r>
              <w:rPr>
                <w:rFonts w:ascii="Arial" w:cs="Arial" w:eastAsia="Arial" w:hAnsi="Arial"/>
                <w:sz w:val="14"/>
                <w:szCs w:val="14"/>
                <w:color w:val="auto"/>
              </w:rPr>
              <w:t>Autodesk, Inc.</w:t>
            </w:r>
          </w:p>
        </w:tc>
        <w:tc>
          <w:tcPr>
            <w:tcW w:w="6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ADSK</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color w:val="auto"/>
                <w:w w:val="99"/>
              </w:rPr>
              <w:t>$  58,955    </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shd w:val="clear" w:color="auto" w:fill="E5EEF8"/>
          </w:tcPr>
          <w:p>
            <w:pPr>
              <w:ind w:left="60"/>
              <w:spacing w:after="0"/>
              <w:rPr>
                <w:sz w:val="20"/>
                <w:szCs w:val="20"/>
                <w:color w:val="auto"/>
              </w:rPr>
            </w:pPr>
            <w:r>
              <w:rPr>
                <w:rFonts w:ascii="Arial" w:cs="Arial" w:eastAsia="Arial" w:hAnsi="Arial"/>
                <w:sz w:val="14"/>
                <w:szCs w:val="14"/>
                <w:color w:val="auto"/>
              </w:rPr>
              <w:t>  $  59,628</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  6,118</w:t>
            </w:r>
          </w:p>
        </w:tc>
        <w:tc>
          <w:tcPr>
            <w:tcW w:w="180" w:type="dxa"/>
            <w:vAlign w:val="bottom"/>
            <w:shd w:val="clear" w:color="auto" w:fill="E5EEF8"/>
          </w:tcPr>
          <w:p>
            <w:pPr>
              <w:jc w:val="right"/>
              <w:spacing w:after="0"/>
              <w:rPr>
                <w:sz w:val="20"/>
                <w:szCs w:val="20"/>
                <w:color w:val="auto"/>
              </w:rPr>
            </w:pPr>
            <w:r>
              <w:rPr>
                <w:rFonts w:ascii="Arial" w:cs="Arial" w:eastAsia="Arial" w:hAnsi="Arial"/>
                <w:sz w:val="14"/>
                <w:szCs w:val="14"/>
                <w:color w:val="auto"/>
                <w:w w:val="85"/>
              </w:rPr>
              <w:t> </w:t>
            </w:r>
          </w:p>
        </w:tc>
        <w:tc>
          <w:tcPr>
            <w:tcW w:w="120" w:type="dxa"/>
            <w:vAlign w:val="bottom"/>
            <w:shd w:val="clear" w:color="auto" w:fill="E5EEF8"/>
          </w:tcPr>
          <w:p>
            <w:pPr>
              <w:ind w:left="60"/>
              <w:spacing w:after="0"/>
              <w:rPr>
                <w:sz w:val="20"/>
                <w:szCs w:val="20"/>
                <w:color w:val="auto"/>
              </w:rPr>
            </w:pPr>
            <w:r>
              <w:rPr>
                <w:rFonts w:ascii="Arial" w:cs="Arial" w:eastAsia="Arial" w:hAnsi="Arial"/>
                <w:sz w:val="5"/>
                <w:szCs w:val="5"/>
                <w:color w:val="auto"/>
                <w:w w:val="79"/>
              </w:rPr>
              <w:t> </w:t>
            </w:r>
          </w:p>
        </w:tc>
        <w:tc>
          <w:tcPr>
            <w:tcW w:w="820" w:type="dxa"/>
            <w:vAlign w:val="bottom"/>
            <w:shd w:val="clear" w:color="auto" w:fill="E5EEF8"/>
          </w:tcPr>
          <w:p>
            <w:pPr>
              <w:jc w:val="right"/>
              <w:ind w:right="168"/>
              <w:spacing w:after="0"/>
              <w:rPr>
                <w:sz w:val="20"/>
                <w:szCs w:val="20"/>
                <w:color w:val="auto"/>
              </w:rPr>
            </w:pPr>
            <w:r>
              <w:rPr>
                <w:rFonts w:ascii="Arial" w:cs="Arial" w:eastAsia="Arial" w:hAnsi="Arial"/>
                <w:sz w:val="14"/>
                <w:szCs w:val="14"/>
                <w:color w:val="auto"/>
              </w:rPr>
              <w:t>  $1,112</w:t>
            </w:r>
          </w:p>
        </w:tc>
        <w:tc>
          <w:tcPr>
            <w:tcW w:w="720" w:type="dxa"/>
            <w:vAlign w:val="bottom"/>
            <w:shd w:val="clear" w:color="auto" w:fill="E5EEF8"/>
          </w:tcPr>
          <w:p>
            <w:pPr>
              <w:spacing w:after="0"/>
              <w:rPr>
                <w:sz w:val="23"/>
                <w:szCs w:val="23"/>
                <w:color w:val="auto"/>
              </w:rPr>
            </w:pP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75"/>
        </w:trPr>
        <w:tc>
          <w:tcPr>
            <w:tcW w:w="3120" w:type="dxa"/>
            <w:vAlign w:val="bottom"/>
            <w:shd w:val="clear" w:color="auto" w:fill="E5EEF8"/>
          </w:tcPr>
          <w:p>
            <w:pPr>
              <w:spacing w:after="0"/>
              <w:rPr>
                <w:sz w:val="6"/>
                <w:szCs w:val="6"/>
                <w:color w:val="auto"/>
              </w:rPr>
            </w:pPr>
          </w:p>
        </w:tc>
        <w:tc>
          <w:tcPr>
            <w:tcW w:w="68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84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0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2060" w:type="dxa"/>
            <w:vAlign w:val="bottom"/>
            <w:gridSpan w:val="2"/>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120" w:type="dxa"/>
            <w:vAlign w:val="bottom"/>
          </w:tcPr>
          <w:p>
            <w:pPr>
              <w:ind w:left="60"/>
              <w:spacing w:after="0"/>
              <w:rPr>
                <w:sz w:val="20"/>
                <w:szCs w:val="20"/>
                <w:color w:val="auto"/>
              </w:rPr>
            </w:pPr>
            <w:r>
              <w:rPr>
                <w:rFonts w:ascii="Arial" w:cs="Arial" w:eastAsia="Arial" w:hAnsi="Arial"/>
                <w:sz w:val="14"/>
                <w:szCs w:val="14"/>
                <w:color w:val="auto"/>
              </w:rPr>
              <w:t>ANSYS, Inc.</w:t>
            </w:r>
          </w:p>
        </w:tc>
        <w:tc>
          <w:tcPr>
            <w:tcW w:w="680" w:type="dxa"/>
            <w:vAlign w:val="bottom"/>
          </w:tcPr>
          <w:p>
            <w:pPr>
              <w:jc w:val="right"/>
              <w:spacing w:after="0"/>
              <w:rPr>
                <w:sz w:val="20"/>
                <w:szCs w:val="20"/>
                <w:color w:val="auto"/>
              </w:rPr>
            </w:pPr>
            <w:r>
              <w:rPr>
                <w:rFonts w:ascii="Arial" w:cs="Arial" w:eastAsia="Arial" w:hAnsi="Arial"/>
                <w:sz w:val="14"/>
                <w:szCs w:val="14"/>
                <w:color w:val="auto"/>
              </w:rPr>
              <w:t>ANSS</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  29,210 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  28,578</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  2,545</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120" w:type="dxa"/>
            <w:vAlign w:val="bottom"/>
          </w:tcPr>
          <w:p>
            <w:pPr>
              <w:ind w:left="60"/>
              <w:spacing w:after="0"/>
              <w:rPr>
                <w:sz w:val="20"/>
                <w:szCs w:val="20"/>
                <w:color w:val="auto"/>
              </w:rPr>
            </w:pPr>
            <w:r>
              <w:rPr>
                <w:rFonts w:ascii="Arial" w:cs="Arial" w:eastAsia="Arial" w:hAnsi="Arial"/>
                <w:sz w:val="5"/>
                <w:szCs w:val="5"/>
                <w:color w:val="auto"/>
                <w:w w:val="79"/>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   576</w:t>
            </w:r>
          </w:p>
        </w:tc>
        <w:tc>
          <w:tcPr>
            <w:tcW w:w="720" w:type="dxa"/>
            <w:vAlign w:val="bottom"/>
          </w:tcPr>
          <w:p>
            <w:pPr>
              <w:spacing w:after="0"/>
              <w:rPr>
                <w:sz w:val="21"/>
                <w:szCs w:val="21"/>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49"/>
        </w:trPr>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1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Zoom Communications, Inc.</w:t>
            </w:r>
          </w:p>
        </w:tc>
        <w:tc>
          <w:tcPr>
            <w:tcW w:w="6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ZM</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w w:val="99"/>
              </w:rPr>
              <w:t>$  19,317    </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  $  14,794</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  4,665</w:t>
            </w:r>
          </w:p>
        </w:tc>
        <w:tc>
          <w:tcPr>
            <w:tcW w:w="1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Borders>
              <w:bottom w:val="single" w:sz="8" w:color="E5EEF8"/>
            </w:tcBorders>
            <w:shd w:val="clear" w:color="auto" w:fill="E5EEF8"/>
          </w:tcPr>
          <w:p>
            <w:pPr>
              <w:jc w:val="right"/>
              <w:ind w:right="168"/>
              <w:spacing w:after="0"/>
              <w:rPr>
                <w:sz w:val="20"/>
                <w:szCs w:val="20"/>
                <w:color w:val="auto"/>
              </w:rPr>
            </w:pPr>
            <w:r>
              <w:rPr>
                <w:rFonts w:ascii="Arial" w:cs="Arial" w:eastAsia="Arial" w:hAnsi="Arial"/>
                <w:sz w:val="14"/>
                <w:szCs w:val="14"/>
                <w:color w:val="auto"/>
              </w:rPr>
              <w:t>  $1,010</w:t>
            </w:r>
          </w:p>
        </w:tc>
        <w:tc>
          <w:tcPr>
            <w:tcW w:w="720" w:type="dxa"/>
            <w:vAlign w:val="bottom"/>
            <w:tcBorders>
              <w:bottom w:val="single" w:sz="8" w:color="E5EEF8"/>
            </w:tcBorders>
            <w:shd w:val="clear" w:color="auto" w:fill="E5EEF8"/>
          </w:tcPr>
          <w:p>
            <w:pPr>
              <w:spacing w:after="0"/>
              <w:rPr>
                <w:sz w:val="24"/>
                <w:szCs w:val="24"/>
                <w:color w:val="auto"/>
              </w:rPr>
            </w:pPr>
          </w:p>
        </w:tc>
        <w:tc>
          <w:tcPr>
            <w:tcW w:w="206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248"/>
        </w:trPr>
        <w:tc>
          <w:tcPr>
            <w:tcW w:w="3120" w:type="dxa"/>
            <w:vAlign w:val="bottom"/>
          </w:tcPr>
          <w:p>
            <w:pPr>
              <w:ind w:left="60"/>
              <w:spacing w:after="0"/>
              <w:rPr>
                <w:sz w:val="20"/>
                <w:szCs w:val="20"/>
                <w:color w:val="auto"/>
              </w:rPr>
            </w:pPr>
            <w:r>
              <w:rPr>
                <w:rFonts w:ascii="Arial" w:cs="Arial" w:eastAsia="Arial" w:hAnsi="Arial"/>
                <w:sz w:val="14"/>
                <w:szCs w:val="14"/>
                <w:color w:val="auto"/>
              </w:rPr>
              <w:t>Boston Scientific Corporation</w:t>
            </w:r>
          </w:p>
        </w:tc>
        <w:tc>
          <w:tcPr>
            <w:tcW w:w="680" w:type="dxa"/>
            <w:vAlign w:val="bottom"/>
          </w:tcPr>
          <w:p>
            <w:pPr>
              <w:jc w:val="right"/>
              <w:spacing w:after="0"/>
              <w:rPr>
                <w:sz w:val="20"/>
                <w:szCs w:val="20"/>
                <w:color w:val="auto"/>
              </w:rPr>
            </w:pPr>
            <w:r>
              <w:rPr>
                <w:rFonts w:ascii="Arial" w:cs="Arial" w:eastAsia="Arial" w:hAnsi="Arial"/>
                <w:sz w:val="14"/>
                <w:szCs w:val="14"/>
                <w:color w:val="auto"/>
              </w:rPr>
              <w:t>BSX</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$153,171 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$164,107</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$16,746</w:t>
            </w:r>
          </w:p>
        </w:tc>
        <w:tc>
          <w:tcPr>
            <w:tcW w:w="180" w:type="dxa"/>
            <w:vAlign w:val="bottom"/>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$1,853</w:t>
            </w:r>
          </w:p>
        </w:tc>
        <w:tc>
          <w:tcPr>
            <w:tcW w:w="720" w:type="dxa"/>
            <w:vAlign w:val="bottom"/>
          </w:tcPr>
          <w:p>
            <w:pPr>
              <w:spacing w:after="0"/>
              <w:rPr>
                <w:sz w:val="21"/>
                <w:szCs w:val="21"/>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Health Care Equipment</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1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Stryker Corporation</w:t>
            </w:r>
          </w:p>
        </w:tc>
        <w:tc>
          <w:tcPr>
            <w:tcW w:w="6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SYK</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w w:val="99"/>
              </w:rPr>
              <w:t>$147,362    </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  $156,989</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$22,595</w:t>
            </w:r>
          </w:p>
        </w:tc>
        <w:tc>
          <w:tcPr>
            <w:tcW w:w="1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Borders>
              <w:bottom w:val="single" w:sz="8" w:color="E5EEF8"/>
            </w:tcBorders>
            <w:shd w:val="clear" w:color="auto" w:fill="E5EEF8"/>
          </w:tcPr>
          <w:p>
            <w:pPr>
              <w:jc w:val="right"/>
              <w:ind w:right="168"/>
              <w:spacing w:after="0"/>
              <w:rPr>
                <w:sz w:val="20"/>
                <w:szCs w:val="20"/>
                <w:color w:val="auto"/>
              </w:rPr>
            </w:pPr>
            <w:r>
              <w:rPr>
                <w:rFonts w:ascii="Arial" w:cs="Arial" w:eastAsia="Arial" w:hAnsi="Arial"/>
                <w:sz w:val="14"/>
                <w:szCs w:val="14"/>
                <w:color w:val="auto"/>
              </w:rPr>
              <w:t>  $2,993</w:t>
            </w:r>
          </w:p>
        </w:tc>
        <w:tc>
          <w:tcPr>
            <w:tcW w:w="720" w:type="dxa"/>
            <w:vAlign w:val="bottom"/>
            <w:tcBorders>
              <w:bottom w:val="single" w:sz="8" w:color="E5EEF8"/>
            </w:tcBorders>
            <w:shd w:val="clear" w:color="auto" w:fill="E5EEF8"/>
          </w:tcPr>
          <w:p>
            <w:pPr>
              <w:spacing w:after="0"/>
              <w:rPr>
                <w:sz w:val="24"/>
                <w:szCs w:val="24"/>
                <w:color w:val="auto"/>
              </w:rPr>
            </w:pPr>
          </w:p>
        </w:tc>
        <w:tc>
          <w:tcPr>
            <w:tcW w:w="206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4"/>
                <w:szCs w:val="14"/>
                <w:color w:val="auto"/>
              </w:rPr>
              <w:t>Health Care Equipment</w:t>
            </w:r>
          </w:p>
        </w:tc>
        <w:tc>
          <w:tcPr>
            <w:tcW w:w="0" w:type="dxa"/>
            <w:vAlign w:val="bottom"/>
          </w:tcPr>
          <w:p>
            <w:pPr>
              <w:spacing w:after="0"/>
              <w:rPr>
                <w:sz w:val="1"/>
                <w:szCs w:val="1"/>
                <w:color w:val="auto"/>
              </w:rPr>
            </w:pPr>
          </w:p>
        </w:tc>
      </w:tr>
      <w:tr>
        <w:trPr>
          <w:trHeight w:val="248"/>
        </w:trPr>
        <w:tc>
          <w:tcPr>
            <w:tcW w:w="3120" w:type="dxa"/>
            <w:vAlign w:val="bottom"/>
          </w:tcPr>
          <w:p>
            <w:pPr>
              <w:ind w:left="60"/>
              <w:spacing w:after="0"/>
              <w:rPr>
                <w:sz w:val="20"/>
                <w:szCs w:val="20"/>
                <w:color w:val="auto"/>
              </w:rPr>
            </w:pPr>
            <w:r>
              <w:rPr>
                <w:rFonts w:ascii="Arial" w:cs="Arial" w:eastAsia="Arial" w:hAnsi="Arial"/>
                <w:sz w:val="14"/>
                <w:szCs w:val="14"/>
                <w:color w:val="auto"/>
              </w:rPr>
              <w:t>ServiceNow, Inc.</w:t>
            </w:r>
          </w:p>
        </w:tc>
        <w:tc>
          <w:tcPr>
            <w:tcW w:w="680" w:type="dxa"/>
            <w:vAlign w:val="bottom"/>
          </w:tcPr>
          <w:p>
            <w:pPr>
              <w:jc w:val="right"/>
              <w:spacing w:after="0"/>
              <w:rPr>
                <w:sz w:val="20"/>
                <w:szCs w:val="20"/>
                <w:color w:val="auto"/>
              </w:rPr>
            </w:pPr>
            <w:r>
              <w:rPr>
                <w:rFonts w:ascii="Arial" w:cs="Arial" w:eastAsia="Arial" w:hAnsi="Arial"/>
                <w:sz w:val="14"/>
                <w:szCs w:val="14"/>
                <w:color w:val="auto"/>
              </w:rPr>
              <w:t>NOW</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$191,531 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$188,493</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$10,984</w:t>
            </w:r>
          </w:p>
        </w:tc>
        <w:tc>
          <w:tcPr>
            <w:tcW w:w="180" w:type="dxa"/>
            <w:vAlign w:val="bottom"/>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$1,425</w:t>
            </w:r>
          </w:p>
        </w:tc>
        <w:tc>
          <w:tcPr>
            <w:tcW w:w="720" w:type="dxa"/>
            <w:vAlign w:val="bottom"/>
          </w:tcPr>
          <w:p>
            <w:pPr>
              <w:spacing w:after="0"/>
              <w:rPr>
                <w:sz w:val="21"/>
                <w:szCs w:val="21"/>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Systems Software</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1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Palo Alto Networks, Inc.</w:t>
            </w:r>
          </w:p>
        </w:tc>
        <w:tc>
          <w:tcPr>
            <w:tcW w:w="6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PANW</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w w:val="99"/>
              </w:rPr>
              <w:t>$126,084    </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  $123,737</w:t>
            </w:r>
          </w:p>
        </w:tc>
        <w:tc>
          <w:tcPr>
            <w:tcW w:w="18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  8,571</w:t>
            </w:r>
          </w:p>
        </w:tc>
        <w:tc>
          <w:tcPr>
            <w:tcW w:w="1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Borders>
              <w:bottom w:val="single" w:sz="8" w:color="E5EEF8"/>
            </w:tcBorders>
            <w:shd w:val="clear" w:color="auto" w:fill="E5EEF8"/>
          </w:tcPr>
          <w:p>
            <w:pPr>
              <w:jc w:val="right"/>
              <w:ind w:right="168"/>
              <w:spacing w:after="0"/>
              <w:rPr>
                <w:sz w:val="20"/>
                <w:szCs w:val="20"/>
                <w:color w:val="auto"/>
              </w:rPr>
            </w:pPr>
            <w:r>
              <w:rPr>
                <w:rFonts w:ascii="Arial" w:cs="Arial" w:eastAsia="Arial" w:hAnsi="Arial"/>
                <w:sz w:val="14"/>
                <w:szCs w:val="14"/>
                <w:color w:val="auto"/>
              </w:rPr>
              <w:t>  $1,255</w:t>
            </w:r>
          </w:p>
        </w:tc>
        <w:tc>
          <w:tcPr>
            <w:tcW w:w="720" w:type="dxa"/>
            <w:vAlign w:val="bottom"/>
            <w:tcBorders>
              <w:bottom w:val="single" w:sz="8" w:color="E5EEF8"/>
            </w:tcBorders>
            <w:shd w:val="clear" w:color="auto" w:fill="E5EEF8"/>
          </w:tcPr>
          <w:p>
            <w:pPr>
              <w:spacing w:after="0"/>
              <w:rPr>
                <w:sz w:val="24"/>
                <w:szCs w:val="24"/>
                <w:color w:val="auto"/>
              </w:rPr>
            </w:pPr>
          </w:p>
        </w:tc>
        <w:tc>
          <w:tcPr>
            <w:tcW w:w="206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4"/>
                <w:szCs w:val="14"/>
                <w:color w:val="auto"/>
              </w:rPr>
              <w:t>Systems Software</w:t>
            </w:r>
          </w:p>
        </w:tc>
        <w:tc>
          <w:tcPr>
            <w:tcW w:w="0" w:type="dxa"/>
            <w:vAlign w:val="bottom"/>
          </w:tcPr>
          <w:p>
            <w:pPr>
              <w:spacing w:after="0"/>
              <w:rPr>
                <w:sz w:val="1"/>
                <w:szCs w:val="1"/>
                <w:color w:val="auto"/>
              </w:rPr>
            </w:pPr>
          </w:p>
        </w:tc>
      </w:tr>
      <w:tr>
        <w:trPr>
          <w:trHeight w:val="220"/>
        </w:trPr>
        <w:tc>
          <w:tcPr>
            <w:tcW w:w="3120" w:type="dxa"/>
            <w:vAlign w:val="bottom"/>
          </w:tcPr>
          <w:p>
            <w:pPr>
              <w:ind w:left="60"/>
              <w:spacing w:after="0"/>
              <w:rPr>
                <w:sz w:val="20"/>
                <w:szCs w:val="20"/>
                <w:color w:val="auto"/>
              </w:rPr>
            </w:pPr>
            <w:r>
              <w:rPr>
                <w:rFonts w:ascii="Arial" w:cs="Arial" w:eastAsia="Arial" w:hAnsi="Arial"/>
                <w:sz w:val="14"/>
                <w:szCs w:val="14"/>
                <w:color w:val="auto"/>
              </w:rPr>
              <w:t>KKR &amp; Co.</w:t>
            </w:r>
          </w:p>
        </w:tc>
        <w:tc>
          <w:tcPr>
            <w:tcW w:w="680" w:type="dxa"/>
            <w:vAlign w:val="bottom"/>
          </w:tcPr>
          <w:p>
            <w:pPr>
              <w:jc w:val="right"/>
              <w:spacing w:after="0"/>
              <w:rPr>
                <w:sz w:val="20"/>
                <w:szCs w:val="20"/>
                <w:color w:val="auto"/>
              </w:rPr>
            </w:pPr>
            <w:r>
              <w:rPr>
                <w:rFonts w:ascii="Arial" w:cs="Arial" w:eastAsia="Arial" w:hAnsi="Arial"/>
                <w:sz w:val="14"/>
                <w:szCs w:val="14"/>
                <w:color w:val="auto"/>
              </w:rPr>
              <w:t>KKR</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$120,438 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$194,423</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$23,383</w:t>
            </w:r>
          </w:p>
        </w:tc>
        <w:tc>
          <w:tcPr>
            <w:tcW w:w="180" w:type="dxa"/>
            <w:vAlign w:val="bottom"/>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$3,076</w:t>
            </w:r>
          </w:p>
        </w:tc>
        <w:tc>
          <w:tcPr>
            <w:tcW w:w="720" w:type="dxa"/>
            <w:vAlign w:val="bottom"/>
          </w:tcPr>
          <w:p>
            <w:pPr>
              <w:spacing w:after="0"/>
              <w:rPr>
                <w:sz w:val="19"/>
                <w:szCs w:val="19"/>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120" w:type="dxa"/>
            <w:vAlign w:val="bottom"/>
            <w:shd w:val="clear" w:color="auto" w:fill="E5EEF8"/>
          </w:tcPr>
          <w:p>
            <w:pPr>
              <w:ind w:left="60"/>
              <w:spacing w:after="0"/>
              <w:rPr>
                <w:sz w:val="20"/>
                <w:szCs w:val="20"/>
                <w:color w:val="auto"/>
              </w:rPr>
            </w:pPr>
            <w:r>
              <w:rPr>
                <w:rFonts w:ascii="Arial" w:cs="Arial" w:eastAsia="Arial" w:hAnsi="Arial"/>
                <w:sz w:val="14"/>
                <w:szCs w:val="14"/>
                <w:color w:val="auto"/>
              </w:rPr>
              <w:t>Blackstone Inc.</w:t>
            </w:r>
          </w:p>
        </w:tc>
        <w:tc>
          <w:tcPr>
            <w:tcW w:w="6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BX</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color w:val="auto"/>
                <w:w w:val="99"/>
              </w:rPr>
              <w:t>$117,553    </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shd w:val="clear" w:color="auto" w:fill="E5EEF8"/>
          </w:tcPr>
          <w:p>
            <w:pPr>
              <w:ind w:left="60"/>
              <w:spacing w:after="0"/>
              <w:rPr>
                <w:sz w:val="20"/>
                <w:szCs w:val="20"/>
                <w:color w:val="auto"/>
              </w:rPr>
            </w:pPr>
            <w:r>
              <w:rPr>
                <w:rFonts w:ascii="Arial" w:cs="Arial" w:eastAsia="Arial" w:hAnsi="Arial"/>
                <w:sz w:val="14"/>
                <w:szCs w:val="14"/>
                <w:color w:val="auto"/>
              </w:rPr>
              <w:t>  $218,197</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$12,459</w:t>
            </w:r>
          </w:p>
        </w:tc>
        <w:tc>
          <w:tcPr>
            <w:tcW w:w="180" w:type="dxa"/>
            <w:vAlign w:val="bottom"/>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shd w:val="clear" w:color="auto" w:fill="E5EEF8"/>
          </w:tcPr>
          <w:p>
            <w:pPr>
              <w:jc w:val="right"/>
              <w:ind w:right="168"/>
              <w:spacing w:after="0"/>
              <w:rPr>
                <w:sz w:val="20"/>
                <w:szCs w:val="20"/>
                <w:color w:val="auto"/>
              </w:rPr>
            </w:pPr>
            <w:r>
              <w:rPr>
                <w:rFonts w:ascii="Arial" w:cs="Arial" w:eastAsia="Arial" w:hAnsi="Arial"/>
                <w:sz w:val="14"/>
                <w:szCs w:val="14"/>
                <w:color w:val="auto"/>
              </w:rPr>
              <w:t>  $2,777</w:t>
            </w:r>
          </w:p>
        </w:tc>
        <w:tc>
          <w:tcPr>
            <w:tcW w:w="720" w:type="dxa"/>
            <w:vAlign w:val="bottom"/>
            <w:shd w:val="clear" w:color="auto" w:fill="E5EEF8"/>
          </w:tcPr>
          <w:p>
            <w:pPr>
              <w:spacing w:after="0"/>
              <w:rPr>
                <w:sz w:val="23"/>
                <w:szCs w:val="23"/>
                <w:color w:val="auto"/>
              </w:rPr>
            </w:pP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216"/>
        </w:trPr>
        <w:tc>
          <w:tcPr>
            <w:tcW w:w="3120" w:type="dxa"/>
            <w:vAlign w:val="bottom"/>
            <w:shd w:val="clear" w:color="auto" w:fill="E5EEF8"/>
          </w:tcPr>
          <w:p>
            <w:pPr>
              <w:spacing w:after="0"/>
              <w:rPr>
                <w:sz w:val="18"/>
                <w:szCs w:val="18"/>
                <w:color w:val="auto"/>
              </w:rPr>
            </w:pPr>
          </w:p>
        </w:tc>
        <w:tc>
          <w:tcPr>
            <w:tcW w:w="68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14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84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100" w:type="dxa"/>
            <w:vAlign w:val="bottom"/>
            <w:shd w:val="clear" w:color="auto" w:fill="E5EEF8"/>
          </w:tcPr>
          <w:p>
            <w:pPr>
              <w:spacing w:after="0"/>
              <w:rPr>
                <w:sz w:val="18"/>
                <w:szCs w:val="18"/>
                <w:color w:val="auto"/>
              </w:rPr>
            </w:pPr>
          </w:p>
        </w:tc>
        <w:tc>
          <w:tcPr>
            <w:tcW w:w="72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720" w:type="dxa"/>
            <w:vAlign w:val="bottom"/>
            <w:shd w:val="clear" w:color="auto" w:fill="E5EEF8"/>
          </w:tcPr>
          <w:p>
            <w:pPr>
              <w:spacing w:after="0"/>
              <w:rPr>
                <w:sz w:val="18"/>
                <w:szCs w:val="18"/>
                <w:color w:val="auto"/>
              </w:rPr>
            </w:pP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75"/>
        </w:trPr>
        <w:tc>
          <w:tcPr>
            <w:tcW w:w="3120" w:type="dxa"/>
            <w:vAlign w:val="bottom"/>
            <w:shd w:val="clear" w:color="auto" w:fill="E5EEF8"/>
          </w:tcPr>
          <w:p>
            <w:pPr>
              <w:spacing w:after="0"/>
              <w:rPr>
                <w:sz w:val="6"/>
                <w:szCs w:val="6"/>
                <w:color w:val="auto"/>
              </w:rPr>
            </w:pPr>
          </w:p>
        </w:tc>
        <w:tc>
          <w:tcPr>
            <w:tcW w:w="68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84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0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2060" w:type="dxa"/>
            <w:vAlign w:val="bottom"/>
            <w:gridSpan w:val="2"/>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60"/>
              <w:spacing w:after="0"/>
              <w:rPr>
                <w:sz w:val="20"/>
                <w:szCs w:val="20"/>
                <w:color w:val="auto"/>
              </w:rPr>
            </w:pPr>
            <w:r>
              <w:rPr>
                <w:rFonts w:ascii="Arial" w:cs="Arial" w:eastAsia="Arial" w:hAnsi="Arial"/>
                <w:sz w:val="14"/>
                <w:szCs w:val="14"/>
                <w:color w:val="auto"/>
              </w:rPr>
              <w:t>Ares Management Corporation</w:t>
            </w:r>
          </w:p>
        </w:tc>
        <w:tc>
          <w:tcPr>
            <w:tcW w:w="680" w:type="dxa"/>
            <w:vAlign w:val="bottom"/>
          </w:tcPr>
          <w:p>
            <w:pPr>
              <w:jc w:val="right"/>
              <w:spacing w:after="0"/>
              <w:rPr>
                <w:sz w:val="20"/>
                <w:szCs w:val="20"/>
                <w:color w:val="auto"/>
              </w:rPr>
            </w:pPr>
            <w:r>
              <w:rPr>
                <w:rFonts w:ascii="Arial" w:cs="Arial" w:eastAsia="Arial" w:hAnsi="Arial"/>
                <w:sz w:val="14"/>
                <w:szCs w:val="14"/>
                <w:color w:val="auto"/>
              </w:rPr>
              <w:t>ARES</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  34,890 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  49,042</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  4,215</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120" w:type="dxa"/>
            <w:vAlign w:val="bottom"/>
          </w:tcPr>
          <w:p>
            <w:pPr>
              <w:ind w:left="60"/>
              <w:spacing w:after="0"/>
              <w:rPr>
                <w:sz w:val="20"/>
                <w:szCs w:val="20"/>
                <w:color w:val="auto"/>
              </w:rPr>
            </w:pPr>
            <w:r>
              <w:rPr>
                <w:rFonts w:ascii="Arial" w:cs="Arial" w:eastAsia="Arial" w:hAnsi="Arial"/>
                <w:sz w:val="5"/>
                <w:szCs w:val="5"/>
                <w:color w:val="auto"/>
                <w:w w:val="79"/>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   433</w:t>
            </w:r>
          </w:p>
        </w:tc>
        <w:tc>
          <w:tcPr>
            <w:tcW w:w="720" w:type="dxa"/>
            <w:vAlign w:val="bottom"/>
          </w:tcPr>
          <w:p>
            <w:pPr>
              <w:spacing w:after="0"/>
              <w:rPr>
                <w:sz w:val="19"/>
                <w:szCs w:val="19"/>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49"/>
        </w:trPr>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120" w:type="dxa"/>
            <w:vAlign w:val="bottom"/>
            <w:shd w:val="clear" w:color="auto" w:fill="E5EEF8"/>
          </w:tcPr>
          <w:p>
            <w:pPr>
              <w:ind w:left="60"/>
              <w:spacing w:after="0"/>
              <w:rPr>
                <w:sz w:val="20"/>
                <w:szCs w:val="20"/>
                <w:color w:val="auto"/>
              </w:rPr>
            </w:pPr>
            <w:r>
              <w:rPr>
                <w:rFonts w:ascii="Arial" w:cs="Arial" w:eastAsia="Arial" w:hAnsi="Arial"/>
                <w:sz w:val="14"/>
                <w:szCs w:val="14"/>
                <w:color w:val="auto"/>
              </w:rPr>
              <w:t>The Carlyle Group Inc.</w:t>
            </w:r>
          </w:p>
        </w:tc>
        <w:tc>
          <w:tcPr>
            <w:tcW w:w="6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CG</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color w:val="auto"/>
                <w:w w:val="99"/>
              </w:rPr>
              <w:t>$  18,002    </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shd w:val="clear" w:color="auto" w:fill="E5EEF8"/>
          </w:tcPr>
          <w:p>
            <w:pPr>
              <w:ind w:left="60"/>
              <w:spacing w:after="0"/>
              <w:rPr>
                <w:sz w:val="20"/>
                <w:szCs w:val="20"/>
                <w:color w:val="auto"/>
              </w:rPr>
            </w:pPr>
            <w:r>
              <w:rPr>
                <w:rFonts w:ascii="Arial" w:cs="Arial" w:eastAsia="Arial" w:hAnsi="Arial"/>
                <w:sz w:val="14"/>
                <w:szCs w:val="14"/>
                <w:color w:val="auto"/>
              </w:rPr>
              <w:t>  $  26,142</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shd w:val="clear" w:color="auto" w:fill="E5EEF8"/>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  5,293</w:t>
            </w:r>
          </w:p>
        </w:tc>
        <w:tc>
          <w:tcPr>
            <w:tcW w:w="180" w:type="dxa"/>
            <w:vAlign w:val="bottom"/>
            <w:shd w:val="clear" w:color="auto" w:fill="E5EEF8"/>
          </w:tcPr>
          <w:p>
            <w:pPr>
              <w:jc w:val="right"/>
              <w:spacing w:after="0"/>
              <w:rPr>
                <w:sz w:val="20"/>
                <w:szCs w:val="20"/>
                <w:color w:val="auto"/>
              </w:rPr>
            </w:pPr>
            <w:r>
              <w:rPr>
                <w:rFonts w:ascii="Arial" w:cs="Arial" w:eastAsia="Arial" w:hAnsi="Arial"/>
                <w:sz w:val="11"/>
                <w:szCs w:val="11"/>
                <w:color w:val="auto"/>
                <w:w w:val="70"/>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shd w:val="clear" w:color="auto" w:fill="E5EEF8"/>
          </w:tcPr>
          <w:p>
            <w:pPr>
              <w:jc w:val="right"/>
              <w:ind w:right="168"/>
              <w:spacing w:after="0"/>
              <w:rPr>
                <w:sz w:val="20"/>
                <w:szCs w:val="20"/>
                <w:color w:val="auto"/>
              </w:rPr>
            </w:pPr>
            <w:r>
              <w:rPr>
                <w:rFonts w:ascii="Arial" w:cs="Arial" w:eastAsia="Arial" w:hAnsi="Arial"/>
                <w:sz w:val="14"/>
                <w:szCs w:val="14"/>
                <w:color w:val="auto"/>
              </w:rPr>
              <w:t>  $1,020</w:t>
            </w:r>
          </w:p>
        </w:tc>
        <w:tc>
          <w:tcPr>
            <w:tcW w:w="720" w:type="dxa"/>
            <w:vAlign w:val="bottom"/>
            <w:shd w:val="clear" w:color="auto" w:fill="E5EEF8"/>
          </w:tcPr>
          <w:p>
            <w:pPr>
              <w:spacing w:after="0"/>
              <w:rPr>
                <w:sz w:val="23"/>
                <w:szCs w:val="23"/>
                <w:color w:val="auto"/>
              </w:rPr>
            </w:pP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216"/>
        </w:trPr>
        <w:tc>
          <w:tcPr>
            <w:tcW w:w="3120" w:type="dxa"/>
            <w:vAlign w:val="bottom"/>
            <w:shd w:val="clear" w:color="auto" w:fill="E5EEF8"/>
          </w:tcPr>
          <w:p>
            <w:pPr>
              <w:spacing w:after="0"/>
              <w:rPr>
                <w:sz w:val="18"/>
                <w:szCs w:val="18"/>
                <w:color w:val="auto"/>
              </w:rPr>
            </w:pPr>
          </w:p>
        </w:tc>
        <w:tc>
          <w:tcPr>
            <w:tcW w:w="68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14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84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100" w:type="dxa"/>
            <w:vAlign w:val="bottom"/>
            <w:shd w:val="clear" w:color="auto" w:fill="E5EEF8"/>
          </w:tcPr>
          <w:p>
            <w:pPr>
              <w:spacing w:after="0"/>
              <w:rPr>
                <w:sz w:val="18"/>
                <w:szCs w:val="18"/>
                <w:color w:val="auto"/>
              </w:rPr>
            </w:pPr>
          </w:p>
        </w:tc>
        <w:tc>
          <w:tcPr>
            <w:tcW w:w="720" w:type="dxa"/>
            <w:vAlign w:val="bottom"/>
            <w:shd w:val="clear" w:color="auto" w:fill="E5EEF8"/>
          </w:tcPr>
          <w:p>
            <w:pPr>
              <w:spacing w:after="0"/>
              <w:rPr>
                <w:sz w:val="18"/>
                <w:szCs w:val="18"/>
                <w:color w:val="auto"/>
              </w:rPr>
            </w:pPr>
          </w:p>
        </w:tc>
        <w:tc>
          <w:tcPr>
            <w:tcW w:w="180" w:type="dxa"/>
            <w:vAlign w:val="bottom"/>
            <w:shd w:val="clear" w:color="auto" w:fill="E5EEF8"/>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720" w:type="dxa"/>
            <w:vAlign w:val="bottom"/>
            <w:shd w:val="clear" w:color="auto" w:fill="E5EEF8"/>
          </w:tcPr>
          <w:p>
            <w:pPr>
              <w:spacing w:after="0"/>
              <w:rPr>
                <w:sz w:val="18"/>
                <w:szCs w:val="18"/>
                <w:color w:val="auto"/>
              </w:rPr>
            </w:pPr>
          </w:p>
        </w:tc>
        <w:tc>
          <w:tcPr>
            <w:tcW w:w="2060" w:type="dxa"/>
            <w:vAlign w:val="bottom"/>
            <w:gridSpan w:val="2"/>
            <w:shd w:val="clear" w:color="auto" w:fill="E5EEF8"/>
          </w:tcPr>
          <w:p>
            <w:pPr>
              <w:ind w:left="140"/>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75"/>
        </w:trPr>
        <w:tc>
          <w:tcPr>
            <w:tcW w:w="3120" w:type="dxa"/>
            <w:vAlign w:val="bottom"/>
            <w:shd w:val="clear" w:color="auto" w:fill="E5EEF8"/>
          </w:tcPr>
          <w:p>
            <w:pPr>
              <w:spacing w:after="0"/>
              <w:rPr>
                <w:sz w:val="6"/>
                <w:szCs w:val="6"/>
                <w:color w:val="auto"/>
              </w:rPr>
            </w:pPr>
          </w:p>
        </w:tc>
        <w:tc>
          <w:tcPr>
            <w:tcW w:w="68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84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0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2060" w:type="dxa"/>
            <w:vAlign w:val="bottom"/>
            <w:gridSpan w:val="2"/>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120" w:type="dxa"/>
            <w:vAlign w:val="bottom"/>
          </w:tcPr>
          <w:p>
            <w:pPr>
              <w:ind w:left="60"/>
              <w:spacing w:after="0"/>
              <w:rPr>
                <w:sz w:val="20"/>
                <w:szCs w:val="20"/>
                <w:color w:val="auto"/>
              </w:rPr>
            </w:pPr>
            <w:r>
              <w:rPr>
                <w:rFonts w:ascii="Arial" w:cs="Arial" w:eastAsia="Arial" w:hAnsi="Arial"/>
                <w:sz w:val="14"/>
                <w:szCs w:val="14"/>
                <w:color w:val="auto"/>
              </w:rPr>
              <w:t>Veeva Systems Inc.</w:t>
            </w:r>
          </w:p>
        </w:tc>
        <w:tc>
          <w:tcPr>
            <w:tcW w:w="680" w:type="dxa"/>
            <w:vAlign w:val="bottom"/>
          </w:tcPr>
          <w:p>
            <w:pPr>
              <w:jc w:val="right"/>
              <w:spacing w:after="0"/>
              <w:rPr>
                <w:sz w:val="20"/>
                <w:szCs w:val="20"/>
                <w:color w:val="auto"/>
              </w:rPr>
            </w:pPr>
            <w:r>
              <w:rPr>
                <w:rFonts w:ascii="Arial" w:cs="Arial" w:eastAsia="Arial" w:hAnsi="Arial"/>
                <w:sz w:val="14"/>
                <w:szCs w:val="14"/>
                <w:color w:val="auto"/>
              </w:rPr>
              <w:t>VEEV</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color w:val="auto"/>
                <w:w w:val="99"/>
              </w:rPr>
              <w:t>$  36,389    </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  $  31,398</w:t>
            </w:r>
          </w:p>
        </w:tc>
        <w:tc>
          <w:tcPr>
            <w:tcW w:w="180" w:type="dxa"/>
            <w:vAlign w:val="bottom"/>
          </w:tcPr>
          <w:p>
            <w:pPr>
              <w:ind w:left="40"/>
              <w:spacing w:after="0"/>
              <w:rPr>
                <w:sz w:val="20"/>
                <w:szCs w:val="20"/>
                <w:color w:val="auto"/>
              </w:rPr>
            </w:pPr>
            <w:r>
              <w:rPr>
                <w:rFonts w:ascii="Arial" w:cs="Arial" w:eastAsia="Arial" w:hAnsi="Arial"/>
                <w:sz w:val="13"/>
                <w:szCs w:val="13"/>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  2,656</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120" w:type="dxa"/>
            <w:vAlign w:val="bottom"/>
          </w:tcPr>
          <w:p>
            <w:pPr>
              <w:ind w:left="60"/>
              <w:spacing w:after="0"/>
              <w:rPr>
                <w:sz w:val="20"/>
                <w:szCs w:val="20"/>
                <w:color w:val="auto"/>
              </w:rPr>
            </w:pPr>
            <w:r>
              <w:rPr>
                <w:rFonts w:ascii="Arial" w:cs="Arial" w:eastAsia="Arial" w:hAnsi="Arial"/>
                <w:sz w:val="5"/>
                <w:szCs w:val="5"/>
                <w:color w:val="auto"/>
                <w:w w:val="79"/>
              </w:rPr>
              <w:t> </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  $   666</w:t>
            </w:r>
          </w:p>
        </w:tc>
        <w:tc>
          <w:tcPr>
            <w:tcW w:w="720" w:type="dxa"/>
            <w:vAlign w:val="bottom"/>
          </w:tcPr>
          <w:p>
            <w:pPr>
              <w:spacing w:after="0"/>
              <w:rPr>
                <w:sz w:val="23"/>
                <w:szCs w:val="23"/>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 xml:space="preserve">Health Care Technology         </w:t>
            </w:r>
          </w:p>
        </w:tc>
        <w:tc>
          <w:tcPr>
            <w:tcW w:w="0" w:type="dxa"/>
            <w:vAlign w:val="bottom"/>
          </w:tcPr>
          <w:p>
            <w:pPr>
              <w:spacing w:after="0"/>
              <w:rPr>
                <w:sz w:val="1"/>
                <w:szCs w:val="1"/>
                <w:color w:val="auto"/>
              </w:rPr>
            </w:pPr>
          </w:p>
        </w:tc>
      </w:tr>
      <w:tr>
        <w:trPr>
          <w:trHeight w:val="76"/>
        </w:trPr>
        <w:tc>
          <w:tcPr>
            <w:tcW w:w="3120" w:type="dxa"/>
            <w:vAlign w:val="bottom"/>
            <w:tcBorders>
              <w:bottom w:val="single" w:sz="8" w:color="005CB9"/>
            </w:tcBorders>
          </w:tcPr>
          <w:p>
            <w:pPr>
              <w:spacing w:after="0"/>
              <w:rPr>
                <w:sz w:val="6"/>
                <w:szCs w:val="6"/>
                <w:color w:val="auto"/>
              </w:rPr>
            </w:pPr>
          </w:p>
        </w:tc>
        <w:tc>
          <w:tcPr>
            <w:tcW w:w="68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40" w:type="dxa"/>
            <w:vAlign w:val="bottom"/>
            <w:tcBorders>
              <w:bottom w:val="single" w:sz="8" w:color="005CB9"/>
            </w:tcBorders>
          </w:tcPr>
          <w:p>
            <w:pPr>
              <w:spacing w:after="0"/>
              <w:rPr>
                <w:sz w:val="6"/>
                <w:szCs w:val="6"/>
                <w:color w:val="auto"/>
              </w:rPr>
            </w:pPr>
          </w:p>
        </w:tc>
        <w:tc>
          <w:tcPr>
            <w:tcW w:w="82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72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20" w:type="dxa"/>
            <w:vAlign w:val="bottom"/>
            <w:tcBorders>
              <w:bottom w:val="single" w:sz="8" w:color="005CB9"/>
            </w:tcBorders>
          </w:tcPr>
          <w:p>
            <w:pPr>
              <w:spacing w:after="0"/>
              <w:rPr>
                <w:sz w:val="6"/>
                <w:szCs w:val="6"/>
                <w:color w:val="auto"/>
              </w:rPr>
            </w:pPr>
          </w:p>
        </w:tc>
        <w:tc>
          <w:tcPr>
            <w:tcW w:w="720" w:type="dxa"/>
            <w:vAlign w:val="bottom"/>
            <w:tcBorders>
              <w:bottom w:val="single" w:sz="8" w:color="005CB9"/>
            </w:tcBorders>
          </w:tcPr>
          <w:p>
            <w:pPr>
              <w:spacing w:after="0"/>
              <w:rPr>
                <w:sz w:val="6"/>
                <w:szCs w:val="6"/>
                <w:color w:val="auto"/>
              </w:rPr>
            </w:pPr>
          </w:p>
        </w:tc>
        <w:tc>
          <w:tcPr>
            <w:tcW w:w="20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120" w:type="dxa"/>
            <w:vAlign w:val="bottom"/>
            <w:shd w:val="clear" w:color="auto" w:fill="E5EEF8"/>
          </w:tcPr>
          <w:p>
            <w:pPr>
              <w:ind w:left="60"/>
              <w:spacing w:after="0"/>
              <w:rPr>
                <w:sz w:val="20"/>
                <w:szCs w:val="20"/>
                <w:color w:val="auto"/>
              </w:rPr>
            </w:pPr>
            <w:r>
              <w:rPr>
                <w:rFonts w:ascii="Arial" w:cs="Arial" w:eastAsia="Arial" w:hAnsi="Arial"/>
                <w:sz w:val="14"/>
                <w:szCs w:val="14"/>
                <w:b w:val="1"/>
                <w:bCs w:val="1"/>
                <w:color w:val="auto"/>
              </w:rPr>
              <w:t>Median</w:t>
            </w:r>
          </w:p>
        </w:tc>
        <w:tc>
          <w:tcPr>
            <w:tcW w:w="680" w:type="dxa"/>
            <w:vAlign w:val="bottom"/>
            <w:shd w:val="clear" w:color="auto" w:fill="E5EEF8"/>
          </w:tcPr>
          <w:p>
            <w:pPr>
              <w:spacing w:after="0"/>
              <w:rPr>
                <w:sz w:val="22"/>
                <w:szCs w:val="22"/>
                <w:color w:val="auto"/>
              </w:rPr>
            </w:pP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b w:val="1"/>
                <w:bCs w:val="1"/>
                <w:color w:val="auto"/>
                <w:w w:val="71"/>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b w:val="1"/>
                <w:bCs w:val="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b w:val="1"/>
                <w:bCs w:val="1"/>
                <w:color w:val="auto"/>
                <w:w w:val="72"/>
              </w:rPr>
              <w:t> </w:t>
            </w:r>
          </w:p>
        </w:tc>
        <w:tc>
          <w:tcPr>
            <w:tcW w:w="820" w:type="dxa"/>
            <w:vAlign w:val="bottom"/>
            <w:shd w:val="clear" w:color="auto" w:fill="E5EEF8"/>
          </w:tcPr>
          <w:p>
            <w:pPr>
              <w:jc w:val="right"/>
              <w:spacing w:after="0"/>
              <w:rPr>
                <w:sz w:val="20"/>
                <w:szCs w:val="20"/>
                <w:color w:val="auto"/>
              </w:rPr>
            </w:pPr>
            <w:r>
              <w:rPr>
                <w:rFonts w:ascii="Arial" w:cs="Arial" w:eastAsia="Arial" w:hAnsi="Arial"/>
                <w:sz w:val="14"/>
                <w:szCs w:val="14"/>
                <w:b w:val="1"/>
                <w:bCs w:val="1"/>
                <w:color w:val="auto"/>
                <w:w w:val="99"/>
              </w:rPr>
              <w:t>$118,995    </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b w:val="1"/>
                <w:bCs w:val="1"/>
                <w:color w:val="auto"/>
                <w:w w:val="71"/>
              </w:rPr>
              <w:t>  </w:t>
            </w:r>
          </w:p>
        </w:tc>
        <w:tc>
          <w:tcPr>
            <w:tcW w:w="840" w:type="dxa"/>
            <w:vAlign w:val="bottom"/>
            <w:shd w:val="clear" w:color="auto" w:fill="E5EEF8"/>
          </w:tcPr>
          <w:p>
            <w:pPr>
              <w:ind w:left="60"/>
              <w:spacing w:after="0"/>
              <w:rPr>
                <w:sz w:val="20"/>
                <w:szCs w:val="20"/>
                <w:color w:val="auto"/>
              </w:rPr>
            </w:pPr>
            <w:r>
              <w:rPr>
                <w:rFonts w:ascii="Arial" w:cs="Arial" w:eastAsia="Arial" w:hAnsi="Arial"/>
                <w:sz w:val="14"/>
                <w:szCs w:val="14"/>
                <w:b w:val="1"/>
                <w:bCs w:val="1"/>
                <w:color w:val="auto"/>
              </w:rPr>
              <w:t>  $140,363</w:t>
            </w:r>
          </w:p>
        </w:tc>
        <w:tc>
          <w:tcPr>
            <w:tcW w:w="180" w:type="dxa"/>
            <w:vAlign w:val="bottom"/>
            <w:shd w:val="clear" w:color="auto" w:fill="E5EEF8"/>
          </w:tcPr>
          <w:p>
            <w:pPr>
              <w:ind w:left="40"/>
              <w:spacing w:after="0"/>
              <w:rPr>
                <w:sz w:val="20"/>
                <w:szCs w:val="20"/>
                <w:color w:val="auto"/>
              </w:rPr>
            </w:pPr>
            <w:r>
              <w:rPr>
                <w:rFonts w:ascii="Arial" w:cs="Arial" w:eastAsia="Arial" w:hAnsi="Arial"/>
                <w:sz w:val="13"/>
                <w:szCs w:val="13"/>
                <w:b w:val="1"/>
                <w:bCs w:val="1"/>
                <w:color w:val="auto"/>
                <w:w w:val="71"/>
              </w:rPr>
              <w:t>  </w:t>
            </w:r>
          </w:p>
        </w:tc>
        <w:tc>
          <w:tcPr>
            <w:tcW w:w="100" w:type="dxa"/>
            <w:vAlign w:val="bottom"/>
            <w:shd w:val="clear" w:color="auto" w:fill="E5EEF8"/>
          </w:tcPr>
          <w:p>
            <w:pPr>
              <w:ind w:left="40"/>
              <w:spacing w:after="0"/>
              <w:rPr>
                <w:sz w:val="20"/>
                <w:szCs w:val="20"/>
                <w:color w:val="auto"/>
              </w:rPr>
            </w:pPr>
            <w:r>
              <w:rPr>
                <w:rFonts w:ascii="Arial" w:cs="Arial" w:eastAsia="Arial" w:hAnsi="Arial"/>
                <w:sz w:val="5"/>
                <w:szCs w:val="5"/>
                <w:b w:val="1"/>
                <w:bCs w:val="1"/>
                <w:color w:val="auto"/>
                <w:w w:val="79"/>
              </w:rPr>
              <w:t> </w:t>
            </w:r>
          </w:p>
        </w:tc>
        <w:tc>
          <w:tcPr>
            <w:tcW w:w="720" w:type="dxa"/>
            <w:vAlign w:val="bottom"/>
            <w:shd w:val="clear" w:color="auto" w:fill="E5EEF8"/>
          </w:tcPr>
          <w:p>
            <w:pPr>
              <w:jc w:val="right"/>
              <w:ind w:right="48"/>
              <w:spacing w:after="0"/>
              <w:rPr>
                <w:sz w:val="20"/>
                <w:szCs w:val="20"/>
                <w:color w:val="auto"/>
              </w:rPr>
            </w:pPr>
            <w:r>
              <w:rPr>
                <w:rFonts w:ascii="Arial" w:cs="Arial" w:eastAsia="Arial" w:hAnsi="Arial"/>
                <w:sz w:val="14"/>
                <w:szCs w:val="14"/>
                <w:b w:val="1"/>
                <w:bCs w:val="1"/>
                <w:color w:val="auto"/>
              </w:rPr>
              <w:t>$  9,777</w:t>
            </w:r>
          </w:p>
        </w:tc>
        <w:tc>
          <w:tcPr>
            <w:tcW w:w="180" w:type="dxa"/>
            <w:vAlign w:val="bottom"/>
            <w:shd w:val="clear" w:color="auto" w:fill="E5EEF8"/>
          </w:tcPr>
          <w:p>
            <w:pPr>
              <w:jc w:val="right"/>
              <w:spacing w:after="0"/>
              <w:rPr>
                <w:sz w:val="20"/>
                <w:szCs w:val="20"/>
                <w:color w:val="auto"/>
              </w:rPr>
            </w:pPr>
            <w:r>
              <w:rPr>
                <w:rFonts w:ascii="Arial" w:cs="Arial" w:eastAsia="Arial" w:hAnsi="Arial"/>
                <w:sz w:val="11"/>
                <w:szCs w:val="11"/>
                <w:b w:val="1"/>
                <w:bCs w:val="1"/>
                <w:color w:val="auto"/>
                <w:w w:val="70"/>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b w:val="1"/>
                <w:bCs w:val="1"/>
                <w:color w:val="auto"/>
                <w:w w:val="74"/>
              </w:rPr>
              <w:t> </w:t>
            </w:r>
          </w:p>
        </w:tc>
        <w:tc>
          <w:tcPr>
            <w:tcW w:w="820" w:type="dxa"/>
            <w:vAlign w:val="bottom"/>
            <w:shd w:val="clear" w:color="auto" w:fill="E5EEF8"/>
          </w:tcPr>
          <w:p>
            <w:pPr>
              <w:jc w:val="right"/>
              <w:ind w:right="168"/>
              <w:spacing w:after="0"/>
              <w:rPr>
                <w:sz w:val="20"/>
                <w:szCs w:val="20"/>
                <w:color w:val="auto"/>
              </w:rPr>
            </w:pPr>
            <w:r>
              <w:rPr>
                <w:rFonts w:ascii="Arial" w:cs="Arial" w:eastAsia="Arial" w:hAnsi="Arial"/>
                <w:sz w:val="14"/>
                <w:szCs w:val="14"/>
                <w:b w:val="1"/>
                <w:bCs w:val="1"/>
                <w:color w:val="auto"/>
              </w:rPr>
              <w:t>  $1,340</w:t>
            </w:r>
          </w:p>
        </w:tc>
        <w:tc>
          <w:tcPr>
            <w:tcW w:w="720" w:type="dxa"/>
            <w:vAlign w:val="bottom"/>
            <w:shd w:val="clear" w:color="auto" w:fill="E5EEF8"/>
          </w:tcPr>
          <w:p>
            <w:pPr>
              <w:spacing w:after="0"/>
              <w:rPr>
                <w:sz w:val="22"/>
                <w:szCs w:val="22"/>
                <w:color w:val="auto"/>
              </w:rPr>
            </w:pPr>
          </w:p>
        </w:tc>
        <w:tc>
          <w:tcPr>
            <w:tcW w:w="2040" w:type="dxa"/>
            <w:vAlign w:val="bottom"/>
            <w:shd w:val="clear" w:color="auto" w:fill="E5EEF8"/>
          </w:tcPr>
          <w:p>
            <w:pPr>
              <w:spacing w:after="0"/>
              <w:rPr>
                <w:sz w:val="22"/>
                <w:szCs w:val="22"/>
                <w:color w:val="auto"/>
              </w:rPr>
            </w:pPr>
          </w:p>
        </w:tc>
        <w:tc>
          <w:tcPr>
            <w:tcW w:w="20" w:type="dxa"/>
            <w:vAlign w:val="bottom"/>
            <w:shd w:val="clear" w:color="auto" w:fill="E5EEF8"/>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3120" w:type="dxa"/>
            <w:vAlign w:val="bottom"/>
            <w:shd w:val="clear" w:color="auto" w:fill="E5EEF8"/>
          </w:tcPr>
          <w:p>
            <w:pPr>
              <w:spacing w:after="0"/>
              <w:rPr>
                <w:sz w:val="6"/>
                <w:szCs w:val="6"/>
                <w:color w:val="auto"/>
              </w:rPr>
            </w:pPr>
          </w:p>
        </w:tc>
        <w:tc>
          <w:tcPr>
            <w:tcW w:w="68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84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0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180" w:type="dxa"/>
            <w:vAlign w:val="bottom"/>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2060" w:type="dxa"/>
            <w:vAlign w:val="bottom"/>
            <w:gridSpan w:val="2"/>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Roper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ROP</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72"/>
              </w:rPr>
              <w:t> </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9"/>
              </w:rPr>
              <w:t>$  62,767    </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w w:val="71"/>
              </w:rPr>
              <w:t>  </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  $  70,402</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w w:val="71"/>
              </w:rPr>
              <w:t>  </w:t>
            </w:r>
          </w:p>
        </w:tc>
        <w:tc>
          <w:tcPr>
            <w:tcW w:w="100" w:type="dxa"/>
            <w:vAlign w:val="bottom"/>
          </w:tcPr>
          <w:p>
            <w:pPr>
              <w:ind w:left="40"/>
              <w:spacing w:after="0"/>
              <w:rPr>
                <w:sz w:val="20"/>
                <w:szCs w:val="20"/>
                <w:color w:val="auto"/>
              </w:rPr>
            </w:pPr>
            <w:r>
              <w:rPr>
                <w:rFonts w:ascii="Arial" w:cs="Arial" w:eastAsia="Arial" w:hAnsi="Arial"/>
                <w:sz w:val="5"/>
                <w:szCs w:val="5"/>
                <w:b w:val="1"/>
                <w:bCs w:val="1"/>
                <w:color w:val="auto"/>
                <w:w w:val="79"/>
              </w:rPr>
              <w:t> </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  7,039</w:t>
            </w:r>
          </w:p>
        </w:tc>
        <w:tc>
          <w:tcPr>
            <w:tcW w:w="180" w:type="dxa"/>
            <w:vAlign w:val="bottom"/>
          </w:tcPr>
          <w:p>
            <w:pPr>
              <w:jc w:val="right"/>
              <w:spacing w:after="0"/>
              <w:rPr>
                <w:sz w:val="20"/>
                <w:szCs w:val="20"/>
                <w:color w:val="auto"/>
              </w:rPr>
            </w:pPr>
            <w:r>
              <w:rPr>
                <w:rFonts w:ascii="Arial" w:cs="Arial" w:eastAsia="Arial" w:hAnsi="Arial"/>
                <w:sz w:val="11"/>
                <w:szCs w:val="11"/>
                <w:b w:val="1"/>
                <w:bCs w:val="1"/>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b w:val="1"/>
                <w:bCs w:val="1"/>
                <w:color w:val="auto"/>
                <w:w w:val="74"/>
              </w:rPr>
              <w:t> </w:t>
            </w: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  $1,549</w:t>
            </w:r>
          </w:p>
        </w:tc>
        <w:tc>
          <w:tcPr>
            <w:tcW w:w="72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 Software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FactSet</w:t>
      </w:r>
    </w:p>
    <w:p>
      <w:pPr>
        <w:spacing w:after="0" w:line="1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2/28/25</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Last four quarters available as of 2/28/25</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Long-Term Measurement Period</w:t>
      </w:r>
    </w:p>
    <w:p>
      <w:pPr>
        <w:spacing w:after="0" w:line="9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A long-term performance period most accurately portrays Roper’s relative performance. Over shorter periods, performance comparisons can be skewed by temporary or volatile market dynamics and relative over- or under-performance by Roper’s peers in any particular period. In contrast, Roper has historically delivered consistently strong performance with less volatility than many of its peers, thus comparing other companies’ short-term performance to that of Roper can generate misleading or distorted results.</w:t>
      </w:r>
    </w:p>
    <w:p>
      <w:pPr>
        <w:spacing w:after="0" w:line="71"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-77470</wp:posOffset>
            </wp:positionV>
            <wp:extent cx="8255" cy="2825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-635</wp:posOffset>
            </wp:positionV>
            <wp:extent cx="42037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ind w:left="6740"/>
        <w:spacing w:after="0" w:line="181" w:lineRule="auto"/>
        <w:tabs>
          <w:tab w:leader="none" w:pos="10820" w:val="left"/>
        </w:tabs>
        <w:rPr>
          <w:sz w:val="20"/>
          <w:szCs w:val="20"/>
          <w:color w:val="auto"/>
        </w:rPr>
      </w:pPr>
      <w:r>
        <w:rPr>
          <w:rFonts w:ascii="Arial" w:cs="Arial" w:eastAsia="Arial" w:hAnsi="Arial"/>
          <w:sz w:val="14"/>
          <w:szCs w:val="14"/>
          <w:b w:val="1"/>
          <w:bCs w:val="1"/>
          <w:color w:val="005CB9"/>
        </w:rPr>
        <w:t>   Roper Technologies, Inc. 2025 Proxy Statement</w:t>
      </w:r>
      <w:r>
        <w:rPr>
          <w:sz w:val="20"/>
          <w:szCs w:val="20"/>
          <w:color w:val="auto"/>
        </w:rPr>
        <w:tab/>
      </w:r>
      <w:r>
        <w:rPr>
          <w:rFonts w:ascii="Arial" w:cs="Arial" w:eastAsia="Arial" w:hAnsi="Arial"/>
          <w:sz w:val="14"/>
          <w:szCs w:val="14"/>
          <w:b w:val="1"/>
          <w:bCs w:val="1"/>
          <w:color w:val="005CB9"/>
        </w:rPr>
        <w:t>   33</w:t>
      </w:r>
    </w:p>
    <w:p>
      <w:pPr>
        <w:ind w:left="594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Compensation</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Compensation Committee considers many factors in determining the compensation of Roper’s CEO, and believes the compensation for the position is reasonable, appropriate, and aligned with shareholders’ best interests.</w:t>
      </w:r>
    </w:p>
    <w:p>
      <w:pPr>
        <w:sectPr>
          <w:pgSz w:w="11900" w:h="16838" w:orient="portrait"/>
          <w:cols w:equalWidth="0" w:num="1">
            <w:col w:w="11140"/>
          </w:cols>
          <w:pgMar w:left="320" w:top="482" w:right="439" w:bottom="1440" w:gutter="0" w:footer="0" w:header="0"/>
        </w:sect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Broad Responsibilities and Effective Leadership</w:t>
      </w:r>
    </w:p>
    <w:p>
      <w:pPr>
        <w:spacing w:after="0" w:line="9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Mr. Hunn joined Roper in 2011, and continues to play a key role in developing and implementing the capital deployment process under which Roper has invested tens of billions of dollars in acquisitions that have generated sustained superior returns for shareholders. Following his appointment as CEO and President in September 2018, Mr. Hunn has led the Company’s capital deployment efforts and has continued to build and champion Roper’s sustainable high-performance and entrepreneurial culture. Prior to his appointment as CEO, Mr. Hunn served as the Company’s first Chief Operating Officer.</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Outstanding Performance and Value Creation</w:t>
      </w:r>
    </w:p>
    <w:p>
      <w:pPr>
        <w:spacing w:after="0" w:line="98"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Beginning in 2003, Roper has undergone a business transformation with increasing cash return on investment and increasing margins, providing a platform for continuing growth and future value creation for shareholders. Mr. Hunn made significant contributions to this effort since joining the Company and led the Company’s recent portfolio transformation strategy to reduce the cyclicality and asset intensity of the enterprise.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Alignment with Shareholder Value Creation</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Mr. Hunn’s compensation is closely tied to the performance of the Company. In 2024, approximately 86% of his total direct compensation was tied to equity awards. This tight alignment between compensation and share price creates a strong incentive to profitably grow the enterprise.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External Comparisons</w:t>
      </w:r>
    </w:p>
    <w:p>
      <w:pPr>
        <w:spacing w:after="0" w:line="98"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Compensation for Roper’s CEO is within the range for Roper’s self-selected peers and high-performing chief executive officers of publicly traded companies. Among private equity firms, compensation for Roper’s CEO is below levels that would be expected for commensurate levels of performance. Further, we believe that compensation for our CEO has been reasonable and reflects the value created for shareholders over both the short- and long-term.</w:t>
      </w:r>
    </w:p>
    <w:p>
      <w:pPr>
        <w:spacing w:after="0" w:line="74"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In early 2024, the Compensation Committee reviewed Mr. Hunn’s compensation compared to similarly</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situated CEOs and decided to maintain his salary and his annual bonus opportunity at $1,000,000, and 200% of his base salary, respectively. The Committee increased Mr. Hunn’s total target direct compensation by approximately 4%, with such increase allocated 25% to stock options and 75% to performance-based 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Internal Pay Equity</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 levels. While contributing to low corporate overhead, Roper’s decentralized model results in operating business leaders who are highly compensated but are not currently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2024 COMPENSATION</w:t>
      </w:r>
    </w:p>
    <w:p>
      <w:pPr>
        <w:spacing w:after="0" w:line="104"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This section discusses compensation actions taken in 2024 for our named executive officers, as reported in the “Executive Compensation” section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Base Salary</w:t>
      </w:r>
    </w:p>
    <w:p>
      <w:pPr>
        <w:spacing w:after="0" w:line="10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In early 2024, the Compensation Committee increased the salaries of two of our named executive officers to reflect market practice and continued strong performance: Mr. Conley from $675,000 to $710,000, and Mr. Stipancich from $800,000 to $835,000. Mr. Hunn’s salary remained unchanged at $1,000,000.</w:t>
      </w:r>
    </w:p>
    <w:p>
      <w:pPr>
        <w:sectPr>
          <w:pgSz w:w="11900" w:h="16838" w:orient="portrait"/>
          <w:cols w:equalWidth="0" w:num="2">
            <w:col w:w="5400" w:space="340"/>
            <w:col w:w="5400"/>
          </w:cols>
          <w:pgMar w:left="320" w:top="482" w:right="4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Annual Cash Incentive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Incentive Opportunities</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Annual cash incentive opportunities for 2024 for our named executive officers, expressed as a percentage of base salary (as established in early 2024) were set as follows: Mr. Hunn (200%), Mr. Conley (125%) and Mr. Stipancich (125%). Opportunities are reflective of market practice and were maintained at the same percentages as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Funding Schedule</w:t>
      </w:r>
    </w:p>
    <w:p>
      <w:pPr>
        <w:spacing w:after="0" w:line="98"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In 2024, the Committee revised the annual cash incentive opportunity to align the program with the Company’s revised strategy for enhanced growth and more closely reflect peer compensation practices. The Company will now use growth in adjusted EBITDA (as opposed to adjusted net earnings) as the applicable cash incentive performance metric. The program has been further revised to incentivize and reward exceptional growth. As in prior years, target-level performance remains at 10% growth (though in adjusted EBITDA instead of adjusted net earnings), and the Company must achieve a threshold of at least 3% growth in adjusted EBITDA for any bonus to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 w:right="20"/>
        <w:spacing w:after="0" w:line="267" w:lineRule="auto"/>
        <w:rPr>
          <w:sz w:val="20"/>
          <w:szCs w:val="20"/>
          <w:color w:val="auto"/>
        </w:rPr>
      </w:pPr>
      <w:r>
        <w:rPr>
          <w:rFonts w:ascii="Arial" w:cs="Arial" w:eastAsia="Arial" w:hAnsi="Arial"/>
          <w:sz w:val="17"/>
          <w:szCs w:val="17"/>
          <w:color w:val="auto"/>
        </w:rPr>
        <w:t>earned. However, there is additional opportunity if growth exceeds the 10% target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-1307465</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5" w:lineRule="exact"/>
        <w:rPr>
          <w:sz w:val="20"/>
          <w:szCs w:val="20"/>
          <w:color w:val="auto"/>
        </w:rPr>
      </w:pPr>
    </w:p>
    <w:p>
      <w:pPr>
        <w:ind w:left="206" w:right="20" w:hanging="206"/>
        <w:spacing w:after="0" w:line="267" w:lineRule="auto"/>
        <w:tabs>
          <w:tab w:leader="none" w:pos="206"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Growth of 14% in adjusted EBITDA will result in an incremental 20% of the target incentive opportunity being earned; and</w:t>
      </w:r>
    </w:p>
    <w:p>
      <w:pPr>
        <w:spacing w:after="0" w:line="64" w:lineRule="exact"/>
        <w:rPr>
          <w:rFonts w:ascii="Arial" w:cs="Arial" w:eastAsia="Arial" w:hAnsi="Arial"/>
          <w:sz w:val="17"/>
          <w:szCs w:val="17"/>
          <w:color w:val="auto"/>
        </w:rPr>
      </w:pPr>
    </w:p>
    <w:p>
      <w:pPr>
        <w:jc w:val="both"/>
        <w:ind w:left="206" w:right="20" w:hanging="206"/>
        <w:spacing w:after="0" w:line="244" w:lineRule="auto"/>
        <w:tabs>
          <w:tab w:leader="none" w:pos="206"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Growth of 18% in adjusted EBITDA will result in an incremental 30% of the target incentive opportunity being earned, for a total maximum potential payout capped at 150% of the target annual cash incentive opportunity.</w:t>
      </w:r>
    </w:p>
    <w:p>
      <w:pPr>
        <w:spacing w:after="0" w:line="69" w:lineRule="exact"/>
        <w:rPr>
          <w:sz w:val="20"/>
          <w:szCs w:val="20"/>
          <w:color w:val="auto"/>
        </w:rPr>
      </w:pPr>
    </w:p>
    <w:p>
      <w:pPr>
        <w:jc w:val="both"/>
        <w:ind w:left="6" w:right="20"/>
        <w:spacing w:after="0" w:line="267" w:lineRule="auto"/>
        <w:rPr>
          <w:sz w:val="20"/>
          <w:szCs w:val="20"/>
          <w:color w:val="auto"/>
        </w:rPr>
      </w:pPr>
      <w:r>
        <w:rPr>
          <w:rFonts w:ascii="Arial" w:cs="Arial" w:eastAsia="Arial" w:hAnsi="Arial"/>
          <w:sz w:val="17"/>
          <w:szCs w:val="17"/>
          <w:color w:val="auto"/>
        </w:rPr>
        <w:t>Straight-line interpolation will be used to determine the amount of bonus earned between all three targets.</w:t>
      </w:r>
    </w:p>
    <w:p>
      <w:pPr>
        <w:spacing w:after="0" w:line="159" w:lineRule="exact"/>
        <w:rPr>
          <w:sz w:val="20"/>
          <w:szCs w:val="20"/>
          <w:color w:val="auto"/>
        </w:rPr>
      </w:pPr>
    </w:p>
    <w:p>
      <w:pPr>
        <w:jc w:val="both"/>
        <w:ind w:left="6" w:right="20"/>
        <w:spacing w:after="0" w:line="237" w:lineRule="auto"/>
        <w:rPr>
          <w:sz w:val="20"/>
          <w:szCs w:val="20"/>
          <w:color w:val="auto"/>
        </w:rPr>
      </w:pPr>
      <w:r>
        <w:rPr>
          <w:rFonts w:ascii="Arial" w:cs="Arial" w:eastAsia="Arial" w:hAnsi="Arial"/>
          <w:sz w:val="17"/>
          <w:szCs w:val="17"/>
          <w:color w:val="auto"/>
        </w:rPr>
        <w:t>For 2024, the Company’s adjusted EBITDA, was $2.832 billion (representing a 12.8% increase over the prior year); accordingly, the Compensation Committee approved payment of 114.1% of the bonus opportunity. The performance bonuses to our named executive officers for 2024 are shown below and in the 2024 Summary Compensation Table below under the “Non-Equity Incentive Plan Compensation” column. A reconciliation of 2024 adjusted EBITDA is available in “Appendix A – Reconciliations.”</w:t>
      </w:r>
    </w:p>
    <w:p>
      <w:pPr>
        <w:spacing w:after="0" w:line="200" w:lineRule="exact"/>
        <w:rPr>
          <w:sz w:val="20"/>
          <w:szCs w:val="20"/>
          <w:color w:val="auto"/>
        </w:rPr>
      </w:pPr>
    </w:p>
    <w:p>
      <w:pPr>
        <w:spacing w:after="0" w:line="276"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35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2024 Annual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163195</wp:posOffset>
            </wp:positionV>
            <wp:extent cx="3171825" cy="1671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7182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14"/>
          <w:szCs w:val="14"/>
          <w:color w:val="auto"/>
        </w:rPr>
        <w:t>Adjusted EBITDA is earnings before interest, income-related taxes, depreciation and amortization, increased or reduced to eliminate the effects of extraordinary items, discontinued operations, restructuring of debt obligations, gains on asset dispositions, asset write-downs or impairment charges, acquisition-related expenses on completed acquisitions, litigation settlements and judgments, reorganization and restructuring programs, financial impacts associated with minority investments, and non-recurring or special items (as discussed in the Company’s quarterly earnings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127000</wp:posOffset>
            </wp:positionV>
            <wp:extent cx="7011670" cy="7112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11670" cy="7112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Hunn</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3968750"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68750" cy="214630"/>
                    </a:xfrm>
                    <a:prstGeom prst="rect">
                      <a:avLst/>
                    </a:prstGeom>
                    <a:noFill/>
                  </pic:spPr>
                </pic:pic>
              </a:graphicData>
            </a:graphic>
          </wp:anchor>
        </w:drawing>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Stipancich</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100"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We award both stock options and performance-based restricted stock units to our named executive officers. In combination, we believe these awards provide a balanced focus on sustainable long-term shareholder value creation and retention of key executives. The value of the awards is reflective of market practice within our compensation peer group. Prior to 2024, we used adjusted EBITDA and relative operating cash flow (less: capital expenditures and capitalized software) as the metrics for determining the vesting of performance-based restricted stock awards as these two metrics have been strongly correlated with the value our shareholders received from Company performance. Starting in 2024, we began using adjusted net earnings and relative total shareholder return as the metrics as such aligns with our future growth ambitions and reflects the cost of capital</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620" w:type="dxa"/>
        <w:tblCellMar>
          <w:top w:w="0" w:type="dxa"/>
          <w:left w:w="0" w:type="dxa"/>
          <w:bottom w:w="0" w:type="dxa"/>
          <w:right w:w="0" w:type="dxa"/>
        </w:tblCellMar>
      </w:tblPr>
      <w:tr>
        <w:trPr>
          <w:trHeight w:val="162"/>
        </w:trPr>
        <w:tc>
          <w:tcPr>
            <w:tcW w:w="1200" w:type="dxa"/>
            <w:vAlign w:val="bottom"/>
          </w:tcPr>
          <w:p>
            <w:pPr>
              <w:jc w:val="center"/>
              <w:ind w:left="122"/>
              <w:spacing w:after="0"/>
              <w:rPr>
                <w:sz w:val="20"/>
                <w:szCs w:val="20"/>
                <w:color w:val="auto"/>
              </w:rPr>
            </w:pPr>
            <w:r>
              <w:rPr>
                <w:rFonts w:ascii="Arial" w:cs="Arial" w:eastAsia="Arial" w:hAnsi="Arial"/>
                <w:sz w:val="14"/>
                <w:szCs w:val="14"/>
                <w:color w:val="FFFFFF"/>
              </w:rPr>
              <w:t>Potential</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200" w:type="dxa"/>
            <w:vAlign w:val="bottom"/>
          </w:tcPr>
          <w:p>
            <w:pPr>
              <w:jc w:val="center"/>
              <w:ind w:left="122"/>
              <w:spacing w:after="0"/>
              <w:rPr>
                <w:sz w:val="20"/>
                <w:szCs w:val="20"/>
                <w:color w:val="auto"/>
              </w:rPr>
            </w:pPr>
            <w:r>
              <w:rPr>
                <w:rFonts w:ascii="Arial" w:cs="Arial" w:eastAsia="Arial" w:hAnsi="Arial"/>
                <w:sz w:val="14"/>
                <w:szCs w:val="14"/>
                <w:color w:val="FFFFFF"/>
              </w:rPr>
              <w:t>Threshold</w:t>
            </w:r>
          </w:p>
        </w:tc>
        <w:tc>
          <w:tcPr>
            <w:tcW w:w="1180" w:type="dxa"/>
            <w:vAlign w:val="bottom"/>
          </w:tcPr>
          <w:p>
            <w:pPr>
              <w:jc w:val="center"/>
              <w:spacing w:after="0"/>
              <w:rPr>
                <w:sz w:val="20"/>
                <w:szCs w:val="20"/>
                <w:color w:val="auto"/>
              </w:rPr>
            </w:pPr>
            <w:r>
              <w:rPr>
                <w:rFonts w:ascii="Arial" w:cs="Arial" w:eastAsia="Arial" w:hAnsi="Arial"/>
                <w:sz w:val="14"/>
                <w:szCs w:val="14"/>
                <w:color w:val="FFFFFF"/>
                <w:w w:val="99"/>
              </w:rPr>
              <w:t>Potential Target</w:t>
            </w:r>
          </w:p>
        </w:tc>
        <w:tc>
          <w:tcPr>
            <w:tcW w:w="1280" w:type="dxa"/>
            <w:vAlign w:val="bottom"/>
          </w:tcPr>
          <w:p>
            <w:pPr>
              <w:jc w:val="right"/>
              <w:ind w:right="281"/>
              <w:spacing w:after="0"/>
              <w:rPr>
                <w:sz w:val="20"/>
                <w:szCs w:val="20"/>
                <w:color w:val="auto"/>
              </w:rPr>
            </w:pPr>
            <w:r>
              <w:rPr>
                <w:rFonts w:ascii="Arial" w:cs="Arial" w:eastAsia="Arial" w:hAnsi="Arial"/>
                <w:sz w:val="14"/>
                <w:szCs w:val="14"/>
                <w:color w:val="FFFFFF"/>
              </w:rPr>
              <w:t>Potential</w:t>
            </w:r>
          </w:p>
        </w:tc>
        <w:tc>
          <w:tcPr>
            <w:tcW w:w="1120" w:type="dxa"/>
            <w:vAlign w:val="bottom"/>
          </w:tcPr>
          <w:p>
            <w:pPr>
              <w:jc w:val="center"/>
              <w:spacing w:after="0"/>
              <w:rPr>
                <w:sz w:val="20"/>
                <w:szCs w:val="20"/>
                <w:color w:val="auto"/>
              </w:rPr>
            </w:pPr>
            <w:r>
              <w:rPr>
                <w:rFonts w:ascii="Arial" w:cs="Arial" w:eastAsia="Arial" w:hAnsi="Arial"/>
                <w:sz w:val="14"/>
                <w:szCs w:val="14"/>
                <w:color w:val="FFFFFF"/>
              </w:rPr>
              <w:t>Actual Annual</w:t>
            </w:r>
          </w:p>
        </w:tc>
      </w:tr>
      <w:tr>
        <w:trPr>
          <w:trHeight w:val="162"/>
        </w:trPr>
        <w:tc>
          <w:tcPr>
            <w:tcW w:w="1200" w:type="dxa"/>
            <w:vAlign w:val="bottom"/>
          </w:tcPr>
          <w:p>
            <w:pPr>
              <w:jc w:val="center"/>
              <w:ind w:left="102"/>
              <w:spacing w:after="0"/>
              <w:rPr>
                <w:sz w:val="20"/>
                <w:szCs w:val="20"/>
                <w:color w:val="auto"/>
              </w:rPr>
            </w:pPr>
            <w:r>
              <w:rPr>
                <w:rFonts w:ascii="Arial" w:cs="Arial" w:eastAsia="Arial" w:hAnsi="Arial"/>
                <w:sz w:val="14"/>
                <w:szCs w:val="14"/>
                <w:color w:val="FFFFFF"/>
              </w:rPr>
              <w:t>Annual Cash</w:t>
            </w:r>
          </w:p>
        </w:tc>
        <w:tc>
          <w:tcPr>
            <w:tcW w:w="1180" w:type="dxa"/>
            <w:vAlign w:val="bottom"/>
          </w:tcPr>
          <w:p>
            <w:pPr>
              <w:jc w:val="center"/>
              <w:spacing w:after="0"/>
              <w:rPr>
                <w:sz w:val="20"/>
                <w:szCs w:val="20"/>
                <w:color w:val="auto"/>
              </w:rPr>
            </w:pPr>
            <w:r>
              <w:rPr>
                <w:rFonts w:ascii="Arial" w:cs="Arial" w:eastAsia="Arial" w:hAnsi="Arial"/>
                <w:sz w:val="14"/>
                <w:szCs w:val="14"/>
                <w:color w:val="FFFFFF"/>
              </w:rPr>
              <w:t>Annual Cash</w:t>
            </w:r>
          </w:p>
        </w:tc>
        <w:tc>
          <w:tcPr>
            <w:tcW w:w="1280" w:type="dxa"/>
            <w:vAlign w:val="bottom"/>
          </w:tcPr>
          <w:p>
            <w:pPr>
              <w:jc w:val="right"/>
              <w:ind w:right="21"/>
              <w:spacing w:after="0"/>
              <w:rPr>
                <w:sz w:val="20"/>
                <w:szCs w:val="20"/>
                <w:color w:val="auto"/>
              </w:rPr>
            </w:pPr>
            <w:r>
              <w:rPr>
                <w:rFonts w:ascii="Arial" w:cs="Arial" w:eastAsia="Arial" w:hAnsi="Arial"/>
                <w:sz w:val="14"/>
                <w:szCs w:val="14"/>
                <w:color w:val="FFFFFF"/>
              </w:rPr>
              <w:t>Maximum Annual</w:t>
            </w:r>
          </w:p>
        </w:tc>
        <w:tc>
          <w:tcPr>
            <w:tcW w:w="1120" w:type="dxa"/>
            <w:vAlign w:val="bottom"/>
          </w:tcPr>
          <w:p>
            <w:pPr>
              <w:jc w:val="center"/>
              <w:spacing w:after="0"/>
              <w:rPr>
                <w:sz w:val="20"/>
                <w:szCs w:val="20"/>
                <w:color w:val="auto"/>
              </w:rPr>
            </w:pPr>
            <w:r>
              <w:rPr>
                <w:rFonts w:ascii="Arial" w:cs="Arial" w:eastAsia="Arial" w:hAnsi="Arial"/>
                <w:sz w:val="14"/>
                <w:szCs w:val="14"/>
                <w:color w:val="FFFFFF"/>
              </w:rPr>
              <w:t>Cash Incentive</w:t>
            </w:r>
          </w:p>
        </w:tc>
      </w:tr>
      <w:tr>
        <w:trPr>
          <w:trHeight w:val="190"/>
        </w:trPr>
        <w:tc>
          <w:tcPr>
            <w:tcW w:w="1200" w:type="dxa"/>
            <w:vAlign w:val="bottom"/>
          </w:tcPr>
          <w:p>
            <w:pPr>
              <w:jc w:val="center"/>
              <w:ind w:left="102"/>
              <w:spacing w:after="0"/>
              <w:rPr>
                <w:sz w:val="20"/>
                <w:szCs w:val="20"/>
                <w:color w:val="auto"/>
              </w:rPr>
            </w:pPr>
            <w:r>
              <w:rPr>
                <w:rFonts w:ascii="Arial" w:cs="Arial" w:eastAsia="Arial" w:hAnsi="Arial"/>
                <w:sz w:val="14"/>
                <w:szCs w:val="14"/>
                <w:color w:val="FFFFFF"/>
              </w:rPr>
              <w:t>Incentive</w:t>
            </w:r>
          </w:p>
        </w:tc>
        <w:tc>
          <w:tcPr>
            <w:tcW w:w="1180" w:type="dxa"/>
            <w:vAlign w:val="bottom"/>
          </w:tcPr>
          <w:p>
            <w:pPr>
              <w:jc w:val="center"/>
              <w:spacing w:after="0"/>
              <w:rPr>
                <w:sz w:val="20"/>
                <w:szCs w:val="20"/>
                <w:color w:val="auto"/>
              </w:rPr>
            </w:pPr>
            <w:r>
              <w:rPr>
                <w:rFonts w:ascii="Arial" w:cs="Arial" w:eastAsia="Arial" w:hAnsi="Arial"/>
                <w:sz w:val="14"/>
                <w:szCs w:val="14"/>
                <w:color w:val="FFFFFF"/>
              </w:rPr>
              <w:t>Incentive</w:t>
            </w:r>
          </w:p>
        </w:tc>
        <w:tc>
          <w:tcPr>
            <w:tcW w:w="1280" w:type="dxa"/>
            <w:vAlign w:val="bottom"/>
          </w:tcPr>
          <w:p>
            <w:pPr>
              <w:jc w:val="right"/>
              <w:ind w:right="81"/>
              <w:spacing w:after="0"/>
              <w:rPr>
                <w:sz w:val="20"/>
                <w:szCs w:val="20"/>
                <w:color w:val="auto"/>
              </w:rPr>
            </w:pPr>
            <w:r>
              <w:rPr>
                <w:rFonts w:ascii="Arial" w:cs="Arial" w:eastAsia="Arial" w:hAnsi="Arial"/>
                <w:sz w:val="14"/>
                <w:szCs w:val="14"/>
                <w:color w:val="FFFFFF"/>
              </w:rPr>
              <w:t>Cash Incentive</w:t>
            </w:r>
          </w:p>
        </w:tc>
        <w:tc>
          <w:tcPr>
            <w:tcW w:w="1120" w:type="dxa"/>
            <w:vAlign w:val="bottom"/>
          </w:tcPr>
          <w:p>
            <w:pPr>
              <w:jc w:val="center"/>
              <w:spacing w:after="0"/>
              <w:rPr>
                <w:sz w:val="20"/>
                <w:szCs w:val="20"/>
                <w:color w:val="auto"/>
              </w:rPr>
            </w:pPr>
            <w:r>
              <w:rPr>
                <w:rFonts w:ascii="Arial" w:cs="Arial" w:eastAsia="Arial" w:hAnsi="Arial"/>
                <w:sz w:val="14"/>
                <w:szCs w:val="14"/>
                <w:color w:val="FFFFFF"/>
              </w:rPr>
              <w:t>Payment</w:t>
            </w:r>
          </w:p>
        </w:tc>
      </w:tr>
      <w:tr>
        <w:trPr>
          <w:trHeight w:val="48"/>
        </w:trPr>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1200" w:type="dxa"/>
            <w:vAlign w:val="bottom"/>
            <w:shd w:val="clear" w:color="auto" w:fill="CCDEF1"/>
          </w:tcPr>
          <w:p>
            <w:pPr>
              <w:jc w:val="center"/>
              <w:ind w:left="82"/>
              <w:spacing w:after="0"/>
              <w:rPr>
                <w:sz w:val="20"/>
                <w:szCs w:val="20"/>
                <w:color w:val="auto"/>
              </w:rPr>
            </w:pPr>
            <w:r>
              <w:rPr>
                <w:rFonts w:ascii="Arial" w:cs="Arial" w:eastAsia="Arial" w:hAnsi="Arial"/>
                <w:sz w:val="17"/>
                <w:szCs w:val="17"/>
                <w:color w:val="auto"/>
                <w:shd w:val="clear" w:color="auto" w:fill="CCDEF1"/>
              </w:rPr>
              <w:t>$600,000</w:t>
            </w:r>
          </w:p>
        </w:tc>
        <w:tc>
          <w:tcPr>
            <w:tcW w:w="1180" w:type="dxa"/>
            <w:vAlign w:val="bottom"/>
            <w:shd w:val="clear" w:color="auto" w:fill="CCDEF1"/>
          </w:tcPr>
          <w:p>
            <w:pPr>
              <w:jc w:val="right"/>
              <w:ind w:right="41"/>
              <w:spacing w:after="0"/>
              <w:rPr>
                <w:sz w:val="20"/>
                <w:szCs w:val="20"/>
                <w:color w:val="auto"/>
              </w:rPr>
            </w:pPr>
            <w:r>
              <w:rPr>
                <w:rFonts w:ascii="Arial" w:cs="Arial" w:eastAsia="Arial" w:hAnsi="Arial"/>
                <w:sz w:val="17"/>
                <w:szCs w:val="17"/>
                <w:color w:val="auto"/>
                <w:shd w:val="clear" w:color="auto" w:fill="CCDEF1"/>
              </w:rPr>
              <w:t>$2,000,000</w:t>
            </w:r>
          </w:p>
        </w:tc>
        <w:tc>
          <w:tcPr>
            <w:tcW w:w="128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shd w:val="clear" w:color="auto" w:fill="CCDEF1"/>
              </w:rPr>
              <w:t>$3,000,000</w:t>
            </w:r>
          </w:p>
        </w:tc>
        <w:tc>
          <w:tcPr>
            <w:tcW w:w="112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$2,282,000</w:t>
            </w:r>
          </w:p>
        </w:tc>
      </w:tr>
      <w:tr>
        <w:trPr>
          <w:trHeight w:val="68"/>
        </w:trPr>
        <w:tc>
          <w:tcPr>
            <w:tcW w:w="1200" w:type="dxa"/>
            <w:vAlign w:val="bottom"/>
            <w:shd w:val="clear" w:color="auto" w:fill="CCDEF1"/>
          </w:tcPr>
          <w:p>
            <w:pPr>
              <w:spacing w:after="0"/>
              <w:rPr>
                <w:sz w:val="5"/>
                <w:szCs w:val="5"/>
                <w:color w:val="auto"/>
              </w:rPr>
            </w:pPr>
          </w:p>
        </w:tc>
        <w:tc>
          <w:tcPr>
            <w:tcW w:w="1180" w:type="dxa"/>
            <w:vAlign w:val="bottom"/>
            <w:shd w:val="clear" w:color="auto" w:fill="CCDEF1"/>
          </w:tcPr>
          <w:p>
            <w:pPr>
              <w:spacing w:after="0"/>
              <w:rPr>
                <w:sz w:val="5"/>
                <w:szCs w:val="5"/>
                <w:color w:val="auto"/>
              </w:rPr>
            </w:pPr>
          </w:p>
        </w:tc>
        <w:tc>
          <w:tcPr>
            <w:tcW w:w="1280" w:type="dxa"/>
            <w:vAlign w:val="bottom"/>
            <w:shd w:val="clear" w:color="auto" w:fill="CCDEF1"/>
          </w:tcPr>
          <w:p>
            <w:pPr>
              <w:spacing w:after="0"/>
              <w:rPr>
                <w:sz w:val="5"/>
                <w:szCs w:val="5"/>
                <w:color w:val="auto"/>
              </w:rPr>
            </w:pPr>
          </w:p>
        </w:tc>
        <w:tc>
          <w:tcPr>
            <w:tcW w:w="1120" w:type="dxa"/>
            <w:vAlign w:val="bottom"/>
            <w:shd w:val="clear" w:color="auto" w:fill="CCDEF1"/>
          </w:tcPr>
          <w:p>
            <w:pPr>
              <w:spacing w:after="0"/>
              <w:rPr>
                <w:sz w:val="5"/>
                <w:szCs w:val="5"/>
                <w:color w:val="auto"/>
              </w:rPr>
            </w:pPr>
          </w:p>
        </w:tc>
      </w:tr>
      <w:tr>
        <w:trPr>
          <w:trHeight w:val="270"/>
        </w:trPr>
        <w:tc>
          <w:tcPr>
            <w:tcW w:w="1200" w:type="dxa"/>
            <w:vAlign w:val="bottom"/>
          </w:tcPr>
          <w:p>
            <w:pPr>
              <w:jc w:val="center"/>
              <w:ind w:left="82"/>
              <w:spacing w:after="0"/>
              <w:rPr>
                <w:sz w:val="20"/>
                <w:szCs w:val="20"/>
                <w:color w:val="auto"/>
              </w:rPr>
            </w:pPr>
            <w:r>
              <w:rPr>
                <w:rFonts w:ascii="Arial" w:cs="Arial" w:eastAsia="Arial" w:hAnsi="Arial"/>
                <w:sz w:val="17"/>
                <w:szCs w:val="17"/>
                <w:color w:val="auto"/>
              </w:rPr>
              <w:t>$266,250</w:t>
            </w: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   887,500</w:t>
            </w:r>
          </w:p>
        </w:tc>
        <w:tc>
          <w:tcPr>
            <w:tcW w:w="1280" w:type="dxa"/>
            <w:vAlign w:val="bottom"/>
          </w:tcPr>
          <w:p>
            <w:pPr>
              <w:jc w:val="right"/>
              <w:ind w:right="101"/>
              <w:spacing w:after="0"/>
              <w:rPr>
                <w:sz w:val="20"/>
                <w:szCs w:val="20"/>
                <w:color w:val="auto"/>
              </w:rPr>
            </w:pPr>
            <w:r>
              <w:rPr>
                <w:rFonts w:ascii="Arial" w:cs="Arial" w:eastAsia="Arial" w:hAnsi="Arial"/>
                <w:sz w:val="17"/>
                <w:szCs w:val="17"/>
                <w:color w:val="auto"/>
              </w:rPr>
              <w:t>$1,331,250</w:t>
            </w:r>
          </w:p>
        </w:tc>
        <w:tc>
          <w:tcPr>
            <w:tcW w:w="1120" w:type="dxa"/>
            <w:vAlign w:val="bottom"/>
          </w:tcPr>
          <w:p>
            <w:pPr>
              <w:jc w:val="right"/>
              <w:spacing w:after="0"/>
              <w:rPr>
                <w:sz w:val="20"/>
                <w:szCs w:val="20"/>
                <w:color w:val="auto"/>
              </w:rPr>
            </w:pPr>
            <w:r>
              <w:rPr>
                <w:rFonts w:ascii="Arial" w:cs="Arial" w:eastAsia="Arial" w:hAnsi="Arial"/>
                <w:sz w:val="17"/>
                <w:szCs w:val="17"/>
                <w:color w:val="auto"/>
              </w:rPr>
              <w:t>$1,012,638</w:t>
            </w:r>
          </w:p>
        </w:tc>
      </w:tr>
      <w:tr>
        <w:trPr>
          <w:trHeight w:val="68"/>
        </w:trPr>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70"/>
        </w:trPr>
        <w:tc>
          <w:tcPr>
            <w:tcW w:w="1200" w:type="dxa"/>
            <w:vAlign w:val="bottom"/>
            <w:shd w:val="clear" w:color="auto" w:fill="CCDEF1"/>
          </w:tcPr>
          <w:p>
            <w:pPr>
              <w:jc w:val="center"/>
              <w:ind w:left="82"/>
              <w:spacing w:after="0"/>
              <w:rPr>
                <w:sz w:val="20"/>
                <w:szCs w:val="20"/>
                <w:color w:val="auto"/>
              </w:rPr>
            </w:pPr>
            <w:r>
              <w:rPr>
                <w:rFonts w:ascii="Arial" w:cs="Arial" w:eastAsia="Arial" w:hAnsi="Arial"/>
                <w:sz w:val="17"/>
                <w:szCs w:val="17"/>
                <w:color w:val="auto"/>
                <w:shd w:val="clear" w:color="auto" w:fill="CCDEF1"/>
              </w:rPr>
              <w:t>$313,125</w:t>
            </w:r>
          </w:p>
        </w:tc>
        <w:tc>
          <w:tcPr>
            <w:tcW w:w="1180" w:type="dxa"/>
            <w:vAlign w:val="bottom"/>
            <w:shd w:val="clear" w:color="auto" w:fill="CCDEF1"/>
          </w:tcPr>
          <w:p>
            <w:pPr>
              <w:jc w:val="right"/>
              <w:ind w:right="41"/>
              <w:spacing w:after="0"/>
              <w:rPr>
                <w:sz w:val="20"/>
                <w:szCs w:val="20"/>
                <w:color w:val="auto"/>
              </w:rPr>
            </w:pPr>
            <w:r>
              <w:rPr>
                <w:rFonts w:ascii="Arial" w:cs="Arial" w:eastAsia="Arial" w:hAnsi="Arial"/>
                <w:sz w:val="17"/>
                <w:szCs w:val="17"/>
                <w:color w:val="auto"/>
                <w:shd w:val="clear" w:color="auto" w:fill="CCDEF1"/>
              </w:rPr>
              <w:t>$1,043,750</w:t>
            </w:r>
          </w:p>
        </w:tc>
        <w:tc>
          <w:tcPr>
            <w:tcW w:w="128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shd w:val="clear" w:color="auto" w:fill="CCDEF1"/>
              </w:rPr>
              <w:t>$1,565,625</w:t>
            </w:r>
          </w:p>
        </w:tc>
        <w:tc>
          <w:tcPr>
            <w:tcW w:w="112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$1,190,919</w:t>
            </w:r>
          </w:p>
        </w:tc>
      </w:tr>
      <w:tr>
        <w:trPr>
          <w:trHeight w:val="68"/>
        </w:trPr>
        <w:tc>
          <w:tcPr>
            <w:tcW w:w="1200" w:type="dxa"/>
            <w:vAlign w:val="bottom"/>
            <w:shd w:val="clear" w:color="auto" w:fill="CCDEF1"/>
          </w:tcPr>
          <w:p>
            <w:pPr>
              <w:spacing w:after="0"/>
              <w:rPr>
                <w:sz w:val="5"/>
                <w:szCs w:val="5"/>
                <w:color w:val="auto"/>
              </w:rPr>
            </w:pPr>
          </w:p>
        </w:tc>
        <w:tc>
          <w:tcPr>
            <w:tcW w:w="1180" w:type="dxa"/>
            <w:vAlign w:val="bottom"/>
            <w:shd w:val="clear" w:color="auto" w:fill="CCDEF1"/>
          </w:tcPr>
          <w:p>
            <w:pPr>
              <w:spacing w:after="0"/>
              <w:rPr>
                <w:sz w:val="5"/>
                <w:szCs w:val="5"/>
                <w:color w:val="auto"/>
              </w:rPr>
            </w:pPr>
          </w:p>
        </w:tc>
        <w:tc>
          <w:tcPr>
            <w:tcW w:w="1280" w:type="dxa"/>
            <w:vAlign w:val="bottom"/>
            <w:shd w:val="clear" w:color="auto" w:fill="CCDEF1"/>
          </w:tcPr>
          <w:p>
            <w:pPr>
              <w:spacing w:after="0"/>
              <w:rPr>
                <w:sz w:val="5"/>
                <w:szCs w:val="5"/>
                <w:color w:val="auto"/>
              </w:rPr>
            </w:pPr>
          </w:p>
        </w:tc>
        <w:tc>
          <w:tcPr>
            <w:tcW w:w="1120" w:type="dxa"/>
            <w:vAlign w:val="bottom"/>
            <w:shd w:val="clear" w:color="auto" w:fill="CCDEF1"/>
          </w:tcPr>
          <w:p>
            <w:pPr>
              <w:spacing w:after="0"/>
              <w:rPr>
                <w:sz w:val="5"/>
                <w:szCs w:val="5"/>
                <w:color w:val="auto"/>
              </w:rPr>
            </w:pPr>
          </w:p>
        </w:tc>
      </w:tr>
    </w:tbl>
    <w:p>
      <w:pPr>
        <w:spacing w:after="0" w:line="275"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utilized to support our strategy. In addition, in 2024 the Committee revised the performance-based restricted stock unit program to further incentivize superior performance and align with peer compensation practices. Under the revised program the named executive officers will have the opportunity to vest in up to 200% of their target long-term restricted stock unit awards.</w:t>
      </w:r>
    </w:p>
    <w:p>
      <w:pPr>
        <w:spacing w:after="0" w:line="74"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target value of the awards granted to our named executive officers in March 2024 is set forth below. The total target value of awards for 2024 increased 4.6% for Mr. Hunn, 20.0% for Mr. Conley, and 21.7% for Mr. Stipancich, reflecting their respective significant contributions with respect to the continued development and implementation of Roper’s strategic capital deployment process and aligning their compensation closer to that of the market for executives with similar responsibilities.</w:t>
      </w:r>
    </w:p>
    <w:p>
      <w:pPr>
        <w:spacing w:after="0" w:line="265"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2024 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154940</wp:posOffset>
            </wp:positionV>
            <wp:extent cx="7011670" cy="651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1670" cy="651510"/>
                    </a:xfrm>
                    <a:prstGeom prst="rect">
                      <a:avLst/>
                    </a:prstGeom>
                    <a:noFill/>
                  </pic:spPr>
                </pic:pic>
              </a:graphicData>
            </a:graphic>
          </wp:anchor>
        </w:drawing>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shd w:val="clear" w:color="auto" w:fill="005CB9"/>
          </w:tcPr>
          <w:p>
            <w:pPr>
              <w:spacing w:after="0"/>
              <w:rPr>
                <w:sz w:val="14"/>
                <w:szCs w:val="14"/>
                <w:color w:val="auto"/>
              </w:rPr>
            </w:pPr>
          </w:p>
        </w:tc>
        <w:tc>
          <w:tcPr>
            <w:tcW w:w="32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5"/>
              </w:rPr>
              <w:t>   Value of</w:t>
            </w:r>
          </w:p>
        </w:tc>
        <w:tc>
          <w:tcPr>
            <w:tcW w:w="1100" w:type="dxa"/>
            <w:vAlign w:val="bottom"/>
            <w:shd w:val="clear" w:color="auto" w:fill="005CB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005CB9"/>
          </w:tcPr>
          <w:p>
            <w:pPr>
              <w:spacing w:after="0"/>
              <w:rPr>
                <w:sz w:val="14"/>
                <w:szCs w:val="14"/>
                <w:color w:val="auto"/>
              </w:rPr>
            </w:pPr>
          </w:p>
        </w:tc>
        <w:tc>
          <w:tcPr>
            <w:tcW w:w="32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9"/>
              </w:rPr>
              <w:t>   Performance-</w:t>
            </w:r>
          </w:p>
        </w:tc>
        <w:tc>
          <w:tcPr>
            <w:tcW w:w="1100" w:type="dxa"/>
            <w:vAlign w:val="bottom"/>
            <w:vMerge w:val="restart"/>
            <w:shd w:val="clear" w:color="auto" w:fill="005CB9"/>
          </w:tcPr>
          <w:p>
            <w:pPr>
              <w:ind w:left="120"/>
              <w:spacing w:after="0"/>
              <w:rPr>
                <w:sz w:val="20"/>
                <w:szCs w:val="20"/>
                <w:color w:val="auto"/>
              </w:rPr>
            </w:pPr>
            <w:r>
              <w:rPr>
                <w:rFonts w:ascii="Arial" w:cs="Arial" w:eastAsia="Arial" w:hAnsi="Arial"/>
                <w:sz w:val="14"/>
                <w:szCs w:val="14"/>
                <w:color w:val="FFFFFF"/>
              </w:rPr>
              <w:t>   Total 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005CB9"/>
          </w:tcPr>
          <w:p>
            <w:pPr>
              <w:spacing w:after="0"/>
              <w:rPr>
                <w:sz w:val="12"/>
                <w:szCs w:val="12"/>
                <w:color w:val="auto"/>
              </w:rPr>
            </w:pPr>
          </w:p>
        </w:tc>
        <w:tc>
          <w:tcPr>
            <w:tcW w:w="320" w:type="dxa"/>
            <w:vAlign w:val="bottom"/>
            <w:shd w:val="clear" w:color="auto" w:fill="005CB9"/>
          </w:tcPr>
          <w:p>
            <w:pPr>
              <w:ind w:left="180"/>
              <w:spacing w:after="0" w:line="149" w:lineRule="exact"/>
              <w:rPr>
                <w:sz w:val="20"/>
                <w:szCs w:val="20"/>
                <w:color w:val="auto"/>
              </w:rPr>
            </w:pPr>
            <w:r>
              <w:rPr>
                <w:rFonts w:ascii="Arial" w:cs="Arial" w:eastAsia="Arial" w:hAnsi="Arial"/>
                <w:sz w:val="14"/>
                <w:szCs w:val="14"/>
                <w:color w:val="FFFFFF"/>
                <w:w w:val="85"/>
              </w:rPr>
              <w:t> </w:t>
            </w:r>
          </w:p>
        </w:tc>
        <w:tc>
          <w:tcPr>
            <w:tcW w:w="780" w:type="dxa"/>
            <w:vAlign w:val="bottom"/>
            <w:shd w:val="clear" w:color="auto" w:fill="005CB9"/>
          </w:tcPr>
          <w:p>
            <w:pPr>
              <w:jc w:val="center"/>
              <w:ind w:right="108"/>
              <w:spacing w:after="0" w:line="149" w:lineRule="exact"/>
              <w:rPr>
                <w:sz w:val="20"/>
                <w:szCs w:val="20"/>
                <w:color w:val="auto"/>
              </w:rPr>
            </w:pPr>
            <w:r>
              <w:rPr>
                <w:rFonts w:ascii="Arial" w:cs="Arial" w:eastAsia="Arial" w:hAnsi="Arial"/>
                <w:sz w:val="14"/>
                <w:szCs w:val="14"/>
                <w:color w:val="FFFFFF"/>
                <w:w w:val="94"/>
              </w:rPr>
              <w:t>   Value of</w:t>
            </w:r>
          </w:p>
        </w:tc>
        <w:tc>
          <w:tcPr>
            <w:tcW w:w="1220" w:type="dxa"/>
            <w:vAlign w:val="bottom"/>
            <w:shd w:val="clear" w:color="auto" w:fill="005CB9"/>
          </w:tcPr>
          <w:p>
            <w:pPr>
              <w:jc w:val="center"/>
              <w:ind w:right="3"/>
              <w:spacing w:after="0" w:line="149" w:lineRule="exact"/>
              <w:rPr>
                <w:sz w:val="20"/>
                <w:szCs w:val="20"/>
                <w:color w:val="auto"/>
              </w:rPr>
            </w:pPr>
            <w:r>
              <w:rPr>
                <w:rFonts w:ascii="Arial" w:cs="Arial" w:eastAsia="Arial" w:hAnsi="Arial"/>
                <w:sz w:val="14"/>
                <w:szCs w:val="14"/>
                <w:color w:val="FFFFFF"/>
                <w:w w:val="94"/>
              </w:rPr>
              <w:t>   Based</w:t>
            </w:r>
          </w:p>
        </w:tc>
        <w:tc>
          <w:tcPr>
            <w:tcW w:w="1100" w:type="dxa"/>
            <w:vAlign w:val="bottom"/>
            <w:vMerge w:val="continue"/>
            <w:shd w:val="clear" w:color="auto" w:fill="005CB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005CB9"/>
          </w:tcPr>
          <w:p>
            <w:pPr>
              <w:spacing w:after="0"/>
              <w:rPr>
                <w:sz w:val="14"/>
                <w:szCs w:val="14"/>
                <w:color w:val="auto"/>
              </w:rPr>
            </w:pPr>
          </w:p>
        </w:tc>
        <w:tc>
          <w:tcPr>
            <w:tcW w:w="320" w:type="dxa"/>
            <w:vAlign w:val="bottom"/>
            <w:shd w:val="clear" w:color="auto" w:fill="005CB9"/>
          </w:tcPr>
          <w:p>
            <w:pPr>
              <w:ind w:left="260"/>
              <w:spacing w:after="0"/>
              <w:rPr>
                <w:sz w:val="20"/>
                <w:szCs w:val="20"/>
                <w:color w:val="auto"/>
              </w:rPr>
            </w:pPr>
            <w:r>
              <w:rPr>
                <w:rFonts w:ascii="Arial" w:cs="Arial" w:eastAsia="Arial" w:hAnsi="Arial"/>
                <w:sz w:val="5"/>
                <w:szCs w:val="5"/>
                <w:color w:val="FFFFFF"/>
                <w:w w:val="79"/>
              </w:rPr>
              <w:t> </w:t>
            </w:r>
          </w:p>
        </w:tc>
        <w:tc>
          <w:tcPr>
            <w:tcW w:w="780" w:type="dxa"/>
            <w:vAlign w:val="bottom"/>
            <w:shd w:val="clear" w:color="auto" w:fill="005CB9"/>
          </w:tcPr>
          <w:p>
            <w:pPr>
              <w:jc w:val="center"/>
              <w:ind w:right="108"/>
              <w:spacing w:after="0"/>
              <w:rPr>
                <w:sz w:val="20"/>
                <w:szCs w:val="20"/>
                <w:color w:val="auto"/>
              </w:rPr>
            </w:pPr>
            <w:r>
              <w:rPr>
                <w:rFonts w:ascii="Arial" w:cs="Arial" w:eastAsia="Arial" w:hAnsi="Arial"/>
                <w:sz w:val="14"/>
                <w:szCs w:val="14"/>
                <w:color w:val="FFFFFF"/>
                <w:w w:val="93"/>
              </w:rPr>
              <w:t>   Stock</w:t>
            </w: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6"/>
              </w:rPr>
              <w:t>   Restricted</w:t>
            </w:r>
          </w:p>
        </w:tc>
        <w:tc>
          <w:tcPr>
            <w:tcW w:w="1100" w:type="dxa"/>
            <w:vAlign w:val="bottom"/>
            <w:shd w:val="clear" w:color="auto" w:fill="005CB9"/>
          </w:tcPr>
          <w:p>
            <w:pPr>
              <w:ind w:left="240"/>
              <w:spacing w:after="0"/>
              <w:rPr>
                <w:sz w:val="20"/>
                <w:szCs w:val="20"/>
                <w:color w:val="auto"/>
              </w:rPr>
            </w:pPr>
            <w:r>
              <w:rPr>
                <w:rFonts w:ascii="Arial" w:cs="Arial" w:eastAsia="Arial" w:hAnsi="Arial"/>
                <w:sz w:val="14"/>
                <w:szCs w:val="14"/>
                <w:color w:val="FFFFFF"/>
              </w:rPr>
              <w:t>   Value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580" w:type="dxa"/>
            <w:vAlign w:val="bottom"/>
            <w:shd w:val="clear" w:color="auto" w:fill="005CB9"/>
          </w:tcPr>
          <w:p>
            <w:pPr>
              <w:spacing w:after="0"/>
              <w:rPr>
                <w:sz w:val="16"/>
                <w:szCs w:val="16"/>
                <w:color w:val="auto"/>
              </w:rPr>
            </w:pPr>
          </w:p>
        </w:tc>
        <w:tc>
          <w:tcPr>
            <w:tcW w:w="320" w:type="dxa"/>
            <w:vAlign w:val="bottom"/>
            <w:shd w:val="clear" w:color="auto" w:fill="005CB9"/>
          </w:tcPr>
          <w:p>
            <w:pPr>
              <w:ind w:left="180"/>
              <w:spacing w:after="0"/>
              <w:rPr>
                <w:sz w:val="20"/>
                <w:szCs w:val="20"/>
                <w:color w:val="auto"/>
              </w:rPr>
            </w:pPr>
            <w:r>
              <w:rPr>
                <w:rFonts w:ascii="Arial" w:cs="Arial" w:eastAsia="Arial" w:hAnsi="Arial"/>
                <w:sz w:val="14"/>
                <w:szCs w:val="14"/>
                <w:color w:val="FFFFFF"/>
                <w:w w:val="85"/>
              </w:rPr>
              <w:t> </w:t>
            </w:r>
          </w:p>
        </w:tc>
        <w:tc>
          <w:tcPr>
            <w:tcW w:w="780" w:type="dxa"/>
            <w:vAlign w:val="bottom"/>
            <w:shd w:val="clear" w:color="auto" w:fill="005CB9"/>
          </w:tcPr>
          <w:p>
            <w:pPr>
              <w:jc w:val="center"/>
              <w:ind w:right="88"/>
              <w:spacing w:after="0"/>
              <w:rPr>
                <w:sz w:val="20"/>
                <w:szCs w:val="20"/>
                <w:color w:val="auto"/>
              </w:rPr>
            </w:pPr>
            <w:r>
              <w:rPr>
                <w:rFonts w:ascii="Arial" w:cs="Arial" w:eastAsia="Arial" w:hAnsi="Arial"/>
                <w:sz w:val="14"/>
                <w:szCs w:val="14"/>
                <w:color w:val="FFFFFF"/>
                <w:w w:val="96"/>
              </w:rPr>
              <w:t>   Options</w:t>
            </w: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6"/>
              </w:rPr>
              <w:t>   Stock Units*</w:t>
            </w:r>
          </w:p>
        </w:tc>
        <w:tc>
          <w:tcPr>
            <w:tcW w:w="1100" w:type="dxa"/>
            <w:vAlign w:val="bottom"/>
            <w:shd w:val="clear" w:color="auto" w:fill="005CB9"/>
          </w:tcPr>
          <w:p>
            <w:pPr>
              <w:ind w:left="260"/>
              <w:spacing w:after="0"/>
              <w:rPr>
                <w:sz w:val="20"/>
                <w:szCs w:val="20"/>
                <w:color w:val="auto"/>
              </w:rPr>
            </w:pPr>
            <w:r>
              <w:rPr>
                <w:rFonts w:ascii="Arial" w:cs="Arial" w:eastAsia="Arial" w:hAnsi="Arial"/>
                <w:sz w:val="14"/>
                <w:szCs w:val="14"/>
                <w:color w:val="FFFFFF"/>
              </w:rPr>
              <w:t>   Awards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58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80" w:type="dxa"/>
            <w:vAlign w:val="bottom"/>
            <w:shd w:val="clear" w:color="auto" w:fill="CCDEF1"/>
          </w:tcPr>
          <w:p>
            <w:pPr>
              <w:ind w:left="60"/>
              <w:spacing w:after="0"/>
              <w:rPr>
                <w:sz w:val="20"/>
                <w:szCs w:val="20"/>
                <w:color w:val="auto"/>
              </w:rPr>
            </w:pPr>
            <w:r>
              <w:rPr>
                <w:rFonts w:ascii="Arial" w:cs="Arial" w:eastAsia="Arial" w:hAnsi="Arial"/>
                <w:sz w:val="17"/>
                <w:szCs w:val="17"/>
                <w:color w:val="auto"/>
              </w:rPr>
              <w:t>Mr. Hunn</w:t>
            </w:r>
          </w:p>
        </w:tc>
        <w:tc>
          <w:tcPr>
            <w:tcW w:w="1100" w:type="dxa"/>
            <w:vAlign w:val="bottom"/>
            <w:gridSpan w:val="2"/>
            <w:shd w:val="clear" w:color="auto" w:fill="CCDEF1"/>
          </w:tcPr>
          <w:p>
            <w:pPr>
              <w:ind w:left="180"/>
              <w:spacing w:after="0"/>
              <w:rPr>
                <w:sz w:val="20"/>
                <w:szCs w:val="20"/>
                <w:color w:val="auto"/>
              </w:rPr>
            </w:pPr>
            <w:r>
              <w:rPr>
                <w:rFonts w:ascii="Arial" w:cs="Arial" w:eastAsia="Arial" w:hAnsi="Arial"/>
                <w:sz w:val="17"/>
                <w:szCs w:val="17"/>
                <w:color w:val="auto"/>
                <w:shd w:val="clear" w:color="auto" w:fill="CCDEF1"/>
              </w:rPr>
              <w:t>$4,847,000</w:t>
            </w:r>
          </w:p>
        </w:tc>
        <w:tc>
          <w:tcPr>
            <w:tcW w:w="1220" w:type="dxa"/>
            <w:vAlign w:val="bottom"/>
            <w:shd w:val="clear" w:color="auto" w:fill="CCDEF1"/>
          </w:tcPr>
          <w:p>
            <w:pPr>
              <w:jc w:val="right"/>
              <w:ind w:right="43"/>
              <w:spacing w:after="0"/>
              <w:rPr>
                <w:sz w:val="20"/>
                <w:szCs w:val="20"/>
                <w:color w:val="auto"/>
              </w:rPr>
            </w:pPr>
            <w:r>
              <w:rPr>
                <w:rFonts w:ascii="Arial" w:cs="Arial" w:eastAsia="Arial" w:hAnsi="Arial"/>
                <w:sz w:val="17"/>
                <w:szCs w:val="17"/>
                <w:color w:val="auto"/>
                <w:shd w:val="clear" w:color="auto" w:fill="CCDEF1"/>
              </w:rPr>
              <w:t>$14,542,000</w:t>
            </w:r>
          </w:p>
        </w:tc>
        <w:tc>
          <w:tcPr>
            <w:tcW w:w="1100" w:type="dxa"/>
            <w:vAlign w:val="bottom"/>
            <w:shd w:val="clear" w:color="auto" w:fill="CCDEF1"/>
          </w:tcPr>
          <w:p>
            <w:pPr>
              <w:ind w:left="100"/>
              <w:spacing w:after="0"/>
              <w:rPr>
                <w:sz w:val="20"/>
                <w:szCs w:val="20"/>
                <w:color w:val="auto"/>
              </w:rPr>
            </w:pPr>
            <w:r>
              <w:rPr>
                <w:rFonts w:ascii="Arial" w:cs="Arial" w:eastAsia="Arial" w:hAnsi="Arial"/>
                <w:sz w:val="17"/>
                <w:szCs w:val="17"/>
                <w:color w:val="auto"/>
                <w:shd w:val="clear" w:color="auto" w:fill="CCDEF1"/>
              </w:rPr>
              <w:t>$19,389,000</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580" w:type="dxa"/>
            <w:vAlign w:val="bottom"/>
            <w:shd w:val="clear" w:color="auto" w:fill="CCDEF1"/>
          </w:tcPr>
          <w:p>
            <w:pPr>
              <w:spacing w:after="0"/>
              <w:rPr>
                <w:sz w:val="5"/>
                <w:szCs w:val="5"/>
                <w:color w:val="auto"/>
              </w:rPr>
            </w:pPr>
          </w:p>
        </w:tc>
        <w:tc>
          <w:tcPr>
            <w:tcW w:w="1100" w:type="dxa"/>
            <w:vAlign w:val="bottom"/>
            <w:gridSpan w:val="2"/>
            <w:shd w:val="clear" w:color="auto" w:fill="CCDEF1"/>
          </w:tcPr>
          <w:p>
            <w:pPr>
              <w:spacing w:after="0"/>
              <w:rPr>
                <w:sz w:val="5"/>
                <w:szCs w:val="5"/>
                <w:color w:val="auto"/>
              </w:rPr>
            </w:pPr>
          </w:p>
        </w:tc>
        <w:tc>
          <w:tcPr>
            <w:tcW w:w="1220" w:type="dxa"/>
            <w:vAlign w:val="bottom"/>
            <w:shd w:val="clear" w:color="auto" w:fill="CCDEF1"/>
          </w:tcPr>
          <w:p>
            <w:pPr>
              <w:spacing w:after="0"/>
              <w:rPr>
                <w:sz w:val="5"/>
                <w:szCs w:val="5"/>
                <w:color w:val="auto"/>
              </w:rPr>
            </w:pPr>
          </w:p>
        </w:tc>
        <w:tc>
          <w:tcPr>
            <w:tcW w:w="11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80" w:type="dxa"/>
            <w:vAlign w:val="bottom"/>
          </w:tcPr>
          <w:p>
            <w:pPr>
              <w:ind w:left="60"/>
              <w:spacing w:after="0"/>
              <w:rPr>
                <w:sz w:val="20"/>
                <w:szCs w:val="20"/>
                <w:color w:val="auto"/>
              </w:rPr>
            </w:pPr>
            <w:r>
              <w:rPr>
                <w:rFonts w:ascii="Arial" w:cs="Arial" w:eastAsia="Arial" w:hAnsi="Arial"/>
                <w:sz w:val="17"/>
                <w:szCs w:val="17"/>
                <w:color w:val="auto"/>
              </w:rPr>
              <w:t>Mr. Conley</w:t>
            </w: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$1,500,000</w:t>
            </w:r>
          </w:p>
        </w:tc>
        <w:tc>
          <w:tcPr>
            <w:tcW w:w="1220" w:type="dxa"/>
            <w:vAlign w:val="bottom"/>
          </w:tcPr>
          <w:p>
            <w:pPr>
              <w:jc w:val="right"/>
              <w:ind w:right="43"/>
              <w:spacing w:after="0"/>
              <w:rPr>
                <w:sz w:val="20"/>
                <w:szCs w:val="20"/>
                <w:color w:val="auto"/>
              </w:rPr>
            </w:pPr>
            <w:r>
              <w:rPr>
                <w:rFonts w:ascii="Arial" w:cs="Arial" w:eastAsia="Arial" w:hAnsi="Arial"/>
                <w:sz w:val="17"/>
                <w:szCs w:val="17"/>
                <w:color w:val="auto"/>
              </w:rPr>
              <w:t>$  4,500,000</w:t>
            </w:r>
          </w:p>
        </w:tc>
        <w:tc>
          <w:tcPr>
            <w:tcW w:w="1100" w:type="dxa"/>
            <w:vAlign w:val="bottom"/>
          </w:tcPr>
          <w:p>
            <w:pPr>
              <w:ind w:left="100"/>
              <w:spacing w:after="0"/>
              <w:rPr>
                <w:sz w:val="20"/>
                <w:szCs w:val="20"/>
                <w:color w:val="auto"/>
              </w:rPr>
            </w:pPr>
            <w:r>
              <w:rPr>
                <w:rFonts w:ascii="Arial" w:cs="Arial" w:eastAsia="Arial" w:hAnsi="Arial"/>
                <w:sz w:val="17"/>
                <w:szCs w:val="17"/>
                <w:color w:val="auto"/>
              </w:rPr>
              <w:t>$  6,000,000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758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80" w:type="dxa"/>
            <w:vAlign w:val="bottom"/>
            <w:shd w:val="clear" w:color="auto" w:fill="CCDEF1"/>
          </w:tcPr>
          <w:p>
            <w:pPr>
              <w:ind w:left="60"/>
              <w:spacing w:after="0"/>
              <w:rPr>
                <w:sz w:val="20"/>
                <w:szCs w:val="20"/>
                <w:color w:val="auto"/>
              </w:rPr>
            </w:pPr>
            <w:r>
              <w:rPr>
                <w:rFonts w:ascii="Arial" w:cs="Arial" w:eastAsia="Arial" w:hAnsi="Arial"/>
                <w:sz w:val="17"/>
                <w:szCs w:val="17"/>
                <w:color w:val="auto"/>
              </w:rPr>
              <w:t>Mr. Stipancich</w:t>
            </w:r>
          </w:p>
        </w:tc>
        <w:tc>
          <w:tcPr>
            <w:tcW w:w="1100" w:type="dxa"/>
            <w:vAlign w:val="bottom"/>
            <w:gridSpan w:val="2"/>
            <w:shd w:val="clear" w:color="auto" w:fill="CCDEF1"/>
          </w:tcPr>
          <w:p>
            <w:pPr>
              <w:ind w:left="180"/>
              <w:spacing w:after="0"/>
              <w:rPr>
                <w:sz w:val="20"/>
                <w:szCs w:val="20"/>
                <w:color w:val="auto"/>
              </w:rPr>
            </w:pPr>
            <w:r>
              <w:rPr>
                <w:rFonts w:ascii="Arial" w:cs="Arial" w:eastAsia="Arial" w:hAnsi="Arial"/>
                <w:sz w:val="17"/>
                <w:szCs w:val="17"/>
                <w:color w:val="auto"/>
                <w:shd w:val="clear" w:color="auto" w:fill="CCDEF1"/>
              </w:rPr>
              <w:t>$1,400,000</w:t>
            </w:r>
          </w:p>
        </w:tc>
        <w:tc>
          <w:tcPr>
            <w:tcW w:w="1220" w:type="dxa"/>
            <w:vAlign w:val="bottom"/>
            <w:shd w:val="clear" w:color="auto" w:fill="CCDEF1"/>
          </w:tcPr>
          <w:p>
            <w:pPr>
              <w:jc w:val="right"/>
              <w:ind w:right="43"/>
              <w:spacing w:after="0"/>
              <w:rPr>
                <w:sz w:val="20"/>
                <w:szCs w:val="20"/>
                <w:color w:val="auto"/>
              </w:rPr>
            </w:pPr>
            <w:r>
              <w:rPr>
                <w:rFonts w:ascii="Arial" w:cs="Arial" w:eastAsia="Arial" w:hAnsi="Arial"/>
                <w:sz w:val="17"/>
                <w:szCs w:val="17"/>
                <w:color w:val="auto"/>
                <w:shd w:val="clear" w:color="auto" w:fill="CCDEF1"/>
              </w:rPr>
              <w:t>$  4,200,000</w:t>
            </w:r>
          </w:p>
        </w:tc>
        <w:tc>
          <w:tcPr>
            <w:tcW w:w="1100" w:type="dxa"/>
            <w:vAlign w:val="bottom"/>
            <w:shd w:val="clear" w:color="auto" w:fill="CCDEF1"/>
          </w:tcPr>
          <w:p>
            <w:pPr>
              <w:ind w:left="100"/>
              <w:spacing w:after="0"/>
              <w:rPr>
                <w:sz w:val="20"/>
                <w:szCs w:val="20"/>
                <w:color w:val="auto"/>
              </w:rPr>
            </w:pPr>
            <w:r>
              <w:rPr>
                <w:rFonts w:ascii="Arial" w:cs="Arial" w:eastAsia="Arial" w:hAnsi="Arial"/>
                <w:sz w:val="17"/>
                <w:szCs w:val="17"/>
                <w:color w:val="auto"/>
                <w:shd w:val="clear" w:color="auto" w:fill="CCDEF1"/>
              </w:rPr>
              <w:t>$  5,600,000</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7580" w:type="dxa"/>
            <w:vAlign w:val="bottom"/>
            <w:shd w:val="clear" w:color="auto" w:fill="CCDEF1"/>
          </w:tcPr>
          <w:p>
            <w:pPr>
              <w:spacing w:after="0"/>
              <w:rPr>
                <w:sz w:val="5"/>
                <w:szCs w:val="5"/>
                <w:color w:val="auto"/>
              </w:rPr>
            </w:pPr>
          </w:p>
        </w:tc>
        <w:tc>
          <w:tcPr>
            <w:tcW w:w="320" w:type="dxa"/>
            <w:vAlign w:val="bottom"/>
            <w:shd w:val="clear" w:color="auto" w:fill="CCDEF1"/>
          </w:tcPr>
          <w:p>
            <w:pPr>
              <w:spacing w:after="0"/>
              <w:rPr>
                <w:sz w:val="5"/>
                <w:szCs w:val="5"/>
                <w:color w:val="auto"/>
              </w:rPr>
            </w:pPr>
          </w:p>
        </w:tc>
        <w:tc>
          <w:tcPr>
            <w:tcW w:w="780" w:type="dxa"/>
            <w:vAlign w:val="bottom"/>
            <w:shd w:val="clear" w:color="auto" w:fill="CCDEF1"/>
          </w:tcPr>
          <w:p>
            <w:pPr>
              <w:spacing w:after="0"/>
              <w:rPr>
                <w:sz w:val="5"/>
                <w:szCs w:val="5"/>
                <w:color w:val="auto"/>
              </w:rPr>
            </w:pPr>
          </w:p>
        </w:tc>
        <w:tc>
          <w:tcPr>
            <w:tcW w:w="1220" w:type="dxa"/>
            <w:vAlign w:val="bottom"/>
            <w:shd w:val="clear" w:color="auto" w:fill="CCDEF1"/>
          </w:tcPr>
          <w:p>
            <w:pPr>
              <w:spacing w:after="0"/>
              <w:rPr>
                <w:sz w:val="5"/>
                <w:szCs w:val="5"/>
                <w:color w:val="auto"/>
              </w:rPr>
            </w:pPr>
          </w:p>
        </w:tc>
        <w:tc>
          <w:tcPr>
            <w:tcW w:w="11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40" w:right="20" w:hanging="424"/>
        <w:spacing w:after="0" w:line="285"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value of the award granted is based on the weighted average closing price for the Company’s common stock over the 15 trading days ending on the date of grant, which is reflected in the minor discrepancies in the amounts reported under the “Stock Awards” column in the Summary Compensation Table.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awards are shown in the 2024 Grants of Plan-Based Awards table.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stock options generally vest on the third anniversary of the date of grant.</w:t>
      </w:r>
    </w:p>
    <w:p>
      <w:pPr>
        <w:spacing w:after="0" w:line="210"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i w:val="1"/>
          <w:iCs w:val="1"/>
          <w:color w:val="auto"/>
        </w:rPr>
        <w:t>Revised Long-Term Metrics</w:t>
      </w:r>
      <w:r>
        <w:rPr>
          <w:rFonts w:ascii="Arial" w:cs="Arial" w:eastAsia="Arial" w:hAnsi="Arial"/>
          <w:sz w:val="17"/>
          <w:szCs w:val="17"/>
          <w:color w:val="auto"/>
        </w:rPr>
        <w:t>. In 2024, the Committee replaced cumulative adjusted EBITDA as a performance metric with a three-year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net earnings</w:t>
      </w:r>
      <w:r>
        <w:rPr>
          <w:rFonts w:ascii="Arial" w:cs="Arial" w:eastAsia="Arial" w:hAnsi="Arial"/>
          <w:sz w:val="12"/>
          <w:szCs w:val="12"/>
          <w:color w:val="auto"/>
        </w:rPr>
        <w:t>1</w:t>
      </w:r>
      <w:r>
        <w:rPr>
          <w:rFonts w:ascii="Arial" w:cs="Arial" w:eastAsia="Arial" w:hAnsi="Arial"/>
          <w:sz w:val="17"/>
          <w:szCs w:val="17"/>
          <w:color w:val="auto"/>
        </w:rPr>
        <w:t xml:space="preserve"> compound annual growth rate (“CAGR”), and the Committee has eliminated the relative cash flow metric. The Committee has determined that an adjusted net earnings CAGR better aligns with Roper’s strategy of delivering consistent organic growth and disciplined capital deployment while reflecting the cost of capital utilized to support the Company’s strategy. Vesting of the 2024 target level performance-based restricted stock unit awards will be contingent on the Company delivering a specified CAGR for adjusted net earnings for the 36-month performance period subject to a relative TSR performance modifier. If the Company achieves flat growth in adjusted net earnings then the unmodified vesting for the restricted stock units is 35% of target. If the Company achieves between 3% and 10% in adjusted net earnings CAGR then the unmodified vesting is 100% of target.</w:t>
      </w:r>
    </w:p>
    <w:p>
      <w:pPr>
        <w:spacing w:after="0" w:line="184"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Overdrive Opportunity</w:t>
      </w:r>
      <w:r>
        <w:rPr>
          <w:rFonts w:ascii="Arial" w:cs="Arial" w:eastAsia="Arial" w:hAnsi="Arial"/>
          <w:sz w:val="17"/>
          <w:szCs w:val="17"/>
          <w:color w:val="auto"/>
        </w:rPr>
        <w:t>. The named executive officers may vest in additional shares up to an incremental 100% of their target-level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(the “Overdrive Shares”) if the adjusted net earnings CAGR for the three-year performance period exceeds 10% as set forth below:</w:t>
      </w:r>
    </w:p>
    <w:p>
      <w:pPr>
        <w:spacing w:after="0" w:line="65" w:lineRule="exact"/>
        <w:rPr>
          <w:sz w:val="20"/>
          <w:szCs w:val="20"/>
          <w:color w:val="auto"/>
        </w:rPr>
      </w:pPr>
    </w:p>
    <w:p>
      <w:pPr>
        <w:ind w:left="540" w:hanging="208"/>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Company achieves a 14% CAGR of adjusted net earnings over the performance period, 40% of the Overdrive Shares shall vest; and</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Company achieves an 18% CAGR or higher of adjusted net earnings, an additional 60% of the Overdrive Shares shall vest.</w:t>
      </w:r>
    </w:p>
    <w:p>
      <w:pPr>
        <w:spacing w:after="0" w:line="21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Straight-line interpolation will be used to determine the number of shares that vest between all target ranges (beginning at 10% CAGR with respect to Overdrive Shares).</w:t>
      </w:r>
    </w:p>
    <w:p>
      <w:pPr>
        <w:spacing w:after="0" w:line="15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i w:val="1"/>
          <w:iCs w:val="1"/>
          <w:color w:val="auto"/>
        </w:rPr>
        <w:t>TSR Modifier</w:t>
      </w:r>
      <w:r>
        <w:rPr>
          <w:rFonts w:ascii="Arial" w:cs="Arial" w:eastAsia="Arial" w:hAnsi="Arial"/>
          <w:sz w:val="17"/>
          <w:szCs w:val="17"/>
          <w:color w:val="auto"/>
        </w:rPr>
        <w:t>. The total number of performance-based shares (including Overdrive Shares) that vest, if any, will be subject to modification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Company’s relative total shareholder return (“TSR”) over the 36-month performance period as follows:</w:t>
      </w:r>
    </w:p>
    <w:p>
      <w:pPr>
        <w:spacing w:after="0" w:line="65" w:lineRule="exact"/>
        <w:rPr>
          <w:sz w:val="20"/>
          <w:szCs w:val="20"/>
          <w:color w:val="auto"/>
        </w:rPr>
      </w:pPr>
    </w:p>
    <w:p>
      <w:pPr>
        <w:ind w:left="540" w:hanging="208"/>
        <w:spacing w:after="0"/>
        <w:tabs>
          <w:tab w:leader="none" w:pos="5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the Company’s TSR is at or below the 30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the number of shares vesting will be reduced by 25%;</w:t>
      </w:r>
    </w:p>
    <w:p>
      <w:pPr>
        <w:spacing w:after="0" w:line="204" w:lineRule="exact"/>
        <w:rPr>
          <w:rFonts w:ascii="Arial" w:cs="Arial" w:eastAsia="Arial" w:hAnsi="Arial"/>
          <w:sz w:val="17"/>
          <w:szCs w:val="17"/>
          <w:color w:val="auto"/>
        </w:rPr>
      </w:pPr>
    </w:p>
    <w:p>
      <w:pPr>
        <w:ind w:left="540" w:right="20" w:hanging="432"/>
        <w:spacing w:after="0" w:line="256" w:lineRule="auto"/>
        <w:rPr>
          <w:rFonts w:ascii="Arial" w:cs="Arial" w:eastAsia="Arial" w:hAnsi="Arial"/>
          <w:sz w:val="17"/>
          <w:szCs w:val="17"/>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Adjusted net earnings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and judgments, reorganization and restructuring programs, and non-recurring or special items (as discussed in the Company’s quarterly earnings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-461645</wp:posOffset>
            </wp:positionV>
            <wp:extent cx="7715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3" w:lineRule="exact"/>
        <w:rPr>
          <w:sz w:val="20"/>
          <w:szCs w:val="20"/>
          <w:color w:val="auto"/>
        </w:rPr>
      </w:pPr>
    </w:p>
    <w:tbl>
      <w:tblPr>
        <w:tblLayout w:type="fixed"/>
        <w:tblInd w:w="594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37</w:t>
            </w:r>
          </w:p>
        </w:tc>
        <w:tc>
          <w:tcPr>
            <w:tcW w:w="0" w:type="dxa"/>
            <w:vAlign w:val="bottom"/>
          </w:tcPr>
          <w:p>
            <w:pPr>
              <w:spacing w:after="0"/>
              <w:rPr>
                <w:sz w:val="1"/>
                <w:szCs w:val="1"/>
                <w:color w:val="auto"/>
              </w:rPr>
            </w:pPr>
          </w:p>
        </w:tc>
      </w:tr>
      <w:tr>
        <w:trPr>
          <w:trHeight w:val="115"/>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9"/>
                <w:szCs w:val="9"/>
                <w:color w:val="auto"/>
              </w:rPr>
            </w:pPr>
          </w:p>
        </w:tc>
        <w:tc>
          <w:tcPr>
            <w:tcW w:w="200" w:type="dxa"/>
            <w:vAlign w:val="bottom"/>
            <w:tcBorders>
              <w:right w:val="single" w:sz="8" w:color="005CB9"/>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4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200" w:type="dxa"/>
            <w:vAlign w:val="bottom"/>
            <w:tcBorders>
              <w:right w:val="single" w:sz="8" w:color="005CB9"/>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0370"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ind w:left="540" w:hanging="208"/>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Company’s TSR is at the 55</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no adjustment to the number of shares vesting shall be made; and</w:t>
      </w:r>
    </w:p>
    <w:p>
      <w:pPr>
        <w:spacing w:after="0" w:line="115" w:lineRule="exact"/>
        <w:rPr>
          <w:rFonts w:ascii="Arial" w:cs="Arial" w:eastAsia="Arial" w:hAnsi="Arial"/>
          <w:sz w:val="17"/>
          <w:szCs w:val="17"/>
          <w:color w:val="auto"/>
        </w:rPr>
      </w:pPr>
    </w:p>
    <w:p>
      <w:pPr>
        <w:ind w:left="540" w:right="20" w:hanging="208"/>
        <w:spacing w:after="0" w:line="267"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Company’s TSR is at or exceeds the 80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an additional 25% of the shares shall vest. However, in no event will vesting of target shares and overdrive shares exceed 200% of the target shares awarded.</w:t>
      </w:r>
    </w:p>
    <w:p>
      <w:pPr>
        <w:spacing w:after="0" w:line="159"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Pro-rated vesting using straight-line interpolation between the 30</w:t>
      </w:r>
      <w:r>
        <w:rPr>
          <w:rFonts w:ascii="Arial" w:cs="Arial" w:eastAsia="Arial" w:hAnsi="Arial"/>
          <w:sz w:val="12"/>
          <w:szCs w:val="12"/>
          <w:color w:val="auto"/>
        </w:rPr>
        <w:t>th</w:t>
      </w:r>
      <w:r>
        <w:rPr>
          <w:rFonts w:ascii="Arial" w:cs="Arial" w:eastAsia="Arial" w:hAnsi="Arial"/>
          <w:sz w:val="17"/>
          <w:szCs w:val="17"/>
          <w:color w:val="auto"/>
        </w:rPr>
        <w:t xml:space="preserve"> and 80</w:t>
      </w:r>
      <w:r>
        <w:rPr>
          <w:rFonts w:ascii="Arial" w:cs="Arial" w:eastAsia="Arial" w:hAnsi="Arial"/>
          <w:sz w:val="12"/>
          <w:szCs w:val="12"/>
          <w:color w:val="auto"/>
        </w:rPr>
        <w:t>th</w:t>
      </w:r>
      <w:r>
        <w:rPr>
          <w:rFonts w:ascii="Arial" w:cs="Arial" w:eastAsia="Arial" w:hAnsi="Arial"/>
          <w:sz w:val="17"/>
          <w:szCs w:val="17"/>
          <w:color w:val="auto"/>
        </w:rPr>
        <w:t xml:space="preserve"> percentiles of relative TSR shall be used to determine the applicable vesting percentage. However, in no event will a named executive officer earn more than 200% of their target-level shares.</w:t>
      </w:r>
    </w:p>
    <w:p>
      <w:pPr>
        <w:spacing w:after="0" w:line="159"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i w:val="1"/>
          <w:iCs w:val="1"/>
          <w:color w:val="auto"/>
        </w:rPr>
        <w:t xml:space="preserve">Metric Adjustment Applicable to 2025 Awards. </w:t>
      </w:r>
      <w:r>
        <w:rPr>
          <w:rFonts w:ascii="Arial" w:cs="Arial" w:eastAsia="Arial" w:hAnsi="Arial"/>
          <w:sz w:val="17"/>
          <w:szCs w:val="17"/>
          <w:color w:val="auto"/>
        </w:rPr>
        <w:t>For 2025, the Committee has adopted more rigorous performance criteria with respect to the entry</w:t>
      </w:r>
      <w:r>
        <w:rPr>
          <w:rFonts w:ascii="Arial" w:cs="Arial" w:eastAsia="Arial" w:hAnsi="Arial"/>
          <w:sz w:val="17"/>
          <w:szCs w:val="17"/>
          <w:i w:val="1"/>
          <w:iCs w:val="1"/>
          <w:color w:val="auto"/>
        </w:rPr>
        <w:t xml:space="preserve"> </w:t>
      </w:r>
      <w:r>
        <w:rPr>
          <w:rFonts w:ascii="Arial" w:cs="Arial" w:eastAsia="Arial" w:hAnsi="Arial"/>
          <w:sz w:val="17"/>
          <w:szCs w:val="17"/>
          <w:color w:val="auto"/>
        </w:rPr>
        <w:t>point for vesting of 35% of the target award and the threshold for vesting of 100% of the target award. The enhanced rigor will require the Company to generate an approximate incremental $60 million of adjusted net earnings for the performance period (in addition to the higher baseline from using 2024 as the baseline versus 2023).</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Prior Long-Term Stock Incentive Awards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January 2022 Awards</w:t>
      </w:r>
    </w:p>
    <w:p>
      <w:pPr>
        <w:spacing w:after="0" w:line="10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In January 2022, Messrs. Hunn, Conley and Stipancich were awarded 29,403, 5,607, and 5,607 performance-based restricted shares, respectively, subject to the below performance criteria for the 36-month performance period of October 2021 through September 2024. These performance-based restricted shares vested in November 2024 following the Compensation Committee’s certification of the satisfaction of both of the performance criteria above the target payout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135255</wp:posOffset>
            </wp:positionV>
            <wp:extent cx="7011670" cy="402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11670" cy="402590"/>
                    </a:xfrm>
                    <a:prstGeom prst="rect">
                      <a:avLst/>
                    </a:prstGeom>
                    <a:noFill/>
                  </pic:spPr>
                </pic:pic>
              </a:graphicData>
            </a:graphic>
          </wp:anchor>
        </w:drawing>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 w:type="dxa"/>
            <w:vAlign w:val="bottom"/>
            <w:shd w:val="clear" w:color="auto" w:fill="005CB9"/>
          </w:tcPr>
          <w:p>
            <w:pPr>
              <w:spacing w:after="0"/>
              <w:rPr>
                <w:sz w:val="14"/>
                <w:szCs w:val="14"/>
                <w:color w:val="auto"/>
              </w:rPr>
            </w:pPr>
          </w:p>
        </w:tc>
        <w:tc>
          <w:tcPr>
            <w:tcW w:w="49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1560" w:type="dxa"/>
            <w:vAlign w:val="bottom"/>
            <w:shd w:val="clear" w:color="auto" w:fill="005CB9"/>
          </w:tcPr>
          <w:p>
            <w:pPr>
              <w:jc w:val="center"/>
              <w:ind w:left="3"/>
              <w:spacing w:after="0"/>
              <w:rPr>
                <w:sz w:val="20"/>
                <w:szCs w:val="20"/>
                <w:color w:val="auto"/>
              </w:rPr>
            </w:pPr>
            <w:r>
              <w:rPr>
                <w:rFonts w:ascii="Arial" w:cs="Arial" w:eastAsia="Arial" w:hAnsi="Arial"/>
                <w:sz w:val="14"/>
                <w:szCs w:val="14"/>
                <w:color w:val="FFFFFF"/>
              </w:rPr>
              <w:t>Minimum</w:t>
            </w:r>
          </w:p>
        </w:tc>
        <w:tc>
          <w:tcPr>
            <w:tcW w:w="15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Performance for</w:t>
            </w:r>
          </w:p>
        </w:tc>
        <w:tc>
          <w:tcPr>
            <w:tcW w:w="1480" w:type="dxa"/>
            <w:vAlign w:val="bottom"/>
            <w:shd w:val="clear" w:color="auto" w:fill="005CB9"/>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0" w:type="dxa"/>
            <w:vAlign w:val="bottom"/>
            <w:shd w:val="clear" w:color="auto" w:fill="005CB9"/>
          </w:tcPr>
          <w:p>
            <w:pPr>
              <w:spacing w:after="0"/>
              <w:rPr>
                <w:sz w:val="14"/>
                <w:szCs w:val="14"/>
                <w:color w:val="auto"/>
              </w:rPr>
            </w:pPr>
          </w:p>
        </w:tc>
        <w:tc>
          <w:tcPr>
            <w:tcW w:w="49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1560" w:type="dxa"/>
            <w:vAlign w:val="bottom"/>
            <w:shd w:val="clear" w:color="auto" w:fill="005CB9"/>
          </w:tcPr>
          <w:p>
            <w:pPr>
              <w:jc w:val="center"/>
              <w:ind w:left="3"/>
              <w:spacing w:after="0"/>
              <w:rPr>
                <w:sz w:val="20"/>
                <w:szCs w:val="20"/>
                <w:color w:val="auto"/>
              </w:rPr>
            </w:pPr>
            <w:r>
              <w:rPr>
                <w:rFonts w:ascii="Arial" w:cs="Arial" w:eastAsia="Arial" w:hAnsi="Arial"/>
                <w:sz w:val="14"/>
                <w:szCs w:val="14"/>
                <w:color w:val="FFFFFF"/>
              </w:rPr>
              <w:t>Threshold for</w:t>
            </w:r>
          </w:p>
        </w:tc>
        <w:tc>
          <w:tcPr>
            <w:tcW w:w="1540" w:type="dxa"/>
            <w:vAlign w:val="bottom"/>
            <w:shd w:val="clear" w:color="auto" w:fill="005CB9"/>
          </w:tcPr>
          <w:p>
            <w:pPr>
              <w:jc w:val="center"/>
              <w:spacing w:after="0"/>
              <w:rPr>
                <w:sz w:val="20"/>
                <w:szCs w:val="20"/>
                <w:color w:val="auto"/>
              </w:rPr>
            </w:pPr>
            <w:r>
              <w:rPr>
                <w:rFonts w:ascii="Arial" w:cs="Arial" w:eastAsia="Arial" w:hAnsi="Arial"/>
                <w:sz w:val="14"/>
                <w:szCs w:val="14"/>
                <w:color w:val="FFFFFF"/>
                <w:w w:val="98"/>
              </w:rPr>
              <w:t>Target</w:t>
            </w:r>
          </w:p>
        </w:tc>
        <w:tc>
          <w:tcPr>
            <w:tcW w:w="14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Actual</w:t>
            </w:r>
          </w:p>
        </w:tc>
        <w:tc>
          <w:tcPr>
            <w:tcW w:w="20" w:type="dxa"/>
            <w:vAlign w:val="bottom"/>
          </w:tcPr>
          <w:p>
            <w:pPr>
              <w:spacing w:after="0"/>
              <w:rPr>
                <w:sz w:val="14"/>
                <w:szCs w:val="14"/>
                <w:color w:val="auto"/>
              </w:rPr>
            </w:pPr>
          </w:p>
        </w:tc>
      </w:tr>
      <w:tr>
        <w:trPr>
          <w:trHeight w:val="185"/>
        </w:trPr>
        <w:tc>
          <w:tcPr>
            <w:tcW w:w="60" w:type="dxa"/>
            <w:vAlign w:val="bottom"/>
            <w:shd w:val="clear" w:color="auto" w:fill="005CB9"/>
          </w:tcPr>
          <w:p>
            <w:pPr>
              <w:spacing w:after="0"/>
              <w:rPr>
                <w:sz w:val="16"/>
                <w:szCs w:val="16"/>
                <w:color w:val="auto"/>
              </w:rPr>
            </w:pPr>
          </w:p>
        </w:tc>
        <w:tc>
          <w:tcPr>
            <w:tcW w:w="4900" w:type="dxa"/>
            <w:vAlign w:val="bottom"/>
            <w:shd w:val="clear" w:color="auto" w:fill="005CB9"/>
          </w:tcPr>
          <w:p>
            <w:pPr>
              <w:ind w:left="1740"/>
              <w:spacing w:after="0"/>
              <w:rPr>
                <w:sz w:val="20"/>
                <w:szCs w:val="20"/>
                <w:color w:val="auto"/>
              </w:rPr>
            </w:pPr>
            <w:r>
              <w:rPr>
                <w:rFonts w:ascii="Arial" w:cs="Arial" w:eastAsia="Arial" w:hAnsi="Arial"/>
                <w:sz w:val="14"/>
                <w:szCs w:val="14"/>
                <w:color w:val="FFFFFF"/>
              </w:rPr>
              <w:t> Performance Criteria</w:t>
            </w:r>
          </w:p>
        </w:tc>
        <w:tc>
          <w:tcPr>
            <w:tcW w:w="1460" w:type="dxa"/>
            <w:vAlign w:val="bottom"/>
            <w:shd w:val="clear" w:color="auto" w:fill="005CB9"/>
          </w:tcPr>
          <w:p>
            <w:pPr>
              <w:jc w:val="right"/>
              <w:ind w:right="139"/>
              <w:spacing w:after="0"/>
              <w:rPr>
                <w:sz w:val="20"/>
                <w:szCs w:val="20"/>
                <w:color w:val="auto"/>
              </w:rPr>
            </w:pPr>
            <w:r>
              <w:rPr>
                <w:rFonts w:ascii="Arial" w:cs="Arial" w:eastAsia="Arial" w:hAnsi="Arial"/>
                <w:sz w:val="14"/>
                <w:szCs w:val="14"/>
                <w:color w:val="FFFFFF"/>
              </w:rPr>
              <w:t>   Weight </w:t>
            </w:r>
          </w:p>
        </w:tc>
        <w:tc>
          <w:tcPr>
            <w:tcW w:w="1560" w:type="dxa"/>
            <w:vAlign w:val="bottom"/>
            <w:shd w:val="clear" w:color="auto" w:fill="005CB9"/>
          </w:tcPr>
          <w:p>
            <w:pPr>
              <w:jc w:val="center"/>
              <w:ind w:left="3"/>
              <w:spacing w:after="0"/>
              <w:rPr>
                <w:sz w:val="20"/>
                <w:szCs w:val="20"/>
                <w:color w:val="auto"/>
              </w:rPr>
            </w:pPr>
            <w:r>
              <w:rPr>
                <w:rFonts w:ascii="Arial" w:cs="Arial" w:eastAsia="Arial" w:hAnsi="Arial"/>
                <w:sz w:val="14"/>
                <w:szCs w:val="14"/>
                <w:color w:val="FFFFFF"/>
              </w:rPr>
              <w:t>Payout</w:t>
            </w:r>
          </w:p>
        </w:tc>
        <w:tc>
          <w:tcPr>
            <w:tcW w:w="15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Payout</w:t>
            </w:r>
          </w:p>
        </w:tc>
        <w:tc>
          <w:tcPr>
            <w:tcW w:w="14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Performance</w:t>
            </w:r>
          </w:p>
        </w:tc>
        <w:tc>
          <w:tcPr>
            <w:tcW w:w="20" w:type="dxa"/>
            <w:vAlign w:val="bottom"/>
          </w:tcPr>
          <w:p>
            <w:pPr>
              <w:spacing w:after="0"/>
              <w:rPr>
                <w:sz w:val="16"/>
                <w:szCs w:val="16"/>
                <w:color w:val="auto"/>
              </w:rPr>
            </w:pPr>
          </w:p>
        </w:tc>
      </w:tr>
      <w:tr>
        <w:trPr>
          <w:trHeight w:val="68"/>
        </w:trPr>
        <w:tc>
          <w:tcPr>
            <w:tcW w:w="6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 w:type="dxa"/>
            <w:vAlign w:val="bottom"/>
            <w:shd w:val="clear" w:color="auto" w:fill="CCDEF1"/>
          </w:tcPr>
          <w:p>
            <w:pPr>
              <w:spacing w:after="0"/>
              <w:rPr>
                <w:sz w:val="23"/>
                <w:szCs w:val="23"/>
                <w:color w:val="auto"/>
              </w:rPr>
            </w:pPr>
          </w:p>
        </w:tc>
        <w:tc>
          <w:tcPr>
            <w:tcW w:w="4900" w:type="dxa"/>
            <w:vAlign w:val="bottom"/>
            <w:shd w:val="clear" w:color="auto" w:fill="CCDEF1"/>
          </w:tcPr>
          <w:p>
            <w:pPr>
              <w:spacing w:after="0"/>
              <w:rPr>
                <w:sz w:val="20"/>
                <w:szCs w:val="20"/>
                <w:color w:val="auto"/>
              </w:rPr>
            </w:pPr>
            <w:r>
              <w:rPr>
                <w:rFonts w:ascii="Arial" w:cs="Arial" w:eastAsia="Arial" w:hAnsi="Arial"/>
                <w:sz w:val="17"/>
                <w:szCs w:val="17"/>
                <w:color w:val="auto"/>
              </w:rPr>
              <w:t>Adjusted EBITDA*</w:t>
            </w:r>
          </w:p>
        </w:tc>
        <w:tc>
          <w:tcPr>
            <w:tcW w:w="1460" w:type="dxa"/>
            <w:vAlign w:val="bottom"/>
            <w:shd w:val="clear" w:color="auto" w:fill="CCDEF1"/>
          </w:tcPr>
          <w:p>
            <w:pPr>
              <w:jc w:val="right"/>
              <w:ind w:right="259"/>
              <w:spacing w:after="0"/>
              <w:rPr>
                <w:sz w:val="20"/>
                <w:szCs w:val="20"/>
                <w:color w:val="auto"/>
              </w:rPr>
            </w:pPr>
            <w:r>
              <w:rPr>
                <w:rFonts w:ascii="Arial" w:cs="Arial" w:eastAsia="Arial" w:hAnsi="Arial"/>
                <w:sz w:val="17"/>
                <w:szCs w:val="17"/>
                <w:color w:val="auto"/>
              </w:rPr>
              <w:t>50%</w:t>
            </w:r>
          </w:p>
        </w:tc>
        <w:tc>
          <w:tcPr>
            <w:tcW w:w="156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$5.635 billion</w:t>
            </w:r>
          </w:p>
        </w:tc>
        <w:tc>
          <w:tcPr>
            <w:tcW w:w="154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$6.035 billion</w:t>
            </w:r>
          </w:p>
        </w:tc>
        <w:tc>
          <w:tcPr>
            <w:tcW w:w="1480" w:type="dxa"/>
            <w:vAlign w:val="bottom"/>
            <w:shd w:val="clear" w:color="auto" w:fill="CCDEF1"/>
          </w:tcPr>
          <w:p>
            <w:pPr>
              <w:jc w:val="center"/>
              <w:ind w:left="1"/>
              <w:spacing w:after="0"/>
              <w:rPr>
                <w:sz w:val="20"/>
                <w:szCs w:val="20"/>
                <w:color w:val="auto"/>
              </w:rPr>
            </w:pPr>
            <w:r>
              <w:rPr>
                <w:rFonts w:ascii="Arial" w:cs="Arial" w:eastAsia="Arial" w:hAnsi="Arial"/>
                <w:sz w:val="17"/>
                <w:szCs w:val="17"/>
                <w:color w:val="auto"/>
                <w:w w:val="99"/>
              </w:rPr>
              <w:t>$7.275 billion</w:t>
            </w:r>
          </w:p>
        </w:tc>
        <w:tc>
          <w:tcPr>
            <w:tcW w:w="20" w:type="dxa"/>
            <w:vAlign w:val="bottom"/>
            <w:shd w:val="clear" w:color="auto" w:fill="CCDEF1"/>
          </w:tcPr>
          <w:p>
            <w:pPr>
              <w:spacing w:after="0"/>
              <w:rPr>
                <w:sz w:val="23"/>
                <w:szCs w:val="23"/>
                <w:color w:val="auto"/>
              </w:rPr>
            </w:pPr>
          </w:p>
        </w:tc>
      </w:tr>
      <w:tr>
        <w:trPr>
          <w:trHeight w:val="67"/>
        </w:trPr>
        <w:tc>
          <w:tcPr>
            <w:tcW w:w="60" w:type="dxa"/>
            <w:vAlign w:val="bottom"/>
            <w:shd w:val="clear" w:color="auto" w:fill="CCDEF1"/>
          </w:tcPr>
          <w:p>
            <w:pPr>
              <w:spacing w:after="0"/>
              <w:rPr>
                <w:sz w:val="5"/>
                <w:szCs w:val="5"/>
                <w:color w:val="auto"/>
              </w:rPr>
            </w:pPr>
          </w:p>
        </w:tc>
        <w:tc>
          <w:tcPr>
            <w:tcW w:w="4900" w:type="dxa"/>
            <w:vAlign w:val="bottom"/>
            <w:shd w:val="clear" w:color="auto" w:fill="CCDEF1"/>
          </w:tcPr>
          <w:p>
            <w:pPr>
              <w:spacing w:after="0"/>
              <w:rPr>
                <w:sz w:val="5"/>
                <w:szCs w:val="5"/>
                <w:color w:val="auto"/>
              </w:rPr>
            </w:pPr>
          </w:p>
        </w:tc>
        <w:tc>
          <w:tcPr>
            <w:tcW w:w="1460" w:type="dxa"/>
            <w:vAlign w:val="bottom"/>
            <w:shd w:val="clear" w:color="auto" w:fill="CCDEF1"/>
          </w:tcPr>
          <w:p>
            <w:pPr>
              <w:spacing w:after="0"/>
              <w:rPr>
                <w:sz w:val="5"/>
                <w:szCs w:val="5"/>
                <w:color w:val="auto"/>
              </w:rPr>
            </w:pPr>
          </w:p>
        </w:tc>
        <w:tc>
          <w:tcPr>
            <w:tcW w:w="1560" w:type="dxa"/>
            <w:vAlign w:val="bottom"/>
            <w:shd w:val="clear" w:color="auto" w:fill="CCDEF1"/>
          </w:tcPr>
          <w:p>
            <w:pPr>
              <w:spacing w:after="0"/>
              <w:rPr>
                <w:sz w:val="5"/>
                <w:szCs w:val="5"/>
                <w:color w:val="auto"/>
              </w:rPr>
            </w:pPr>
          </w:p>
        </w:tc>
        <w:tc>
          <w:tcPr>
            <w:tcW w:w="1540" w:type="dxa"/>
            <w:vAlign w:val="bottom"/>
            <w:shd w:val="clear" w:color="auto" w:fill="CCDEF1"/>
          </w:tcPr>
          <w:p>
            <w:pPr>
              <w:spacing w:after="0"/>
              <w:rPr>
                <w:sz w:val="5"/>
                <w:szCs w:val="5"/>
                <w:color w:val="auto"/>
              </w:rPr>
            </w:pPr>
          </w:p>
        </w:tc>
        <w:tc>
          <w:tcPr>
            <w:tcW w:w="148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Adjusted Operating Cash Flow*</w:t>
            </w:r>
          </w:p>
        </w:tc>
        <w:tc>
          <w:tcPr>
            <w:tcW w:w="1460" w:type="dxa"/>
            <w:vAlign w:val="bottom"/>
          </w:tcPr>
          <w:p>
            <w:pPr>
              <w:jc w:val="right"/>
              <w:ind w:right="259"/>
              <w:spacing w:after="0"/>
              <w:rPr>
                <w:sz w:val="20"/>
                <w:szCs w:val="20"/>
                <w:color w:val="auto"/>
              </w:rPr>
            </w:pPr>
            <w:r>
              <w:rPr>
                <w:rFonts w:ascii="Arial" w:cs="Arial" w:eastAsia="Arial" w:hAnsi="Arial"/>
                <w:sz w:val="17"/>
                <w:szCs w:val="17"/>
                <w:color w:val="auto"/>
              </w:rPr>
              <w:t>50%</w:t>
            </w:r>
          </w:p>
        </w:tc>
        <w:tc>
          <w:tcPr>
            <w:tcW w:w="1560" w:type="dxa"/>
            <w:vAlign w:val="bottom"/>
          </w:tcPr>
          <w:p>
            <w:pPr>
              <w:jc w:val="center"/>
              <w:spacing w:after="0"/>
              <w:rPr>
                <w:sz w:val="20"/>
                <w:szCs w:val="20"/>
                <w:color w:val="auto"/>
              </w:rPr>
            </w:pPr>
            <w:r>
              <w:rPr>
                <w:rFonts w:ascii="Arial" w:cs="Arial" w:eastAsia="Arial" w:hAnsi="Arial"/>
                <w:sz w:val="17"/>
                <w:szCs w:val="17"/>
                <w:color w:val="auto"/>
              </w:rPr>
              <w:t>50</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1540" w:type="dxa"/>
            <w:vAlign w:val="bottom"/>
          </w:tcPr>
          <w:p>
            <w:pPr>
              <w:jc w:val="center"/>
              <w:spacing w:after="0"/>
              <w:rPr>
                <w:sz w:val="20"/>
                <w:szCs w:val="20"/>
                <w:color w:val="auto"/>
              </w:rPr>
            </w:pPr>
            <w:r>
              <w:rPr>
                <w:rFonts w:ascii="Arial" w:cs="Arial" w:eastAsia="Arial" w:hAnsi="Arial"/>
                <w:sz w:val="17"/>
                <w:szCs w:val="17"/>
                <w:color w:val="auto"/>
              </w:rPr>
              <w:t>75</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1480" w:type="dxa"/>
            <w:vAlign w:val="bottom"/>
          </w:tcPr>
          <w:p>
            <w:pPr>
              <w:jc w:val="center"/>
              <w:spacing w:after="0"/>
              <w:rPr>
                <w:sz w:val="20"/>
                <w:szCs w:val="20"/>
                <w:color w:val="auto"/>
              </w:rPr>
            </w:pPr>
            <w:r>
              <w:rPr>
                <w:rFonts w:ascii="Arial" w:cs="Arial" w:eastAsia="Arial" w:hAnsi="Arial"/>
                <w:sz w:val="17"/>
                <w:szCs w:val="17"/>
                <w:color w:val="auto"/>
              </w:rPr>
              <w:t>92</w:t>
            </w:r>
            <w:r>
              <w:rPr>
                <w:rFonts w:ascii="Arial" w:cs="Arial" w:eastAsia="Arial" w:hAnsi="Arial"/>
                <w:sz w:val="12"/>
                <w:szCs w:val="12"/>
                <w:color w:val="auto"/>
              </w:rPr>
              <w:t>nd</w:t>
            </w:r>
            <w:r>
              <w:rPr>
                <w:rFonts w:ascii="Arial" w:cs="Arial" w:eastAsia="Arial" w:hAnsi="Arial"/>
                <w:sz w:val="17"/>
                <w:szCs w:val="17"/>
                <w:color w:val="auto"/>
              </w:rPr>
              <w:t xml:space="preserve"> Percentile</w:t>
            </w:r>
          </w:p>
        </w:tc>
        <w:tc>
          <w:tcPr>
            <w:tcW w:w="20" w:type="dxa"/>
            <w:vAlign w:val="bottom"/>
          </w:tcPr>
          <w:p>
            <w:pPr>
              <w:spacing w:after="0"/>
              <w:rPr>
                <w:sz w:val="23"/>
                <w:szCs w:val="23"/>
                <w:color w:val="auto"/>
              </w:rPr>
            </w:pPr>
          </w:p>
        </w:tc>
      </w:tr>
      <w:tr>
        <w:trPr>
          <w:trHeight w:val="248"/>
        </w:trPr>
        <w:tc>
          <w:tcPr>
            <w:tcW w:w="6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4900" w:type="dxa"/>
            <w:vAlign w:val="bottom"/>
          </w:tcPr>
          <w:p>
            <w:pPr>
              <w:ind w:left="360"/>
              <w:spacing w:after="0"/>
              <w:rPr>
                <w:sz w:val="20"/>
                <w:szCs w:val="20"/>
                <w:color w:val="auto"/>
              </w:rPr>
            </w:pPr>
            <w:r>
              <w:rPr>
                <w:rFonts w:ascii="Arial" w:cs="Arial" w:eastAsia="Arial" w:hAnsi="Arial"/>
                <w:sz w:val="14"/>
                <w:szCs w:val="14"/>
                <w:color w:val="auto"/>
              </w:rPr>
              <w:t>As described above.</w:t>
            </w: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104"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Other arrangements and considerations important to a shareholder’s understanding of our overall executive compensation program are described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Share Ownership and Retention Guidelines</w:t>
      </w:r>
    </w:p>
    <w:p>
      <w:pPr>
        <w:spacing w:after="0" w:line="98"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We believe named executive officers should have a significant equity interest in the Company. To promote equity ownership and further align the interests of our named executive officers with those of our shareholders, we adopted share ownership and retention guidelines for our named executive officers. The guidelines are expected to be achieved within five years. Until the ownership requirements are met, a named executive officer must retain 60% of any applicable shares received (on a net after tax basis) under our equity compensation program. At the end of fiscal 2024, all named executive officers were in compliance with our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170815</wp:posOffset>
            </wp:positionV>
            <wp:extent cx="7011670" cy="3257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11670" cy="3257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81" w:lineRule="exact"/>
        <w:rPr>
          <w:sz w:val="20"/>
          <w:szCs w:val="20"/>
          <w:color w:val="auto"/>
        </w:rPr>
      </w:pPr>
    </w:p>
    <w:p>
      <w:pPr>
        <w:jc w:val="both"/>
        <w:ind w:left="760"/>
        <w:spacing w:after="0"/>
        <w:tabs>
          <w:tab w:leader="none" w:pos="3420" w:val="left"/>
        </w:tabs>
        <w:rPr>
          <w:sz w:val="20"/>
          <w:szCs w:val="20"/>
          <w:color w:val="auto"/>
        </w:rPr>
      </w:pPr>
      <w:r>
        <w:rPr>
          <w:rFonts w:ascii="Arial" w:cs="Arial" w:eastAsia="Arial" w:hAnsi="Arial"/>
          <w:sz w:val="14"/>
          <w:szCs w:val="14"/>
          <w:color w:val="FFFFFF"/>
        </w:rPr>
        <w:t>Position</w:t>
      </w:r>
      <w:r>
        <w:rPr>
          <w:sz w:val="20"/>
          <w:szCs w:val="20"/>
          <w:color w:val="auto"/>
        </w:rPr>
        <w:tab/>
      </w:r>
      <w:r>
        <w:rPr>
          <w:rFonts w:ascii="Arial" w:cs="Arial" w:eastAsia="Arial" w:hAnsi="Arial"/>
          <w:sz w:val="14"/>
          <w:szCs w:val="14"/>
          <w:color w:val="FFFFFF"/>
        </w:rPr>
        <w:t>   Share Ownership Multiple</w:t>
      </w:r>
    </w:p>
    <w:p>
      <w:pPr>
        <w:spacing w:after="0" w:line="106"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7"/>
          <w:szCs w:val="17"/>
          <w:color w:val="auto"/>
        </w:rPr>
        <w:t>CEO</w:t>
      </w:r>
      <w:r>
        <w:rPr>
          <w:sz w:val="20"/>
          <w:szCs w:val="20"/>
          <w:color w:val="auto"/>
        </w:rPr>
        <w:tab/>
      </w:r>
      <w:r>
        <w:rPr>
          <w:rFonts w:ascii="Arial" w:cs="Arial" w:eastAsia="Arial" w:hAnsi="Arial"/>
          <w:sz w:val="17"/>
          <w:szCs w:val="17"/>
          <w:color w:val="auto"/>
        </w:rPr>
        <w:t>7 times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tabs>
          <w:tab w:leader="none" w:pos="2620" w:val="left"/>
        </w:tabs>
        <w:rPr>
          <w:sz w:val="20"/>
          <w:szCs w:val="20"/>
          <w:color w:val="auto"/>
        </w:rPr>
      </w:pPr>
      <w:r>
        <w:rPr>
          <w:rFonts w:ascii="Arial" w:cs="Arial" w:eastAsia="Arial" w:hAnsi="Arial"/>
          <w:sz w:val="14"/>
          <w:szCs w:val="14"/>
          <w:color w:val="FFFFFF"/>
        </w:rPr>
        <w:t>Shares Included</w:t>
      </w:r>
      <w:r>
        <w:rPr>
          <w:sz w:val="20"/>
          <w:szCs w:val="20"/>
          <w:color w:val="auto"/>
        </w:rPr>
        <w:tab/>
      </w:r>
      <w:r>
        <w:rPr>
          <w:rFonts w:ascii="Arial" w:cs="Arial" w:eastAsia="Arial" w:hAnsi="Arial"/>
          <w:sz w:val="14"/>
          <w:szCs w:val="14"/>
          <w:color w:val="FFFFFF"/>
        </w:rPr>
        <w:t>Shares Not Included</w:t>
      </w:r>
    </w:p>
    <w:p>
      <w:pPr>
        <w:spacing w:after="0" w:line="194" w:lineRule="exact"/>
        <w:rPr>
          <w:sz w:val="20"/>
          <w:szCs w:val="20"/>
          <w:color w:val="auto"/>
        </w:rPr>
      </w:pPr>
    </w:p>
    <w:p>
      <w:pPr>
        <w:sectPr>
          <w:pgSz w:w="11900" w:h="16838" w:orient="portrait"/>
          <w:cols w:equalWidth="0" w:num="2">
            <w:col w:w="5880" w:space="720"/>
            <w:col w:w="4540"/>
          </w:cols>
          <w:pgMar w:left="320" w:top="482" w:right="439" w:bottom="1440" w:gutter="0" w:footer="0" w:header="0"/>
          <w:type w:val="continuous"/>
        </w:sectPr>
      </w:pPr>
    </w:p>
    <w:p>
      <w:pPr>
        <w:spacing w:after="0" w:line="199"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7"/>
          <w:szCs w:val="17"/>
          <w:color w:val="auto"/>
        </w:rPr>
        <w:t>Other Named Executive Officers</w:t>
      </w:r>
      <w:r>
        <w:rPr>
          <w:sz w:val="20"/>
          <w:szCs w:val="20"/>
          <w:color w:val="auto"/>
        </w:rPr>
        <w:tab/>
      </w:r>
      <w:r>
        <w:rPr>
          <w:rFonts w:ascii="Arial" w:cs="Arial" w:eastAsia="Arial" w:hAnsi="Arial"/>
          <w:sz w:val="16"/>
          <w:szCs w:val="16"/>
          <w:color w:val="auto"/>
        </w:rPr>
        <w:t>3 times base salary</w:t>
      </w:r>
    </w:p>
    <w:p>
      <w:pPr>
        <w:spacing w:after="0" w:line="20" w:lineRule="exact"/>
        <w:rPr>
          <w:sz w:val="20"/>
          <w:szCs w:val="20"/>
          <w:color w:val="auto"/>
        </w:rPr>
      </w:pPr>
      <w:r>
        <w:rPr>
          <w:sz w:val="20"/>
          <w:szCs w:val="20"/>
          <w:color w:val="auto"/>
        </w:rPr>
        <w:br w:type="column"/>
      </w:r>
    </w:p>
    <w:p>
      <w:pPr>
        <w:ind w:hanging="170"/>
        <w:spacing w:after="0" w:line="238" w:lineRule="auto"/>
        <w:rPr>
          <w:sz w:val="20"/>
          <w:szCs w:val="20"/>
          <w:color w:val="auto"/>
        </w:rPr>
      </w:pPr>
      <w:r>
        <w:rPr>
          <w:rFonts w:ascii="Arial" w:cs="Arial" w:eastAsia="Arial" w:hAnsi="Arial"/>
          <w:sz w:val="17"/>
          <w:szCs w:val="17"/>
          <w:color w:val="auto"/>
        </w:rPr>
        <w:t>•   Shares in which the executive or his or her spouse or child has a direct or indirect interest; and</w:t>
      </w:r>
    </w:p>
    <w:p>
      <w:pPr>
        <w:spacing w:after="0" w:line="86" w:lineRule="exact"/>
        <w:rPr>
          <w:sz w:val="20"/>
          <w:szCs w:val="20"/>
          <w:color w:val="auto"/>
        </w:rPr>
      </w:pPr>
    </w:p>
    <w:p>
      <w:pPr>
        <w:ind w:right="240" w:hanging="170"/>
        <w:spacing w:after="0" w:line="249" w:lineRule="auto"/>
        <w:rPr>
          <w:sz w:val="20"/>
          <w:szCs w:val="20"/>
          <w:color w:val="auto"/>
        </w:rPr>
      </w:pPr>
      <w:r>
        <w:rPr>
          <w:rFonts w:ascii="Arial" w:cs="Arial" w:eastAsia="Arial" w:hAnsi="Arial"/>
          <w:sz w:val="17"/>
          <w:szCs w:val="17"/>
          <w:color w:val="auto"/>
        </w:rPr>
        <w:t>•   Shares owned in 401(k), savings, and profit sharing plans.</w:t>
      </w:r>
    </w:p>
    <w:p>
      <w:pPr>
        <w:spacing w:after="0" w:line="20" w:lineRule="exact"/>
        <w:rPr>
          <w:sz w:val="20"/>
          <w:szCs w:val="20"/>
          <w:color w:val="auto"/>
        </w:rPr>
      </w:pPr>
      <w:r>
        <w:rPr>
          <w:sz w:val="20"/>
          <w:szCs w:val="20"/>
          <w:color w:val="auto"/>
        </w:rPr>
        <w:br w:type="column"/>
      </w:r>
    </w:p>
    <w:p>
      <w:pPr>
        <w:ind w:right="420" w:hanging="170"/>
        <w:spacing w:after="0" w:line="248" w:lineRule="auto"/>
        <w:rPr>
          <w:sz w:val="20"/>
          <w:szCs w:val="20"/>
          <w:color w:val="auto"/>
        </w:rPr>
      </w:pPr>
      <w:r>
        <w:rPr>
          <w:rFonts w:ascii="Arial" w:cs="Arial" w:eastAsia="Arial" w:hAnsi="Arial"/>
          <w:sz w:val="17"/>
          <w:szCs w:val="17"/>
          <w:color w:val="auto"/>
        </w:rPr>
        <w:t>•   Vested or unvested stock options; and</w:t>
      </w:r>
    </w:p>
    <w:p>
      <w:pPr>
        <w:spacing w:after="0" w:line="80" w:lineRule="exact"/>
        <w:rPr>
          <w:sz w:val="20"/>
          <w:szCs w:val="20"/>
          <w:color w:val="auto"/>
        </w:rPr>
      </w:pPr>
    </w:p>
    <w:p>
      <w:pPr>
        <w:ind w:right="80" w:hanging="170"/>
        <w:spacing w:after="0" w:line="267" w:lineRule="auto"/>
        <w:rPr>
          <w:sz w:val="20"/>
          <w:szCs w:val="20"/>
          <w:color w:val="auto"/>
        </w:rPr>
      </w:pPr>
      <w:r>
        <w:rPr>
          <w:rFonts w:ascii="Arial" w:cs="Arial" w:eastAsia="Arial" w:hAnsi="Arial"/>
          <w:sz w:val="17"/>
          <w:szCs w:val="17"/>
          <w:color w:val="auto"/>
        </w:rPr>
        <w:t>•   Unvested performance-based equity awards.</w:t>
      </w:r>
    </w:p>
    <w:p>
      <w:pPr>
        <w:spacing w:after="0" w:line="751" w:lineRule="exact"/>
        <w:rPr>
          <w:sz w:val="20"/>
          <w:szCs w:val="20"/>
          <w:color w:val="auto"/>
        </w:rPr>
      </w:pPr>
    </w:p>
    <w:p>
      <w:pPr>
        <w:sectPr>
          <w:pgSz w:w="11900" w:h="16838" w:orient="portrait"/>
          <w:cols w:equalWidth="0" w:num="3">
            <w:col w:w="5360" w:space="720"/>
            <w:col w:w="2240" w:space="500"/>
            <w:col w:w="2320"/>
          </w:cols>
          <w:pgMar w:left="320" w:top="482" w:right="439" w:bottom="1440" w:gutter="0" w:footer="0" w:header="0"/>
          <w:type w:val="continuous"/>
        </w:sectPr>
      </w:pPr>
    </w:p>
    <w:p>
      <w:pPr>
        <w:spacing w:after="0" w:line="31"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-77470</wp:posOffset>
            </wp:positionV>
            <wp:extent cx="8255" cy="282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-635</wp:posOffset>
            </wp:positionV>
            <wp:extent cx="42037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jc w:val="right"/>
        <w:spacing w:after="0" w:line="181" w:lineRule="auto"/>
        <w:tabs>
          <w:tab w:leader="none" w:pos="280" w:val="left"/>
        </w:tabs>
        <w:rPr>
          <w:sz w:val="20"/>
          <w:szCs w:val="20"/>
          <w:color w:val="auto"/>
        </w:rPr>
      </w:pPr>
      <w:r>
        <w:rPr>
          <w:rFonts w:ascii="Arial" w:cs="Arial" w:eastAsia="Arial" w:hAnsi="Arial"/>
          <w:sz w:val="14"/>
          <w:szCs w:val="14"/>
          <w:b w:val="1"/>
          <w:bCs w:val="1"/>
          <w:color w:val="005CB9"/>
        </w:rPr>
        <w:t>   Roper Technologies, Inc. 2025 Proxy Statement</w:t>
      </w:r>
      <w:r>
        <w:rPr>
          <w:sz w:val="20"/>
          <w:szCs w:val="20"/>
          <w:color w:val="auto"/>
        </w:rPr>
        <w:tab/>
      </w:r>
      <w:r>
        <w:rPr>
          <w:rFonts w:ascii="Arial" w:cs="Arial" w:eastAsia="Arial" w:hAnsi="Arial"/>
          <w:sz w:val="14"/>
          <w:szCs w:val="14"/>
          <w:b w:val="1"/>
          <w:bCs w:val="1"/>
          <w:color w:val="005CB9"/>
        </w:rPr>
        <w:t>   39</w:t>
      </w:r>
    </w:p>
    <w:p>
      <w:pPr>
        <w:ind w:left="594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Anti-Hedging and Anti-Pledging Policy</w:t>
      </w:r>
    </w:p>
    <w:p>
      <w:pPr>
        <w:spacing w:after="0" w:line="98"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 The numbers of shares pledged as of the date of the adoption of the policy in January 2015 are excepted from this policy. Consistent with this exception, as of March 31, 2025, Christopher Wright directly held 31,095 shares in a margin account. In addition, 14,500 shares indirectly held by Mr. Wright (of which he has continuing beneficial ownership of 1%) are also held in a margin account. Mr. Wright is the only individual to whom this exception applies.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“Clawback” Policy</w:t>
      </w:r>
    </w:p>
    <w:p>
      <w:pPr>
        <w:spacing w:after="0" w:line="98"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We maintain and operate a Compensation Clawback Policy (the “Clawback Policy”), which complies with the final rules and listing standards promulgated and adopted by the SEC and Nasdaq. The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Triggering events include accounting restatements to correct an error in previously issued financial statements that is material to such previously issued financial statements, or that would result in a material misstatement if the error were corrected in the current period or left uncorrected in the current period.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Clawback Policy is in general limited to any compensation granted, earned or vested based wholly or in part on the attainment of one or more financial reporting measures.</w:t>
      </w:r>
    </w:p>
    <w:p>
      <w:pPr>
        <w:spacing w:after="0" w:line="14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In general, we may utilize a broad range of recoupment methods under the Clawback Policy. The Clawback Policy does not condition clawback on the fault of the executive officer, but we are not required to clawback</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 w:right="20"/>
        <w:spacing w:after="0" w:line="241" w:lineRule="auto"/>
        <w:rPr>
          <w:sz w:val="20"/>
          <w:szCs w:val="20"/>
          <w:color w:val="auto"/>
        </w:rPr>
      </w:pPr>
      <w:r>
        <w:rPr>
          <w:rFonts w:ascii="Arial" w:cs="Arial" w:eastAsia="Arial" w:hAnsi="Arial"/>
          <w:sz w:val="17"/>
          <w:szCs w:val="17"/>
          <w:color w:val="auto"/>
        </w:rPr>
        <w:t>amounts in limited circumstances where the Compensation Committee has made a determination that recovery would be impracticable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-1280160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6" w:hanging="6"/>
        <w:spacing w:after="0"/>
        <w:tabs>
          <w:tab w:leader="none" w:pos="275"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have already attempted to recover such amounts but the direct expenses paid to a third-party in an effort to enforce the Clawback Policy would exceed the amount to be recovered, (2) the recovery of amounts would violate applicable home country law, or (3) the recovery would cause the non-compliance of a tax-qualified retirement plan under the Internal Revenue Code and applicable regulations. Operation of the Clawback Policy is subject to a brief phase-in process during the first few years after its effectiveness. We may not indemnify any such executive officer against the loss of such recovered compensation.</w:t>
      </w:r>
    </w:p>
    <w:p>
      <w:pPr>
        <w:spacing w:after="0" w:line="223" w:lineRule="exact"/>
        <w:rPr>
          <w:sz w:val="20"/>
          <w:szCs w:val="20"/>
          <w:color w:val="auto"/>
        </w:rPr>
      </w:pPr>
    </w:p>
    <w:p>
      <w:pPr>
        <w:jc w:val="both"/>
        <w:ind w:left="6"/>
        <w:spacing w:after="0" w:line="236" w:lineRule="auto"/>
        <w:rPr>
          <w:sz w:val="20"/>
          <w:szCs w:val="20"/>
          <w:color w:val="auto"/>
        </w:rPr>
      </w:pPr>
      <w:r>
        <w:rPr>
          <w:rFonts w:ascii="Arial" w:cs="Arial" w:eastAsia="Arial" w:hAnsi="Arial"/>
          <w:sz w:val="17"/>
          <w:szCs w:val="17"/>
          <w:color w:val="auto"/>
        </w:rPr>
        <w:t>The Board also maintains and operates a supplemental clawback policy with broad discretion, allowing the Board to seek recoupment of incentive-based compensation (cash or equity, including time-based equity) from its Section 16 officers in the event of misconduct, including</w:t>
      </w:r>
    </w:p>
    <w:p>
      <w:pPr>
        <w:spacing w:after="0" w:line="3" w:lineRule="exact"/>
        <w:rPr>
          <w:sz w:val="20"/>
          <w:szCs w:val="20"/>
          <w:color w:val="auto"/>
        </w:rPr>
      </w:pPr>
    </w:p>
    <w:p>
      <w:pPr>
        <w:jc w:val="both"/>
        <w:ind w:left="6" w:hanging="6"/>
        <w:spacing w:after="0" w:line="236" w:lineRule="auto"/>
        <w:tabs>
          <w:tab w:leader="none" w:pos="2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willfully failing to perform his or her duties, (ii) willfully engaging in fraud or breach of his or her fiduciary duties, (iii) willfully violating the Company’s Code of Ethics or engaging in gross misconduct which is materially injurious to the Company, and (iv) committing a felony or offense involving moral turpitude.</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Regulatory Considerations</w:t>
      </w:r>
    </w:p>
    <w:p>
      <w:pPr>
        <w:spacing w:after="0" w:line="98" w:lineRule="exact"/>
        <w:rPr>
          <w:sz w:val="20"/>
          <w:szCs w:val="20"/>
          <w:color w:val="auto"/>
        </w:rPr>
      </w:pPr>
    </w:p>
    <w:p>
      <w:pPr>
        <w:jc w:val="both"/>
        <w:ind w:left="6" w:right="20"/>
        <w:spacing w:after="0" w:line="237" w:lineRule="auto"/>
        <w:rPr>
          <w:sz w:val="20"/>
          <w:szCs w:val="20"/>
          <w:color w:val="auto"/>
        </w:rPr>
      </w:pPr>
      <w:r>
        <w:rPr>
          <w:rFonts w:ascii="Arial" w:cs="Arial" w:eastAsia="Arial" w:hAnsi="Arial"/>
          <w:sz w:val="17"/>
          <w:szCs w:val="17"/>
          <w:color w:val="auto"/>
        </w:rPr>
        <w:t>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w:t>
      </w:r>
    </w:p>
    <w:p>
      <w:pPr>
        <w:spacing w:after="0" w:line="76" w:lineRule="exact"/>
        <w:rPr>
          <w:sz w:val="20"/>
          <w:szCs w:val="20"/>
          <w:color w:val="auto"/>
        </w:rPr>
      </w:pPr>
    </w:p>
    <w:p>
      <w:pPr>
        <w:jc w:val="both"/>
        <w:ind w:left="6"/>
        <w:spacing w:after="0" w:line="236" w:lineRule="auto"/>
        <w:rPr>
          <w:sz w:val="20"/>
          <w:szCs w:val="20"/>
          <w:color w:val="auto"/>
        </w:rPr>
      </w:pPr>
      <w:r>
        <w:rPr>
          <w:rFonts w:ascii="Arial" w:cs="Arial" w:eastAsia="Arial" w:hAnsi="Arial"/>
          <w:sz w:val="17"/>
          <w:szCs w:val="17"/>
          <w:color w:val="auto"/>
        </w:rPr>
        <w:t>In making decisions about executive compensation, we also consider the impact of other regulatory provisions, including Section 409A of the Code regarding non-qualified deferred compensation and 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restricted stock awards, and restricted stock unit awards.</w:t>
      </w:r>
    </w:p>
    <w:p>
      <w:pPr>
        <w:sectPr>
          <w:pgSz w:w="11900" w:h="16838" w:orient="portrait"/>
          <w:cols w:equalWidth="0" w:num="2">
            <w:col w:w="5400" w:space="334"/>
            <w:col w:w="5406"/>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INTERLOCKS AND INSIDER PARTICIPATION</w:t>
      </w:r>
    </w:p>
    <w:p>
      <w:pPr>
        <w:spacing w:after="0" w:line="33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During 2024, Mses. Thatcher and Brinkley and Messrs. Johnson, Joyce and Wright served on the Compensation Committee. No member of the Compensation Committee was, during 2024, an officer or employee of the Company, was formerly an officer of the Company, or had any relationship requiring disclosure by the Company as a related party transaction under Item 404 of Regulation S-K under the Securities Act of 1933 (the “Securities Act”). During 2024, none of the Company’s executive officers served on either the board of directors or the compensation committee of any other entity, any officers of which served on either the Board of Directors or the Compensation Committee of the Company.</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REPORT</w:t>
      </w:r>
    </w:p>
    <w:p>
      <w:pPr>
        <w:spacing w:after="0" w:line="33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 and incorporated by reference into our Annual Report on Form 10-K for the year ended December 31, 2024.</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Submitted by: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Laura G. Thatcher, Chair</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Amy Woods Brinkley</w:t>
      </w:r>
    </w:p>
    <w:p>
      <w:pPr>
        <w:ind w:left="560"/>
        <w:spacing w:after="0" w:line="232" w:lineRule="auto"/>
        <w:rPr>
          <w:sz w:val="20"/>
          <w:szCs w:val="20"/>
          <w:color w:val="auto"/>
        </w:rPr>
      </w:pPr>
      <w:r>
        <w:rPr>
          <w:rFonts w:ascii="Arial" w:cs="Arial" w:eastAsia="Arial" w:hAnsi="Arial"/>
          <w:sz w:val="17"/>
          <w:szCs w:val="17"/>
          <w:color w:val="auto"/>
        </w:rPr>
        <w:t>Robert D. Johnson</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rPr>
          <w:sz w:val="20"/>
          <w:szCs w:val="20"/>
          <w:color w:val="auto"/>
        </w:rPr>
      </w:pPr>
      <w:r>
        <w:rPr>
          <w:rFonts w:ascii="Arial" w:cs="Arial" w:eastAsia="Arial" w:hAnsi="Arial"/>
          <w:sz w:val="17"/>
          <w:szCs w:val="17"/>
          <w:color w:val="auto"/>
        </w:rPr>
        <w:t>Christopher Wright</w:t>
      </w:r>
    </w:p>
    <w:p>
      <w:pPr>
        <w:spacing w:after="0" w:line="148"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41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EXECUTIVE COMPENSATION</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compensation earned by our named executive officers in the fiscal years noted.</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72390</wp:posOffset>
            </wp:positionV>
            <wp:extent cx="2940050" cy="5054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40050" cy="50546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72390</wp:posOffset>
            </wp:positionV>
            <wp:extent cx="68580" cy="5054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05460"/>
                    </a:xfrm>
                    <a:prstGeom prst="rect">
                      <a:avLst/>
                    </a:prstGeom>
                    <a:noFill/>
                  </pic:spPr>
                </pic:pic>
              </a:graphicData>
            </a:graphic>
          </wp:anchor>
        </w:drawing>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0" w:type="dxa"/>
            <w:vAlign w:val="bottom"/>
            <w:shd w:val="clear" w:color="auto" w:fill="005CB9"/>
          </w:tcPr>
          <w:p>
            <w:pPr>
              <w:spacing w:after="0"/>
              <w:rPr>
                <w:sz w:val="13"/>
                <w:szCs w:val="13"/>
                <w:color w:val="auto"/>
              </w:rPr>
            </w:pPr>
          </w:p>
        </w:tc>
        <w:tc>
          <w:tcPr>
            <w:tcW w:w="4480" w:type="dxa"/>
            <w:vAlign w:val="bottom"/>
          </w:tcPr>
          <w:p>
            <w:pPr>
              <w:spacing w:after="0"/>
              <w:rPr>
                <w:sz w:val="13"/>
                <w:szCs w:val="13"/>
                <w:color w:val="auto"/>
              </w:rPr>
            </w:pPr>
          </w:p>
        </w:tc>
        <w:tc>
          <w:tcPr>
            <w:tcW w:w="54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90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Non-Equity</w:t>
            </w:r>
          </w:p>
        </w:tc>
        <w:tc>
          <w:tcPr>
            <w:tcW w:w="1120" w:type="dxa"/>
            <w:vAlign w:val="bottom"/>
            <w:shd w:val="clear" w:color="auto" w:fill="005CB9"/>
          </w:tcPr>
          <w:p>
            <w:pPr>
              <w:spacing w:after="0"/>
              <w:rPr>
                <w:sz w:val="13"/>
                <w:szCs w:val="13"/>
                <w:color w:val="auto"/>
              </w:rPr>
            </w:pPr>
          </w:p>
        </w:tc>
        <w:tc>
          <w:tcPr>
            <w:tcW w:w="1060" w:type="dxa"/>
            <w:vAlign w:val="bottom"/>
            <w:shd w:val="clear" w:color="auto" w:fill="005CB9"/>
          </w:tcPr>
          <w:p>
            <w:pPr>
              <w:spacing w:after="0"/>
              <w:rPr>
                <w:sz w:val="13"/>
                <w:szCs w:val="13"/>
                <w:color w:val="auto"/>
              </w:rPr>
            </w:pPr>
          </w:p>
        </w:tc>
      </w:tr>
      <w:tr>
        <w:trPr>
          <w:trHeight w:val="149"/>
        </w:trPr>
        <w:tc>
          <w:tcPr>
            <w:tcW w:w="100" w:type="dxa"/>
            <w:vAlign w:val="bottom"/>
            <w:shd w:val="clear" w:color="auto" w:fill="005CB9"/>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900" w:type="dxa"/>
            <w:vAlign w:val="bottom"/>
            <w:shd w:val="clear" w:color="auto" w:fill="005CB9"/>
          </w:tcPr>
          <w:p>
            <w:pPr>
              <w:spacing w:after="0"/>
              <w:rPr>
                <w:sz w:val="12"/>
                <w:szCs w:val="12"/>
                <w:color w:val="auto"/>
              </w:rPr>
            </w:pPr>
          </w:p>
        </w:tc>
        <w:tc>
          <w:tcPr>
            <w:tcW w:w="780" w:type="dxa"/>
            <w:vAlign w:val="bottom"/>
            <w:shd w:val="clear" w:color="auto" w:fill="005CB9"/>
          </w:tcPr>
          <w:p>
            <w:pPr>
              <w:spacing w:after="0"/>
              <w:rPr>
                <w:sz w:val="12"/>
                <w:szCs w:val="12"/>
                <w:color w:val="auto"/>
              </w:rPr>
            </w:pP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Incentive</w:t>
            </w:r>
          </w:p>
        </w:tc>
        <w:tc>
          <w:tcPr>
            <w:tcW w:w="1120" w:type="dxa"/>
            <w:vAlign w:val="bottom"/>
            <w:shd w:val="clear" w:color="auto" w:fill="005CB9"/>
          </w:tcPr>
          <w:p>
            <w:pPr>
              <w:spacing w:after="0"/>
              <w:rPr>
                <w:sz w:val="12"/>
                <w:szCs w:val="12"/>
                <w:color w:val="auto"/>
              </w:rPr>
            </w:pPr>
          </w:p>
        </w:tc>
        <w:tc>
          <w:tcPr>
            <w:tcW w:w="1060" w:type="dxa"/>
            <w:vAlign w:val="bottom"/>
            <w:shd w:val="clear" w:color="auto" w:fill="005CB9"/>
          </w:tcPr>
          <w:p>
            <w:pPr>
              <w:spacing w:after="0"/>
              <w:rPr>
                <w:sz w:val="12"/>
                <w:szCs w:val="12"/>
                <w:color w:val="auto"/>
              </w:rPr>
            </w:pPr>
          </w:p>
        </w:tc>
      </w:tr>
      <w:tr>
        <w:trPr>
          <w:trHeight w:val="148"/>
        </w:trPr>
        <w:tc>
          <w:tcPr>
            <w:tcW w:w="100" w:type="dxa"/>
            <w:vAlign w:val="bottom"/>
            <w:shd w:val="clear" w:color="auto" w:fill="005CB9"/>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900" w:type="dxa"/>
            <w:vAlign w:val="bottom"/>
            <w:shd w:val="clear" w:color="auto" w:fill="005CB9"/>
          </w:tcPr>
          <w:p>
            <w:pPr>
              <w:jc w:val="right"/>
              <w:ind w:right="10"/>
              <w:spacing w:after="0"/>
              <w:rPr>
                <w:sz w:val="20"/>
                <w:szCs w:val="20"/>
                <w:color w:val="auto"/>
              </w:rPr>
            </w:pPr>
            <w:r>
              <w:rPr>
                <w:rFonts w:ascii="Arial" w:cs="Arial" w:eastAsia="Arial" w:hAnsi="Arial"/>
                <w:sz w:val="13"/>
                <w:szCs w:val="13"/>
                <w:color w:val="FFFFFF"/>
              </w:rPr>
              <w:t>Stock</w:t>
            </w:r>
          </w:p>
        </w:tc>
        <w:tc>
          <w:tcPr>
            <w:tcW w:w="7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Option</w:t>
            </w: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Plan</w:t>
            </w:r>
          </w:p>
        </w:tc>
        <w:tc>
          <w:tcPr>
            <w:tcW w:w="11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All Other</w:t>
            </w:r>
          </w:p>
        </w:tc>
        <w:tc>
          <w:tcPr>
            <w:tcW w:w="1060" w:type="dxa"/>
            <w:vAlign w:val="bottom"/>
            <w:shd w:val="clear" w:color="auto" w:fill="005CB9"/>
          </w:tcPr>
          <w:p>
            <w:pPr>
              <w:jc w:val="right"/>
              <w:ind w:right="49"/>
              <w:spacing w:after="0"/>
              <w:rPr>
                <w:sz w:val="20"/>
                <w:szCs w:val="20"/>
                <w:color w:val="auto"/>
              </w:rPr>
            </w:pPr>
            <w:r>
              <w:rPr>
                <w:rFonts w:ascii="Arial" w:cs="Arial" w:eastAsia="Arial" w:hAnsi="Arial"/>
                <w:sz w:val="13"/>
                <w:szCs w:val="13"/>
                <w:color w:val="FFFFFF"/>
              </w:rPr>
              <w:t>Total</w:t>
            </w:r>
          </w:p>
        </w:tc>
      </w:tr>
      <w:tr>
        <w:trPr>
          <w:trHeight w:val="148"/>
        </w:trPr>
        <w:tc>
          <w:tcPr>
            <w:tcW w:w="100" w:type="dxa"/>
            <w:vAlign w:val="bottom"/>
            <w:shd w:val="clear" w:color="auto" w:fill="005CB9"/>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3"/>
                <w:szCs w:val="13"/>
                <w:color w:val="FFFFFF"/>
              </w:rPr>
              <w:t> Name and</w:t>
            </w:r>
          </w:p>
        </w:tc>
        <w:tc>
          <w:tcPr>
            <w:tcW w:w="540" w:type="dxa"/>
            <w:vAlign w:val="bottom"/>
            <w:shd w:val="clear" w:color="auto" w:fill="005CB9"/>
          </w:tcPr>
          <w:p>
            <w:pPr>
              <w:spacing w:after="0"/>
              <w:rPr>
                <w:sz w:val="12"/>
                <w:szCs w:val="12"/>
                <w:color w:val="auto"/>
              </w:rPr>
            </w:pPr>
          </w:p>
        </w:tc>
        <w:tc>
          <w:tcPr>
            <w:tcW w:w="800" w:type="dxa"/>
            <w:vAlign w:val="bottom"/>
            <w:shd w:val="clear" w:color="auto" w:fill="005CB9"/>
          </w:tcPr>
          <w:p>
            <w:pPr>
              <w:jc w:val="right"/>
              <w:ind w:right="10"/>
              <w:spacing w:after="0" w:line="149" w:lineRule="exact"/>
              <w:rPr>
                <w:sz w:val="20"/>
                <w:szCs w:val="20"/>
                <w:color w:val="auto"/>
              </w:rPr>
            </w:pPr>
            <w:r>
              <w:rPr>
                <w:rFonts w:ascii="Arial" w:cs="Arial" w:eastAsia="Arial" w:hAnsi="Arial"/>
                <w:sz w:val="12"/>
                <w:szCs w:val="12"/>
                <w:color w:val="FFFFFF"/>
              </w:rPr>
              <w:t>Salary</w:t>
            </w:r>
            <w:r>
              <w:rPr>
                <w:rFonts w:ascii="Arial" w:cs="Arial" w:eastAsia="Arial" w:hAnsi="Arial"/>
                <w:sz w:val="17"/>
                <w:szCs w:val="17"/>
                <w:color w:val="FFFFFF"/>
                <w:vertAlign w:val="superscript"/>
              </w:rPr>
              <w:t>(1)</w:t>
            </w:r>
          </w:p>
        </w:tc>
        <w:tc>
          <w:tcPr>
            <w:tcW w:w="900" w:type="dxa"/>
            <w:vAlign w:val="bottom"/>
            <w:shd w:val="clear" w:color="auto" w:fill="005CB9"/>
          </w:tcPr>
          <w:p>
            <w:pPr>
              <w:jc w:val="right"/>
              <w:ind w:right="10"/>
              <w:spacing w:after="0" w:line="149" w:lineRule="exact"/>
              <w:rPr>
                <w:sz w:val="20"/>
                <w:szCs w:val="20"/>
                <w:color w:val="auto"/>
              </w:rPr>
            </w:pPr>
            <w:r>
              <w:rPr>
                <w:rFonts w:ascii="Arial" w:cs="Arial" w:eastAsia="Arial" w:hAnsi="Arial"/>
                <w:sz w:val="12"/>
                <w:szCs w:val="12"/>
                <w:color w:val="FFFFFF"/>
              </w:rPr>
              <w:t>Awards</w:t>
            </w:r>
            <w:r>
              <w:rPr>
                <w:rFonts w:ascii="Arial" w:cs="Arial" w:eastAsia="Arial" w:hAnsi="Arial"/>
                <w:sz w:val="17"/>
                <w:szCs w:val="17"/>
                <w:color w:val="FFFFFF"/>
                <w:vertAlign w:val="superscript"/>
              </w:rPr>
              <w:t>(2)</w:t>
            </w:r>
          </w:p>
        </w:tc>
        <w:tc>
          <w:tcPr>
            <w:tcW w:w="780" w:type="dxa"/>
            <w:vAlign w:val="bottom"/>
            <w:shd w:val="clear" w:color="auto" w:fill="005CB9"/>
          </w:tcPr>
          <w:p>
            <w:pPr>
              <w:jc w:val="right"/>
              <w:spacing w:after="0" w:line="149" w:lineRule="exact"/>
              <w:rPr>
                <w:sz w:val="20"/>
                <w:szCs w:val="20"/>
                <w:color w:val="auto"/>
              </w:rPr>
            </w:pPr>
            <w:r>
              <w:rPr>
                <w:rFonts w:ascii="Arial" w:cs="Arial" w:eastAsia="Arial" w:hAnsi="Arial"/>
                <w:sz w:val="12"/>
                <w:szCs w:val="12"/>
                <w:color w:val="FFFFFF"/>
              </w:rPr>
              <w:t>Awards</w:t>
            </w:r>
            <w:r>
              <w:rPr>
                <w:rFonts w:ascii="Arial" w:cs="Arial" w:eastAsia="Arial" w:hAnsi="Arial"/>
                <w:sz w:val="17"/>
                <w:szCs w:val="17"/>
                <w:color w:val="FFFFFF"/>
                <w:vertAlign w:val="superscript"/>
              </w:rPr>
              <w:t>(2)</w:t>
            </w:r>
          </w:p>
        </w:tc>
        <w:tc>
          <w:tcPr>
            <w:tcW w:w="1240" w:type="dxa"/>
            <w:vAlign w:val="bottom"/>
            <w:shd w:val="clear" w:color="auto" w:fill="005CB9"/>
          </w:tcPr>
          <w:p>
            <w:pPr>
              <w:jc w:val="right"/>
              <w:spacing w:after="0" w:line="149" w:lineRule="exact"/>
              <w:rPr>
                <w:sz w:val="20"/>
                <w:szCs w:val="20"/>
                <w:color w:val="auto"/>
              </w:rPr>
            </w:pPr>
            <w:r>
              <w:rPr>
                <w:rFonts w:ascii="Arial" w:cs="Arial" w:eastAsia="Arial" w:hAnsi="Arial"/>
                <w:sz w:val="12"/>
                <w:szCs w:val="12"/>
                <w:color w:val="FFFFFF"/>
              </w:rPr>
              <w:t>Compensation</w:t>
            </w:r>
            <w:r>
              <w:rPr>
                <w:rFonts w:ascii="Arial" w:cs="Arial" w:eastAsia="Arial" w:hAnsi="Arial"/>
                <w:sz w:val="17"/>
                <w:szCs w:val="17"/>
                <w:color w:val="FFFFFF"/>
                <w:vertAlign w:val="superscript"/>
              </w:rPr>
              <w:t>(1)(3)</w:t>
            </w:r>
          </w:p>
        </w:tc>
        <w:tc>
          <w:tcPr>
            <w:tcW w:w="1120" w:type="dxa"/>
            <w:vAlign w:val="bottom"/>
            <w:shd w:val="clear" w:color="auto" w:fill="005CB9"/>
          </w:tcPr>
          <w:p>
            <w:pPr>
              <w:jc w:val="right"/>
              <w:spacing w:after="0" w:line="149" w:lineRule="exact"/>
              <w:rPr>
                <w:sz w:val="20"/>
                <w:szCs w:val="20"/>
                <w:color w:val="auto"/>
              </w:rPr>
            </w:pPr>
            <w:r>
              <w:rPr>
                <w:rFonts w:ascii="Arial" w:cs="Arial" w:eastAsia="Arial" w:hAnsi="Arial"/>
                <w:sz w:val="12"/>
                <w:szCs w:val="12"/>
                <w:color w:val="FFFFFF"/>
              </w:rPr>
              <w:t>Compensation</w:t>
            </w:r>
            <w:r>
              <w:rPr>
                <w:rFonts w:ascii="Arial" w:cs="Arial" w:eastAsia="Arial" w:hAnsi="Arial"/>
                <w:sz w:val="17"/>
                <w:szCs w:val="17"/>
                <w:color w:val="FFFFFF"/>
                <w:vertAlign w:val="superscript"/>
              </w:rPr>
              <w:t>(4)</w:t>
            </w:r>
          </w:p>
        </w:tc>
        <w:tc>
          <w:tcPr>
            <w:tcW w:w="1060" w:type="dxa"/>
            <w:vAlign w:val="bottom"/>
            <w:shd w:val="clear" w:color="auto" w:fill="005CB9"/>
          </w:tcPr>
          <w:p>
            <w:pPr>
              <w:jc w:val="right"/>
              <w:ind w:right="49"/>
              <w:spacing w:after="0"/>
              <w:rPr>
                <w:sz w:val="20"/>
                <w:szCs w:val="20"/>
                <w:color w:val="auto"/>
              </w:rPr>
            </w:pPr>
            <w:r>
              <w:rPr>
                <w:rFonts w:ascii="Arial" w:cs="Arial" w:eastAsia="Arial" w:hAnsi="Arial"/>
                <w:sz w:val="13"/>
                <w:szCs w:val="13"/>
                <w:color w:val="FFFFFF"/>
              </w:rPr>
              <w:t>Compensation</w:t>
            </w:r>
          </w:p>
        </w:tc>
      </w:tr>
      <w:tr>
        <w:trPr>
          <w:trHeight w:val="175"/>
        </w:trPr>
        <w:tc>
          <w:tcPr>
            <w:tcW w:w="100" w:type="dxa"/>
            <w:vAlign w:val="bottom"/>
            <w:shd w:val="clear" w:color="auto" w:fill="005CB9"/>
          </w:tcPr>
          <w:p>
            <w:pPr>
              <w:spacing w:after="0"/>
              <w:rPr>
                <w:sz w:val="15"/>
                <w:szCs w:val="15"/>
                <w:color w:val="auto"/>
              </w:rPr>
            </w:pPr>
          </w:p>
        </w:tc>
        <w:tc>
          <w:tcPr>
            <w:tcW w:w="4480" w:type="dxa"/>
            <w:vAlign w:val="bottom"/>
          </w:tcPr>
          <w:p>
            <w:pPr>
              <w:spacing w:after="0"/>
              <w:rPr>
                <w:sz w:val="20"/>
                <w:szCs w:val="20"/>
                <w:color w:val="auto"/>
              </w:rPr>
            </w:pPr>
            <w:r>
              <w:rPr>
                <w:rFonts w:ascii="Arial" w:cs="Arial" w:eastAsia="Arial" w:hAnsi="Arial"/>
                <w:sz w:val="13"/>
                <w:szCs w:val="13"/>
                <w:color w:val="FFFFFF"/>
              </w:rPr>
              <w:t> Principal Position</w:t>
            </w:r>
          </w:p>
        </w:tc>
        <w:tc>
          <w:tcPr>
            <w:tcW w:w="540" w:type="dxa"/>
            <w:vAlign w:val="bottom"/>
            <w:shd w:val="clear" w:color="auto" w:fill="005CB9"/>
          </w:tcPr>
          <w:p>
            <w:pPr>
              <w:jc w:val="right"/>
              <w:ind w:right="8"/>
              <w:spacing w:after="0"/>
              <w:rPr>
                <w:sz w:val="20"/>
                <w:szCs w:val="20"/>
                <w:color w:val="auto"/>
              </w:rPr>
            </w:pPr>
            <w:r>
              <w:rPr>
                <w:rFonts w:ascii="Arial" w:cs="Arial" w:eastAsia="Arial" w:hAnsi="Arial"/>
                <w:sz w:val="13"/>
                <w:szCs w:val="13"/>
                <w:color w:val="FFFFFF"/>
              </w:rPr>
              <w:t>Year</w:t>
            </w:r>
          </w:p>
        </w:tc>
        <w:tc>
          <w:tcPr>
            <w:tcW w:w="800" w:type="dxa"/>
            <w:vAlign w:val="bottom"/>
            <w:shd w:val="clear" w:color="auto" w:fill="005CB9"/>
          </w:tcPr>
          <w:p>
            <w:pPr>
              <w:jc w:val="right"/>
              <w:ind w:right="10"/>
              <w:spacing w:after="0"/>
              <w:rPr>
                <w:sz w:val="20"/>
                <w:szCs w:val="20"/>
                <w:color w:val="auto"/>
              </w:rPr>
            </w:pPr>
            <w:r>
              <w:rPr>
                <w:rFonts w:ascii="Arial" w:cs="Arial" w:eastAsia="Arial" w:hAnsi="Arial"/>
                <w:sz w:val="13"/>
                <w:szCs w:val="13"/>
                <w:color w:val="FFFFFF"/>
              </w:rPr>
              <w:t>($)</w:t>
            </w:r>
          </w:p>
        </w:tc>
        <w:tc>
          <w:tcPr>
            <w:tcW w:w="900" w:type="dxa"/>
            <w:vAlign w:val="bottom"/>
            <w:shd w:val="clear" w:color="auto" w:fill="005CB9"/>
          </w:tcPr>
          <w:p>
            <w:pPr>
              <w:jc w:val="right"/>
              <w:ind w:right="10"/>
              <w:spacing w:after="0"/>
              <w:rPr>
                <w:sz w:val="20"/>
                <w:szCs w:val="20"/>
                <w:color w:val="auto"/>
              </w:rPr>
            </w:pPr>
            <w:r>
              <w:rPr>
                <w:rFonts w:ascii="Arial" w:cs="Arial" w:eastAsia="Arial" w:hAnsi="Arial"/>
                <w:sz w:val="13"/>
                <w:szCs w:val="13"/>
                <w:color w:val="FFFFFF"/>
              </w:rPr>
              <w:t>($)</w:t>
            </w:r>
          </w:p>
        </w:tc>
        <w:tc>
          <w:tcPr>
            <w:tcW w:w="7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1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 xml:space="preserve">($) </w:t>
            </w:r>
          </w:p>
        </w:tc>
      </w:tr>
      <w:tr>
        <w:trPr>
          <w:trHeight w:val="241"/>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b w:val="1"/>
                <w:bCs w:val="1"/>
                <w:color w:val="005CB9"/>
              </w:rPr>
              <w:t>L. Neil Hunn</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15,023,657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4,847,184</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2,282,000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533,781</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23,686,622  </w:t>
            </w:r>
          </w:p>
        </w:tc>
      </w:tr>
      <w:tr>
        <w:trPr>
          <w:trHeight w:val="210"/>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President and Chief</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13,982,907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4,632,002</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21,168,465</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512,211</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41,295,585  </w:t>
            </w:r>
          </w:p>
        </w:tc>
      </w:tr>
      <w:tr>
        <w:trPr>
          <w:trHeight w:val="216"/>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Executive Officer</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2022</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13,896,152</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4,632,053</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2,000,000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365,160</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21,893,365  </w:t>
            </w:r>
          </w:p>
        </w:tc>
      </w:tr>
      <w:tr>
        <w:trPr>
          <w:trHeight w:val="76"/>
        </w:trPr>
        <w:tc>
          <w:tcPr>
            <w:tcW w:w="100" w:type="dxa"/>
            <w:vAlign w:val="bottom"/>
            <w:shd w:val="clear" w:color="auto" w:fill="E5EEF8"/>
          </w:tcPr>
          <w:p>
            <w:pPr>
              <w:spacing w:after="0"/>
              <w:rPr>
                <w:sz w:val="6"/>
                <w:szCs w:val="6"/>
                <w:color w:val="auto"/>
              </w:rPr>
            </w:pPr>
          </w:p>
        </w:tc>
        <w:tc>
          <w:tcPr>
            <w:tcW w:w="448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900" w:type="dxa"/>
            <w:vAlign w:val="bottom"/>
            <w:shd w:val="clear" w:color="auto" w:fill="E5EEF8"/>
          </w:tcPr>
          <w:p>
            <w:pPr>
              <w:spacing w:after="0"/>
              <w:rPr>
                <w:sz w:val="6"/>
                <w:szCs w:val="6"/>
                <w:color w:val="auto"/>
              </w:rPr>
            </w:pPr>
          </w:p>
        </w:tc>
        <w:tc>
          <w:tcPr>
            <w:tcW w:w="780" w:type="dxa"/>
            <w:vAlign w:val="bottom"/>
            <w:shd w:val="clear" w:color="auto" w:fill="E5EEF8"/>
          </w:tcPr>
          <w:p>
            <w:pPr>
              <w:spacing w:after="0"/>
              <w:rPr>
                <w:sz w:val="6"/>
                <w:szCs w:val="6"/>
                <w:color w:val="auto"/>
              </w:rPr>
            </w:pPr>
          </w:p>
        </w:tc>
        <w:tc>
          <w:tcPr>
            <w:tcW w:w="124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1060" w:type="dxa"/>
            <w:vAlign w:val="bottom"/>
            <w:shd w:val="clear" w:color="auto" w:fill="E5EEF8"/>
          </w:tcPr>
          <w:p>
            <w:pPr>
              <w:spacing w:after="0"/>
              <w:rPr>
                <w:sz w:val="6"/>
                <w:szCs w:val="6"/>
                <w:color w:val="auto"/>
              </w:rPr>
            </w:pPr>
          </w:p>
        </w:tc>
      </w:tr>
      <w:tr>
        <w:trPr>
          <w:trHeight w:val="282"/>
        </w:trPr>
        <w:tc>
          <w:tcPr>
            <w:tcW w:w="4580" w:type="dxa"/>
            <w:vAlign w:val="bottom"/>
            <w:gridSpan w:val="2"/>
          </w:tcPr>
          <w:p>
            <w:pPr>
              <w:ind w:left="60"/>
              <w:spacing w:after="0"/>
              <w:rPr>
                <w:sz w:val="20"/>
                <w:szCs w:val="20"/>
                <w:color w:val="auto"/>
              </w:rPr>
            </w:pPr>
            <w:r>
              <w:rPr>
                <w:rFonts w:ascii="Arial" w:cs="Arial" w:eastAsia="Arial" w:hAnsi="Arial"/>
                <w:sz w:val="14"/>
                <w:szCs w:val="14"/>
                <w:b w:val="1"/>
                <w:bCs w:val="1"/>
                <w:color w:val="005CB9"/>
              </w:rPr>
              <w:t>Jason P. Conley</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2024</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710,000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4,649,142</w:t>
            </w:r>
          </w:p>
        </w:tc>
        <w:tc>
          <w:tcPr>
            <w:tcW w:w="780" w:type="dxa"/>
            <w:vAlign w:val="bottom"/>
          </w:tcPr>
          <w:p>
            <w:pPr>
              <w:jc w:val="right"/>
              <w:spacing w:after="0"/>
              <w:rPr>
                <w:sz w:val="20"/>
                <w:szCs w:val="20"/>
                <w:color w:val="auto"/>
              </w:rPr>
            </w:pPr>
            <w:r>
              <w:rPr>
                <w:rFonts w:ascii="Arial" w:cs="Arial" w:eastAsia="Arial" w:hAnsi="Arial"/>
                <w:sz w:val="14"/>
                <w:szCs w:val="14"/>
                <w:color w:val="auto"/>
              </w:rPr>
              <w:t>1,499,975</w:t>
            </w:r>
          </w:p>
        </w:tc>
        <w:tc>
          <w:tcPr>
            <w:tcW w:w="1240" w:type="dxa"/>
            <w:vAlign w:val="bottom"/>
          </w:tcPr>
          <w:p>
            <w:pPr>
              <w:jc w:val="right"/>
              <w:spacing w:after="0"/>
              <w:rPr>
                <w:sz w:val="20"/>
                <w:szCs w:val="20"/>
                <w:color w:val="auto"/>
              </w:rPr>
            </w:pPr>
            <w:r>
              <w:rPr>
                <w:rFonts w:ascii="Arial" w:cs="Arial" w:eastAsia="Arial" w:hAnsi="Arial"/>
                <w:sz w:val="14"/>
                <w:szCs w:val="14"/>
                <w:color w:val="auto"/>
              </w:rPr>
              <w:t>1,012,638</w:t>
            </w:r>
          </w:p>
        </w:tc>
        <w:tc>
          <w:tcPr>
            <w:tcW w:w="1120" w:type="dxa"/>
            <w:vAlign w:val="bottom"/>
          </w:tcPr>
          <w:p>
            <w:pPr>
              <w:jc w:val="right"/>
              <w:spacing w:after="0"/>
              <w:rPr>
                <w:sz w:val="20"/>
                <w:szCs w:val="20"/>
                <w:color w:val="auto"/>
              </w:rPr>
            </w:pPr>
            <w:r>
              <w:rPr>
                <w:rFonts w:ascii="Arial" w:cs="Arial" w:eastAsia="Arial" w:hAnsi="Arial"/>
                <w:sz w:val="14"/>
                <w:szCs w:val="14"/>
                <w:color w:val="auto"/>
              </w:rPr>
              <w:t>165,304</w:t>
            </w:r>
          </w:p>
        </w:tc>
        <w:tc>
          <w:tcPr>
            <w:tcW w:w="1060" w:type="dxa"/>
            <w:vAlign w:val="bottom"/>
          </w:tcPr>
          <w:p>
            <w:pPr>
              <w:jc w:val="right"/>
              <w:spacing w:after="0"/>
              <w:rPr>
                <w:sz w:val="20"/>
                <w:szCs w:val="20"/>
                <w:color w:val="auto"/>
              </w:rPr>
            </w:pPr>
            <w:r>
              <w:rPr>
                <w:rFonts w:ascii="Arial" w:cs="Arial" w:eastAsia="Arial" w:hAnsi="Arial"/>
                <w:sz w:val="14"/>
                <w:szCs w:val="14"/>
                <w:color w:val="auto"/>
              </w:rPr>
              <w:t>8,037,059  </w:t>
            </w:r>
          </w:p>
        </w:tc>
      </w:tr>
      <w:tr>
        <w:trPr>
          <w:trHeight w:val="210"/>
        </w:trPr>
        <w:tc>
          <w:tcPr>
            <w:tcW w:w="4580" w:type="dxa"/>
            <w:vAlign w:val="bottom"/>
            <w:gridSpan w:val="2"/>
          </w:tcPr>
          <w:p>
            <w:pPr>
              <w:ind w:left="60"/>
              <w:spacing w:after="0"/>
              <w:rPr>
                <w:sz w:val="20"/>
                <w:szCs w:val="20"/>
                <w:color w:val="auto"/>
              </w:rPr>
            </w:pPr>
            <w:r>
              <w:rPr>
                <w:rFonts w:ascii="Arial" w:cs="Arial" w:eastAsia="Arial" w:hAnsi="Arial"/>
                <w:sz w:val="14"/>
                <w:szCs w:val="14"/>
                <w:color w:val="auto"/>
              </w:rPr>
              <w:t>Executive Vice President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675,000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3,773,437</w:t>
            </w:r>
          </w:p>
        </w:tc>
        <w:tc>
          <w:tcPr>
            <w:tcW w:w="780" w:type="dxa"/>
            <w:vAlign w:val="bottom"/>
          </w:tcPr>
          <w:p>
            <w:pPr>
              <w:jc w:val="right"/>
              <w:spacing w:after="0"/>
              <w:rPr>
                <w:sz w:val="20"/>
                <w:szCs w:val="20"/>
                <w:color w:val="auto"/>
              </w:rPr>
            </w:pPr>
            <w:r>
              <w:rPr>
                <w:rFonts w:ascii="Arial" w:cs="Arial" w:eastAsia="Arial" w:hAnsi="Arial"/>
                <w:sz w:val="14"/>
                <w:szCs w:val="14"/>
                <w:color w:val="auto"/>
              </w:rPr>
              <w:t>1,250,053</w:t>
            </w:r>
          </w:p>
        </w:tc>
        <w:tc>
          <w:tcPr>
            <w:tcW w:w="1240" w:type="dxa"/>
            <w:vAlign w:val="bottom"/>
          </w:tcPr>
          <w:p>
            <w:pPr>
              <w:jc w:val="right"/>
              <w:spacing w:after="0"/>
              <w:rPr>
                <w:sz w:val="20"/>
                <w:szCs w:val="20"/>
                <w:color w:val="auto"/>
              </w:rPr>
            </w:pPr>
            <w:r>
              <w:rPr>
                <w:rFonts w:ascii="Arial" w:cs="Arial" w:eastAsia="Arial" w:hAnsi="Arial"/>
                <w:sz w:val="14"/>
                <w:szCs w:val="14"/>
                <w:color w:val="auto"/>
              </w:rPr>
              <w:t>843,750</w:t>
            </w:r>
          </w:p>
        </w:tc>
        <w:tc>
          <w:tcPr>
            <w:tcW w:w="1120" w:type="dxa"/>
            <w:vAlign w:val="bottom"/>
          </w:tcPr>
          <w:p>
            <w:pPr>
              <w:jc w:val="right"/>
              <w:spacing w:after="0"/>
              <w:rPr>
                <w:sz w:val="20"/>
                <w:szCs w:val="20"/>
                <w:color w:val="auto"/>
              </w:rPr>
            </w:pPr>
            <w:r>
              <w:rPr>
                <w:rFonts w:ascii="Arial" w:cs="Arial" w:eastAsia="Arial" w:hAnsi="Arial"/>
                <w:sz w:val="14"/>
                <w:szCs w:val="14"/>
                <w:color w:val="auto"/>
              </w:rPr>
              <w:t>149,571</w:t>
            </w:r>
          </w:p>
        </w:tc>
        <w:tc>
          <w:tcPr>
            <w:tcW w:w="1060" w:type="dxa"/>
            <w:vAlign w:val="bottom"/>
          </w:tcPr>
          <w:p>
            <w:pPr>
              <w:jc w:val="right"/>
              <w:spacing w:after="0"/>
              <w:rPr>
                <w:sz w:val="20"/>
                <w:szCs w:val="20"/>
                <w:color w:val="auto"/>
              </w:rPr>
            </w:pPr>
            <w:r>
              <w:rPr>
                <w:rFonts w:ascii="Arial" w:cs="Arial" w:eastAsia="Arial" w:hAnsi="Arial"/>
                <w:sz w:val="14"/>
                <w:szCs w:val="14"/>
                <w:color w:val="auto"/>
              </w:rPr>
              <w:t>6,691,811  </w:t>
            </w:r>
          </w:p>
        </w:tc>
      </w:tr>
      <w:tr>
        <w:trPr>
          <w:trHeight w:val="216"/>
        </w:trPr>
        <w:tc>
          <w:tcPr>
            <w:tcW w:w="4580" w:type="dxa"/>
            <w:vAlign w:val="bottom"/>
            <w:gridSpan w:val="2"/>
          </w:tcPr>
          <w:p>
            <w:pPr>
              <w:ind w:left="60"/>
              <w:spacing w:after="0"/>
              <w:rPr>
                <w:sz w:val="20"/>
                <w:szCs w:val="20"/>
                <w:color w:val="auto"/>
              </w:rPr>
            </w:pPr>
            <w:r>
              <w:rPr>
                <w:rFonts w:ascii="Arial" w:cs="Arial" w:eastAsia="Arial" w:hAnsi="Arial"/>
                <w:sz w:val="14"/>
                <w:szCs w:val="14"/>
                <w:color w:val="auto"/>
              </w:rPr>
              <w:t>and Chief Financial Officer</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2022</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605,000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2,649,924</w:t>
            </w:r>
          </w:p>
        </w:tc>
        <w:tc>
          <w:tcPr>
            <w:tcW w:w="780" w:type="dxa"/>
            <w:vAlign w:val="bottom"/>
          </w:tcPr>
          <w:p>
            <w:pPr>
              <w:jc w:val="right"/>
              <w:spacing w:after="0"/>
              <w:rPr>
                <w:sz w:val="20"/>
                <w:szCs w:val="20"/>
                <w:color w:val="auto"/>
              </w:rPr>
            </w:pPr>
            <w:r>
              <w:rPr>
                <w:rFonts w:ascii="Arial" w:cs="Arial" w:eastAsia="Arial" w:hAnsi="Arial"/>
                <w:sz w:val="14"/>
                <w:szCs w:val="14"/>
                <w:color w:val="auto"/>
              </w:rPr>
              <w:t>874,971</w:t>
            </w:r>
          </w:p>
        </w:tc>
        <w:tc>
          <w:tcPr>
            <w:tcW w:w="1240" w:type="dxa"/>
            <w:vAlign w:val="bottom"/>
          </w:tcPr>
          <w:p>
            <w:pPr>
              <w:jc w:val="right"/>
              <w:spacing w:after="0"/>
              <w:rPr>
                <w:sz w:val="20"/>
                <w:szCs w:val="20"/>
                <w:color w:val="auto"/>
              </w:rPr>
            </w:pPr>
            <w:r>
              <w:rPr>
                <w:rFonts w:ascii="Arial" w:cs="Arial" w:eastAsia="Arial" w:hAnsi="Arial"/>
                <w:sz w:val="14"/>
                <w:szCs w:val="14"/>
                <w:color w:val="auto"/>
              </w:rPr>
              <w:t>756,250</w:t>
            </w:r>
          </w:p>
        </w:tc>
        <w:tc>
          <w:tcPr>
            <w:tcW w:w="1120" w:type="dxa"/>
            <w:vAlign w:val="bottom"/>
          </w:tcPr>
          <w:p>
            <w:pPr>
              <w:jc w:val="right"/>
              <w:spacing w:after="0"/>
              <w:rPr>
                <w:sz w:val="20"/>
                <w:szCs w:val="20"/>
                <w:color w:val="auto"/>
              </w:rPr>
            </w:pPr>
            <w:r>
              <w:rPr>
                <w:rFonts w:ascii="Arial" w:cs="Arial" w:eastAsia="Arial" w:hAnsi="Arial"/>
                <w:sz w:val="14"/>
                <w:szCs w:val="14"/>
                <w:color w:val="auto"/>
              </w:rPr>
              <w:t>140,993</w:t>
            </w:r>
          </w:p>
        </w:tc>
        <w:tc>
          <w:tcPr>
            <w:tcW w:w="1060" w:type="dxa"/>
            <w:vAlign w:val="bottom"/>
          </w:tcPr>
          <w:p>
            <w:pPr>
              <w:jc w:val="right"/>
              <w:spacing w:after="0"/>
              <w:rPr>
                <w:sz w:val="20"/>
                <w:szCs w:val="20"/>
                <w:color w:val="auto"/>
              </w:rPr>
            </w:pPr>
            <w:r>
              <w:rPr>
                <w:rFonts w:ascii="Arial" w:cs="Arial" w:eastAsia="Arial" w:hAnsi="Arial"/>
                <w:sz w:val="14"/>
                <w:szCs w:val="14"/>
                <w:color w:val="auto"/>
              </w:rPr>
              <w:t>5,027,138  </w:t>
            </w:r>
          </w:p>
        </w:tc>
      </w:tr>
      <w:tr>
        <w:trPr>
          <w:trHeight w:val="76"/>
        </w:trPr>
        <w:tc>
          <w:tcPr>
            <w:tcW w:w="1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81"/>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b w:val="1"/>
                <w:bCs w:val="1"/>
                <w:color w:val="005CB9"/>
              </w:rPr>
              <w:t>John K. Stipancich</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835,000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4,338,897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1,399,988</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1,190,919</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172,125</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7,936,929  </w:t>
            </w:r>
          </w:p>
        </w:tc>
      </w:tr>
      <w:tr>
        <w:trPr>
          <w:trHeight w:val="210"/>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Executive Vice President,</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800,000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3,471,648</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1,150,007</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1,000,000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163,687</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6,585,342  </w:t>
            </w:r>
          </w:p>
        </w:tc>
      </w:tr>
      <w:tr>
        <w:trPr>
          <w:trHeight w:val="216"/>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General Counsel and Corporate Secretary</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2022</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770,000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2,649,924</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920,000</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962,500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184,500</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5,486,924  </w:t>
            </w:r>
          </w:p>
        </w:tc>
      </w:tr>
      <w:tr>
        <w:trPr>
          <w:trHeight w:val="76"/>
        </w:trPr>
        <w:tc>
          <w:tcPr>
            <w:tcW w:w="100" w:type="dxa"/>
            <w:vAlign w:val="bottom"/>
            <w:shd w:val="clear" w:color="auto" w:fill="E5EEF8"/>
          </w:tcPr>
          <w:p>
            <w:pPr>
              <w:spacing w:after="0"/>
              <w:rPr>
                <w:sz w:val="6"/>
                <w:szCs w:val="6"/>
                <w:color w:val="auto"/>
              </w:rPr>
            </w:pPr>
          </w:p>
        </w:tc>
        <w:tc>
          <w:tcPr>
            <w:tcW w:w="448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900" w:type="dxa"/>
            <w:vAlign w:val="bottom"/>
            <w:shd w:val="clear" w:color="auto" w:fill="E5EEF8"/>
          </w:tcPr>
          <w:p>
            <w:pPr>
              <w:spacing w:after="0"/>
              <w:rPr>
                <w:sz w:val="6"/>
                <w:szCs w:val="6"/>
                <w:color w:val="auto"/>
              </w:rPr>
            </w:pPr>
          </w:p>
        </w:tc>
        <w:tc>
          <w:tcPr>
            <w:tcW w:w="780" w:type="dxa"/>
            <w:vAlign w:val="bottom"/>
            <w:shd w:val="clear" w:color="auto" w:fill="E5EEF8"/>
          </w:tcPr>
          <w:p>
            <w:pPr>
              <w:spacing w:after="0"/>
              <w:rPr>
                <w:sz w:val="6"/>
                <w:szCs w:val="6"/>
                <w:color w:val="auto"/>
              </w:rPr>
            </w:pPr>
          </w:p>
        </w:tc>
        <w:tc>
          <w:tcPr>
            <w:tcW w:w="124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1060" w:type="dxa"/>
            <w:vAlign w:val="bottom"/>
            <w:shd w:val="clear" w:color="auto" w:fill="E5EEF8"/>
          </w:tcPr>
          <w:p>
            <w:pPr>
              <w:spacing w:after="0"/>
              <w:rPr>
                <w:sz w:val="6"/>
                <w:szCs w:val="6"/>
                <w:color w:val="auto"/>
              </w:rPr>
            </w:pPr>
          </w:p>
        </w:tc>
      </w:tr>
    </w:tbl>
    <w:p>
      <w:pPr>
        <w:spacing w:after="0" w:line="50"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Amounts shown for 2024 include, as applicable, deferrals to the 401(k) plan and the Non-Qualified Retirement Plan.</w:t>
      </w:r>
    </w:p>
    <w:p>
      <w:pPr>
        <w:spacing w:after="0" w:line="66" w:lineRule="exact"/>
        <w:rPr>
          <w:rFonts w:ascii="Arial" w:cs="Arial" w:eastAsia="Arial" w:hAnsi="Arial"/>
          <w:sz w:val="22"/>
          <w:szCs w:val="22"/>
          <w:color w:val="auto"/>
          <w:vertAlign w:val="superscript"/>
        </w:rPr>
      </w:pPr>
    </w:p>
    <w:p>
      <w:pPr>
        <w:jc w:val="both"/>
        <w:ind w:left="540" w:hanging="424"/>
        <w:spacing w:after="0" w:line="227"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for 2024 represent the grant date fair values for restricted stock units and option awards calculated in accordance with ASC Topic 718. The assumptions used in determining the grant date fair values of these option awards are set forth in Note 12 to our consolidated financial statements for 2024, which are included in our Annual Report on Form 10-K for the fiscal year ended 2024 filed with the SEC. There is no assurance that these amounts will be realized. The restricted stock unit awards are all subject to performance-based vesting criteria. The value of restricted stock units in the table assumes target performance. The values of the restricted stock units granted in fiscal 2024 at the grant date if the highest level of performance conditions were to be achieved would be as follows: Mr.Hunn—$30,047,314; Mr. Conley—$9,298,284; and Mr. Stipancich—$8,677,794. The performance-based criteria for awards granted in 2024 are described in the CD&amp;A under “Analysis of 2024 Compensation—Long-Term Stock Incentives,” and the vesting schedule for awards granted in 2024 is set forth in the notes to the 2024 Outstanding Equity Awards at Fiscal Year End table below.</w:t>
      </w:r>
    </w:p>
    <w:p>
      <w:pPr>
        <w:spacing w:after="0" w:line="57"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for 2024 reflect payments made pursuant to our cash incentive program, which is described above in the CD&amp;A under “Analysis of 2024 Compensation—Annual Cash Incentive,” and were based upon base salaries as of the beginning of the year.</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Amounts reported in the “All Other Compensation” column for 2024 include the following items. In respect of any of these items that constitute perquisites, the value shown is the Company’s incremental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26670</wp:posOffset>
            </wp:positionV>
            <wp:extent cx="2271395" cy="633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71395" cy="63373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26670</wp:posOffset>
            </wp:positionV>
            <wp:extent cx="68580" cy="633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33730"/>
                    </a:xfrm>
                    <a:prstGeom prst="rect">
                      <a:avLst/>
                    </a:prstGeom>
                    <a:noFill/>
                  </pic:spPr>
                </pic:pic>
              </a:graphicData>
            </a:graphic>
          </wp:anchor>
        </w:drawing>
      </w:r>
    </w:p>
    <w:p>
      <w:pPr>
        <w:spacing w:after="0" w:line="42" w:lineRule="exact"/>
        <w:rPr>
          <w:sz w:val="20"/>
          <w:szCs w:val="20"/>
          <w:color w:val="auto"/>
        </w:rPr>
      </w:pPr>
    </w:p>
    <w:tbl>
      <w:tblPr>
        <w:tblLayout w:type="fixed"/>
        <w:tblInd w:w="560" w:type="dxa"/>
        <w:tblCellMar>
          <w:top w:w="0" w:type="dxa"/>
          <w:left w:w="0" w:type="dxa"/>
          <w:bottom w:w="0" w:type="dxa"/>
          <w:right w:w="0" w:type="dxa"/>
        </w:tblCellMar>
      </w:tblPr>
      <w:tr>
        <w:trPr>
          <w:trHeight w:val="220"/>
        </w:trPr>
        <w:tc>
          <w:tcPr>
            <w:tcW w:w="100" w:type="dxa"/>
            <w:vAlign w:val="bottom"/>
            <w:shd w:val="clear" w:color="auto" w:fill="005CB9"/>
          </w:tcPr>
          <w:p>
            <w:pPr>
              <w:spacing w:after="0"/>
              <w:rPr>
                <w:sz w:val="19"/>
                <w:szCs w:val="19"/>
                <w:color w:val="auto"/>
              </w:rPr>
            </w:pPr>
          </w:p>
        </w:tc>
        <w:tc>
          <w:tcPr>
            <w:tcW w:w="3440" w:type="dxa"/>
            <w:vAlign w:val="bottom"/>
          </w:tcPr>
          <w:p>
            <w:pPr>
              <w:spacing w:after="0"/>
              <w:rPr>
                <w:sz w:val="19"/>
                <w:szCs w:val="19"/>
                <w:color w:val="auto"/>
              </w:rPr>
            </w:pPr>
          </w:p>
        </w:tc>
        <w:tc>
          <w:tcPr>
            <w:tcW w:w="1460" w:type="dxa"/>
            <w:vAlign w:val="bottom"/>
            <w:shd w:val="clear" w:color="auto" w:fill="005CB9"/>
          </w:tcPr>
          <w:p>
            <w:pPr>
              <w:spacing w:after="0"/>
              <w:rPr>
                <w:sz w:val="19"/>
                <w:szCs w:val="19"/>
                <w:color w:val="auto"/>
              </w:rPr>
            </w:pPr>
          </w:p>
        </w:tc>
        <w:tc>
          <w:tcPr>
            <w:tcW w:w="1280" w:type="dxa"/>
            <w:vAlign w:val="bottom"/>
            <w:shd w:val="clear" w:color="auto" w:fill="005CB9"/>
          </w:tcPr>
          <w:p>
            <w:pPr>
              <w:spacing w:after="0"/>
              <w:rPr>
                <w:sz w:val="19"/>
                <w:szCs w:val="19"/>
                <w:color w:val="auto"/>
              </w:rPr>
            </w:pPr>
          </w:p>
        </w:tc>
        <w:tc>
          <w:tcPr>
            <w:tcW w:w="1040" w:type="dxa"/>
            <w:vAlign w:val="bottom"/>
            <w:shd w:val="clear" w:color="auto" w:fill="005CB9"/>
          </w:tcPr>
          <w:p>
            <w:pPr>
              <w:spacing w:after="0"/>
              <w:rPr>
                <w:sz w:val="19"/>
                <w:szCs w:val="19"/>
                <w:color w:val="auto"/>
              </w:rPr>
            </w:pPr>
          </w:p>
        </w:tc>
        <w:tc>
          <w:tcPr>
            <w:tcW w:w="1060" w:type="dxa"/>
            <w:vAlign w:val="bottom"/>
            <w:shd w:val="clear" w:color="auto" w:fill="005CB9"/>
          </w:tcPr>
          <w:p>
            <w:pPr>
              <w:spacing w:after="0"/>
              <w:rPr>
                <w:sz w:val="19"/>
                <w:szCs w:val="19"/>
                <w:color w:val="auto"/>
              </w:rPr>
            </w:pPr>
          </w:p>
        </w:tc>
        <w:tc>
          <w:tcPr>
            <w:tcW w:w="1000" w:type="dxa"/>
            <w:vAlign w:val="bottom"/>
            <w:shd w:val="clear" w:color="auto" w:fill="005CB9"/>
          </w:tcPr>
          <w:p>
            <w:pPr>
              <w:spacing w:after="0"/>
              <w:rPr>
                <w:sz w:val="19"/>
                <w:szCs w:val="19"/>
                <w:color w:val="auto"/>
              </w:rPr>
            </w:pPr>
          </w:p>
        </w:tc>
        <w:tc>
          <w:tcPr>
            <w:tcW w:w="1200" w:type="dxa"/>
            <w:vAlign w:val="bottom"/>
            <w:shd w:val="clear" w:color="auto" w:fill="005CB9"/>
          </w:tcPr>
          <w:p>
            <w:pPr>
              <w:jc w:val="right"/>
              <w:ind w:right="49"/>
              <w:spacing w:after="0"/>
              <w:rPr>
                <w:sz w:val="20"/>
                <w:szCs w:val="20"/>
                <w:color w:val="auto"/>
              </w:rPr>
            </w:pPr>
            <w:r>
              <w:rPr>
                <w:rFonts w:ascii="Arial" w:cs="Arial" w:eastAsia="Arial" w:hAnsi="Arial"/>
                <w:sz w:val="14"/>
                <w:szCs w:val="14"/>
                <w:color w:val="FFFFFF"/>
              </w:rPr>
              <w:t>Contributions</w:t>
            </w:r>
          </w:p>
        </w:tc>
      </w:tr>
      <w:tr>
        <w:trPr>
          <w:trHeight w:val="162"/>
        </w:trPr>
        <w:tc>
          <w:tcPr>
            <w:tcW w:w="100" w:type="dxa"/>
            <w:vAlign w:val="bottom"/>
            <w:shd w:val="clear" w:color="auto" w:fill="005CB9"/>
          </w:tcPr>
          <w:p>
            <w:pPr>
              <w:spacing w:after="0"/>
              <w:rPr>
                <w:sz w:val="14"/>
                <w:szCs w:val="14"/>
                <w:color w:val="auto"/>
              </w:rPr>
            </w:pPr>
          </w:p>
        </w:tc>
        <w:tc>
          <w:tcPr>
            <w:tcW w:w="3440" w:type="dxa"/>
            <w:vAlign w:val="bottom"/>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128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c>
          <w:tcPr>
            <w:tcW w:w="106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Additional</w:t>
            </w:r>
          </w:p>
        </w:tc>
        <w:tc>
          <w:tcPr>
            <w:tcW w:w="1000" w:type="dxa"/>
            <w:vAlign w:val="bottom"/>
            <w:shd w:val="clear" w:color="auto" w:fill="005CB9"/>
          </w:tcPr>
          <w:p>
            <w:pPr>
              <w:spacing w:after="0"/>
              <w:rPr>
                <w:sz w:val="14"/>
                <w:szCs w:val="14"/>
                <w:color w:val="auto"/>
              </w:rPr>
            </w:pPr>
          </w:p>
        </w:tc>
        <w:tc>
          <w:tcPr>
            <w:tcW w:w="1200" w:type="dxa"/>
            <w:vAlign w:val="bottom"/>
            <w:shd w:val="clear" w:color="auto" w:fill="005CB9"/>
          </w:tcPr>
          <w:p>
            <w:pPr>
              <w:jc w:val="right"/>
              <w:ind w:right="49"/>
              <w:spacing w:after="0"/>
              <w:rPr>
                <w:sz w:val="20"/>
                <w:szCs w:val="20"/>
                <w:color w:val="auto"/>
              </w:rPr>
            </w:pPr>
            <w:r>
              <w:rPr>
                <w:rFonts w:ascii="Arial" w:cs="Arial" w:eastAsia="Arial" w:hAnsi="Arial"/>
                <w:sz w:val="14"/>
                <w:szCs w:val="14"/>
                <w:color w:val="FFFFFF"/>
              </w:rPr>
              <w:t>to Defined</w:t>
            </w:r>
          </w:p>
        </w:tc>
      </w:tr>
      <w:tr>
        <w:trPr>
          <w:trHeight w:val="158"/>
        </w:trPr>
        <w:tc>
          <w:tcPr>
            <w:tcW w:w="100" w:type="dxa"/>
            <w:vAlign w:val="bottom"/>
            <w:shd w:val="clear" w:color="auto" w:fill="005CB9"/>
          </w:tcPr>
          <w:p>
            <w:pPr>
              <w:spacing w:after="0"/>
              <w:rPr>
                <w:sz w:val="13"/>
                <w:szCs w:val="13"/>
                <w:color w:val="auto"/>
              </w:rPr>
            </w:pPr>
          </w:p>
        </w:tc>
        <w:tc>
          <w:tcPr>
            <w:tcW w:w="3440" w:type="dxa"/>
            <w:vAlign w:val="bottom"/>
          </w:tcPr>
          <w:p>
            <w:pPr>
              <w:spacing w:after="0"/>
              <w:rPr>
                <w:sz w:val="13"/>
                <w:szCs w:val="13"/>
                <w:color w:val="auto"/>
              </w:rPr>
            </w:pPr>
          </w:p>
        </w:tc>
        <w:tc>
          <w:tcPr>
            <w:tcW w:w="1460" w:type="dxa"/>
            <w:vAlign w:val="bottom"/>
            <w:shd w:val="clear" w:color="auto" w:fill="005CB9"/>
          </w:tcPr>
          <w:p>
            <w:pPr>
              <w:jc w:val="right"/>
              <w:ind w:right="148"/>
              <w:spacing w:after="0" w:line="158" w:lineRule="exact"/>
              <w:rPr>
                <w:sz w:val="20"/>
                <w:szCs w:val="20"/>
                <w:color w:val="auto"/>
              </w:rPr>
            </w:pPr>
            <w:r>
              <w:rPr>
                <w:rFonts w:ascii="Arial" w:cs="Arial" w:eastAsia="Arial" w:hAnsi="Arial"/>
                <w:sz w:val="14"/>
                <w:szCs w:val="14"/>
                <w:color w:val="FFFFFF"/>
              </w:rPr>
              <w:t>Club</w:t>
            </w:r>
          </w:p>
        </w:tc>
        <w:tc>
          <w:tcPr>
            <w:tcW w:w="1280" w:type="dxa"/>
            <w:vAlign w:val="bottom"/>
            <w:shd w:val="clear" w:color="auto" w:fill="005CB9"/>
          </w:tcPr>
          <w:p>
            <w:pPr>
              <w:jc w:val="right"/>
              <w:ind w:right="149"/>
              <w:spacing w:after="0" w:line="158" w:lineRule="exact"/>
              <w:rPr>
                <w:sz w:val="20"/>
                <w:szCs w:val="20"/>
                <w:color w:val="auto"/>
              </w:rPr>
            </w:pPr>
            <w:r>
              <w:rPr>
                <w:rFonts w:ascii="Arial" w:cs="Arial" w:eastAsia="Arial" w:hAnsi="Arial"/>
                <w:sz w:val="14"/>
                <w:szCs w:val="14"/>
                <w:color w:val="FFFFFF"/>
              </w:rPr>
              <w:t>Personal Use</w:t>
            </w:r>
          </w:p>
        </w:tc>
        <w:tc>
          <w:tcPr>
            <w:tcW w:w="1040" w:type="dxa"/>
            <w:vAlign w:val="bottom"/>
            <w:shd w:val="clear" w:color="auto" w:fill="005CB9"/>
          </w:tcPr>
          <w:p>
            <w:pPr>
              <w:jc w:val="right"/>
              <w:ind w:right="148"/>
              <w:spacing w:after="0" w:line="158" w:lineRule="exact"/>
              <w:rPr>
                <w:sz w:val="20"/>
                <w:szCs w:val="20"/>
                <w:color w:val="auto"/>
              </w:rPr>
            </w:pPr>
            <w:r>
              <w:rPr>
                <w:rFonts w:ascii="Arial" w:cs="Arial" w:eastAsia="Arial" w:hAnsi="Arial"/>
                <w:sz w:val="14"/>
                <w:szCs w:val="14"/>
                <w:color w:val="FFFFFF"/>
              </w:rPr>
              <w:t>Company</w:t>
            </w:r>
          </w:p>
        </w:tc>
        <w:tc>
          <w:tcPr>
            <w:tcW w:w="1060" w:type="dxa"/>
            <w:vAlign w:val="bottom"/>
            <w:shd w:val="clear" w:color="auto" w:fill="005CB9"/>
          </w:tcPr>
          <w:p>
            <w:pPr>
              <w:jc w:val="right"/>
              <w:ind w:right="148"/>
              <w:spacing w:after="0" w:line="158" w:lineRule="exact"/>
              <w:rPr>
                <w:sz w:val="20"/>
                <w:szCs w:val="20"/>
                <w:color w:val="auto"/>
              </w:rPr>
            </w:pPr>
            <w:r>
              <w:rPr>
                <w:rFonts w:ascii="Arial" w:cs="Arial" w:eastAsia="Arial" w:hAnsi="Arial"/>
                <w:sz w:val="14"/>
                <w:szCs w:val="14"/>
                <w:color w:val="FFFFFF"/>
              </w:rPr>
              <w:t>Medical</w:t>
            </w:r>
          </w:p>
        </w:tc>
        <w:tc>
          <w:tcPr>
            <w:tcW w:w="1000" w:type="dxa"/>
            <w:vAlign w:val="bottom"/>
            <w:shd w:val="clear" w:color="auto" w:fill="005CB9"/>
          </w:tcPr>
          <w:p>
            <w:pPr>
              <w:jc w:val="right"/>
              <w:ind w:right="148"/>
              <w:spacing w:after="0" w:line="158" w:lineRule="exact"/>
              <w:rPr>
                <w:sz w:val="20"/>
                <w:szCs w:val="20"/>
                <w:color w:val="auto"/>
              </w:rPr>
            </w:pPr>
            <w:r>
              <w:rPr>
                <w:rFonts w:ascii="Arial" w:cs="Arial" w:eastAsia="Arial" w:hAnsi="Arial"/>
                <w:sz w:val="14"/>
                <w:szCs w:val="14"/>
                <w:color w:val="FFFFFF"/>
              </w:rPr>
              <w:t>Financial</w:t>
            </w:r>
          </w:p>
        </w:tc>
        <w:tc>
          <w:tcPr>
            <w:tcW w:w="1200" w:type="dxa"/>
            <w:vAlign w:val="bottom"/>
            <w:shd w:val="clear" w:color="auto" w:fill="005CB9"/>
          </w:tcPr>
          <w:p>
            <w:pPr>
              <w:jc w:val="right"/>
              <w:ind w:right="49"/>
              <w:spacing w:after="0" w:line="158" w:lineRule="exact"/>
              <w:rPr>
                <w:sz w:val="20"/>
                <w:szCs w:val="20"/>
                <w:color w:val="auto"/>
              </w:rPr>
            </w:pPr>
            <w:r>
              <w:rPr>
                <w:rFonts w:ascii="Arial" w:cs="Arial" w:eastAsia="Arial" w:hAnsi="Arial"/>
                <w:sz w:val="14"/>
                <w:szCs w:val="14"/>
                <w:color w:val="FFFFFF"/>
              </w:rPr>
              <w:t>Contribution</w:t>
            </w:r>
          </w:p>
        </w:tc>
      </w:tr>
      <w:tr>
        <w:trPr>
          <w:trHeight w:val="166"/>
        </w:trPr>
        <w:tc>
          <w:tcPr>
            <w:tcW w:w="100" w:type="dxa"/>
            <w:vAlign w:val="bottom"/>
            <w:shd w:val="clear" w:color="auto" w:fill="005CB9"/>
          </w:tcPr>
          <w:p>
            <w:pPr>
              <w:spacing w:after="0"/>
              <w:rPr>
                <w:sz w:val="14"/>
                <w:szCs w:val="14"/>
                <w:color w:val="auto"/>
              </w:rPr>
            </w:pPr>
          </w:p>
        </w:tc>
        <w:tc>
          <w:tcPr>
            <w:tcW w:w="3440" w:type="dxa"/>
            <w:vAlign w:val="bottom"/>
          </w:tcPr>
          <w:p>
            <w:pPr>
              <w:spacing w:after="0"/>
              <w:rPr>
                <w:sz w:val="14"/>
                <w:szCs w:val="14"/>
                <w:color w:val="auto"/>
              </w:rPr>
            </w:pPr>
          </w:p>
        </w:tc>
        <w:tc>
          <w:tcPr>
            <w:tcW w:w="146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Memberships</w:t>
            </w:r>
          </w:p>
        </w:tc>
        <w:tc>
          <w:tcPr>
            <w:tcW w:w="1280" w:type="dxa"/>
            <w:vAlign w:val="bottom"/>
            <w:shd w:val="clear" w:color="auto" w:fill="005CB9"/>
          </w:tcPr>
          <w:p>
            <w:pPr>
              <w:jc w:val="right"/>
              <w:ind w:right="149"/>
              <w:spacing w:after="0" w:line="166" w:lineRule="exact"/>
              <w:rPr>
                <w:sz w:val="20"/>
                <w:szCs w:val="20"/>
                <w:color w:val="auto"/>
              </w:rPr>
            </w:pPr>
            <w:r>
              <w:rPr>
                <w:rFonts w:ascii="Arial" w:cs="Arial" w:eastAsia="Arial" w:hAnsi="Arial"/>
                <w:sz w:val="13"/>
                <w:szCs w:val="13"/>
                <w:color w:val="FFFFFF"/>
              </w:rPr>
              <w:t>of Aircraft</w:t>
            </w:r>
            <w:r>
              <w:rPr>
                <w:rFonts w:ascii="Arial" w:cs="Arial" w:eastAsia="Arial" w:hAnsi="Arial"/>
                <w:sz w:val="19"/>
                <w:szCs w:val="19"/>
                <w:color w:val="FFFFFF"/>
                <w:vertAlign w:val="superscript"/>
              </w:rPr>
              <w:t>(a)</w:t>
            </w:r>
          </w:p>
        </w:tc>
        <w:tc>
          <w:tcPr>
            <w:tcW w:w="104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Car</w:t>
            </w:r>
          </w:p>
        </w:tc>
        <w:tc>
          <w:tcPr>
            <w:tcW w:w="106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Services</w:t>
            </w:r>
          </w:p>
        </w:tc>
        <w:tc>
          <w:tcPr>
            <w:tcW w:w="10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Planning</w:t>
            </w:r>
          </w:p>
        </w:tc>
        <w:tc>
          <w:tcPr>
            <w:tcW w:w="1200" w:type="dxa"/>
            <w:vAlign w:val="bottom"/>
            <w:shd w:val="clear" w:color="auto" w:fill="005CB9"/>
          </w:tcPr>
          <w:p>
            <w:pPr>
              <w:jc w:val="right"/>
              <w:ind w:right="9"/>
              <w:spacing w:after="0" w:line="166" w:lineRule="exact"/>
              <w:rPr>
                <w:sz w:val="20"/>
                <w:szCs w:val="20"/>
                <w:color w:val="auto"/>
              </w:rPr>
            </w:pPr>
            <w:r>
              <w:rPr>
                <w:rFonts w:ascii="Arial" w:cs="Arial" w:eastAsia="Arial" w:hAnsi="Arial"/>
                <w:sz w:val="13"/>
                <w:szCs w:val="13"/>
                <w:color w:val="FFFFFF"/>
              </w:rPr>
              <w:t>Plans</w:t>
            </w:r>
            <w:r>
              <w:rPr>
                <w:rFonts w:ascii="Arial" w:cs="Arial" w:eastAsia="Arial" w:hAnsi="Arial"/>
                <w:sz w:val="19"/>
                <w:szCs w:val="19"/>
                <w:color w:val="FFFFFF"/>
                <w:vertAlign w:val="superscript"/>
              </w:rPr>
              <w:t>(b)</w:t>
            </w:r>
            <w:r>
              <w:rPr>
                <w:rFonts w:ascii="Arial" w:cs="Arial" w:eastAsia="Arial" w:hAnsi="Arial"/>
                <w:sz w:val="13"/>
                <w:szCs w:val="13"/>
                <w:color w:val="FFFFFF"/>
              </w:rPr>
              <w:t xml:space="preserve"> </w:t>
            </w:r>
          </w:p>
        </w:tc>
      </w:tr>
      <w:tr>
        <w:trPr>
          <w:trHeight w:val="232"/>
        </w:trPr>
        <w:tc>
          <w:tcPr>
            <w:tcW w:w="100" w:type="dxa"/>
            <w:vAlign w:val="bottom"/>
            <w:tcBorders>
              <w:bottom w:val="single" w:sz="8" w:color="005CB9"/>
            </w:tcBorders>
            <w:shd w:val="clear" w:color="auto" w:fill="005CB9"/>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4"/>
                <w:szCs w:val="14"/>
                <w:color w:val="FFFFFF"/>
              </w:rPr>
              <w:t>Name</w:t>
            </w:r>
          </w:p>
        </w:tc>
        <w:tc>
          <w:tcPr>
            <w:tcW w:w="1460" w:type="dxa"/>
            <w:vAlign w:val="bottom"/>
            <w:tcBorders>
              <w:bottom w:val="single" w:sz="8" w:color="005CB9"/>
            </w:tcBorders>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280" w:type="dxa"/>
            <w:vAlign w:val="bottom"/>
            <w:tcBorders>
              <w:bottom w:val="single" w:sz="8" w:color="005CB9"/>
            </w:tcBorders>
            <w:shd w:val="clear" w:color="auto" w:fill="005CB9"/>
          </w:tcPr>
          <w:p>
            <w:pPr>
              <w:jc w:val="right"/>
              <w:ind w:right="149"/>
              <w:spacing w:after="0"/>
              <w:rPr>
                <w:sz w:val="20"/>
                <w:szCs w:val="20"/>
                <w:color w:val="auto"/>
              </w:rPr>
            </w:pPr>
            <w:r>
              <w:rPr>
                <w:rFonts w:ascii="Arial" w:cs="Arial" w:eastAsia="Arial" w:hAnsi="Arial"/>
                <w:sz w:val="14"/>
                <w:szCs w:val="14"/>
                <w:color w:val="FFFFFF"/>
              </w:rPr>
              <w:t>($)</w:t>
            </w:r>
          </w:p>
        </w:tc>
        <w:tc>
          <w:tcPr>
            <w:tcW w:w="1040" w:type="dxa"/>
            <w:vAlign w:val="bottom"/>
            <w:tcBorders>
              <w:bottom w:val="single" w:sz="8" w:color="005CB9"/>
            </w:tcBorders>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060" w:type="dxa"/>
            <w:vAlign w:val="bottom"/>
            <w:tcBorders>
              <w:bottom w:val="single" w:sz="8" w:color="005CB9"/>
            </w:tcBorders>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000" w:type="dxa"/>
            <w:vAlign w:val="bottom"/>
            <w:tcBorders>
              <w:bottom w:val="single" w:sz="8" w:color="005CB9"/>
            </w:tcBorders>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200" w:type="dxa"/>
            <w:vAlign w:val="bottom"/>
            <w:tcBorders>
              <w:bottom w:val="single" w:sz="8" w:color="005CB9"/>
            </w:tcBorders>
            <w:shd w:val="clear" w:color="auto" w:fill="005CB9"/>
          </w:tcPr>
          <w:p>
            <w:pPr>
              <w:jc w:val="right"/>
              <w:ind w:right="9"/>
              <w:spacing w:after="0"/>
              <w:rPr>
                <w:sz w:val="20"/>
                <w:szCs w:val="20"/>
                <w:color w:val="auto"/>
              </w:rPr>
            </w:pPr>
            <w:r>
              <w:rPr>
                <w:rFonts w:ascii="Arial" w:cs="Arial" w:eastAsia="Arial" w:hAnsi="Arial"/>
                <w:sz w:val="14"/>
                <w:szCs w:val="14"/>
                <w:color w:val="FFFFFF"/>
              </w:rPr>
              <w:t xml:space="preserve">($) </w:t>
            </w:r>
          </w:p>
        </w:tc>
      </w:tr>
      <w:tr>
        <w:trPr>
          <w:trHeight w:val="236"/>
        </w:trPr>
        <w:tc>
          <w:tcPr>
            <w:tcW w:w="3540" w:type="dxa"/>
            <w:vAlign w:val="bottom"/>
            <w:tcBorders>
              <w:bottom w:val="single" w:sz="8" w:color="CCDEF1"/>
            </w:tcBorders>
            <w:gridSpan w:val="2"/>
            <w:shd w:val="clear" w:color="auto" w:fill="CCDEF1"/>
          </w:tcPr>
          <w:p>
            <w:pPr>
              <w:ind w:left="60"/>
              <w:spacing w:after="0"/>
              <w:rPr>
                <w:sz w:val="20"/>
                <w:szCs w:val="20"/>
                <w:color w:val="auto"/>
              </w:rPr>
            </w:pPr>
            <w:r>
              <w:rPr>
                <w:rFonts w:ascii="Arial" w:cs="Arial" w:eastAsia="Arial" w:hAnsi="Arial"/>
                <w:sz w:val="14"/>
                <w:szCs w:val="14"/>
                <w:color w:val="auto"/>
              </w:rPr>
              <w:t>L. Neil Hunn</w:t>
            </w:r>
          </w:p>
        </w:tc>
        <w:tc>
          <w:tcPr>
            <w:tcW w:w="146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14,335</w:t>
            </w:r>
          </w:p>
        </w:tc>
        <w:tc>
          <w:tcPr>
            <w:tcW w:w="1280" w:type="dxa"/>
            <w:vAlign w:val="bottom"/>
            <w:tcBorders>
              <w:bottom w:val="single" w:sz="8" w:color="CCDEF1"/>
            </w:tcBorders>
            <w:shd w:val="clear" w:color="auto" w:fill="CCDEF1"/>
          </w:tcPr>
          <w:p>
            <w:pPr>
              <w:jc w:val="right"/>
              <w:ind w:right="149"/>
              <w:spacing w:after="0"/>
              <w:rPr>
                <w:sz w:val="20"/>
                <w:szCs w:val="20"/>
                <w:color w:val="auto"/>
              </w:rPr>
            </w:pPr>
            <w:r>
              <w:rPr>
                <w:rFonts w:ascii="Arial" w:cs="Arial" w:eastAsia="Arial" w:hAnsi="Arial"/>
                <w:sz w:val="14"/>
                <w:szCs w:val="14"/>
                <w:color w:val="auto"/>
              </w:rPr>
              <w:t>225,000</w:t>
            </w:r>
          </w:p>
        </w:tc>
        <w:tc>
          <w:tcPr>
            <w:tcW w:w="104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24,000</w:t>
            </w:r>
          </w:p>
        </w:tc>
        <w:tc>
          <w:tcPr>
            <w:tcW w:w="106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4,500</w:t>
            </w:r>
          </w:p>
        </w:tc>
        <w:tc>
          <w:tcPr>
            <w:tcW w:w="100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30,000</w:t>
            </w:r>
          </w:p>
        </w:tc>
        <w:tc>
          <w:tcPr>
            <w:tcW w:w="120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1,562,729  </w:t>
            </w:r>
          </w:p>
        </w:tc>
      </w:tr>
      <w:tr>
        <w:trPr>
          <w:trHeight w:val="222"/>
        </w:trPr>
        <w:tc>
          <w:tcPr>
            <w:tcW w:w="3540" w:type="dxa"/>
            <w:vAlign w:val="bottom"/>
            <w:gridSpan w:val="2"/>
          </w:tcPr>
          <w:p>
            <w:pPr>
              <w:ind w:left="60"/>
              <w:spacing w:after="0"/>
              <w:rPr>
                <w:sz w:val="20"/>
                <w:szCs w:val="20"/>
                <w:color w:val="auto"/>
              </w:rPr>
            </w:pPr>
            <w:r>
              <w:rPr>
                <w:rFonts w:ascii="Arial" w:cs="Arial" w:eastAsia="Arial" w:hAnsi="Arial"/>
                <w:sz w:val="14"/>
                <w:szCs w:val="14"/>
                <w:color w:val="auto"/>
              </w:rPr>
              <w:t>Jason P. Conley</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15,351</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30,000</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3,500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116,453  </w:t>
            </w:r>
          </w:p>
        </w:tc>
      </w:tr>
      <w:tr>
        <w:trPr>
          <w:trHeight w:val="35"/>
        </w:trPr>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3540" w:type="dxa"/>
            <w:vAlign w:val="bottom"/>
            <w:gridSpan w:val="2"/>
            <w:shd w:val="clear" w:color="auto" w:fill="CCDEF1"/>
          </w:tcPr>
          <w:p>
            <w:pPr>
              <w:ind w:left="60"/>
              <w:spacing w:after="0"/>
              <w:rPr>
                <w:sz w:val="20"/>
                <w:szCs w:val="20"/>
                <w:color w:val="auto"/>
              </w:rPr>
            </w:pPr>
            <w:r>
              <w:rPr>
                <w:rFonts w:ascii="Arial" w:cs="Arial" w:eastAsia="Arial" w:hAnsi="Arial"/>
                <w:sz w:val="14"/>
                <w:szCs w:val="14"/>
                <w:color w:val="auto"/>
              </w:rPr>
              <w:t>John K. Stipancich</w:t>
            </w:r>
          </w:p>
        </w:tc>
        <w:tc>
          <w:tcPr>
            <w:tcW w:w="1460" w:type="dxa"/>
            <w:vAlign w:val="bottom"/>
            <w:shd w:val="clear" w:color="auto" w:fill="CCDEF1"/>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DEF1"/>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DEF1"/>
          </w:tcPr>
          <w:p>
            <w:pPr>
              <w:jc w:val="right"/>
              <w:ind w:right="148"/>
              <w:spacing w:after="0"/>
              <w:rPr>
                <w:sz w:val="20"/>
                <w:szCs w:val="20"/>
                <w:color w:val="auto"/>
              </w:rPr>
            </w:pPr>
            <w:r>
              <w:rPr>
                <w:rFonts w:ascii="Arial" w:cs="Arial" w:eastAsia="Arial" w:hAnsi="Arial"/>
                <w:sz w:val="14"/>
                <w:szCs w:val="14"/>
                <w:color w:val="auto"/>
              </w:rPr>
              <w:t>30,000</w:t>
            </w:r>
          </w:p>
        </w:tc>
        <w:tc>
          <w:tcPr>
            <w:tcW w:w="1060" w:type="dxa"/>
            <w:vAlign w:val="bottom"/>
            <w:shd w:val="clear" w:color="auto" w:fill="CCDEF1"/>
          </w:tcPr>
          <w:p>
            <w:pPr>
              <w:jc w:val="right"/>
              <w:ind w:right="148"/>
              <w:spacing w:after="0"/>
              <w:rPr>
                <w:sz w:val="20"/>
                <w:szCs w:val="20"/>
                <w:color w:val="auto"/>
              </w:rPr>
            </w:pPr>
            <w:r>
              <w:rPr>
                <w:rFonts w:ascii="Arial" w:cs="Arial" w:eastAsia="Arial" w:hAnsi="Arial"/>
                <w:sz w:val="14"/>
                <w:szCs w:val="14"/>
                <w:color w:val="auto"/>
              </w:rPr>
              <w:t>4,500</w:t>
            </w:r>
          </w:p>
        </w:tc>
        <w:tc>
          <w:tcPr>
            <w:tcW w:w="1000" w:type="dxa"/>
            <w:vAlign w:val="bottom"/>
            <w:shd w:val="clear" w:color="auto" w:fill="CCDEF1"/>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DEF1"/>
          </w:tcPr>
          <w:p>
            <w:pPr>
              <w:jc w:val="right"/>
              <w:spacing w:after="0"/>
              <w:rPr>
                <w:sz w:val="20"/>
                <w:szCs w:val="20"/>
                <w:color w:val="auto"/>
              </w:rPr>
            </w:pPr>
            <w:r>
              <w:rPr>
                <w:rFonts w:ascii="Arial" w:cs="Arial" w:eastAsia="Arial" w:hAnsi="Arial"/>
                <w:sz w:val="14"/>
                <w:szCs w:val="14"/>
                <w:color w:val="auto"/>
              </w:rPr>
              <w:t>137,625  </w:t>
            </w:r>
          </w:p>
        </w:tc>
      </w:tr>
      <w:tr>
        <w:trPr>
          <w:trHeight w:val="35"/>
        </w:trPr>
        <w:tc>
          <w:tcPr>
            <w:tcW w:w="100" w:type="dxa"/>
            <w:vAlign w:val="bottom"/>
            <w:shd w:val="clear" w:color="auto" w:fill="CCDEF1"/>
          </w:tcPr>
          <w:p>
            <w:pPr>
              <w:spacing w:after="0"/>
              <w:rPr>
                <w:sz w:val="3"/>
                <w:szCs w:val="3"/>
                <w:color w:val="auto"/>
              </w:rPr>
            </w:pPr>
          </w:p>
        </w:tc>
        <w:tc>
          <w:tcPr>
            <w:tcW w:w="3440" w:type="dxa"/>
            <w:vAlign w:val="bottom"/>
            <w:shd w:val="clear" w:color="auto" w:fill="CCDEF1"/>
          </w:tcPr>
          <w:p>
            <w:pPr>
              <w:spacing w:after="0"/>
              <w:rPr>
                <w:sz w:val="3"/>
                <w:szCs w:val="3"/>
                <w:color w:val="auto"/>
              </w:rPr>
            </w:pPr>
          </w:p>
        </w:tc>
        <w:tc>
          <w:tcPr>
            <w:tcW w:w="1460" w:type="dxa"/>
            <w:vAlign w:val="bottom"/>
            <w:shd w:val="clear" w:color="auto" w:fill="CCDEF1"/>
          </w:tcPr>
          <w:p>
            <w:pPr>
              <w:spacing w:after="0"/>
              <w:rPr>
                <w:sz w:val="3"/>
                <w:szCs w:val="3"/>
                <w:color w:val="auto"/>
              </w:rPr>
            </w:pPr>
          </w:p>
        </w:tc>
        <w:tc>
          <w:tcPr>
            <w:tcW w:w="1280" w:type="dxa"/>
            <w:vAlign w:val="bottom"/>
            <w:shd w:val="clear" w:color="auto" w:fill="CCDEF1"/>
          </w:tcPr>
          <w:p>
            <w:pPr>
              <w:spacing w:after="0"/>
              <w:rPr>
                <w:sz w:val="3"/>
                <w:szCs w:val="3"/>
                <w:color w:val="auto"/>
              </w:rPr>
            </w:pPr>
          </w:p>
        </w:tc>
        <w:tc>
          <w:tcPr>
            <w:tcW w:w="1040" w:type="dxa"/>
            <w:vAlign w:val="bottom"/>
            <w:shd w:val="clear" w:color="auto" w:fill="CCDEF1"/>
          </w:tcPr>
          <w:p>
            <w:pPr>
              <w:spacing w:after="0"/>
              <w:rPr>
                <w:sz w:val="3"/>
                <w:szCs w:val="3"/>
                <w:color w:val="auto"/>
              </w:rPr>
            </w:pPr>
          </w:p>
        </w:tc>
        <w:tc>
          <w:tcPr>
            <w:tcW w:w="1060" w:type="dxa"/>
            <w:vAlign w:val="bottom"/>
            <w:shd w:val="clear" w:color="auto" w:fill="CCDEF1"/>
          </w:tcPr>
          <w:p>
            <w:pPr>
              <w:spacing w:after="0"/>
              <w:rPr>
                <w:sz w:val="3"/>
                <w:szCs w:val="3"/>
                <w:color w:val="auto"/>
              </w:rPr>
            </w:pPr>
          </w:p>
        </w:tc>
        <w:tc>
          <w:tcPr>
            <w:tcW w:w="1000" w:type="dxa"/>
            <w:vAlign w:val="bottom"/>
            <w:shd w:val="clear" w:color="auto" w:fill="CCDEF1"/>
          </w:tcPr>
          <w:p>
            <w:pPr>
              <w:spacing w:after="0"/>
              <w:rPr>
                <w:sz w:val="3"/>
                <w:szCs w:val="3"/>
                <w:color w:val="auto"/>
              </w:rPr>
            </w:pPr>
          </w:p>
        </w:tc>
        <w:tc>
          <w:tcPr>
            <w:tcW w:w="1200" w:type="dxa"/>
            <w:vAlign w:val="bottom"/>
            <w:shd w:val="clear" w:color="auto" w:fill="CCDEF1"/>
          </w:tcPr>
          <w:p>
            <w:pPr>
              <w:spacing w:after="0"/>
              <w:rPr>
                <w:sz w:val="3"/>
                <w:szCs w:val="3"/>
                <w:color w:val="auto"/>
              </w:rPr>
            </w:pPr>
          </w:p>
        </w:tc>
      </w:tr>
    </w:tbl>
    <w:p>
      <w:pPr>
        <w:spacing w:after="0" w:line="72" w:lineRule="exact"/>
        <w:rPr>
          <w:sz w:val="20"/>
          <w:szCs w:val="20"/>
          <w:color w:val="auto"/>
        </w:rPr>
      </w:pPr>
    </w:p>
    <w:p>
      <w:pPr>
        <w:jc w:val="both"/>
        <w:ind w:left="540" w:right="20" w:hanging="424"/>
        <w:spacing w:after="0" w:line="226" w:lineRule="auto"/>
        <w:tabs>
          <w:tab w:leader="none" w:pos="5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incremental cost to the Company of the personal aircraft use is calculated by using the variable operating cost (including the cost of fuel, on-board meals, landing and parking fees, related ground transportation, trip-related maintenance, and crew travel expense) net of any applicable employee reimbursement. Because the aircraft is used predominately for business travel, we do not include in the calculation the fixed costs that do not change based on usage, such as crew salaries, aircraft insurance premiums, hanger lease payments, the lease or acquisition cost of the aircraft, and exterior paint, inspection and capital improvement costs intended to cover a multiple-year period. Maintenance costs incurred pursuant to contractual arrangements with the engine manufacturer, avionics manufacturer, and auxiliary power unit manufacturer are also excluded from the calculation.</w:t>
      </w:r>
    </w:p>
    <w:p>
      <w:pPr>
        <w:spacing w:after="0" w:line="56"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Reflects contributions to the Non-Qualified Retirement Plan and the 401(k) plan. With respect to Mr. Hunn, $1,326,782 of the amount was included in the Summary Compensation Table for 2023 in connection with the payout of the five-year CEO Special Long-Term Cash Incentive.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Grants of Plan-Based Awards</w:t>
      </w:r>
    </w:p>
    <w:p>
      <w:pPr>
        <w:spacing w:after="0" w:line="9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following table sets forth certain information with respect to grants of plan-based awards to the named executive officers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7283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11670" cy="728345"/>
                    </a:xfrm>
                    <a:prstGeom prst="rect">
                      <a:avLst/>
                    </a:prstGeom>
                    <a:noFill/>
                  </pic:spPr>
                </pic:pic>
              </a:graphicData>
            </a:graphic>
          </wp:anchor>
        </w:drawing>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20" w:type="dxa"/>
            <w:vAlign w:val="bottom"/>
            <w:shd w:val="clear" w:color="auto" w:fill="005CB9"/>
          </w:tcPr>
          <w:p>
            <w:pPr>
              <w:spacing w:after="0"/>
              <w:rPr>
                <w:sz w:val="13"/>
                <w:szCs w:val="13"/>
                <w:color w:val="auto"/>
              </w:rPr>
            </w:pPr>
          </w:p>
        </w:tc>
        <w:tc>
          <w:tcPr>
            <w:tcW w:w="12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880" w:type="dxa"/>
            <w:vAlign w:val="bottom"/>
            <w:shd w:val="clear" w:color="auto" w:fill="005CB9"/>
          </w:tcPr>
          <w:p>
            <w:pPr>
              <w:spacing w:after="0"/>
              <w:rPr>
                <w:sz w:val="13"/>
                <w:szCs w:val="13"/>
                <w:color w:val="auto"/>
              </w:rPr>
            </w:pPr>
          </w:p>
        </w:tc>
        <w:tc>
          <w:tcPr>
            <w:tcW w:w="900" w:type="dxa"/>
            <w:vAlign w:val="bottom"/>
            <w:shd w:val="clear" w:color="auto" w:fill="005CB9"/>
          </w:tcPr>
          <w:p>
            <w:pPr>
              <w:spacing w:after="0"/>
              <w:rPr>
                <w:sz w:val="13"/>
                <w:szCs w:val="13"/>
                <w:color w:val="auto"/>
              </w:rPr>
            </w:pPr>
          </w:p>
        </w:tc>
        <w:tc>
          <w:tcPr>
            <w:tcW w:w="840" w:type="dxa"/>
            <w:vAlign w:val="bottom"/>
            <w:shd w:val="clear" w:color="auto" w:fill="005CB9"/>
          </w:tcPr>
          <w:p>
            <w:pPr>
              <w:spacing w:after="0"/>
              <w:rPr>
                <w:sz w:val="13"/>
                <w:szCs w:val="13"/>
                <w:color w:val="auto"/>
              </w:rPr>
            </w:pPr>
          </w:p>
        </w:tc>
        <w:tc>
          <w:tcPr>
            <w:tcW w:w="1360" w:type="dxa"/>
            <w:vAlign w:val="bottom"/>
            <w:gridSpan w:val="2"/>
            <w:shd w:val="clear" w:color="auto" w:fill="005CB9"/>
          </w:tcPr>
          <w:p>
            <w:pPr>
              <w:jc w:val="right"/>
              <w:spacing w:after="0"/>
              <w:rPr>
                <w:sz w:val="20"/>
                <w:szCs w:val="20"/>
                <w:color w:val="auto"/>
              </w:rPr>
            </w:pPr>
            <w:r>
              <w:rPr>
                <w:rFonts w:ascii="Arial" w:cs="Arial" w:eastAsia="Arial" w:hAnsi="Arial"/>
                <w:sz w:val="13"/>
                <w:szCs w:val="13"/>
                <w:color w:val="FFFFFF"/>
              </w:rPr>
              <w:t>Estimated Future</w:t>
            </w:r>
          </w:p>
        </w:tc>
        <w:tc>
          <w:tcPr>
            <w:tcW w:w="240" w:type="dxa"/>
            <w:vAlign w:val="bottom"/>
          </w:tcPr>
          <w:p>
            <w:pPr>
              <w:spacing w:after="0"/>
              <w:rPr>
                <w:sz w:val="13"/>
                <w:szCs w:val="13"/>
                <w:color w:val="auto"/>
              </w:rPr>
            </w:pPr>
          </w:p>
        </w:tc>
        <w:tc>
          <w:tcPr>
            <w:tcW w:w="1300" w:type="dxa"/>
            <w:vAlign w:val="bottom"/>
            <w:vMerge w:val="restart"/>
          </w:tcPr>
          <w:p>
            <w:pPr>
              <w:jc w:val="right"/>
              <w:ind w:right="154"/>
              <w:spacing w:after="0"/>
              <w:rPr>
                <w:sz w:val="20"/>
                <w:szCs w:val="20"/>
                <w:color w:val="auto"/>
              </w:rPr>
            </w:pPr>
            <w:r>
              <w:rPr>
                <w:rFonts w:ascii="Arial" w:cs="Arial" w:eastAsia="Arial" w:hAnsi="Arial"/>
                <w:sz w:val="13"/>
                <w:szCs w:val="13"/>
                <w:color w:val="FFFFFF"/>
              </w:rPr>
              <w:t>All Other</w:t>
            </w:r>
          </w:p>
        </w:tc>
        <w:tc>
          <w:tcPr>
            <w:tcW w:w="1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FFFFFF"/>
              </w:rPr>
              <w:t>Grant Date  </w:t>
            </w:r>
          </w:p>
        </w:tc>
        <w:tc>
          <w:tcPr>
            <w:tcW w:w="0" w:type="dxa"/>
            <w:vAlign w:val="bottom"/>
          </w:tcPr>
          <w:p>
            <w:pPr>
              <w:spacing w:after="0"/>
              <w:rPr>
                <w:sz w:val="1"/>
                <w:szCs w:val="1"/>
                <w:color w:val="auto"/>
              </w:rPr>
            </w:pPr>
          </w:p>
        </w:tc>
      </w:tr>
      <w:tr>
        <w:trPr>
          <w:trHeight w:val="126"/>
        </w:trPr>
        <w:tc>
          <w:tcPr>
            <w:tcW w:w="1420" w:type="dxa"/>
            <w:vAlign w:val="bottom"/>
            <w:shd w:val="clear" w:color="auto" w:fill="005CB9"/>
          </w:tcPr>
          <w:p>
            <w:pPr>
              <w:spacing w:after="0"/>
              <w:rPr>
                <w:sz w:val="10"/>
                <w:szCs w:val="10"/>
                <w:color w:val="auto"/>
              </w:rPr>
            </w:pPr>
          </w:p>
        </w:tc>
        <w:tc>
          <w:tcPr>
            <w:tcW w:w="120" w:type="dxa"/>
            <w:vAlign w:val="bottom"/>
            <w:shd w:val="clear" w:color="auto" w:fill="005CB9"/>
          </w:tcPr>
          <w:p>
            <w:pPr>
              <w:spacing w:after="0"/>
              <w:rPr>
                <w:sz w:val="10"/>
                <w:szCs w:val="10"/>
                <w:color w:val="auto"/>
              </w:rPr>
            </w:pPr>
          </w:p>
        </w:tc>
        <w:tc>
          <w:tcPr>
            <w:tcW w:w="1000" w:type="dxa"/>
            <w:vAlign w:val="bottom"/>
            <w:shd w:val="clear" w:color="auto" w:fill="005CB9"/>
          </w:tcPr>
          <w:p>
            <w:pPr>
              <w:spacing w:after="0"/>
              <w:rPr>
                <w:sz w:val="10"/>
                <w:szCs w:val="10"/>
                <w:color w:val="auto"/>
              </w:rPr>
            </w:pPr>
          </w:p>
        </w:tc>
        <w:tc>
          <w:tcPr>
            <w:tcW w:w="860" w:type="dxa"/>
            <w:vAlign w:val="bottom"/>
            <w:shd w:val="clear" w:color="auto" w:fill="005CB9"/>
          </w:tcPr>
          <w:p>
            <w:pPr>
              <w:spacing w:after="0"/>
              <w:rPr>
                <w:sz w:val="10"/>
                <w:szCs w:val="10"/>
                <w:color w:val="auto"/>
              </w:rPr>
            </w:pPr>
          </w:p>
        </w:tc>
        <w:tc>
          <w:tcPr>
            <w:tcW w:w="1780" w:type="dxa"/>
            <w:vAlign w:val="bottom"/>
            <w:gridSpan w:val="2"/>
            <w:shd w:val="clear" w:color="auto" w:fill="005CB9"/>
          </w:tcPr>
          <w:p>
            <w:pPr>
              <w:jc w:val="right"/>
              <w:ind w:right="110"/>
              <w:spacing w:after="0" w:line="126" w:lineRule="exact"/>
              <w:rPr>
                <w:sz w:val="20"/>
                <w:szCs w:val="20"/>
                <w:color w:val="auto"/>
              </w:rPr>
            </w:pPr>
            <w:r>
              <w:rPr>
                <w:rFonts w:ascii="Arial" w:cs="Arial" w:eastAsia="Arial" w:hAnsi="Arial"/>
                <w:sz w:val="13"/>
                <w:szCs w:val="13"/>
                <w:color w:val="FFFFFF"/>
              </w:rPr>
              <w:t>Estimated Possible</w:t>
            </w:r>
          </w:p>
        </w:tc>
        <w:tc>
          <w:tcPr>
            <w:tcW w:w="840" w:type="dxa"/>
            <w:vAlign w:val="bottom"/>
            <w:shd w:val="clear" w:color="auto" w:fill="005CB9"/>
          </w:tcPr>
          <w:p>
            <w:pPr>
              <w:spacing w:after="0"/>
              <w:rPr>
                <w:sz w:val="10"/>
                <w:szCs w:val="10"/>
                <w:color w:val="auto"/>
              </w:rPr>
            </w:pPr>
          </w:p>
        </w:tc>
        <w:tc>
          <w:tcPr>
            <w:tcW w:w="1360" w:type="dxa"/>
            <w:vAlign w:val="bottom"/>
            <w:gridSpan w:val="2"/>
            <w:shd w:val="clear" w:color="auto" w:fill="005CB9"/>
          </w:tcPr>
          <w:p>
            <w:pPr>
              <w:jc w:val="right"/>
              <w:spacing w:after="0" w:line="126" w:lineRule="exact"/>
              <w:rPr>
                <w:sz w:val="20"/>
                <w:szCs w:val="20"/>
                <w:color w:val="auto"/>
              </w:rPr>
            </w:pPr>
            <w:r>
              <w:rPr>
                <w:rFonts w:ascii="Arial" w:cs="Arial" w:eastAsia="Arial" w:hAnsi="Arial"/>
                <w:sz w:val="13"/>
                <w:szCs w:val="13"/>
                <w:color w:val="FFFFFF"/>
              </w:rPr>
              <w:t>Payouts Under</w:t>
            </w:r>
          </w:p>
        </w:tc>
        <w:tc>
          <w:tcPr>
            <w:tcW w:w="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005CB9"/>
          </w:tcPr>
          <w:p>
            <w:pPr>
              <w:spacing w:after="0"/>
              <w:rPr>
                <w:sz w:val="11"/>
                <w:szCs w:val="11"/>
                <w:color w:val="auto"/>
              </w:rPr>
            </w:pPr>
          </w:p>
        </w:tc>
        <w:tc>
          <w:tcPr>
            <w:tcW w:w="120" w:type="dxa"/>
            <w:vAlign w:val="bottom"/>
            <w:shd w:val="clear" w:color="auto" w:fill="005CB9"/>
          </w:tcPr>
          <w:p>
            <w:pPr>
              <w:spacing w:after="0"/>
              <w:rPr>
                <w:sz w:val="11"/>
                <w:szCs w:val="11"/>
                <w:color w:val="auto"/>
              </w:rPr>
            </w:pPr>
          </w:p>
        </w:tc>
        <w:tc>
          <w:tcPr>
            <w:tcW w:w="100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1780" w:type="dxa"/>
            <w:vAlign w:val="bottom"/>
            <w:gridSpan w:val="2"/>
            <w:shd w:val="clear" w:color="auto" w:fill="005CB9"/>
          </w:tcPr>
          <w:p>
            <w:pPr>
              <w:jc w:val="right"/>
              <w:ind w:right="110"/>
              <w:spacing w:after="0" w:line="135" w:lineRule="exact"/>
              <w:rPr>
                <w:sz w:val="20"/>
                <w:szCs w:val="20"/>
                <w:color w:val="auto"/>
              </w:rPr>
            </w:pPr>
            <w:r>
              <w:rPr>
                <w:rFonts w:ascii="Arial" w:cs="Arial" w:eastAsia="Arial" w:hAnsi="Arial"/>
                <w:sz w:val="13"/>
                <w:szCs w:val="13"/>
                <w:color w:val="FFFFFF"/>
              </w:rPr>
              <w:t>Payouts Under Non-Equity</w:t>
            </w:r>
          </w:p>
        </w:tc>
        <w:tc>
          <w:tcPr>
            <w:tcW w:w="840" w:type="dxa"/>
            <w:vAlign w:val="bottom"/>
            <w:shd w:val="clear" w:color="auto" w:fill="005CB9"/>
          </w:tcPr>
          <w:p>
            <w:pPr>
              <w:spacing w:after="0"/>
              <w:rPr>
                <w:sz w:val="11"/>
                <w:szCs w:val="11"/>
                <w:color w:val="auto"/>
              </w:rPr>
            </w:pPr>
          </w:p>
        </w:tc>
        <w:tc>
          <w:tcPr>
            <w:tcW w:w="1360" w:type="dxa"/>
            <w:vAlign w:val="bottom"/>
            <w:gridSpan w:val="2"/>
            <w:shd w:val="clear" w:color="auto" w:fill="005CB9"/>
          </w:tcPr>
          <w:p>
            <w:pPr>
              <w:jc w:val="right"/>
              <w:spacing w:after="0" w:line="135" w:lineRule="exact"/>
              <w:rPr>
                <w:sz w:val="20"/>
                <w:szCs w:val="20"/>
                <w:color w:val="auto"/>
              </w:rPr>
            </w:pPr>
            <w:r>
              <w:rPr>
                <w:rFonts w:ascii="Arial" w:cs="Arial" w:eastAsia="Arial" w:hAnsi="Arial"/>
                <w:sz w:val="13"/>
                <w:szCs w:val="13"/>
                <w:color w:val="FFFFFF"/>
              </w:rPr>
              <w:t>Equity Incentive</w:t>
            </w:r>
          </w:p>
        </w:tc>
        <w:tc>
          <w:tcPr>
            <w:tcW w:w="240" w:type="dxa"/>
            <w:vAlign w:val="bottom"/>
          </w:tcPr>
          <w:p>
            <w:pPr>
              <w:spacing w:after="0"/>
              <w:rPr>
                <w:sz w:val="11"/>
                <w:szCs w:val="11"/>
                <w:color w:val="auto"/>
              </w:rPr>
            </w:pPr>
          </w:p>
        </w:tc>
        <w:tc>
          <w:tcPr>
            <w:tcW w:w="1300" w:type="dxa"/>
            <w:vAlign w:val="bottom"/>
          </w:tcPr>
          <w:p>
            <w:pPr>
              <w:jc w:val="right"/>
              <w:ind w:right="154"/>
              <w:spacing w:after="0" w:line="135" w:lineRule="exact"/>
              <w:rPr>
                <w:sz w:val="20"/>
                <w:szCs w:val="20"/>
                <w:color w:val="auto"/>
              </w:rPr>
            </w:pPr>
            <w:r>
              <w:rPr>
                <w:rFonts w:ascii="Arial" w:cs="Arial" w:eastAsia="Arial" w:hAnsi="Arial"/>
                <w:sz w:val="13"/>
                <w:szCs w:val="13"/>
                <w:color w:val="FFFFFF"/>
              </w:rPr>
              <w:t>Option</w:t>
            </w:r>
          </w:p>
        </w:tc>
        <w:tc>
          <w:tcPr>
            <w:tcW w:w="1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FFFFFF"/>
              </w:rPr>
              <w:t>Fair Value of  </w:t>
            </w:r>
          </w:p>
        </w:tc>
        <w:tc>
          <w:tcPr>
            <w:tcW w:w="0" w:type="dxa"/>
            <w:vAlign w:val="bottom"/>
          </w:tcPr>
          <w:p>
            <w:pPr>
              <w:spacing w:after="0"/>
              <w:rPr>
                <w:sz w:val="1"/>
                <w:szCs w:val="1"/>
                <w:color w:val="auto"/>
              </w:rPr>
            </w:pPr>
          </w:p>
        </w:tc>
      </w:tr>
      <w:tr>
        <w:trPr>
          <w:trHeight w:val="135"/>
        </w:trPr>
        <w:tc>
          <w:tcPr>
            <w:tcW w:w="1420" w:type="dxa"/>
            <w:vAlign w:val="bottom"/>
            <w:shd w:val="clear" w:color="auto" w:fill="005CB9"/>
          </w:tcPr>
          <w:p>
            <w:pPr>
              <w:spacing w:after="0"/>
              <w:rPr>
                <w:sz w:val="11"/>
                <w:szCs w:val="11"/>
                <w:color w:val="auto"/>
              </w:rPr>
            </w:pPr>
          </w:p>
        </w:tc>
        <w:tc>
          <w:tcPr>
            <w:tcW w:w="120" w:type="dxa"/>
            <w:vAlign w:val="bottom"/>
            <w:shd w:val="clear" w:color="auto" w:fill="005CB9"/>
          </w:tcPr>
          <w:p>
            <w:pPr>
              <w:spacing w:after="0"/>
              <w:rPr>
                <w:sz w:val="11"/>
                <w:szCs w:val="11"/>
                <w:color w:val="auto"/>
              </w:rPr>
            </w:pPr>
          </w:p>
        </w:tc>
        <w:tc>
          <w:tcPr>
            <w:tcW w:w="100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1780" w:type="dxa"/>
            <w:vAlign w:val="bottom"/>
            <w:gridSpan w:val="2"/>
            <w:shd w:val="clear" w:color="auto" w:fill="005CB9"/>
          </w:tcPr>
          <w:p>
            <w:pPr>
              <w:jc w:val="right"/>
              <w:ind w:right="110"/>
              <w:spacing w:after="0" w:line="135" w:lineRule="exact"/>
              <w:rPr>
                <w:sz w:val="20"/>
                <w:szCs w:val="20"/>
                <w:color w:val="auto"/>
              </w:rPr>
            </w:pPr>
            <w:r>
              <w:rPr>
                <w:rFonts w:ascii="Arial" w:cs="Arial" w:eastAsia="Arial" w:hAnsi="Arial"/>
                <w:sz w:val="13"/>
                <w:szCs w:val="13"/>
                <w:color w:val="FFFFFF"/>
              </w:rPr>
              <w:t>Incentive Plan Awards</w:t>
            </w:r>
            <w:r>
              <w:rPr>
                <w:rFonts w:ascii="Arial" w:cs="Arial" w:eastAsia="Arial" w:hAnsi="Arial"/>
                <w:sz w:val="6"/>
                <w:szCs w:val="6"/>
                <w:color w:val="FFFFFF"/>
              </w:rPr>
              <w:t>(1)</w:t>
            </w:r>
          </w:p>
        </w:tc>
        <w:tc>
          <w:tcPr>
            <w:tcW w:w="84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80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w w:val="97"/>
              </w:rPr>
              <w:t>Plan Awards</w:t>
            </w:r>
            <w:r>
              <w:rPr>
                <w:rFonts w:ascii="Arial" w:cs="Arial" w:eastAsia="Arial" w:hAnsi="Arial"/>
                <w:sz w:val="6"/>
                <w:szCs w:val="6"/>
                <w:color w:val="FFFFFF"/>
                <w:w w:val="97"/>
              </w:rPr>
              <w:t>(2)</w:t>
            </w:r>
          </w:p>
        </w:tc>
        <w:tc>
          <w:tcPr>
            <w:tcW w:w="240" w:type="dxa"/>
            <w:vAlign w:val="bottom"/>
          </w:tcPr>
          <w:p>
            <w:pPr>
              <w:spacing w:after="0"/>
              <w:rPr>
                <w:sz w:val="11"/>
                <w:szCs w:val="11"/>
                <w:color w:val="auto"/>
              </w:rPr>
            </w:pPr>
          </w:p>
        </w:tc>
        <w:tc>
          <w:tcPr>
            <w:tcW w:w="1300" w:type="dxa"/>
            <w:vAlign w:val="bottom"/>
          </w:tcPr>
          <w:p>
            <w:pPr>
              <w:jc w:val="right"/>
              <w:ind w:right="154"/>
              <w:spacing w:after="0" w:line="135" w:lineRule="exact"/>
              <w:rPr>
                <w:sz w:val="20"/>
                <w:szCs w:val="20"/>
                <w:color w:val="auto"/>
              </w:rPr>
            </w:pPr>
            <w:r>
              <w:rPr>
                <w:rFonts w:ascii="Arial" w:cs="Arial" w:eastAsia="Arial" w:hAnsi="Arial"/>
                <w:sz w:val="13"/>
                <w:szCs w:val="13"/>
                <w:color w:val="FFFFFF"/>
              </w:rPr>
              <w:t>Awards:Number</w:t>
            </w:r>
          </w:p>
        </w:tc>
        <w:tc>
          <w:tcPr>
            <w:tcW w:w="1180" w:type="dxa"/>
            <w:vAlign w:val="bottom"/>
          </w:tcPr>
          <w:p>
            <w:pPr>
              <w:jc w:val="right"/>
              <w:ind w:right="133"/>
              <w:spacing w:after="0" w:line="135" w:lineRule="exact"/>
              <w:rPr>
                <w:sz w:val="20"/>
                <w:szCs w:val="20"/>
                <w:color w:val="auto"/>
              </w:rPr>
            </w:pPr>
            <w:r>
              <w:rPr>
                <w:rFonts w:ascii="Arial" w:cs="Arial" w:eastAsia="Arial" w:hAnsi="Arial"/>
                <w:sz w:val="13"/>
                <w:szCs w:val="13"/>
                <w:color w:val="FFFFFF"/>
              </w:rPr>
              <w:t>Exercise or</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FFFFFF"/>
              </w:rPr>
              <w:t>Stock and  </w:t>
            </w:r>
          </w:p>
        </w:tc>
        <w:tc>
          <w:tcPr>
            <w:tcW w:w="0" w:type="dxa"/>
            <w:vAlign w:val="bottom"/>
          </w:tcPr>
          <w:p>
            <w:pPr>
              <w:spacing w:after="0"/>
              <w:rPr>
                <w:sz w:val="1"/>
                <w:szCs w:val="1"/>
                <w:color w:val="auto"/>
              </w:rPr>
            </w:pPr>
          </w:p>
        </w:tc>
      </w:tr>
      <w:tr>
        <w:trPr>
          <w:trHeight w:val="131"/>
        </w:trPr>
        <w:tc>
          <w:tcPr>
            <w:tcW w:w="1420" w:type="dxa"/>
            <w:vAlign w:val="bottom"/>
            <w:shd w:val="clear" w:color="auto" w:fill="005CB9"/>
          </w:tcPr>
          <w:p>
            <w:pPr>
              <w:spacing w:after="0"/>
              <w:rPr>
                <w:sz w:val="11"/>
                <w:szCs w:val="11"/>
                <w:color w:val="auto"/>
              </w:rPr>
            </w:pPr>
          </w:p>
        </w:tc>
        <w:tc>
          <w:tcPr>
            <w:tcW w:w="120" w:type="dxa"/>
            <w:vAlign w:val="bottom"/>
            <w:shd w:val="clear" w:color="auto" w:fill="005CB9"/>
          </w:tcPr>
          <w:p>
            <w:pPr>
              <w:spacing w:after="0"/>
              <w:rPr>
                <w:sz w:val="11"/>
                <w:szCs w:val="11"/>
                <w:color w:val="auto"/>
              </w:rPr>
            </w:pPr>
          </w:p>
        </w:tc>
        <w:tc>
          <w:tcPr>
            <w:tcW w:w="1000" w:type="dxa"/>
            <w:vAlign w:val="bottom"/>
            <w:vMerge w:val="restart"/>
            <w:shd w:val="clear" w:color="auto" w:fill="005CB9"/>
          </w:tcPr>
          <w:p>
            <w:pPr>
              <w:jc w:val="right"/>
              <w:ind w:right="49"/>
              <w:spacing w:after="0"/>
              <w:rPr>
                <w:sz w:val="20"/>
                <w:szCs w:val="20"/>
                <w:color w:val="auto"/>
              </w:rPr>
            </w:pPr>
            <w:r>
              <w:rPr>
                <w:rFonts w:ascii="Arial" w:cs="Arial" w:eastAsia="Arial" w:hAnsi="Arial"/>
                <w:sz w:val="13"/>
                <w:szCs w:val="13"/>
                <w:color w:val="FFFFFF"/>
              </w:rPr>
              <w:t>Grant</w:t>
            </w:r>
          </w:p>
        </w:tc>
        <w:tc>
          <w:tcPr>
            <w:tcW w:w="860" w:type="dxa"/>
            <w:vAlign w:val="bottom"/>
            <w:vMerge w:val="restart"/>
            <w:shd w:val="clear" w:color="auto" w:fill="005CB9"/>
          </w:tcPr>
          <w:p>
            <w:pPr>
              <w:jc w:val="right"/>
              <w:ind w:right="50"/>
              <w:spacing w:after="0"/>
              <w:rPr>
                <w:sz w:val="20"/>
                <w:szCs w:val="20"/>
                <w:color w:val="auto"/>
              </w:rPr>
            </w:pPr>
            <w:r>
              <w:rPr>
                <w:rFonts w:ascii="Arial" w:cs="Arial" w:eastAsia="Arial" w:hAnsi="Arial"/>
                <w:sz w:val="13"/>
                <w:szCs w:val="13"/>
                <w:color w:val="FFFFFF"/>
              </w:rPr>
              <w:t>Threshold</w:t>
            </w:r>
          </w:p>
        </w:tc>
        <w:tc>
          <w:tcPr>
            <w:tcW w:w="880" w:type="dxa"/>
            <w:vAlign w:val="bottom"/>
            <w:vMerge w:val="restart"/>
            <w:shd w:val="clear" w:color="auto" w:fill="005CB9"/>
          </w:tcPr>
          <w:p>
            <w:pPr>
              <w:jc w:val="right"/>
              <w:ind w:right="73"/>
              <w:spacing w:after="0"/>
              <w:rPr>
                <w:sz w:val="20"/>
                <w:szCs w:val="20"/>
                <w:color w:val="auto"/>
              </w:rPr>
            </w:pPr>
            <w:r>
              <w:rPr>
                <w:rFonts w:ascii="Arial" w:cs="Arial" w:eastAsia="Arial" w:hAnsi="Arial"/>
                <w:sz w:val="13"/>
                <w:szCs w:val="13"/>
                <w:color w:val="FFFFFF"/>
              </w:rPr>
              <w:t>Target</w:t>
            </w:r>
          </w:p>
        </w:tc>
        <w:tc>
          <w:tcPr>
            <w:tcW w:w="900" w:type="dxa"/>
            <w:vAlign w:val="bottom"/>
            <w:vMerge w:val="restart"/>
            <w:shd w:val="clear" w:color="auto" w:fill="005CB9"/>
          </w:tcPr>
          <w:p>
            <w:pPr>
              <w:jc w:val="right"/>
              <w:ind w:right="110"/>
              <w:spacing w:after="0"/>
              <w:rPr>
                <w:sz w:val="20"/>
                <w:szCs w:val="20"/>
                <w:color w:val="auto"/>
              </w:rPr>
            </w:pPr>
            <w:r>
              <w:rPr>
                <w:rFonts w:ascii="Arial" w:cs="Arial" w:eastAsia="Arial" w:hAnsi="Arial"/>
                <w:sz w:val="13"/>
                <w:szCs w:val="13"/>
                <w:color w:val="FFFFFF"/>
              </w:rPr>
              <w:t>Maximum</w:t>
            </w:r>
          </w:p>
        </w:tc>
        <w:tc>
          <w:tcPr>
            <w:tcW w:w="840" w:type="dxa"/>
            <w:vAlign w:val="bottom"/>
            <w:vMerge w:val="restart"/>
            <w:shd w:val="clear" w:color="auto" w:fill="005CB9"/>
          </w:tcPr>
          <w:p>
            <w:pPr>
              <w:jc w:val="right"/>
              <w:ind w:right="92"/>
              <w:spacing w:after="0"/>
              <w:rPr>
                <w:sz w:val="20"/>
                <w:szCs w:val="20"/>
                <w:color w:val="auto"/>
              </w:rPr>
            </w:pPr>
            <w:r>
              <w:rPr>
                <w:rFonts w:ascii="Arial" w:cs="Arial" w:eastAsia="Arial" w:hAnsi="Arial"/>
                <w:sz w:val="13"/>
                <w:szCs w:val="13"/>
                <w:color w:val="FFFFFF"/>
              </w:rPr>
              <w:t>Threshold</w:t>
            </w:r>
          </w:p>
        </w:tc>
        <w:tc>
          <w:tcPr>
            <w:tcW w:w="560" w:type="dxa"/>
            <w:vAlign w:val="bottom"/>
            <w:vMerge w:val="restart"/>
            <w:shd w:val="clear" w:color="auto" w:fill="005CB9"/>
          </w:tcPr>
          <w:p>
            <w:pPr>
              <w:jc w:val="right"/>
              <w:spacing w:after="0"/>
              <w:rPr>
                <w:sz w:val="20"/>
                <w:szCs w:val="20"/>
                <w:color w:val="auto"/>
              </w:rPr>
            </w:pPr>
            <w:r>
              <w:rPr>
                <w:rFonts w:ascii="Arial" w:cs="Arial" w:eastAsia="Arial" w:hAnsi="Arial"/>
                <w:sz w:val="13"/>
                <w:szCs w:val="13"/>
                <w:color w:val="FFFFFF"/>
              </w:rPr>
              <w:t>Target</w:t>
            </w:r>
          </w:p>
        </w:tc>
        <w:tc>
          <w:tcPr>
            <w:tcW w:w="800" w:type="dxa"/>
            <w:vAlign w:val="bottom"/>
            <w:vMerge w:val="restart"/>
            <w:shd w:val="clear" w:color="auto" w:fill="005CB9"/>
          </w:tcPr>
          <w:p>
            <w:pPr>
              <w:jc w:val="right"/>
              <w:spacing w:after="0"/>
              <w:rPr>
                <w:sz w:val="20"/>
                <w:szCs w:val="20"/>
                <w:color w:val="auto"/>
              </w:rPr>
            </w:pPr>
            <w:r>
              <w:rPr>
                <w:rFonts w:ascii="Arial" w:cs="Arial" w:eastAsia="Arial" w:hAnsi="Arial"/>
                <w:sz w:val="13"/>
                <w:szCs w:val="13"/>
                <w:color w:val="FFFFFF"/>
              </w:rPr>
              <w:t>Maximum</w:t>
            </w:r>
          </w:p>
        </w:tc>
        <w:tc>
          <w:tcPr>
            <w:tcW w:w="240" w:type="dxa"/>
            <w:vAlign w:val="bottom"/>
          </w:tcPr>
          <w:p>
            <w:pPr>
              <w:spacing w:after="0"/>
              <w:rPr>
                <w:sz w:val="11"/>
                <w:szCs w:val="11"/>
                <w:color w:val="auto"/>
              </w:rPr>
            </w:pPr>
          </w:p>
        </w:tc>
        <w:tc>
          <w:tcPr>
            <w:tcW w:w="1300" w:type="dxa"/>
            <w:vAlign w:val="bottom"/>
          </w:tcPr>
          <w:p>
            <w:pPr>
              <w:jc w:val="right"/>
              <w:ind w:right="154"/>
              <w:spacing w:after="0" w:line="131" w:lineRule="exact"/>
              <w:rPr>
                <w:sz w:val="20"/>
                <w:szCs w:val="20"/>
                <w:color w:val="auto"/>
              </w:rPr>
            </w:pPr>
            <w:r>
              <w:rPr>
                <w:rFonts w:ascii="Arial" w:cs="Arial" w:eastAsia="Arial" w:hAnsi="Arial"/>
                <w:sz w:val="13"/>
                <w:szCs w:val="13"/>
                <w:color w:val="FFFFFF"/>
              </w:rPr>
              <w:t>of Securities</w:t>
            </w:r>
          </w:p>
        </w:tc>
        <w:tc>
          <w:tcPr>
            <w:tcW w:w="1180" w:type="dxa"/>
            <w:vAlign w:val="bottom"/>
          </w:tcPr>
          <w:p>
            <w:pPr>
              <w:jc w:val="right"/>
              <w:ind w:right="133"/>
              <w:spacing w:after="0" w:line="131" w:lineRule="exact"/>
              <w:rPr>
                <w:sz w:val="20"/>
                <w:szCs w:val="20"/>
                <w:color w:val="auto"/>
              </w:rPr>
            </w:pPr>
            <w:r>
              <w:rPr>
                <w:rFonts w:ascii="Arial" w:cs="Arial" w:eastAsia="Arial" w:hAnsi="Arial"/>
                <w:sz w:val="13"/>
                <w:szCs w:val="13"/>
                <w:color w:val="FFFFFF"/>
              </w:rPr>
              <w:t>Base Price of</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FFFFFF"/>
              </w:rPr>
              <w:t>Option  </w:t>
            </w:r>
          </w:p>
        </w:tc>
        <w:tc>
          <w:tcPr>
            <w:tcW w:w="0" w:type="dxa"/>
            <w:vAlign w:val="bottom"/>
          </w:tcPr>
          <w:p>
            <w:pPr>
              <w:spacing w:after="0"/>
              <w:rPr>
                <w:sz w:val="1"/>
                <w:szCs w:val="1"/>
                <w:color w:val="auto"/>
              </w:rPr>
            </w:pPr>
          </w:p>
        </w:tc>
      </w:tr>
      <w:tr>
        <w:trPr>
          <w:trHeight w:val="126"/>
        </w:trPr>
        <w:tc>
          <w:tcPr>
            <w:tcW w:w="1420" w:type="dxa"/>
            <w:vAlign w:val="bottom"/>
            <w:vMerge w:val="restart"/>
            <w:shd w:val="clear" w:color="auto" w:fill="005CB9"/>
          </w:tcPr>
          <w:p>
            <w:pPr>
              <w:spacing w:after="0"/>
              <w:rPr>
                <w:sz w:val="20"/>
                <w:szCs w:val="20"/>
                <w:color w:val="auto"/>
              </w:rPr>
            </w:pPr>
            <w:r>
              <w:rPr>
                <w:rFonts w:ascii="Arial" w:cs="Arial" w:eastAsia="Arial" w:hAnsi="Arial"/>
                <w:sz w:val="13"/>
                <w:szCs w:val="13"/>
                <w:color w:val="FFFFFF"/>
              </w:rPr>
              <w:t> Name</w:t>
            </w:r>
          </w:p>
        </w:tc>
        <w:tc>
          <w:tcPr>
            <w:tcW w:w="120" w:type="dxa"/>
            <w:vAlign w:val="bottom"/>
            <w:shd w:val="clear" w:color="auto" w:fill="005CB9"/>
          </w:tcPr>
          <w:p>
            <w:pPr>
              <w:spacing w:after="0"/>
              <w:rPr>
                <w:sz w:val="10"/>
                <w:szCs w:val="10"/>
                <w:color w:val="auto"/>
              </w:rPr>
            </w:pPr>
          </w:p>
        </w:tc>
        <w:tc>
          <w:tcPr>
            <w:tcW w:w="1000" w:type="dxa"/>
            <w:vAlign w:val="bottom"/>
            <w:vMerge w:val="continue"/>
            <w:shd w:val="clear" w:color="auto" w:fill="005CB9"/>
          </w:tcPr>
          <w:p>
            <w:pPr>
              <w:spacing w:after="0"/>
              <w:rPr>
                <w:sz w:val="10"/>
                <w:szCs w:val="10"/>
                <w:color w:val="auto"/>
              </w:rPr>
            </w:pPr>
          </w:p>
        </w:tc>
        <w:tc>
          <w:tcPr>
            <w:tcW w:w="860" w:type="dxa"/>
            <w:vAlign w:val="bottom"/>
            <w:vMerge w:val="continue"/>
            <w:shd w:val="clear" w:color="auto" w:fill="005CB9"/>
          </w:tcPr>
          <w:p>
            <w:pPr>
              <w:spacing w:after="0"/>
              <w:rPr>
                <w:sz w:val="10"/>
                <w:szCs w:val="10"/>
                <w:color w:val="auto"/>
              </w:rPr>
            </w:pPr>
          </w:p>
        </w:tc>
        <w:tc>
          <w:tcPr>
            <w:tcW w:w="880" w:type="dxa"/>
            <w:vAlign w:val="bottom"/>
            <w:vMerge w:val="continue"/>
            <w:shd w:val="clear" w:color="auto" w:fill="005CB9"/>
          </w:tcPr>
          <w:p>
            <w:pPr>
              <w:spacing w:after="0"/>
              <w:rPr>
                <w:sz w:val="10"/>
                <w:szCs w:val="10"/>
                <w:color w:val="auto"/>
              </w:rPr>
            </w:pPr>
          </w:p>
        </w:tc>
        <w:tc>
          <w:tcPr>
            <w:tcW w:w="900" w:type="dxa"/>
            <w:vAlign w:val="bottom"/>
            <w:vMerge w:val="continue"/>
            <w:shd w:val="clear" w:color="auto" w:fill="005CB9"/>
          </w:tcPr>
          <w:p>
            <w:pPr>
              <w:spacing w:after="0"/>
              <w:rPr>
                <w:sz w:val="10"/>
                <w:szCs w:val="10"/>
                <w:color w:val="auto"/>
              </w:rPr>
            </w:pPr>
          </w:p>
        </w:tc>
        <w:tc>
          <w:tcPr>
            <w:tcW w:w="840" w:type="dxa"/>
            <w:vAlign w:val="bottom"/>
            <w:vMerge w:val="continue"/>
            <w:shd w:val="clear" w:color="auto" w:fill="005CB9"/>
          </w:tcPr>
          <w:p>
            <w:pPr>
              <w:spacing w:after="0"/>
              <w:rPr>
                <w:sz w:val="10"/>
                <w:szCs w:val="10"/>
                <w:color w:val="auto"/>
              </w:rPr>
            </w:pPr>
          </w:p>
        </w:tc>
        <w:tc>
          <w:tcPr>
            <w:tcW w:w="560" w:type="dxa"/>
            <w:vAlign w:val="bottom"/>
            <w:vMerge w:val="continue"/>
            <w:shd w:val="clear" w:color="auto" w:fill="005CB9"/>
          </w:tcPr>
          <w:p>
            <w:pPr>
              <w:spacing w:after="0"/>
              <w:rPr>
                <w:sz w:val="10"/>
                <w:szCs w:val="10"/>
                <w:color w:val="auto"/>
              </w:rPr>
            </w:pPr>
          </w:p>
        </w:tc>
        <w:tc>
          <w:tcPr>
            <w:tcW w:w="800" w:type="dxa"/>
            <w:vAlign w:val="bottom"/>
            <w:vMerge w:val="continue"/>
            <w:shd w:val="clear" w:color="auto" w:fill="005CB9"/>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ind w:right="154"/>
              <w:spacing w:after="0" w:line="126" w:lineRule="exact"/>
              <w:rPr>
                <w:sz w:val="20"/>
                <w:szCs w:val="20"/>
                <w:color w:val="auto"/>
              </w:rPr>
            </w:pPr>
            <w:r>
              <w:rPr>
                <w:rFonts w:ascii="Arial" w:cs="Arial" w:eastAsia="Arial" w:hAnsi="Arial"/>
                <w:sz w:val="13"/>
                <w:szCs w:val="13"/>
                <w:color w:val="FFFFFF"/>
              </w:rPr>
              <w:t>Underlying</w:t>
            </w:r>
          </w:p>
        </w:tc>
        <w:tc>
          <w:tcPr>
            <w:tcW w:w="1180" w:type="dxa"/>
            <w:vAlign w:val="bottom"/>
          </w:tcPr>
          <w:p>
            <w:pPr>
              <w:jc w:val="right"/>
              <w:ind w:right="133"/>
              <w:spacing w:after="0" w:line="126" w:lineRule="exact"/>
              <w:rPr>
                <w:sz w:val="20"/>
                <w:szCs w:val="20"/>
                <w:color w:val="auto"/>
              </w:rPr>
            </w:pPr>
            <w:r>
              <w:rPr>
                <w:rFonts w:ascii="Arial" w:cs="Arial" w:eastAsia="Arial" w:hAnsi="Arial"/>
                <w:sz w:val="13"/>
                <w:szCs w:val="13"/>
                <w:color w:val="FFFFFF"/>
              </w:rPr>
              <w:t>Option Awards</w:t>
            </w:r>
          </w:p>
        </w:tc>
        <w:tc>
          <w:tcPr>
            <w:tcW w:w="920" w:type="dxa"/>
            <w:vAlign w:val="bottom"/>
          </w:tcPr>
          <w:p>
            <w:pPr>
              <w:jc w:val="right"/>
              <w:spacing w:after="0" w:line="126" w:lineRule="exact"/>
              <w:rPr>
                <w:sz w:val="20"/>
                <w:szCs w:val="20"/>
                <w:color w:val="auto"/>
              </w:rPr>
            </w:pPr>
            <w:r>
              <w:rPr>
                <w:rFonts w:ascii="Arial" w:cs="Arial" w:eastAsia="Arial" w:hAnsi="Arial"/>
                <w:sz w:val="13"/>
                <w:szCs w:val="13"/>
                <w:color w:val="FFFFFF"/>
              </w:rPr>
              <w:t>Awards</w:t>
            </w:r>
            <w:r>
              <w:rPr>
                <w:rFonts w:ascii="Arial" w:cs="Arial" w:eastAsia="Arial" w:hAnsi="Arial"/>
                <w:sz w:val="6"/>
                <w:szCs w:val="6"/>
                <w:color w:val="FFFFFF"/>
              </w:rPr>
              <w:t>(4)</w:t>
            </w:r>
            <w:r>
              <w:rPr>
                <w:rFonts w:ascii="Arial" w:cs="Arial" w:eastAsia="Arial" w:hAnsi="Arial"/>
                <w:sz w:val="13"/>
                <w:szCs w:val="13"/>
                <w:color w:val="FFFFFF"/>
              </w:rPr>
              <w:t>  </w:t>
            </w:r>
          </w:p>
        </w:tc>
        <w:tc>
          <w:tcPr>
            <w:tcW w:w="0" w:type="dxa"/>
            <w:vAlign w:val="bottom"/>
          </w:tcPr>
          <w:p>
            <w:pPr>
              <w:spacing w:after="0"/>
              <w:rPr>
                <w:sz w:val="1"/>
                <w:szCs w:val="1"/>
                <w:color w:val="auto"/>
              </w:rPr>
            </w:pPr>
          </w:p>
        </w:tc>
      </w:tr>
      <w:tr>
        <w:trPr>
          <w:trHeight w:val="155"/>
        </w:trPr>
        <w:tc>
          <w:tcPr>
            <w:tcW w:w="1420" w:type="dxa"/>
            <w:vAlign w:val="bottom"/>
            <w:tcBorders>
              <w:bottom w:val="single" w:sz="8" w:color="005CB9"/>
            </w:tcBorders>
            <w:vMerge w:val="continue"/>
            <w:shd w:val="clear" w:color="auto" w:fill="005CB9"/>
          </w:tcPr>
          <w:p>
            <w:pPr>
              <w:spacing w:after="0"/>
              <w:rPr>
                <w:sz w:val="13"/>
                <w:szCs w:val="13"/>
                <w:color w:val="auto"/>
              </w:rPr>
            </w:pPr>
          </w:p>
        </w:tc>
        <w:tc>
          <w:tcPr>
            <w:tcW w:w="120" w:type="dxa"/>
            <w:vAlign w:val="bottom"/>
            <w:tcBorders>
              <w:bottom w:val="single" w:sz="8" w:color="005CB9"/>
            </w:tcBorders>
            <w:shd w:val="clear" w:color="auto" w:fill="005CB9"/>
          </w:tcPr>
          <w:p>
            <w:pPr>
              <w:spacing w:after="0"/>
              <w:rPr>
                <w:sz w:val="13"/>
                <w:szCs w:val="13"/>
                <w:color w:val="auto"/>
              </w:rPr>
            </w:pPr>
          </w:p>
        </w:tc>
        <w:tc>
          <w:tcPr>
            <w:tcW w:w="1000" w:type="dxa"/>
            <w:vAlign w:val="bottom"/>
            <w:tcBorders>
              <w:bottom w:val="single" w:sz="8" w:color="005CB9"/>
            </w:tcBorders>
            <w:shd w:val="clear" w:color="auto" w:fill="005CB9"/>
          </w:tcPr>
          <w:p>
            <w:pPr>
              <w:jc w:val="right"/>
              <w:ind w:right="49"/>
              <w:spacing w:after="0" w:line="135" w:lineRule="exact"/>
              <w:rPr>
                <w:sz w:val="20"/>
                <w:szCs w:val="20"/>
                <w:color w:val="auto"/>
              </w:rPr>
            </w:pPr>
            <w:r>
              <w:rPr>
                <w:rFonts w:ascii="Arial" w:cs="Arial" w:eastAsia="Arial" w:hAnsi="Arial"/>
                <w:sz w:val="13"/>
                <w:szCs w:val="13"/>
                <w:color w:val="FFFFFF"/>
              </w:rPr>
              <w:t>Date</w:t>
            </w:r>
          </w:p>
        </w:tc>
        <w:tc>
          <w:tcPr>
            <w:tcW w:w="860" w:type="dxa"/>
            <w:vAlign w:val="bottom"/>
            <w:tcBorders>
              <w:bottom w:val="single" w:sz="8" w:color="005CB9"/>
            </w:tcBorders>
            <w:shd w:val="clear" w:color="auto" w:fill="005CB9"/>
          </w:tcPr>
          <w:p>
            <w:pPr>
              <w:jc w:val="right"/>
              <w:ind w:right="50"/>
              <w:spacing w:after="0" w:line="135" w:lineRule="exact"/>
              <w:rPr>
                <w:sz w:val="20"/>
                <w:szCs w:val="20"/>
                <w:color w:val="auto"/>
              </w:rPr>
            </w:pPr>
            <w:r>
              <w:rPr>
                <w:rFonts w:ascii="Arial" w:cs="Arial" w:eastAsia="Arial" w:hAnsi="Arial"/>
                <w:sz w:val="13"/>
                <w:szCs w:val="13"/>
                <w:color w:val="FFFFFF"/>
              </w:rPr>
              <w:t>($)</w:t>
            </w:r>
          </w:p>
        </w:tc>
        <w:tc>
          <w:tcPr>
            <w:tcW w:w="880" w:type="dxa"/>
            <w:vAlign w:val="bottom"/>
            <w:tcBorders>
              <w:bottom w:val="single" w:sz="8" w:color="005CB9"/>
            </w:tcBorders>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w:t>
            </w:r>
          </w:p>
        </w:tc>
        <w:tc>
          <w:tcPr>
            <w:tcW w:w="900" w:type="dxa"/>
            <w:vAlign w:val="bottom"/>
            <w:tcBorders>
              <w:bottom w:val="single" w:sz="8" w:color="005CB9"/>
            </w:tcBorders>
            <w:shd w:val="clear" w:color="auto" w:fill="005CB9"/>
          </w:tcPr>
          <w:p>
            <w:pPr>
              <w:jc w:val="right"/>
              <w:ind w:right="110"/>
              <w:spacing w:after="0" w:line="135" w:lineRule="exact"/>
              <w:rPr>
                <w:sz w:val="20"/>
                <w:szCs w:val="20"/>
                <w:color w:val="auto"/>
              </w:rPr>
            </w:pPr>
            <w:r>
              <w:rPr>
                <w:rFonts w:ascii="Arial" w:cs="Arial" w:eastAsia="Arial" w:hAnsi="Arial"/>
                <w:sz w:val="13"/>
                <w:szCs w:val="13"/>
                <w:color w:val="FFFFFF"/>
              </w:rPr>
              <w:t>($)</w:t>
            </w:r>
          </w:p>
        </w:tc>
        <w:tc>
          <w:tcPr>
            <w:tcW w:w="840" w:type="dxa"/>
            <w:vAlign w:val="bottom"/>
            <w:tcBorders>
              <w:bottom w:val="single" w:sz="8" w:color="005CB9"/>
            </w:tcBorders>
            <w:shd w:val="clear" w:color="auto" w:fill="005CB9"/>
          </w:tcPr>
          <w:p>
            <w:pPr>
              <w:jc w:val="right"/>
              <w:ind w:right="92"/>
              <w:spacing w:after="0" w:line="135" w:lineRule="exact"/>
              <w:rPr>
                <w:sz w:val="20"/>
                <w:szCs w:val="20"/>
                <w:color w:val="auto"/>
              </w:rPr>
            </w:pPr>
            <w:r>
              <w:rPr>
                <w:rFonts w:ascii="Arial" w:cs="Arial" w:eastAsia="Arial" w:hAnsi="Arial"/>
                <w:sz w:val="13"/>
                <w:szCs w:val="13"/>
                <w:color w:val="FFFFFF"/>
              </w:rPr>
              <w:t>(#)</w:t>
            </w:r>
          </w:p>
        </w:tc>
        <w:tc>
          <w:tcPr>
            <w:tcW w:w="560" w:type="dxa"/>
            <w:vAlign w:val="bottom"/>
            <w:tcBorders>
              <w:bottom w:val="single" w:sz="8" w:color="005CB9"/>
            </w:tcBorders>
            <w:shd w:val="clear" w:color="auto" w:fill="005CB9"/>
          </w:tcPr>
          <w:p>
            <w:pPr>
              <w:jc w:val="right"/>
              <w:spacing w:after="0" w:line="135" w:lineRule="exact"/>
              <w:rPr>
                <w:sz w:val="20"/>
                <w:szCs w:val="20"/>
                <w:color w:val="auto"/>
              </w:rPr>
            </w:pPr>
            <w:r>
              <w:rPr>
                <w:rFonts w:ascii="Arial" w:cs="Arial" w:eastAsia="Arial" w:hAnsi="Arial"/>
                <w:sz w:val="13"/>
                <w:szCs w:val="13"/>
                <w:color w:val="FFFFFF"/>
              </w:rPr>
              <w:t>(#)</w:t>
            </w:r>
          </w:p>
        </w:tc>
        <w:tc>
          <w:tcPr>
            <w:tcW w:w="800" w:type="dxa"/>
            <w:vAlign w:val="bottom"/>
            <w:tcBorders>
              <w:bottom w:val="single" w:sz="8" w:color="005CB9"/>
            </w:tcBorders>
            <w:shd w:val="clear" w:color="auto" w:fill="005CB9"/>
          </w:tcPr>
          <w:p>
            <w:pPr>
              <w:jc w:val="right"/>
              <w:spacing w:after="0" w:line="135" w:lineRule="exact"/>
              <w:rPr>
                <w:sz w:val="20"/>
                <w:szCs w:val="20"/>
                <w:color w:val="auto"/>
              </w:rPr>
            </w:pPr>
            <w:r>
              <w:rPr>
                <w:rFonts w:ascii="Arial" w:cs="Arial" w:eastAsia="Arial" w:hAnsi="Arial"/>
                <w:sz w:val="13"/>
                <w:szCs w:val="13"/>
                <w:color w:val="FFFFFF"/>
              </w:rPr>
              <w:t>(#)</w:t>
            </w:r>
          </w:p>
        </w:tc>
        <w:tc>
          <w:tcPr>
            <w:tcW w:w="240" w:type="dxa"/>
            <w:vAlign w:val="bottom"/>
          </w:tcPr>
          <w:p>
            <w:pPr>
              <w:spacing w:after="0"/>
              <w:rPr>
                <w:sz w:val="13"/>
                <w:szCs w:val="13"/>
                <w:color w:val="auto"/>
              </w:rPr>
            </w:pPr>
          </w:p>
        </w:tc>
        <w:tc>
          <w:tcPr>
            <w:tcW w:w="1300" w:type="dxa"/>
            <w:vAlign w:val="bottom"/>
          </w:tcPr>
          <w:p>
            <w:pPr>
              <w:jc w:val="right"/>
              <w:ind w:right="154"/>
              <w:spacing w:after="0"/>
              <w:rPr>
                <w:sz w:val="20"/>
                <w:szCs w:val="20"/>
                <w:color w:val="auto"/>
              </w:rPr>
            </w:pPr>
            <w:r>
              <w:rPr>
                <w:rFonts w:ascii="Arial" w:cs="Arial" w:eastAsia="Arial" w:hAnsi="Arial"/>
                <w:sz w:val="13"/>
                <w:szCs w:val="13"/>
                <w:color w:val="FFFFFF"/>
              </w:rPr>
              <w:t>Options(#)</w:t>
            </w:r>
          </w:p>
        </w:tc>
        <w:tc>
          <w:tcPr>
            <w:tcW w:w="1180" w:type="dxa"/>
            <w:vAlign w:val="bottom"/>
          </w:tcPr>
          <w:p>
            <w:pPr>
              <w:jc w:val="right"/>
              <w:ind w:right="133"/>
              <w:spacing w:after="0"/>
              <w:rPr>
                <w:sz w:val="20"/>
                <w:szCs w:val="20"/>
                <w:color w:val="auto"/>
              </w:rPr>
            </w:pPr>
            <w:r>
              <w:rPr>
                <w:rFonts w:ascii="Arial" w:cs="Arial" w:eastAsia="Arial" w:hAnsi="Arial"/>
                <w:sz w:val="13"/>
                <w:szCs w:val="13"/>
                <w:color w:val="FFFFFF"/>
              </w:rPr>
              <w:t>($/Sh)</w:t>
            </w:r>
          </w:p>
        </w:tc>
        <w:tc>
          <w:tcPr>
            <w:tcW w:w="920" w:type="dxa"/>
            <w:vAlign w:val="bottom"/>
          </w:tcPr>
          <w:p>
            <w:pPr>
              <w:jc w:val="right"/>
              <w:spacing w:after="0"/>
              <w:rPr>
                <w:sz w:val="20"/>
                <w:szCs w:val="20"/>
                <w:color w:val="auto"/>
              </w:rPr>
            </w:pPr>
            <w:r>
              <w:rPr>
                <w:rFonts w:ascii="Arial" w:cs="Arial" w:eastAsia="Arial" w:hAnsi="Arial"/>
                <w:sz w:val="13"/>
                <w:szCs w:val="13"/>
                <w:color w:val="FFFFFF"/>
              </w:rPr>
              <w:t>($)  </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420" w:type="dxa"/>
            <w:vAlign w:val="bottom"/>
            <w:shd w:val="clear" w:color="auto" w:fill="E5EEF8"/>
          </w:tcPr>
          <w:p>
            <w:pPr>
              <w:ind w:left="60"/>
              <w:spacing w:after="0"/>
              <w:rPr>
                <w:sz w:val="20"/>
                <w:szCs w:val="20"/>
                <w:color w:val="auto"/>
              </w:rPr>
            </w:pPr>
            <w:r>
              <w:rPr>
                <w:rFonts w:ascii="Arial" w:cs="Arial" w:eastAsia="Arial" w:hAnsi="Arial"/>
                <w:sz w:val="14"/>
                <w:szCs w:val="14"/>
                <w:color w:val="auto"/>
              </w:rPr>
              <w:t>L. Neil Hunn</w:t>
            </w:r>
          </w:p>
        </w:tc>
        <w:tc>
          <w:tcPr>
            <w:tcW w:w="120" w:type="dxa"/>
            <w:vAlign w:val="bottom"/>
            <w:shd w:val="clear" w:color="auto" w:fill="E5EEF8"/>
          </w:tcPr>
          <w:p>
            <w:pPr>
              <w:spacing w:after="0"/>
              <w:rPr>
                <w:sz w:val="20"/>
                <w:szCs w:val="20"/>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900" w:type="dxa"/>
            <w:vAlign w:val="bottom"/>
            <w:shd w:val="clear" w:color="auto" w:fill="E5EEF8"/>
          </w:tcPr>
          <w:p>
            <w:pPr>
              <w:spacing w:after="0"/>
              <w:rPr>
                <w:sz w:val="20"/>
                <w:szCs w:val="20"/>
                <w:color w:val="auto"/>
              </w:rPr>
            </w:pPr>
          </w:p>
        </w:tc>
        <w:tc>
          <w:tcPr>
            <w:tcW w:w="840" w:type="dxa"/>
            <w:vAlign w:val="bottom"/>
            <w:shd w:val="clear" w:color="auto" w:fill="E5EEF8"/>
          </w:tcPr>
          <w:p>
            <w:pPr>
              <w:jc w:val="right"/>
              <w:ind w:right="32"/>
              <w:spacing w:after="0"/>
              <w:rPr>
                <w:sz w:val="20"/>
                <w:szCs w:val="20"/>
                <w:color w:val="auto"/>
              </w:rPr>
            </w:pPr>
            <w:r>
              <w:rPr>
                <w:rFonts w:ascii="Arial" w:cs="Arial" w:eastAsia="Arial" w:hAnsi="Arial"/>
                <w:sz w:val="14"/>
                <w:szCs w:val="14"/>
                <w:color w:val="auto"/>
              </w:rPr>
              <w:t>9,287</w:t>
            </w:r>
          </w:p>
        </w:tc>
        <w:tc>
          <w:tcPr>
            <w:tcW w:w="5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26,537</w:t>
            </w:r>
          </w:p>
        </w:tc>
        <w:tc>
          <w:tcPr>
            <w:tcW w:w="1040" w:type="dxa"/>
            <w:vAlign w:val="bottom"/>
            <w:gridSpan w:val="2"/>
            <w:shd w:val="clear" w:color="auto" w:fill="E5EEF8"/>
          </w:tcPr>
          <w:p>
            <w:pPr>
              <w:jc w:val="right"/>
              <w:ind w:right="180"/>
              <w:spacing w:after="0"/>
              <w:rPr>
                <w:sz w:val="20"/>
                <w:szCs w:val="20"/>
                <w:color w:val="auto"/>
              </w:rPr>
            </w:pPr>
            <w:r>
              <w:rPr>
                <w:rFonts w:ascii="Arial" w:cs="Arial" w:eastAsia="Arial" w:hAnsi="Arial"/>
                <w:sz w:val="14"/>
                <w:szCs w:val="14"/>
                <w:color w:val="auto"/>
              </w:rPr>
              <w:t>53,074</w:t>
            </w:r>
          </w:p>
        </w:tc>
        <w:tc>
          <w:tcPr>
            <w:tcW w:w="1300" w:type="dxa"/>
            <w:vAlign w:val="bottom"/>
            <w:shd w:val="clear" w:color="auto" w:fill="E5EEF8"/>
          </w:tcPr>
          <w:p>
            <w:pPr>
              <w:spacing w:after="0"/>
              <w:rPr>
                <w:sz w:val="20"/>
                <w:szCs w:val="20"/>
                <w:color w:val="auto"/>
              </w:rPr>
            </w:pPr>
          </w:p>
        </w:tc>
        <w:tc>
          <w:tcPr>
            <w:tcW w:w="1180" w:type="dxa"/>
            <w:vAlign w:val="bottom"/>
            <w:shd w:val="clear" w:color="auto" w:fill="E5EEF8"/>
          </w:tcPr>
          <w:p>
            <w:pPr>
              <w:spacing w:after="0"/>
              <w:rPr>
                <w:sz w:val="20"/>
                <w:szCs w:val="20"/>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15,023,657</w:t>
            </w:r>
          </w:p>
        </w:tc>
        <w:tc>
          <w:tcPr>
            <w:tcW w:w="0" w:type="dxa"/>
            <w:vAlign w:val="bottom"/>
          </w:tcPr>
          <w:p>
            <w:pPr>
              <w:spacing w:after="0"/>
              <w:rPr>
                <w:sz w:val="1"/>
                <w:szCs w:val="1"/>
                <w:color w:val="auto"/>
              </w:rPr>
            </w:pPr>
          </w:p>
        </w:tc>
      </w:tr>
      <w:tr>
        <w:trPr>
          <w:trHeight w:val="224"/>
        </w:trPr>
        <w:tc>
          <w:tcPr>
            <w:tcW w:w="1420" w:type="dxa"/>
            <w:vAlign w:val="bottom"/>
            <w:shd w:val="clear" w:color="auto" w:fill="E5EEF8"/>
          </w:tcPr>
          <w:p>
            <w:pPr>
              <w:spacing w:after="0"/>
              <w:rPr>
                <w:sz w:val="19"/>
                <w:szCs w:val="19"/>
                <w:color w:val="auto"/>
              </w:rPr>
            </w:pPr>
          </w:p>
        </w:tc>
        <w:tc>
          <w:tcPr>
            <w:tcW w:w="120" w:type="dxa"/>
            <w:vAlign w:val="bottom"/>
            <w:shd w:val="clear" w:color="auto" w:fill="E5EEF8"/>
          </w:tcPr>
          <w:p>
            <w:pPr>
              <w:spacing w:after="0"/>
              <w:rPr>
                <w:sz w:val="19"/>
                <w:szCs w:val="19"/>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900" w:type="dxa"/>
            <w:vAlign w:val="bottom"/>
            <w:shd w:val="clear" w:color="auto" w:fill="E5EEF8"/>
          </w:tcPr>
          <w:p>
            <w:pPr>
              <w:spacing w:after="0"/>
              <w:rPr>
                <w:sz w:val="19"/>
                <w:szCs w:val="19"/>
                <w:color w:val="auto"/>
              </w:rPr>
            </w:pPr>
          </w:p>
        </w:tc>
        <w:tc>
          <w:tcPr>
            <w:tcW w:w="840" w:type="dxa"/>
            <w:vAlign w:val="bottom"/>
            <w:shd w:val="clear" w:color="auto" w:fill="E5EEF8"/>
          </w:tcPr>
          <w:p>
            <w:pPr>
              <w:spacing w:after="0"/>
              <w:rPr>
                <w:sz w:val="19"/>
                <w:szCs w:val="19"/>
                <w:color w:val="auto"/>
              </w:rPr>
            </w:pPr>
          </w:p>
        </w:tc>
        <w:tc>
          <w:tcPr>
            <w:tcW w:w="560" w:type="dxa"/>
            <w:vAlign w:val="bottom"/>
            <w:shd w:val="clear" w:color="auto" w:fill="E5EEF8"/>
          </w:tcPr>
          <w:p>
            <w:pPr>
              <w:spacing w:after="0"/>
              <w:rPr>
                <w:sz w:val="19"/>
                <w:szCs w:val="19"/>
                <w:color w:val="auto"/>
              </w:rPr>
            </w:pPr>
          </w:p>
        </w:tc>
        <w:tc>
          <w:tcPr>
            <w:tcW w:w="800" w:type="dxa"/>
            <w:vAlign w:val="bottom"/>
            <w:shd w:val="clear" w:color="auto" w:fill="E5EEF8"/>
          </w:tcPr>
          <w:p>
            <w:pPr>
              <w:spacing w:after="0"/>
              <w:rPr>
                <w:sz w:val="19"/>
                <w:szCs w:val="19"/>
                <w:color w:val="auto"/>
              </w:rPr>
            </w:pPr>
          </w:p>
        </w:tc>
        <w:tc>
          <w:tcPr>
            <w:tcW w:w="240" w:type="dxa"/>
            <w:vAlign w:val="bottom"/>
            <w:shd w:val="clear" w:color="auto" w:fill="E5EEF8"/>
          </w:tcPr>
          <w:p>
            <w:pPr>
              <w:spacing w:after="0"/>
              <w:rPr>
                <w:sz w:val="19"/>
                <w:szCs w:val="19"/>
                <w:color w:val="auto"/>
              </w:rPr>
            </w:pPr>
          </w:p>
        </w:tc>
        <w:tc>
          <w:tcPr>
            <w:tcW w:w="1300" w:type="dxa"/>
            <w:vAlign w:val="bottom"/>
            <w:shd w:val="clear" w:color="auto" w:fill="E5EEF8"/>
          </w:tcPr>
          <w:p>
            <w:pPr>
              <w:jc w:val="right"/>
              <w:ind w:right="94"/>
              <w:spacing w:after="0" w:line="224" w:lineRule="exact"/>
              <w:rPr>
                <w:sz w:val="20"/>
                <w:szCs w:val="20"/>
                <w:color w:val="auto"/>
              </w:rPr>
            </w:pPr>
            <w:r>
              <w:rPr>
                <w:rFonts w:ascii="Arial" w:cs="Arial" w:eastAsia="Arial" w:hAnsi="Arial"/>
                <w:sz w:val="14"/>
                <w:szCs w:val="14"/>
                <w:color w:val="auto"/>
              </w:rPr>
              <w:t>27,875</w:t>
            </w:r>
            <w:r>
              <w:rPr>
                <w:rFonts w:ascii="Arial" w:cs="Arial" w:eastAsia="Arial" w:hAnsi="Arial"/>
                <w:sz w:val="21"/>
                <w:szCs w:val="21"/>
                <w:color w:val="auto"/>
                <w:vertAlign w:val="superscript"/>
              </w:rPr>
              <w:t>(3)</w:t>
            </w:r>
          </w:p>
        </w:tc>
        <w:tc>
          <w:tcPr>
            <w:tcW w:w="1180" w:type="dxa"/>
            <w:vAlign w:val="bottom"/>
            <w:shd w:val="clear" w:color="auto" w:fill="E5EEF8"/>
          </w:tcPr>
          <w:p>
            <w:pPr>
              <w:jc w:val="right"/>
              <w:ind w:right="73"/>
              <w:spacing w:after="0"/>
              <w:rPr>
                <w:sz w:val="20"/>
                <w:szCs w:val="20"/>
                <w:color w:val="auto"/>
              </w:rPr>
            </w:pPr>
            <w:r>
              <w:rPr>
                <w:rFonts w:ascii="Arial" w:cs="Arial" w:eastAsia="Arial" w:hAnsi="Arial"/>
                <w:sz w:val="14"/>
                <w:szCs w:val="14"/>
                <w:color w:val="auto"/>
              </w:rPr>
              <w:t>555.20</w:t>
            </w: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4,847,184</w:t>
            </w:r>
          </w:p>
        </w:tc>
        <w:tc>
          <w:tcPr>
            <w:tcW w:w="0" w:type="dxa"/>
            <w:vAlign w:val="bottom"/>
          </w:tcPr>
          <w:p>
            <w:pPr>
              <w:spacing w:after="0"/>
              <w:rPr>
                <w:sz w:val="1"/>
                <w:szCs w:val="1"/>
                <w:color w:val="auto"/>
              </w:rPr>
            </w:pPr>
          </w:p>
        </w:tc>
      </w:tr>
      <w:tr>
        <w:trPr>
          <w:trHeight w:val="223"/>
        </w:trPr>
        <w:tc>
          <w:tcPr>
            <w:tcW w:w="1420" w:type="dxa"/>
            <w:vAlign w:val="bottom"/>
            <w:tcBorders>
              <w:bottom w:val="single" w:sz="8" w:color="E5EEF8"/>
            </w:tcBorders>
            <w:shd w:val="clear" w:color="auto" w:fill="E5EEF8"/>
          </w:tcPr>
          <w:p>
            <w:pPr>
              <w:spacing w:after="0"/>
              <w:rPr>
                <w:sz w:val="19"/>
                <w:szCs w:val="19"/>
                <w:color w:val="auto"/>
              </w:rPr>
            </w:pPr>
          </w:p>
        </w:tc>
        <w:tc>
          <w:tcPr>
            <w:tcW w:w="120" w:type="dxa"/>
            <w:vAlign w:val="bottom"/>
            <w:tcBorders>
              <w:bottom w:val="single" w:sz="8" w:color="E5EEF8"/>
            </w:tcBorders>
            <w:shd w:val="clear" w:color="auto" w:fill="E5EEF8"/>
          </w:tcPr>
          <w:p>
            <w:pPr>
              <w:spacing w:after="0"/>
              <w:rPr>
                <w:sz w:val="19"/>
                <w:szCs w:val="19"/>
                <w:color w:val="auto"/>
              </w:rPr>
            </w:pPr>
          </w:p>
        </w:tc>
        <w:tc>
          <w:tcPr>
            <w:tcW w:w="1000" w:type="dxa"/>
            <w:vAlign w:val="bottom"/>
            <w:tcBorders>
              <w:bottom w:val="single" w:sz="8" w:color="E5EEF8"/>
            </w:tcBorders>
            <w:shd w:val="clear" w:color="auto" w:fill="E5EEF8"/>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tcBorders>
              <w:bottom w:val="single" w:sz="8" w:color="E5EEF8"/>
            </w:tcBorders>
            <w:shd w:val="clear" w:color="auto" w:fill="E5EEF8"/>
          </w:tcPr>
          <w:p>
            <w:pPr>
              <w:jc w:val="right"/>
              <w:ind w:right="30"/>
              <w:spacing w:after="0"/>
              <w:rPr>
                <w:sz w:val="20"/>
                <w:szCs w:val="20"/>
                <w:color w:val="auto"/>
              </w:rPr>
            </w:pPr>
            <w:r>
              <w:rPr>
                <w:rFonts w:ascii="Arial" w:cs="Arial" w:eastAsia="Arial" w:hAnsi="Arial"/>
                <w:sz w:val="14"/>
                <w:szCs w:val="14"/>
                <w:color w:val="auto"/>
              </w:rPr>
              <w:t>600,000</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4"/>
                <w:szCs w:val="14"/>
                <w:color w:val="auto"/>
              </w:rPr>
              <w:t>2,000,000</w:t>
            </w:r>
          </w:p>
        </w:tc>
        <w:tc>
          <w:tcPr>
            <w:tcW w:w="900" w:type="dxa"/>
            <w:vAlign w:val="bottom"/>
            <w:tcBorders>
              <w:bottom w:val="single" w:sz="8" w:color="E5EEF8"/>
            </w:tcBorders>
            <w:shd w:val="clear" w:color="auto" w:fill="E5EEF8"/>
          </w:tcPr>
          <w:p>
            <w:pPr>
              <w:jc w:val="right"/>
              <w:ind w:right="70"/>
              <w:spacing w:after="0"/>
              <w:rPr>
                <w:sz w:val="20"/>
                <w:szCs w:val="20"/>
                <w:color w:val="auto"/>
              </w:rPr>
            </w:pPr>
            <w:r>
              <w:rPr>
                <w:rFonts w:ascii="Arial" w:cs="Arial" w:eastAsia="Arial" w:hAnsi="Arial"/>
                <w:sz w:val="14"/>
                <w:szCs w:val="14"/>
                <w:color w:val="auto"/>
              </w:rPr>
              <w:t>3,000,000</w:t>
            </w:r>
          </w:p>
        </w:tc>
        <w:tc>
          <w:tcPr>
            <w:tcW w:w="840" w:type="dxa"/>
            <w:vAlign w:val="bottom"/>
            <w:tcBorders>
              <w:bottom w:val="single" w:sz="8" w:color="E5EEF8"/>
            </w:tcBorders>
            <w:shd w:val="clear" w:color="auto" w:fill="E5EEF8"/>
          </w:tcPr>
          <w:p>
            <w:pPr>
              <w:spacing w:after="0"/>
              <w:rPr>
                <w:sz w:val="19"/>
                <w:szCs w:val="19"/>
                <w:color w:val="auto"/>
              </w:rPr>
            </w:pPr>
          </w:p>
        </w:tc>
        <w:tc>
          <w:tcPr>
            <w:tcW w:w="560" w:type="dxa"/>
            <w:vAlign w:val="bottom"/>
            <w:tcBorders>
              <w:bottom w:val="single" w:sz="8" w:color="E5EEF8"/>
            </w:tcBorders>
            <w:shd w:val="clear" w:color="auto" w:fill="E5EEF8"/>
          </w:tcPr>
          <w:p>
            <w:pPr>
              <w:spacing w:after="0"/>
              <w:rPr>
                <w:sz w:val="19"/>
                <w:szCs w:val="19"/>
                <w:color w:val="auto"/>
              </w:rPr>
            </w:pPr>
          </w:p>
        </w:tc>
        <w:tc>
          <w:tcPr>
            <w:tcW w:w="800" w:type="dxa"/>
            <w:vAlign w:val="bottom"/>
            <w:tcBorders>
              <w:bottom w:val="single" w:sz="8" w:color="E5EEF8"/>
            </w:tcBorders>
            <w:shd w:val="clear" w:color="auto" w:fill="E5EEF8"/>
          </w:tcPr>
          <w:p>
            <w:pPr>
              <w:spacing w:after="0"/>
              <w:rPr>
                <w:sz w:val="19"/>
                <w:szCs w:val="19"/>
                <w:color w:val="auto"/>
              </w:rPr>
            </w:pPr>
          </w:p>
        </w:tc>
        <w:tc>
          <w:tcPr>
            <w:tcW w:w="240" w:type="dxa"/>
            <w:vAlign w:val="bottom"/>
            <w:tcBorders>
              <w:bottom w:val="single" w:sz="8" w:color="E5EEF8"/>
            </w:tcBorders>
            <w:shd w:val="clear" w:color="auto" w:fill="E5EEF8"/>
          </w:tcPr>
          <w:p>
            <w:pPr>
              <w:spacing w:after="0"/>
              <w:rPr>
                <w:sz w:val="19"/>
                <w:szCs w:val="19"/>
                <w:color w:val="auto"/>
              </w:rPr>
            </w:pPr>
          </w:p>
        </w:tc>
        <w:tc>
          <w:tcPr>
            <w:tcW w:w="1300" w:type="dxa"/>
            <w:vAlign w:val="bottom"/>
            <w:tcBorders>
              <w:bottom w:val="single" w:sz="8" w:color="E5EEF8"/>
            </w:tcBorders>
            <w:shd w:val="clear" w:color="auto" w:fill="E5EEF8"/>
          </w:tcPr>
          <w:p>
            <w:pPr>
              <w:spacing w:after="0"/>
              <w:rPr>
                <w:sz w:val="19"/>
                <w:szCs w:val="19"/>
                <w:color w:val="auto"/>
              </w:rPr>
            </w:pPr>
          </w:p>
        </w:tc>
        <w:tc>
          <w:tcPr>
            <w:tcW w:w="1180" w:type="dxa"/>
            <w:vAlign w:val="bottom"/>
            <w:tcBorders>
              <w:bottom w:val="single" w:sz="8" w:color="E5EEF8"/>
            </w:tcBorders>
            <w:shd w:val="clear" w:color="auto" w:fill="E5EEF8"/>
          </w:tcPr>
          <w:p>
            <w:pPr>
              <w:spacing w:after="0"/>
              <w:rPr>
                <w:sz w:val="19"/>
                <w:szCs w:val="19"/>
                <w:color w:val="auto"/>
              </w:rPr>
            </w:pPr>
          </w:p>
        </w:tc>
        <w:tc>
          <w:tcPr>
            <w:tcW w:w="920" w:type="dxa"/>
            <w:vAlign w:val="bottom"/>
            <w:tcBorders>
              <w:bottom w:val="single" w:sz="8" w:color="E5EEF8"/>
            </w:tcBorders>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420" w:type="dxa"/>
            <w:vAlign w:val="bottom"/>
          </w:tcPr>
          <w:p>
            <w:pPr>
              <w:ind w:left="60"/>
              <w:spacing w:after="0"/>
              <w:rPr>
                <w:sz w:val="20"/>
                <w:szCs w:val="20"/>
                <w:color w:val="auto"/>
              </w:rPr>
            </w:pPr>
            <w:r>
              <w:rPr>
                <w:rFonts w:ascii="Arial" w:cs="Arial" w:eastAsia="Arial" w:hAnsi="Arial"/>
                <w:sz w:val="14"/>
                <w:szCs w:val="14"/>
                <w:color w:val="auto"/>
              </w:rPr>
              <w:t>Jason P. Conley</w:t>
            </w: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2,874</w:t>
            </w:r>
          </w:p>
        </w:tc>
        <w:tc>
          <w:tcPr>
            <w:tcW w:w="560" w:type="dxa"/>
            <w:vAlign w:val="bottom"/>
          </w:tcPr>
          <w:p>
            <w:pPr>
              <w:jc w:val="right"/>
              <w:spacing w:after="0"/>
              <w:rPr>
                <w:sz w:val="20"/>
                <w:szCs w:val="20"/>
                <w:color w:val="auto"/>
              </w:rPr>
            </w:pPr>
            <w:r>
              <w:rPr>
                <w:rFonts w:ascii="Arial" w:cs="Arial" w:eastAsia="Arial" w:hAnsi="Arial"/>
                <w:sz w:val="14"/>
                <w:szCs w:val="14"/>
                <w:color w:val="auto"/>
              </w:rPr>
              <w:t>8,212</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16,424</w:t>
            </w: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4,649,142</w:t>
            </w:r>
          </w:p>
        </w:tc>
        <w:tc>
          <w:tcPr>
            <w:tcW w:w="0" w:type="dxa"/>
            <w:vAlign w:val="bottom"/>
          </w:tcPr>
          <w:p>
            <w:pPr>
              <w:spacing w:after="0"/>
              <w:rPr>
                <w:sz w:val="1"/>
                <w:szCs w:val="1"/>
                <w:color w:val="auto"/>
              </w:rPr>
            </w:pPr>
          </w:p>
        </w:tc>
      </w:tr>
      <w:tr>
        <w:trPr>
          <w:trHeight w:val="242"/>
        </w:trPr>
        <w:tc>
          <w:tcPr>
            <w:tcW w:w="1420" w:type="dxa"/>
            <w:vAlign w:val="bottom"/>
          </w:tcPr>
          <w:p>
            <w:pPr>
              <w:spacing w:after="0"/>
              <w:rPr>
                <w:sz w:val="21"/>
                <w:szCs w:val="21"/>
                <w:color w:val="auto"/>
              </w:rPr>
            </w:pP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4"/>
                <w:szCs w:val="14"/>
                <w:color w:val="auto"/>
              </w:rPr>
              <w:t>8,626</w:t>
            </w:r>
            <w:r>
              <w:rPr>
                <w:rFonts w:ascii="Arial" w:cs="Arial" w:eastAsia="Arial" w:hAnsi="Arial"/>
                <w:sz w:val="21"/>
                <w:szCs w:val="21"/>
                <w:color w:val="auto"/>
                <w:vertAlign w:val="superscript"/>
              </w:rPr>
              <w:t>(3)</w:t>
            </w: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555.20</w:t>
            </w:r>
          </w:p>
        </w:tc>
        <w:tc>
          <w:tcPr>
            <w:tcW w:w="920" w:type="dxa"/>
            <w:vAlign w:val="bottom"/>
          </w:tcPr>
          <w:p>
            <w:pPr>
              <w:jc w:val="right"/>
              <w:spacing w:after="0"/>
              <w:rPr>
                <w:sz w:val="20"/>
                <w:szCs w:val="20"/>
                <w:color w:val="auto"/>
              </w:rPr>
            </w:pPr>
            <w:r>
              <w:rPr>
                <w:rFonts w:ascii="Arial" w:cs="Arial" w:eastAsia="Arial" w:hAnsi="Arial"/>
                <w:sz w:val="14"/>
                <w:szCs w:val="14"/>
                <w:color w:val="auto"/>
              </w:rPr>
              <w:t>1,499,975</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266,250</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887,500</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1,331,250</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420" w:type="dxa"/>
            <w:vAlign w:val="bottom"/>
            <w:shd w:val="clear" w:color="auto" w:fill="E5EEF8"/>
          </w:tcPr>
          <w:p>
            <w:pPr>
              <w:ind w:left="60"/>
              <w:spacing w:after="0"/>
              <w:rPr>
                <w:sz w:val="20"/>
                <w:szCs w:val="20"/>
                <w:color w:val="auto"/>
              </w:rPr>
            </w:pPr>
            <w:r>
              <w:rPr>
                <w:rFonts w:ascii="Arial" w:cs="Arial" w:eastAsia="Arial" w:hAnsi="Arial"/>
                <w:sz w:val="14"/>
                <w:szCs w:val="14"/>
                <w:color w:val="auto"/>
              </w:rPr>
              <w:t>John K. Stipancich</w:t>
            </w:r>
          </w:p>
        </w:tc>
        <w:tc>
          <w:tcPr>
            <w:tcW w:w="120" w:type="dxa"/>
            <w:vAlign w:val="bottom"/>
            <w:shd w:val="clear" w:color="auto" w:fill="E5EEF8"/>
          </w:tcPr>
          <w:p>
            <w:pPr>
              <w:spacing w:after="0"/>
              <w:rPr>
                <w:sz w:val="20"/>
                <w:szCs w:val="20"/>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900" w:type="dxa"/>
            <w:vAlign w:val="bottom"/>
            <w:shd w:val="clear" w:color="auto" w:fill="E5EEF8"/>
          </w:tcPr>
          <w:p>
            <w:pPr>
              <w:spacing w:after="0"/>
              <w:rPr>
                <w:sz w:val="20"/>
                <w:szCs w:val="20"/>
                <w:color w:val="auto"/>
              </w:rPr>
            </w:pPr>
          </w:p>
        </w:tc>
        <w:tc>
          <w:tcPr>
            <w:tcW w:w="840" w:type="dxa"/>
            <w:vAlign w:val="bottom"/>
            <w:shd w:val="clear" w:color="auto" w:fill="E5EEF8"/>
          </w:tcPr>
          <w:p>
            <w:pPr>
              <w:jc w:val="right"/>
              <w:ind w:right="32"/>
              <w:spacing w:after="0"/>
              <w:rPr>
                <w:sz w:val="20"/>
                <w:szCs w:val="20"/>
                <w:color w:val="auto"/>
              </w:rPr>
            </w:pPr>
            <w:r>
              <w:rPr>
                <w:rFonts w:ascii="Arial" w:cs="Arial" w:eastAsia="Arial" w:hAnsi="Arial"/>
                <w:sz w:val="14"/>
                <w:szCs w:val="14"/>
                <w:color w:val="auto"/>
              </w:rPr>
              <w:t>2,682</w:t>
            </w:r>
          </w:p>
        </w:tc>
        <w:tc>
          <w:tcPr>
            <w:tcW w:w="5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7,664</w:t>
            </w:r>
          </w:p>
        </w:tc>
        <w:tc>
          <w:tcPr>
            <w:tcW w:w="1040" w:type="dxa"/>
            <w:vAlign w:val="bottom"/>
            <w:gridSpan w:val="2"/>
            <w:shd w:val="clear" w:color="auto" w:fill="E5EEF8"/>
          </w:tcPr>
          <w:p>
            <w:pPr>
              <w:jc w:val="right"/>
              <w:ind w:right="180"/>
              <w:spacing w:after="0"/>
              <w:rPr>
                <w:sz w:val="20"/>
                <w:szCs w:val="20"/>
                <w:color w:val="auto"/>
              </w:rPr>
            </w:pPr>
            <w:r>
              <w:rPr>
                <w:rFonts w:ascii="Arial" w:cs="Arial" w:eastAsia="Arial" w:hAnsi="Arial"/>
                <w:sz w:val="14"/>
                <w:szCs w:val="14"/>
                <w:color w:val="auto"/>
              </w:rPr>
              <w:t>15,328</w:t>
            </w:r>
          </w:p>
        </w:tc>
        <w:tc>
          <w:tcPr>
            <w:tcW w:w="1300" w:type="dxa"/>
            <w:vAlign w:val="bottom"/>
            <w:shd w:val="clear" w:color="auto" w:fill="E5EEF8"/>
          </w:tcPr>
          <w:p>
            <w:pPr>
              <w:spacing w:after="0"/>
              <w:rPr>
                <w:sz w:val="20"/>
                <w:szCs w:val="20"/>
                <w:color w:val="auto"/>
              </w:rPr>
            </w:pPr>
          </w:p>
        </w:tc>
        <w:tc>
          <w:tcPr>
            <w:tcW w:w="1180" w:type="dxa"/>
            <w:vAlign w:val="bottom"/>
            <w:shd w:val="clear" w:color="auto" w:fill="E5EEF8"/>
          </w:tcPr>
          <w:p>
            <w:pPr>
              <w:spacing w:after="0"/>
              <w:rPr>
                <w:sz w:val="20"/>
                <w:szCs w:val="20"/>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4,338,897</w:t>
            </w:r>
          </w:p>
        </w:tc>
        <w:tc>
          <w:tcPr>
            <w:tcW w:w="0" w:type="dxa"/>
            <w:vAlign w:val="bottom"/>
          </w:tcPr>
          <w:p>
            <w:pPr>
              <w:spacing w:after="0"/>
              <w:rPr>
                <w:sz w:val="1"/>
                <w:szCs w:val="1"/>
                <w:color w:val="auto"/>
              </w:rPr>
            </w:pPr>
          </w:p>
        </w:tc>
      </w:tr>
      <w:tr>
        <w:trPr>
          <w:trHeight w:val="224"/>
        </w:trPr>
        <w:tc>
          <w:tcPr>
            <w:tcW w:w="1420" w:type="dxa"/>
            <w:vAlign w:val="bottom"/>
            <w:shd w:val="clear" w:color="auto" w:fill="E5EEF8"/>
          </w:tcPr>
          <w:p>
            <w:pPr>
              <w:spacing w:after="0"/>
              <w:rPr>
                <w:sz w:val="19"/>
                <w:szCs w:val="19"/>
                <w:color w:val="auto"/>
              </w:rPr>
            </w:pPr>
          </w:p>
        </w:tc>
        <w:tc>
          <w:tcPr>
            <w:tcW w:w="120" w:type="dxa"/>
            <w:vAlign w:val="bottom"/>
            <w:shd w:val="clear" w:color="auto" w:fill="E5EEF8"/>
          </w:tcPr>
          <w:p>
            <w:pPr>
              <w:spacing w:after="0"/>
              <w:rPr>
                <w:sz w:val="19"/>
                <w:szCs w:val="19"/>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900" w:type="dxa"/>
            <w:vAlign w:val="bottom"/>
            <w:shd w:val="clear" w:color="auto" w:fill="E5EEF8"/>
          </w:tcPr>
          <w:p>
            <w:pPr>
              <w:spacing w:after="0"/>
              <w:rPr>
                <w:sz w:val="19"/>
                <w:szCs w:val="19"/>
                <w:color w:val="auto"/>
              </w:rPr>
            </w:pPr>
          </w:p>
        </w:tc>
        <w:tc>
          <w:tcPr>
            <w:tcW w:w="840" w:type="dxa"/>
            <w:vAlign w:val="bottom"/>
            <w:shd w:val="clear" w:color="auto" w:fill="E5EEF8"/>
          </w:tcPr>
          <w:p>
            <w:pPr>
              <w:spacing w:after="0"/>
              <w:rPr>
                <w:sz w:val="19"/>
                <w:szCs w:val="19"/>
                <w:color w:val="auto"/>
              </w:rPr>
            </w:pPr>
          </w:p>
        </w:tc>
        <w:tc>
          <w:tcPr>
            <w:tcW w:w="560" w:type="dxa"/>
            <w:vAlign w:val="bottom"/>
            <w:shd w:val="clear" w:color="auto" w:fill="E5EEF8"/>
          </w:tcPr>
          <w:p>
            <w:pPr>
              <w:spacing w:after="0"/>
              <w:rPr>
                <w:sz w:val="19"/>
                <w:szCs w:val="19"/>
                <w:color w:val="auto"/>
              </w:rPr>
            </w:pPr>
          </w:p>
        </w:tc>
        <w:tc>
          <w:tcPr>
            <w:tcW w:w="800" w:type="dxa"/>
            <w:vAlign w:val="bottom"/>
            <w:shd w:val="clear" w:color="auto" w:fill="E5EEF8"/>
          </w:tcPr>
          <w:p>
            <w:pPr>
              <w:spacing w:after="0"/>
              <w:rPr>
                <w:sz w:val="19"/>
                <w:szCs w:val="19"/>
                <w:color w:val="auto"/>
              </w:rPr>
            </w:pPr>
          </w:p>
        </w:tc>
        <w:tc>
          <w:tcPr>
            <w:tcW w:w="240" w:type="dxa"/>
            <w:vAlign w:val="bottom"/>
            <w:shd w:val="clear" w:color="auto" w:fill="E5EEF8"/>
          </w:tcPr>
          <w:p>
            <w:pPr>
              <w:spacing w:after="0"/>
              <w:rPr>
                <w:sz w:val="19"/>
                <w:szCs w:val="19"/>
                <w:color w:val="auto"/>
              </w:rPr>
            </w:pPr>
          </w:p>
        </w:tc>
        <w:tc>
          <w:tcPr>
            <w:tcW w:w="1300" w:type="dxa"/>
            <w:vAlign w:val="bottom"/>
            <w:shd w:val="clear" w:color="auto" w:fill="E5EEF8"/>
          </w:tcPr>
          <w:p>
            <w:pPr>
              <w:jc w:val="right"/>
              <w:ind w:right="94"/>
              <w:spacing w:after="0" w:line="224" w:lineRule="exact"/>
              <w:rPr>
                <w:sz w:val="20"/>
                <w:szCs w:val="20"/>
                <w:color w:val="auto"/>
              </w:rPr>
            </w:pPr>
            <w:r>
              <w:rPr>
                <w:rFonts w:ascii="Arial" w:cs="Arial" w:eastAsia="Arial" w:hAnsi="Arial"/>
                <w:sz w:val="14"/>
                <w:szCs w:val="14"/>
                <w:color w:val="auto"/>
              </w:rPr>
              <w:t>8,051</w:t>
            </w:r>
            <w:r>
              <w:rPr>
                <w:rFonts w:ascii="Arial" w:cs="Arial" w:eastAsia="Arial" w:hAnsi="Arial"/>
                <w:sz w:val="21"/>
                <w:szCs w:val="21"/>
                <w:color w:val="auto"/>
                <w:vertAlign w:val="superscript"/>
              </w:rPr>
              <w:t>(3)</w:t>
            </w:r>
          </w:p>
        </w:tc>
        <w:tc>
          <w:tcPr>
            <w:tcW w:w="1180" w:type="dxa"/>
            <w:vAlign w:val="bottom"/>
            <w:shd w:val="clear" w:color="auto" w:fill="E5EEF8"/>
          </w:tcPr>
          <w:p>
            <w:pPr>
              <w:jc w:val="right"/>
              <w:ind w:right="73"/>
              <w:spacing w:after="0"/>
              <w:rPr>
                <w:sz w:val="20"/>
                <w:szCs w:val="20"/>
                <w:color w:val="auto"/>
              </w:rPr>
            </w:pPr>
            <w:r>
              <w:rPr>
                <w:rFonts w:ascii="Arial" w:cs="Arial" w:eastAsia="Arial" w:hAnsi="Arial"/>
                <w:sz w:val="14"/>
                <w:szCs w:val="14"/>
                <w:color w:val="auto"/>
              </w:rPr>
              <w:t>555.20</w:t>
            </w: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1,399,988</w:t>
            </w:r>
          </w:p>
        </w:tc>
        <w:tc>
          <w:tcPr>
            <w:tcW w:w="0" w:type="dxa"/>
            <w:vAlign w:val="bottom"/>
          </w:tcPr>
          <w:p>
            <w:pPr>
              <w:spacing w:after="0"/>
              <w:rPr>
                <w:sz w:val="1"/>
                <w:szCs w:val="1"/>
                <w:color w:val="auto"/>
              </w:rPr>
            </w:pPr>
          </w:p>
        </w:tc>
      </w:tr>
      <w:tr>
        <w:trPr>
          <w:trHeight w:val="208"/>
        </w:trPr>
        <w:tc>
          <w:tcPr>
            <w:tcW w:w="1420" w:type="dxa"/>
            <w:vAlign w:val="bottom"/>
            <w:shd w:val="clear" w:color="auto" w:fill="E5EEF8"/>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03/12/2024</w:t>
            </w:r>
          </w:p>
        </w:tc>
        <w:tc>
          <w:tcPr>
            <w:tcW w:w="860" w:type="dxa"/>
            <w:vAlign w:val="bottom"/>
            <w:shd w:val="clear" w:color="auto" w:fill="E5EEF8"/>
          </w:tcPr>
          <w:p>
            <w:pPr>
              <w:jc w:val="right"/>
              <w:ind w:right="30"/>
              <w:spacing w:after="0"/>
              <w:rPr>
                <w:sz w:val="20"/>
                <w:szCs w:val="20"/>
                <w:color w:val="auto"/>
              </w:rPr>
            </w:pPr>
            <w:r>
              <w:rPr>
                <w:rFonts w:ascii="Arial" w:cs="Arial" w:eastAsia="Arial" w:hAnsi="Arial"/>
                <w:sz w:val="14"/>
                <w:szCs w:val="14"/>
                <w:color w:val="auto"/>
              </w:rPr>
              <w:t>313,125</w:t>
            </w:r>
          </w:p>
        </w:tc>
        <w:tc>
          <w:tcPr>
            <w:tcW w:w="880" w:type="dxa"/>
            <w:vAlign w:val="bottom"/>
            <w:shd w:val="clear" w:color="auto" w:fill="E5EEF8"/>
          </w:tcPr>
          <w:p>
            <w:pPr>
              <w:jc w:val="right"/>
              <w:ind w:right="53"/>
              <w:spacing w:after="0"/>
              <w:rPr>
                <w:sz w:val="20"/>
                <w:szCs w:val="20"/>
                <w:color w:val="auto"/>
              </w:rPr>
            </w:pPr>
            <w:r>
              <w:rPr>
                <w:rFonts w:ascii="Arial" w:cs="Arial" w:eastAsia="Arial" w:hAnsi="Arial"/>
                <w:sz w:val="14"/>
                <w:szCs w:val="14"/>
                <w:color w:val="auto"/>
              </w:rPr>
              <w:t>1,043,750</w:t>
            </w:r>
          </w:p>
        </w:tc>
        <w:tc>
          <w:tcPr>
            <w:tcW w:w="900" w:type="dxa"/>
            <w:vAlign w:val="bottom"/>
            <w:shd w:val="clear" w:color="auto" w:fill="E5EEF8"/>
          </w:tcPr>
          <w:p>
            <w:pPr>
              <w:jc w:val="right"/>
              <w:ind w:right="70"/>
              <w:spacing w:after="0"/>
              <w:rPr>
                <w:sz w:val="20"/>
                <w:szCs w:val="20"/>
                <w:color w:val="auto"/>
              </w:rPr>
            </w:pPr>
            <w:r>
              <w:rPr>
                <w:rFonts w:ascii="Arial" w:cs="Arial" w:eastAsia="Arial" w:hAnsi="Arial"/>
                <w:sz w:val="14"/>
                <w:szCs w:val="14"/>
                <w:color w:val="auto"/>
              </w:rPr>
              <w:t>1,565,625</w:t>
            </w:r>
          </w:p>
        </w:tc>
        <w:tc>
          <w:tcPr>
            <w:tcW w:w="840" w:type="dxa"/>
            <w:vAlign w:val="bottom"/>
            <w:shd w:val="clear" w:color="auto" w:fill="E5EEF8"/>
          </w:tcPr>
          <w:p>
            <w:pPr>
              <w:spacing w:after="0"/>
              <w:rPr>
                <w:sz w:val="18"/>
                <w:szCs w:val="18"/>
                <w:color w:val="auto"/>
              </w:rPr>
            </w:pPr>
          </w:p>
        </w:tc>
        <w:tc>
          <w:tcPr>
            <w:tcW w:w="560" w:type="dxa"/>
            <w:vAlign w:val="bottom"/>
            <w:shd w:val="clear" w:color="auto" w:fill="E5EEF8"/>
          </w:tcPr>
          <w:p>
            <w:pPr>
              <w:spacing w:after="0"/>
              <w:rPr>
                <w:sz w:val="18"/>
                <w:szCs w:val="18"/>
                <w:color w:val="auto"/>
              </w:rPr>
            </w:pPr>
          </w:p>
        </w:tc>
        <w:tc>
          <w:tcPr>
            <w:tcW w:w="800" w:type="dxa"/>
            <w:vAlign w:val="bottom"/>
            <w:shd w:val="clear" w:color="auto" w:fill="E5EEF8"/>
          </w:tcPr>
          <w:p>
            <w:pPr>
              <w:spacing w:after="0"/>
              <w:rPr>
                <w:sz w:val="18"/>
                <w:szCs w:val="18"/>
                <w:color w:val="auto"/>
              </w:rPr>
            </w:pPr>
          </w:p>
        </w:tc>
        <w:tc>
          <w:tcPr>
            <w:tcW w:w="2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18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420" w:type="dxa"/>
            <w:vAlign w:val="bottom"/>
            <w:shd w:val="clear" w:color="auto" w:fill="E5EEF8"/>
          </w:tcPr>
          <w:p>
            <w:pPr>
              <w:spacing w:after="0"/>
              <w:rPr>
                <w:sz w:val="3"/>
                <w:szCs w:val="3"/>
                <w:color w:val="auto"/>
              </w:rPr>
            </w:pPr>
          </w:p>
        </w:tc>
        <w:tc>
          <w:tcPr>
            <w:tcW w:w="120" w:type="dxa"/>
            <w:vAlign w:val="bottom"/>
            <w:shd w:val="clear" w:color="auto" w:fill="E5EEF8"/>
          </w:tcPr>
          <w:p>
            <w:pPr>
              <w:spacing w:after="0"/>
              <w:rPr>
                <w:sz w:val="3"/>
                <w:szCs w:val="3"/>
                <w:color w:val="auto"/>
              </w:rPr>
            </w:pPr>
          </w:p>
        </w:tc>
        <w:tc>
          <w:tcPr>
            <w:tcW w:w="1000" w:type="dxa"/>
            <w:vAlign w:val="bottom"/>
            <w:shd w:val="clear" w:color="auto" w:fill="E5EEF8"/>
          </w:tcPr>
          <w:p>
            <w:pPr>
              <w:spacing w:after="0"/>
              <w:rPr>
                <w:sz w:val="3"/>
                <w:szCs w:val="3"/>
                <w:color w:val="auto"/>
              </w:rPr>
            </w:pPr>
          </w:p>
        </w:tc>
        <w:tc>
          <w:tcPr>
            <w:tcW w:w="860" w:type="dxa"/>
            <w:vAlign w:val="bottom"/>
            <w:shd w:val="clear" w:color="auto" w:fill="E5EEF8"/>
          </w:tcPr>
          <w:p>
            <w:pPr>
              <w:spacing w:after="0"/>
              <w:rPr>
                <w:sz w:val="3"/>
                <w:szCs w:val="3"/>
                <w:color w:val="auto"/>
              </w:rPr>
            </w:pPr>
          </w:p>
        </w:tc>
        <w:tc>
          <w:tcPr>
            <w:tcW w:w="880" w:type="dxa"/>
            <w:vAlign w:val="bottom"/>
            <w:shd w:val="clear" w:color="auto" w:fill="E5EEF8"/>
          </w:tcPr>
          <w:p>
            <w:pPr>
              <w:spacing w:after="0"/>
              <w:rPr>
                <w:sz w:val="3"/>
                <w:szCs w:val="3"/>
                <w:color w:val="auto"/>
              </w:rPr>
            </w:pPr>
          </w:p>
        </w:tc>
        <w:tc>
          <w:tcPr>
            <w:tcW w:w="900" w:type="dxa"/>
            <w:vAlign w:val="bottom"/>
            <w:shd w:val="clear" w:color="auto" w:fill="E5EEF8"/>
          </w:tcPr>
          <w:p>
            <w:pPr>
              <w:spacing w:after="0"/>
              <w:rPr>
                <w:sz w:val="3"/>
                <w:szCs w:val="3"/>
                <w:color w:val="auto"/>
              </w:rPr>
            </w:pPr>
          </w:p>
        </w:tc>
        <w:tc>
          <w:tcPr>
            <w:tcW w:w="840" w:type="dxa"/>
            <w:vAlign w:val="bottom"/>
            <w:shd w:val="clear" w:color="auto" w:fill="E5EEF8"/>
          </w:tcPr>
          <w:p>
            <w:pPr>
              <w:spacing w:after="0"/>
              <w:rPr>
                <w:sz w:val="3"/>
                <w:szCs w:val="3"/>
                <w:color w:val="auto"/>
              </w:rPr>
            </w:pPr>
          </w:p>
        </w:tc>
        <w:tc>
          <w:tcPr>
            <w:tcW w:w="560" w:type="dxa"/>
            <w:vAlign w:val="bottom"/>
            <w:shd w:val="clear" w:color="auto" w:fill="E5EEF8"/>
          </w:tcPr>
          <w:p>
            <w:pPr>
              <w:spacing w:after="0"/>
              <w:rPr>
                <w:sz w:val="3"/>
                <w:szCs w:val="3"/>
                <w:color w:val="auto"/>
              </w:rPr>
            </w:pPr>
          </w:p>
        </w:tc>
        <w:tc>
          <w:tcPr>
            <w:tcW w:w="800" w:type="dxa"/>
            <w:vAlign w:val="bottom"/>
            <w:shd w:val="clear" w:color="auto" w:fill="E5EEF8"/>
          </w:tcPr>
          <w:p>
            <w:pPr>
              <w:spacing w:after="0"/>
              <w:rPr>
                <w:sz w:val="3"/>
                <w:szCs w:val="3"/>
                <w:color w:val="auto"/>
              </w:rPr>
            </w:pPr>
          </w:p>
        </w:tc>
        <w:tc>
          <w:tcPr>
            <w:tcW w:w="240" w:type="dxa"/>
            <w:vAlign w:val="bottom"/>
            <w:shd w:val="clear" w:color="auto" w:fill="E5EEF8"/>
          </w:tcPr>
          <w:p>
            <w:pPr>
              <w:spacing w:after="0"/>
              <w:rPr>
                <w:sz w:val="3"/>
                <w:szCs w:val="3"/>
                <w:color w:val="auto"/>
              </w:rPr>
            </w:pPr>
          </w:p>
        </w:tc>
        <w:tc>
          <w:tcPr>
            <w:tcW w:w="1300" w:type="dxa"/>
            <w:vAlign w:val="bottom"/>
            <w:shd w:val="clear" w:color="auto" w:fill="E5EEF8"/>
          </w:tcPr>
          <w:p>
            <w:pPr>
              <w:spacing w:after="0"/>
              <w:rPr>
                <w:sz w:val="3"/>
                <w:szCs w:val="3"/>
                <w:color w:val="auto"/>
              </w:rPr>
            </w:pPr>
          </w:p>
        </w:tc>
        <w:tc>
          <w:tcPr>
            <w:tcW w:w="1180" w:type="dxa"/>
            <w:vAlign w:val="bottom"/>
            <w:shd w:val="clear" w:color="auto" w:fill="E5EEF8"/>
          </w:tcPr>
          <w:p>
            <w:pPr>
              <w:spacing w:after="0"/>
              <w:rPr>
                <w:sz w:val="3"/>
                <w:szCs w:val="3"/>
                <w:color w:val="auto"/>
              </w:rPr>
            </w:pPr>
          </w:p>
        </w:tc>
        <w:tc>
          <w:tcPr>
            <w:tcW w:w="920" w:type="dxa"/>
            <w:vAlign w:val="bottom"/>
            <w:shd w:val="clear" w:color="auto" w:fill="E5EEF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40" w:right="20" w:hanging="424"/>
        <w:spacing w:after="0" w:line="204" w:lineRule="auto"/>
        <w:tabs>
          <w:tab w:leader="none" w:pos="54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For an explanation of the material terms, refer to the CD&amp;A section above captioned “Analysis of 2024 Compensation—Annual Cash Incentive.” Amounts paid under this program for 2024 are set forth in the 2024 Summary Compensation Table.</w:t>
      </w:r>
    </w:p>
    <w:p>
      <w:pPr>
        <w:spacing w:after="0" w:line="53" w:lineRule="exact"/>
        <w:rPr>
          <w:rFonts w:ascii="Arial" w:cs="Arial" w:eastAsia="Arial" w:hAnsi="Arial"/>
          <w:sz w:val="22"/>
          <w:szCs w:val="22"/>
          <w:color w:val="auto"/>
          <w:vertAlign w:val="superscript"/>
        </w:rPr>
      </w:pPr>
    </w:p>
    <w:p>
      <w:pPr>
        <w:jc w:val="both"/>
        <w:ind w:left="540" w:right="20" w:hanging="424"/>
        <w:spacing w:after="0"/>
        <w:tabs>
          <w:tab w:leader="none" w:pos="54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performance restricted stock units awarded to the named executive officers generally vest in March 2027. All awards are subject to the performance criteria described in the CD&amp;A under “Analysis of 2024 Compensation—Long-Term Stock Incentives.” The threshold payout represents the number of shares that would vest upon the satisfaction of the threshold level of performance for the performance criteria. The maximum payout represents the number of shares that would vest upon the satisfaction of the maximum performance for the performance criteria. Dividend equivalents on restricted stock units will be paid only if the shares are earned by performance.</w:t>
      </w:r>
    </w:p>
    <w:p>
      <w:pPr>
        <w:spacing w:after="0" w:line="155"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stock options awarded to the named executive officers generally vest in March 2027. All stock options expire on the tenth anniversary of the grant. The exercise price of the stock options is 100% of the fair market value of our common stock on the date of grant.</w:t>
      </w:r>
    </w:p>
    <w:p>
      <w:pPr>
        <w:ind w:left="540" w:hanging="424"/>
        <w:spacing w:after="0" w:line="230" w:lineRule="auto"/>
        <w:tabs>
          <w:tab w:leader="none" w:pos="54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dollar values reflect the grant date fair value of the awards as calculated in accordance with ASC Topic 718.</w:t>
      </w:r>
    </w:p>
    <w:p>
      <w:pPr>
        <w:spacing w:after="0" w:line="6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-77470</wp:posOffset>
            </wp:positionV>
            <wp:extent cx="8255" cy="282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-635</wp:posOffset>
            </wp:positionV>
            <wp:extent cx="42037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ind w:left="6740"/>
        <w:spacing w:after="0" w:line="181" w:lineRule="auto"/>
        <w:tabs>
          <w:tab w:leader="none" w:pos="10820" w:val="left"/>
        </w:tabs>
        <w:rPr>
          <w:sz w:val="20"/>
          <w:szCs w:val="20"/>
          <w:color w:val="auto"/>
        </w:rPr>
      </w:pPr>
      <w:r>
        <w:rPr>
          <w:rFonts w:ascii="Arial" w:cs="Arial" w:eastAsia="Arial" w:hAnsi="Arial"/>
          <w:sz w:val="14"/>
          <w:szCs w:val="14"/>
          <w:b w:val="1"/>
          <w:bCs w:val="1"/>
          <w:color w:val="005CB9"/>
        </w:rPr>
        <w:t>   Roper Technologies, Inc. 2025 Proxy Statement</w:t>
      </w:r>
      <w:r>
        <w:rPr>
          <w:sz w:val="20"/>
          <w:szCs w:val="20"/>
          <w:color w:val="auto"/>
        </w:rPr>
        <w:tab/>
      </w:r>
      <w:r>
        <w:rPr>
          <w:rFonts w:ascii="Arial" w:cs="Arial" w:eastAsia="Arial" w:hAnsi="Arial"/>
          <w:sz w:val="14"/>
          <w:szCs w:val="14"/>
          <w:b w:val="1"/>
          <w:bCs w:val="1"/>
          <w:color w:val="005CB9"/>
        </w:rPr>
        <w:t>   43</w:t>
      </w:r>
    </w:p>
    <w:p>
      <w:pPr>
        <w:ind w:left="594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Outstanding Equity Awards at Fiscal Year End</w:t>
      </w:r>
    </w:p>
    <w:p>
      <w:pPr>
        <w:spacing w:after="0" w:line="9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following table sets forth certain information with respect to outstanding equity awards at December 31, 2024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128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11670" cy="1285875"/>
                    </a:xfrm>
                    <a:prstGeom prst="rect">
                      <a:avLst/>
                    </a:prstGeom>
                    <a:noFill/>
                  </pic:spPr>
                </pic:pic>
              </a:graphicData>
            </a:graphic>
          </wp:anchor>
        </w:drawing>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320" w:type="dxa"/>
            <w:vAlign w:val="bottom"/>
            <w:shd w:val="clear" w:color="auto" w:fill="005CB9"/>
          </w:tcPr>
          <w:p>
            <w:pPr>
              <w:spacing w:after="0"/>
              <w:rPr>
                <w:sz w:val="16"/>
                <w:szCs w:val="16"/>
                <w:color w:val="auto"/>
              </w:rPr>
            </w:pPr>
          </w:p>
        </w:tc>
        <w:tc>
          <w:tcPr>
            <w:tcW w:w="1300" w:type="dxa"/>
            <w:vAlign w:val="bottom"/>
            <w:shd w:val="clear" w:color="auto" w:fill="005CB9"/>
          </w:tcPr>
          <w:p>
            <w:pPr>
              <w:spacing w:after="0"/>
              <w:rPr>
                <w:sz w:val="16"/>
                <w:szCs w:val="16"/>
                <w:color w:val="auto"/>
              </w:rPr>
            </w:pPr>
          </w:p>
        </w:tc>
        <w:tc>
          <w:tcPr>
            <w:tcW w:w="15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Option Awards</w:t>
            </w:r>
          </w:p>
        </w:tc>
        <w:tc>
          <w:tcPr>
            <w:tcW w:w="700" w:type="dxa"/>
            <w:vAlign w:val="bottom"/>
            <w:shd w:val="clear" w:color="auto" w:fill="005CB9"/>
          </w:tcPr>
          <w:p>
            <w:pPr>
              <w:spacing w:after="0"/>
              <w:rPr>
                <w:sz w:val="16"/>
                <w:szCs w:val="16"/>
                <w:color w:val="auto"/>
              </w:rPr>
            </w:pPr>
          </w:p>
        </w:tc>
        <w:tc>
          <w:tcPr>
            <w:tcW w:w="1000" w:type="dxa"/>
            <w:vAlign w:val="bottom"/>
            <w:shd w:val="clear" w:color="auto" w:fill="005CB9"/>
          </w:tcPr>
          <w:p>
            <w:pPr>
              <w:spacing w:after="0"/>
              <w:rPr>
                <w:sz w:val="16"/>
                <w:szCs w:val="16"/>
                <w:color w:val="auto"/>
              </w:rPr>
            </w:pPr>
          </w:p>
        </w:tc>
        <w:tc>
          <w:tcPr>
            <w:tcW w:w="1020" w:type="dxa"/>
            <w:vAlign w:val="bottom"/>
            <w:shd w:val="clear" w:color="auto" w:fill="005CB9"/>
          </w:tcPr>
          <w:p>
            <w:pPr>
              <w:spacing w:after="0"/>
              <w:rPr>
                <w:sz w:val="16"/>
                <w:szCs w:val="16"/>
                <w:color w:val="auto"/>
              </w:rPr>
            </w:pPr>
          </w:p>
        </w:tc>
        <w:tc>
          <w:tcPr>
            <w:tcW w:w="1000" w:type="dxa"/>
            <w:vAlign w:val="bottom"/>
            <w:shd w:val="clear" w:color="auto" w:fill="005CB9"/>
          </w:tcPr>
          <w:p>
            <w:pPr>
              <w:spacing w:after="0"/>
              <w:rPr>
                <w:sz w:val="16"/>
                <w:szCs w:val="16"/>
                <w:color w:val="auto"/>
              </w:rPr>
            </w:pPr>
          </w:p>
        </w:tc>
        <w:tc>
          <w:tcPr>
            <w:tcW w:w="1320" w:type="dxa"/>
            <w:vAlign w:val="bottom"/>
            <w:shd w:val="clear" w:color="auto" w:fill="005CB9"/>
          </w:tcPr>
          <w:p>
            <w:pPr>
              <w:jc w:val="right"/>
              <w:ind w:right="231"/>
              <w:spacing w:after="0"/>
              <w:rPr>
                <w:sz w:val="20"/>
                <w:szCs w:val="20"/>
                <w:color w:val="auto"/>
              </w:rPr>
            </w:pPr>
            <w:r>
              <w:rPr>
                <w:rFonts w:ascii="Arial" w:cs="Arial" w:eastAsia="Arial" w:hAnsi="Arial"/>
                <w:sz w:val="14"/>
                <w:szCs w:val="14"/>
                <w:color w:val="FFFFFF"/>
              </w:rPr>
              <w:t>Stock Awards</w:t>
            </w:r>
          </w:p>
        </w:tc>
        <w:tc>
          <w:tcPr>
            <w:tcW w:w="400" w:type="dxa"/>
            <w:vAlign w:val="bottom"/>
            <w:shd w:val="clear" w:color="auto" w:fill="005CB9"/>
          </w:tcPr>
          <w:p>
            <w:pPr>
              <w:spacing w:after="0"/>
              <w:rPr>
                <w:sz w:val="16"/>
                <w:szCs w:val="16"/>
                <w:color w:val="auto"/>
              </w:rPr>
            </w:pPr>
          </w:p>
        </w:tc>
        <w:tc>
          <w:tcPr>
            <w:tcW w:w="1440" w:type="dxa"/>
            <w:vAlign w:val="bottom"/>
            <w:shd w:val="clear" w:color="auto" w:fill="005CB9"/>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1320" w:type="dxa"/>
            <w:vAlign w:val="bottom"/>
            <w:shd w:val="clear" w:color="auto" w:fill="005CB9"/>
          </w:tcPr>
          <w:p>
            <w:pPr>
              <w:spacing w:after="0"/>
              <w:rPr>
                <w:sz w:val="13"/>
                <w:szCs w:val="13"/>
                <w:color w:val="auto"/>
              </w:rPr>
            </w:pPr>
          </w:p>
        </w:tc>
        <w:tc>
          <w:tcPr>
            <w:tcW w:w="1300" w:type="dxa"/>
            <w:vAlign w:val="bottom"/>
            <w:shd w:val="clear" w:color="auto" w:fill="005CB9"/>
          </w:tcPr>
          <w:p>
            <w:pPr>
              <w:spacing w:after="0"/>
              <w:rPr>
                <w:sz w:val="13"/>
                <w:szCs w:val="13"/>
                <w:color w:val="auto"/>
              </w:rPr>
            </w:pPr>
          </w:p>
        </w:tc>
        <w:tc>
          <w:tcPr>
            <w:tcW w:w="15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102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1320" w:type="dxa"/>
            <w:vAlign w:val="bottom"/>
            <w:shd w:val="clear" w:color="auto" w:fill="005CB9"/>
          </w:tcPr>
          <w:p>
            <w:pPr>
              <w:jc w:val="right"/>
              <w:spacing w:after="0" w:line="153" w:lineRule="exact"/>
              <w:rPr>
                <w:sz w:val="20"/>
                <w:szCs w:val="20"/>
                <w:color w:val="auto"/>
              </w:rPr>
            </w:pPr>
            <w:r>
              <w:rPr>
                <w:rFonts w:ascii="Arial" w:cs="Arial" w:eastAsia="Arial" w:hAnsi="Arial"/>
                <w:sz w:val="14"/>
                <w:szCs w:val="14"/>
                <w:color w:val="FFFFFF"/>
              </w:rPr>
              <w:t>Equity </w:t>
            </w:r>
          </w:p>
        </w:tc>
        <w:tc>
          <w:tcPr>
            <w:tcW w:w="400" w:type="dxa"/>
            <w:vAlign w:val="bottom"/>
            <w:shd w:val="clear" w:color="auto" w:fill="005CB9"/>
          </w:tcPr>
          <w:p>
            <w:pPr>
              <w:jc w:val="right"/>
              <w:ind w:right="148"/>
              <w:spacing w:after="0" w:line="153" w:lineRule="exact"/>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Incentive Plan 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Equity</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Market</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Awards: 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Incentive Plan</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Number of</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Value of</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Number of 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Awards: Market or</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Number of</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Number of</w:t>
            </w: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Shares</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Shares or</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Unearned 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Payout Value</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Securities</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Securities</w:t>
            </w: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or Units of</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Units of</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 Units 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of Unearned</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Underlying</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Underlying</w:t>
            </w: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Stock</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Stock</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or Other 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 Units or</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Unexercised</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Unexercised</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Option</w:t>
            </w:r>
          </w:p>
        </w:tc>
        <w:tc>
          <w:tcPr>
            <w:tcW w:w="10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Option</w:t>
            </w: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That Have</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That Have</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Rights That 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Other Rights that</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Options(#)</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Options(#)</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Exercise</w:t>
            </w:r>
          </w:p>
        </w:tc>
        <w:tc>
          <w:tcPr>
            <w:tcW w:w="10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Expiration</w:t>
            </w: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Not</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Not Vested</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Have Not 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Have Not Vested</w:t>
            </w:r>
          </w:p>
        </w:tc>
        <w:tc>
          <w:tcPr>
            <w:tcW w:w="20" w:type="dxa"/>
            <w:vAlign w:val="bottom"/>
          </w:tcPr>
          <w:p>
            <w:pPr>
              <w:spacing w:after="0"/>
              <w:rPr>
                <w:sz w:val="14"/>
                <w:szCs w:val="14"/>
                <w:color w:val="auto"/>
              </w:rPr>
            </w:pPr>
          </w:p>
        </w:tc>
      </w:tr>
      <w:tr>
        <w:trPr>
          <w:trHeight w:val="185"/>
        </w:trPr>
        <w:tc>
          <w:tcPr>
            <w:tcW w:w="132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Exercisable</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Unexercisable</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Price ($)</w:t>
            </w:r>
          </w:p>
        </w:tc>
        <w:tc>
          <w:tcPr>
            <w:tcW w:w="10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Date</w:t>
            </w: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Vested(#)</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xml:space="preserve">Vested(#)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r>
      <w:tr>
        <w:trPr>
          <w:trHeight w:val="68"/>
        </w:trPr>
        <w:tc>
          <w:tcPr>
            <w:tcW w:w="1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8"/>
        </w:trPr>
        <w:tc>
          <w:tcPr>
            <w:tcW w:w="1320" w:type="dxa"/>
            <w:vAlign w:val="bottom"/>
            <w:shd w:val="clear" w:color="auto" w:fill="E5EEF8"/>
          </w:tcPr>
          <w:p>
            <w:pPr>
              <w:ind w:left="60"/>
              <w:spacing w:after="0"/>
              <w:rPr>
                <w:sz w:val="20"/>
                <w:szCs w:val="20"/>
                <w:color w:val="auto"/>
              </w:rPr>
            </w:pPr>
            <w:r>
              <w:rPr>
                <w:rFonts w:ascii="Arial" w:cs="Arial" w:eastAsia="Arial" w:hAnsi="Arial"/>
                <w:sz w:val="14"/>
                <w:szCs w:val="14"/>
                <w:color w:val="auto"/>
              </w:rPr>
              <w:t>L. Neil Hunn</w:t>
            </w: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30,000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186.75</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11/17/2025</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40,000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185.42</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01/19/2027</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60,000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275.69</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01/19/2028</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60,000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270.30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01/15/2029</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57,068</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372.60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01/14/2030</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47,432</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413.15</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01/13/2031</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24"/>
        </w:trPr>
        <w:tc>
          <w:tcPr>
            <w:tcW w:w="1320" w:type="dxa"/>
            <w:vAlign w:val="bottom"/>
            <w:shd w:val="clear" w:color="auto" w:fill="E5EEF8"/>
          </w:tcPr>
          <w:p>
            <w:pPr>
              <w:spacing w:after="0"/>
              <w:rPr>
                <w:sz w:val="19"/>
                <w:szCs w:val="19"/>
                <w:color w:val="auto"/>
              </w:rPr>
            </w:pPr>
          </w:p>
        </w:tc>
        <w:tc>
          <w:tcPr>
            <w:tcW w:w="1300" w:type="dxa"/>
            <w:vAlign w:val="bottom"/>
            <w:shd w:val="clear" w:color="auto" w:fill="E5EEF8"/>
          </w:tcPr>
          <w:p>
            <w:pPr>
              <w:spacing w:after="0"/>
              <w:rPr>
                <w:sz w:val="19"/>
                <w:szCs w:val="19"/>
                <w:color w:val="auto"/>
              </w:rPr>
            </w:pPr>
          </w:p>
        </w:tc>
        <w:tc>
          <w:tcPr>
            <w:tcW w:w="1500" w:type="dxa"/>
            <w:vAlign w:val="bottom"/>
            <w:shd w:val="clear" w:color="auto" w:fill="E5EEF8"/>
          </w:tcPr>
          <w:p>
            <w:pPr>
              <w:jc w:val="right"/>
              <w:ind w:right="228"/>
              <w:spacing w:after="0" w:line="224" w:lineRule="exact"/>
              <w:rPr>
                <w:sz w:val="20"/>
                <w:szCs w:val="20"/>
                <w:color w:val="auto"/>
              </w:rPr>
            </w:pPr>
            <w:r>
              <w:rPr>
                <w:rFonts w:ascii="Arial" w:cs="Arial" w:eastAsia="Arial" w:hAnsi="Arial"/>
                <w:sz w:val="14"/>
                <w:szCs w:val="14"/>
                <w:color w:val="auto"/>
              </w:rPr>
              <w:t>41,044</w:t>
            </w:r>
            <w:r>
              <w:rPr>
                <w:rFonts w:ascii="Arial" w:cs="Arial" w:eastAsia="Arial" w:hAnsi="Arial"/>
                <w:sz w:val="21"/>
                <w:szCs w:val="21"/>
                <w:color w:val="auto"/>
                <w:vertAlign w:val="superscript"/>
              </w:rPr>
              <w:t>(2)</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464.52</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01/12/2032</w:t>
            </w:r>
          </w:p>
        </w:tc>
        <w:tc>
          <w:tcPr>
            <w:tcW w:w="1020" w:type="dxa"/>
            <w:vAlign w:val="bottom"/>
            <w:shd w:val="clear" w:color="auto" w:fill="E5EEF8"/>
          </w:tcPr>
          <w:p>
            <w:pPr>
              <w:spacing w:after="0"/>
              <w:rPr>
                <w:sz w:val="19"/>
                <w:szCs w:val="19"/>
                <w:color w:val="auto"/>
              </w:rPr>
            </w:pPr>
          </w:p>
        </w:tc>
        <w:tc>
          <w:tcPr>
            <w:tcW w:w="1000" w:type="dxa"/>
            <w:vAlign w:val="bottom"/>
            <w:shd w:val="clear" w:color="auto" w:fill="E5EEF8"/>
          </w:tcPr>
          <w:p>
            <w:pPr>
              <w:spacing w:after="0"/>
              <w:rPr>
                <w:sz w:val="19"/>
                <w:szCs w:val="19"/>
                <w:color w:val="auto"/>
              </w:rPr>
            </w:pPr>
          </w:p>
        </w:tc>
        <w:tc>
          <w:tcPr>
            <w:tcW w:w="1320" w:type="dxa"/>
            <w:vAlign w:val="bottom"/>
            <w:shd w:val="clear" w:color="auto" w:fill="E5EEF8"/>
          </w:tcPr>
          <w:p>
            <w:pPr>
              <w:spacing w:after="0"/>
              <w:rPr>
                <w:sz w:val="19"/>
                <w:szCs w:val="19"/>
                <w:color w:val="auto"/>
              </w:rPr>
            </w:pPr>
          </w:p>
        </w:tc>
        <w:tc>
          <w:tcPr>
            <w:tcW w:w="400" w:type="dxa"/>
            <w:vAlign w:val="bottom"/>
            <w:shd w:val="clear" w:color="auto" w:fill="E5EEF8"/>
          </w:tcPr>
          <w:p>
            <w:pPr>
              <w:spacing w:after="0"/>
              <w:rPr>
                <w:sz w:val="19"/>
                <w:szCs w:val="19"/>
                <w:color w:val="auto"/>
              </w:rPr>
            </w:pPr>
          </w:p>
        </w:tc>
        <w:tc>
          <w:tcPr>
            <w:tcW w:w="1440" w:type="dxa"/>
            <w:vAlign w:val="bottom"/>
            <w:shd w:val="clear" w:color="auto" w:fill="E5EEF8"/>
          </w:tcPr>
          <w:p>
            <w:pPr>
              <w:spacing w:after="0"/>
              <w:rPr>
                <w:sz w:val="19"/>
                <w:szCs w:val="19"/>
                <w:color w:val="auto"/>
              </w:rPr>
            </w:pPr>
          </w:p>
        </w:tc>
        <w:tc>
          <w:tcPr>
            <w:tcW w:w="20" w:type="dxa"/>
            <w:vAlign w:val="bottom"/>
            <w:shd w:val="clear" w:color="auto" w:fill="E5EEF8"/>
          </w:tcPr>
          <w:p>
            <w:pPr>
              <w:spacing w:after="0"/>
              <w:rPr>
                <w:sz w:val="19"/>
                <w:szCs w:val="19"/>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35,928</w:t>
            </w:r>
            <w:r>
              <w:rPr>
                <w:rFonts w:ascii="Arial" w:cs="Arial" w:eastAsia="Arial" w:hAnsi="Arial"/>
                <w:sz w:val="21"/>
                <w:szCs w:val="21"/>
                <w:color w:val="auto"/>
                <w:vertAlign w:val="superscript"/>
              </w:rPr>
              <w:t>(3)</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428.07</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03/14/2033</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27,875</w:t>
            </w:r>
            <w:r>
              <w:rPr>
                <w:rFonts w:ascii="Arial" w:cs="Arial" w:eastAsia="Arial" w:hAnsi="Arial"/>
                <w:sz w:val="21"/>
                <w:szCs w:val="21"/>
                <w:color w:val="auto"/>
                <w:vertAlign w:val="superscript"/>
              </w:rPr>
              <w:t>(4)</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555.20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03/12/2034</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720" w:type="dxa"/>
            <w:vAlign w:val="bottom"/>
            <w:gridSpan w:val="2"/>
            <w:shd w:val="clear" w:color="auto" w:fill="E5EEF8"/>
          </w:tcPr>
          <w:p>
            <w:pPr>
              <w:jc w:val="right"/>
              <w:ind w:right="168"/>
              <w:spacing w:after="0" w:line="216" w:lineRule="exact"/>
              <w:rPr>
                <w:sz w:val="20"/>
                <w:szCs w:val="20"/>
                <w:color w:val="auto"/>
              </w:rPr>
            </w:pPr>
            <w:r>
              <w:rPr>
                <w:rFonts w:ascii="Arial" w:cs="Arial" w:eastAsia="Arial" w:hAnsi="Arial"/>
                <w:sz w:val="25"/>
                <w:szCs w:val="25"/>
                <w:color w:val="auto"/>
                <w:vertAlign w:val="subscript"/>
              </w:rPr>
              <w:t>59,202</w:t>
            </w:r>
            <w:r>
              <w:rPr>
                <w:rFonts w:ascii="Arial" w:cs="Arial" w:eastAsia="Arial" w:hAnsi="Arial"/>
                <w:sz w:val="10"/>
                <w:szCs w:val="10"/>
                <w:color w:val="auto"/>
              </w:rPr>
              <w:t>(5)(8)</w:t>
            </w:r>
          </w:p>
        </w:tc>
        <w:tc>
          <w:tcPr>
            <w:tcW w:w="14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30,776,160</w:t>
            </w:r>
          </w:p>
        </w:tc>
        <w:tc>
          <w:tcPr>
            <w:tcW w:w="20" w:type="dxa"/>
            <w:vAlign w:val="bottom"/>
            <w:shd w:val="clear" w:color="auto" w:fill="E5EEF8"/>
          </w:tcPr>
          <w:p>
            <w:pPr>
              <w:spacing w:after="0"/>
              <w:rPr>
                <w:sz w:val="18"/>
                <w:szCs w:val="18"/>
                <w:color w:val="auto"/>
              </w:rPr>
            </w:pPr>
          </w:p>
        </w:tc>
      </w:tr>
      <w:tr>
        <w:trPr>
          <w:trHeight w:val="208"/>
        </w:trPr>
        <w:tc>
          <w:tcPr>
            <w:tcW w:w="1320" w:type="dxa"/>
            <w:vAlign w:val="bottom"/>
          </w:tcPr>
          <w:p>
            <w:pPr>
              <w:ind w:left="60"/>
              <w:spacing w:after="0"/>
              <w:rPr>
                <w:sz w:val="20"/>
                <w:szCs w:val="20"/>
                <w:color w:val="auto"/>
              </w:rPr>
            </w:pPr>
            <w:r>
              <w:rPr>
                <w:rFonts w:ascii="Arial" w:cs="Arial" w:eastAsia="Arial" w:hAnsi="Arial"/>
                <w:sz w:val="14"/>
                <w:szCs w:val="14"/>
                <w:color w:val="auto"/>
              </w:rPr>
              <w:t>Jason P. Conley</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165.97</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03/11/2025</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170.61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03/09/2026</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185.42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01/19/2027</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275.69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01/19/2028</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14,300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270.30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01/15/2029</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11,078</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372.60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01/14/2030</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9,111</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413.15</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01/13/2031</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jc w:val="right"/>
              <w:ind w:right="228"/>
              <w:spacing w:after="0" w:line="224" w:lineRule="exact"/>
              <w:rPr>
                <w:sz w:val="20"/>
                <w:szCs w:val="20"/>
                <w:color w:val="auto"/>
              </w:rPr>
            </w:pPr>
            <w:r>
              <w:rPr>
                <w:rFonts w:ascii="Arial" w:cs="Arial" w:eastAsia="Arial" w:hAnsi="Arial"/>
                <w:sz w:val="14"/>
                <w:szCs w:val="14"/>
                <w:color w:val="auto"/>
              </w:rPr>
              <w:t>7,753</w:t>
            </w:r>
            <w:r>
              <w:rPr>
                <w:rFonts w:ascii="Arial" w:cs="Arial" w:eastAsia="Arial" w:hAnsi="Arial"/>
                <w:sz w:val="21"/>
                <w:szCs w:val="21"/>
                <w:color w:val="auto"/>
                <w:vertAlign w:val="superscript"/>
              </w:rPr>
              <w:t>(2)</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464.52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01/12/2032</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228"/>
              <w:spacing w:after="0" w:line="216" w:lineRule="exact"/>
              <w:rPr>
                <w:sz w:val="20"/>
                <w:szCs w:val="20"/>
                <w:color w:val="auto"/>
              </w:rPr>
            </w:pPr>
            <w:r>
              <w:rPr>
                <w:rFonts w:ascii="Arial" w:cs="Arial" w:eastAsia="Arial" w:hAnsi="Arial"/>
                <w:sz w:val="14"/>
                <w:szCs w:val="14"/>
                <w:color w:val="auto"/>
              </w:rPr>
              <w:t>9,696</w:t>
            </w:r>
            <w:r>
              <w:rPr>
                <w:rFonts w:ascii="Arial" w:cs="Arial" w:eastAsia="Arial" w:hAnsi="Arial"/>
                <w:sz w:val="21"/>
                <w:szCs w:val="21"/>
                <w:color w:val="auto"/>
                <w:vertAlign w:val="superscript"/>
              </w:rPr>
              <w:t>(3)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428.07</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03/14/2033</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228"/>
              <w:spacing w:after="0" w:line="216" w:lineRule="exact"/>
              <w:rPr>
                <w:sz w:val="20"/>
                <w:szCs w:val="20"/>
                <w:color w:val="auto"/>
              </w:rPr>
            </w:pPr>
            <w:r>
              <w:rPr>
                <w:rFonts w:ascii="Arial" w:cs="Arial" w:eastAsia="Arial" w:hAnsi="Arial"/>
                <w:sz w:val="14"/>
                <w:szCs w:val="14"/>
                <w:color w:val="auto"/>
              </w:rPr>
              <w:t>8,626</w:t>
            </w:r>
            <w:r>
              <w:rPr>
                <w:rFonts w:ascii="Arial" w:cs="Arial" w:eastAsia="Arial" w:hAnsi="Arial"/>
                <w:sz w:val="21"/>
                <w:szCs w:val="21"/>
                <w:color w:val="auto"/>
                <w:vertAlign w:val="superscript"/>
              </w:rPr>
              <w:t>(4)</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555.20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03/12/2034</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2"/>
          </w:tcPr>
          <w:p>
            <w:pPr>
              <w:jc w:val="right"/>
              <w:ind w:right="168"/>
              <w:spacing w:after="0" w:line="216" w:lineRule="exact"/>
              <w:rPr>
                <w:sz w:val="20"/>
                <w:szCs w:val="20"/>
                <w:color w:val="auto"/>
              </w:rPr>
            </w:pPr>
            <w:r>
              <w:rPr>
                <w:rFonts w:ascii="Arial" w:cs="Arial" w:eastAsia="Arial" w:hAnsi="Arial"/>
                <w:sz w:val="25"/>
                <w:szCs w:val="25"/>
                <w:color w:val="auto"/>
                <w:vertAlign w:val="subscript"/>
              </w:rPr>
              <w:t>17,027</w:t>
            </w:r>
            <w:r>
              <w:rPr>
                <w:rFonts w:ascii="Arial" w:cs="Arial" w:eastAsia="Arial" w:hAnsi="Arial"/>
                <w:sz w:val="10"/>
                <w:szCs w:val="10"/>
                <w:color w:val="auto"/>
              </w:rPr>
              <w:t>(6)(8)</w:t>
            </w:r>
          </w:p>
        </w:tc>
        <w:tc>
          <w:tcPr>
            <w:tcW w:w="1440" w:type="dxa"/>
            <w:vAlign w:val="bottom"/>
          </w:tcPr>
          <w:p>
            <w:pPr>
              <w:jc w:val="right"/>
              <w:spacing w:after="0"/>
              <w:rPr>
                <w:sz w:val="20"/>
                <w:szCs w:val="20"/>
                <w:color w:val="auto"/>
              </w:rPr>
            </w:pPr>
            <w:r>
              <w:rPr>
                <w:rFonts w:ascii="Arial" w:cs="Arial" w:eastAsia="Arial" w:hAnsi="Arial"/>
                <w:sz w:val="14"/>
                <w:szCs w:val="14"/>
                <w:color w:val="auto"/>
              </w:rPr>
              <w:t>8,851,486</w:t>
            </w:r>
          </w:p>
        </w:tc>
        <w:tc>
          <w:tcPr>
            <w:tcW w:w="20" w:type="dxa"/>
            <w:vAlign w:val="bottom"/>
          </w:tcPr>
          <w:p>
            <w:pPr>
              <w:spacing w:after="0"/>
              <w:rPr>
                <w:sz w:val="18"/>
                <w:szCs w:val="18"/>
                <w:color w:val="auto"/>
              </w:rPr>
            </w:pPr>
          </w:p>
        </w:tc>
      </w:tr>
      <w:tr>
        <w:trPr>
          <w:trHeight w:val="208"/>
        </w:trPr>
        <w:tc>
          <w:tcPr>
            <w:tcW w:w="1320" w:type="dxa"/>
            <w:vAlign w:val="bottom"/>
            <w:shd w:val="clear" w:color="auto" w:fill="E5EEF8"/>
          </w:tcPr>
          <w:p>
            <w:pPr>
              <w:ind w:left="60"/>
              <w:spacing w:after="0"/>
              <w:rPr>
                <w:sz w:val="20"/>
                <w:szCs w:val="20"/>
                <w:color w:val="auto"/>
              </w:rPr>
            </w:pPr>
            <w:r>
              <w:rPr>
                <w:rFonts w:ascii="Arial" w:cs="Arial" w:eastAsia="Arial" w:hAnsi="Arial"/>
                <w:sz w:val="14"/>
                <w:szCs w:val="14"/>
                <w:color w:val="auto"/>
              </w:rPr>
              <w:t>John K. Stipancich</w:t>
            </w: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4,500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228.84</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06/09/2027</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15,000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275.69</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01/19/2028</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15,000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270.30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01/15/2029</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11,414</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372.60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01/14/2030</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9,647</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413.15</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01/13/2031</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24"/>
        </w:trPr>
        <w:tc>
          <w:tcPr>
            <w:tcW w:w="1320" w:type="dxa"/>
            <w:vAlign w:val="bottom"/>
            <w:shd w:val="clear" w:color="auto" w:fill="E5EEF8"/>
          </w:tcPr>
          <w:p>
            <w:pPr>
              <w:spacing w:after="0"/>
              <w:rPr>
                <w:sz w:val="19"/>
                <w:szCs w:val="19"/>
                <w:color w:val="auto"/>
              </w:rPr>
            </w:pPr>
          </w:p>
        </w:tc>
        <w:tc>
          <w:tcPr>
            <w:tcW w:w="1300" w:type="dxa"/>
            <w:vAlign w:val="bottom"/>
            <w:shd w:val="clear" w:color="auto" w:fill="E5EEF8"/>
          </w:tcPr>
          <w:p>
            <w:pPr>
              <w:spacing w:after="0"/>
              <w:rPr>
                <w:sz w:val="19"/>
                <w:szCs w:val="19"/>
                <w:color w:val="auto"/>
              </w:rPr>
            </w:pPr>
          </w:p>
        </w:tc>
        <w:tc>
          <w:tcPr>
            <w:tcW w:w="1500" w:type="dxa"/>
            <w:vAlign w:val="bottom"/>
            <w:shd w:val="clear" w:color="auto" w:fill="E5EEF8"/>
          </w:tcPr>
          <w:p>
            <w:pPr>
              <w:jc w:val="right"/>
              <w:ind w:right="228"/>
              <w:spacing w:after="0" w:line="224" w:lineRule="exact"/>
              <w:rPr>
                <w:sz w:val="20"/>
                <w:szCs w:val="20"/>
                <w:color w:val="auto"/>
              </w:rPr>
            </w:pPr>
            <w:r>
              <w:rPr>
                <w:rFonts w:ascii="Arial" w:cs="Arial" w:eastAsia="Arial" w:hAnsi="Arial"/>
                <w:sz w:val="14"/>
                <w:szCs w:val="14"/>
                <w:color w:val="auto"/>
              </w:rPr>
              <w:t>8,152</w:t>
            </w:r>
            <w:r>
              <w:rPr>
                <w:rFonts w:ascii="Arial" w:cs="Arial" w:eastAsia="Arial" w:hAnsi="Arial"/>
                <w:sz w:val="21"/>
                <w:szCs w:val="21"/>
                <w:color w:val="auto"/>
                <w:vertAlign w:val="superscript"/>
              </w:rPr>
              <w:t>(2)</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464.52</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01/12/2032</w:t>
            </w:r>
          </w:p>
        </w:tc>
        <w:tc>
          <w:tcPr>
            <w:tcW w:w="1020" w:type="dxa"/>
            <w:vAlign w:val="bottom"/>
            <w:shd w:val="clear" w:color="auto" w:fill="E5EEF8"/>
          </w:tcPr>
          <w:p>
            <w:pPr>
              <w:spacing w:after="0"/>
              <w:rPr>
                <w:sz w:val="19"/>
                <w:szCs w:val="19"/>
                <w:color w:val="auto"/>
              </w:rPr>
            </w:pPr>
          </w:p>
        </w:tc>
        <w:tc>
          <w:tcPr>
            <w:tcW w:w="1000" w:type="dxa"/>
            <w:vAlign w:val="bottom"/>
            <w:shd w:val="clear" w:color="auto" w:fill="E5EEF8"/>
          </w:tcPr>
          <w:p>
            <w:pPr>
              <w:spacing w:after="0"/>
              <w:rPr>
                <w:sz w:val="19"/>
                <w:szCs w:val="19"/>
                <w:color w:val="auto"/>
              </w:rPr>
            </w:pPr>
          </w:p>
        </w:tc>
        <w:tc>
          <w:tcPr>
            <w:tcW w:w="1320" w:type="dxa"/>
            <w:vAlign w:val="bottom"/>
            <w:shd w:val="clear" w:color="auto" w:fill="E5EEF8"/>
          </w:tcPr>
          <w:p>
            <w:pPr>
              <w:spacing w:after="0"/>
              <w:rPr>
                <w:sz w:val="19"/>
                <w:szCs w:val="19"/>
                <w:color w:val="auto"/>
              </w:rPr>
            </w:pPr>
          </w:p>
        </w:tc>
        <w:tc>
          <w:tcPr>
            <w:tcW w:w="400" w:type="dxa"/>
            <w:vAlign w:val="bottom"/>
            <w:shd w:val="clear" w:color="auto" w:fill="E5EEF8"/>
          </w:tcPr>
          <w:p>
            <w:pPr>
              <w:spacing w:after="0"/>
              <w:rPr>
                <w:sz w:val="19"/>
                <w:szCs w:val="19"/>
                <w:color w:val="auto"/>
              </w:rPr>
            </w:pPr>
          </w:p>
        </w:tc>
        <w:tc>
          <w:tcPr>
            <w:tcW w:w="1440" w:type="dxa"/>
            <w:vAlign w:val="bottom"/>
            <w:shd w:val="clear" w:color="auto" w:fill="E5EEF8"/>
          </w:tcPr>
          <w:p>
            <w:pPr>
              <w:spacing w:after="0"/>
              <w:rPr>
                <w:sz w:val="19"/>
                <w:szCs w:val="19"/>
                <w:color w:val="auto"/>
              </w:rPr>
            </w:pPr>
          </w:p>
        </w:tc>
        <w:tc>
          <w:tcPr>
            <w:tcW w:w="20" w:type="dxa"/>
            <w:vAlign w:val="bottom"/>
            <w:shd w:val="clear" w:color="auto" w:fill="E5EEF8"/>
          </w:tcPr>
          <w:p>
            <w:pPr>
              <w:spacing w:after="0"/>
              <w:rPr>
                <w:sz w:val="19"/>
                <w:szCs w:val="19"/>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8,920</w:t>
            </w:r>
            <w:r>
              <w:rPr>
                <w:rFonts w:ascii="Arial" w:cs="Arial" w:eastAsia="Arial" w:hAnsi="Arial"/>
                <w:sz w:val="21"/>
                <w:szCs w:val="21"/>
                <w:color w:val="auto"/>
                <w:vertAlign w:val="superscript"/>
              </w:rPr>
              <w:t>(3)</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428.07</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03/14/2033</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8,051</w:t>
            </w:r>
            <w:r>
              <w:rPr>
                <w:rFonts w:ascii="Arial" w:cs="Arial" w:eastAsia="Arial" w:hAnsi="Arial"/>
                <w:sz w:val="21"/>
                <w:szCs w:val="21"/>
                <w:color w:val="auto"/>
                <w:vertAlign w:val="superscript"/>
              </w:rPr>
              <w:t>(4)</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555.20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03/12/2034</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720" w:type="dxa"/>
            <w:vAlign w:val="bottom"/>
            <w:gridSpan w:val="2"/>
            <w:shd w:val="clear" w:color="auto" w:fill="E5EEF8"/>
          </w:tcPr>
          <w:p>
            <w:pPr>
              <w:jc w:val="right"/>
              <w:ind w:right="168"/>
              <w:spacing w:after="0" w:line="216" w:lineRule="exact"/>
              <w:rPr>
                <w:sz w:val="20"/>
                <w:szCs w:val="20"/>
                <w:color w:val="auto"/>
              </w:rPr>
            </w:pPr>
            <w:r>
              <w:rPr>
                <w:rFonts w:ascii="Arial" w:cs="Arial" w:eastAsia="Arial" w:hAnsi="Arial"/>
                <w:sz w:val="14"/>
                <w:szCs w:val="14"/>
                <w:color w:val="auto"/>
              </w:rPr>
              <w:t>15,774</w:t>
            </w:r>
            <w:r>
              <w:rPr>
                <w:rFonts w:ascii="Arial" w:cs="Arial" w:eastAsia="Arial" w:hAnsi="Arial"/>
                <w:sz w:val="21"/>
                <w:szCs w:val="21"/>
                <w:color w:val="auto"/>
                <w:vertAlign w:val="superscript"/>
              </w:rPr>
              <w:t>(7)(8)</w:t>
            </w:r>
          </w:p>
        </w:tc>
        <w:tc>
          <w:tcPr>
            <w:tcW w:w="14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8,200,114</w:t>
            </w:r>
          </w:p>
        </w:tc>
        <w:tc>
          <w:tcPr>
            <w:tcW w:w="20" w:type="dxa"/>
            <w:vAlign w:val="bottom"/>
            <w:shd w:val="clear" w:color="auto" w:fill="E5EEF8"/>
          </w:tcPr>
          <w:p>
            <w:pPr>
              <w:spacing w:after="0"/>
              <w:rPr>
                <w:sz w:val="18"/>
                <w:szCs w:val="18"/>
                <w:color w:val="auto"/>
              </w:rPr>
            </w:pPr>
          </w:p>
        </w:tc>
      </w:tr>
    </w:tbl>
    <w:p>
      <w:pPr>
        <w:spacing w:after="0" w:line="72" w:lineRule="exact"/>
        <w:rPr>
          <w:sz w:val="20"/>
          <w:szCs w:val="20"/>
          <w:color w:val="auto"/>
        </w:rPr>
      </w:pPr>
    </w:p>
    <w:p>
      <w:pPr>
        <w:ind w:left="540" w:right="20" w:hanging="424"/>
        <w:spacing w:after="0" w:line="204" w:lineRule="auto"/>
        <w:tabs>
          <w:tab w:leader="none" w:pos="5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$519.85, the closing market price of our common stock on December 31, 2024, by the number of restricted shares and restricted stock units that have not vested.</w:t>
      </w:r>
    </w:p>
    <w:p>
      <w:pPr>
        <w:ind w:left="540" w:hanging="424"/>
        <w:spacing w:after="0" w:line="230" w:lineRule="auto"/>
        <w:tabs>
          <w:tab w:leader="none" w:pos="5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These stock options were granted on January 12, 2022 with unexercisable shares vesting in January 2025.</w:t>
      </w:r>
    </w:p>
    <w:p>
      <w:pPr>
        <w:spacing w:after="0" w:line="67"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54"/>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March 14, 2023 with unexercisable shares vesting in March 2026.</w:t>
      </w:r>
    </w:p>
    <w:p>
      <w:pPr>
        <w:spacing w:after="0" w:line="6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54"/>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March 12, 2024 with unexercisable shares vesting in March 2027.</w:t>
      </w:r>
    </w:p>
    <w:p>
      <w:pPr>
        <w:spacing w:after="0" w:line="67" w:lineRule="exact"/>
        <w:rPr>
          <w:rFonts w:ascii="Arial" w:cs="Arial" w:eastAsia="Arial" w:hAnsi="Arial"/>
          <w:sz w:val="20"/>
          <w:szCs w:val="20"/>
          <w:color w:val="auto"/>
          <w:vertAlign w:val="superscript"/>
        </w:rPr>
      </w:pPr>
    </w:p>
    <w:p>
      <w:pPr>
        <w:ind w:left="540" w:hanging="424"/>
        <w:spacing w:after="0" w:line="196" w:lineRule="auto"/>
        <w:tabs>
          <w:tab w:leader="none" w:pos="5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and restricted stock unit awards with the remaining shares of each grant vesting, subject to certification that applicable Company performance conditions have been met, as follows:</w:t>
      </w:r>
    </w:p>
    <w:p>
      <w:pPr>
        <w:spacing w:after="0" w:line="52" w:lineRule="exact"/>
        <w:rPr>
          <w:rFonts w:ascii="Arial" w:cs="Arial" w:eastAsia="Arial" w:hAnsi="Arial"/>
          <w:sz w:val="22"/>
          <w:szCs w:val="22"/>
          <w:color w:val="auto"/>
          <w:vertAlign w:val="superscript"/>
        </w:rPr>
      </w:pPr>
    </w:p>
    <w:p>
      <w:pPr>
        <w:ind w:left="880" w:hanging="332"/>
        <w:spacing w:after="0"/>
        <w:tabs>
          <w:tab w:leader="none" w:pos="8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32,665 restricted shares granted on March 14, 2023 and vesting in March 2026;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26,537 restricted stock units granted on March 12, 2024 and vesting in March 2027.</w:t>
      </w:r>
    </w:p>
    <w:p>
      <w:pPr>
        <w:sectPr>
          <w:pgSz w:w="11900" w:h="16838" w:orient="portrait"/>
          <w:cols w:equalWidth="0" w:num="1">
            <w:col w:w="11140"/>
          </w:cols>
          <w:pgMar w:left="320" w:top="482" w:right="439" w:bottom="1440" w:gutter="0" w:footer="0" w:header="0"/>
        </w:sectPr>
      </w:pPr>
    </w:p>
    <w:p>
      <w:pPr>
        <w:spacing w:after="0" w:line="11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6"/>
          <w:szCs w:val="16"/>
          <w:b w:val="1"/>
          <w:bCs w:val="1"/>
          <w:color w:val="005CB9"/>
        </w:rPr>
        <w:t xml:space="preserve">44 </w:t>
      </w:r>
      <w:r>
        <w:rPr>
          <w:rFonts w:ascii="Arial" w:cs="Arial" w:eastAsia="Arial" w:hAnsi="Arial"/>
          <w:sz w:val="32"/>
          <w:szCs w:val="32"/>
          <w:b w:val="1"/>
          <w:bCs w:val="1"/>
          <w:color w:val="005CB9"/>
          <w:vertAlign w:val="superscript"/>
        </w:rPr>
        <w:t xml:space="preserve"> </w:t>
      </w:r>
      <w:r>
        <w:rPr>
          <w:sz w:val="20"/>
          <w:szCs w:val="20"/>
          <w:color w:val="auto"/>
        </w:rPr>
        <w:tab/>
      </w:r>
      <w:r>
        <w:rPr>
          <w:rFonts w:ascii="Arial" w:cs="Arial" w:eastAsia="Arial" w:hAnsi="Arial"/>
          <w:sz w:val="29"/>
          <w:szCs w:val="29"/>
          <w:color w:val="auto"/>
          <w:vertAlign w:val="subscript"/>
        </w:rPr>
        <w:t xml:space="preserve">    </w:t>
      </w:r>
      <w:r>
        <w:rPr>
          <w:sz w:val="1"/>
          <w:szCs w:val="1"/>
          <w:color w:val="auto"/>
        </w:rPr>
        <w:drawing>
          <wp:inline distT="0" distB="0" distL="0" distR="0">
            <wp:extent cx="420370"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0370" cy="171450"/>
                    </a:xfrm>
                    <a:prstGeom prst="rect">
                      <a:avLst/>
                    </a:prstGeom>
                    <a:noFill/>
                    <a:ln>
                      <a:noFill/>
                    </a:ln>
                  </pic:spPr>
                </pic:pic>
              </a:graphicData>
            </a:graphic>
          </wp:inline>
        </w:drawing>
      </w:r>
      <w:r>
        <w:rPr>
          <w:rFonts w:ascii="Arial" w:cs="Arial" w:eastAsia="Arial" w:hAnsi="Arial"/>
          <w:sz w:val="15"/>
          <w:szCs w:val="15"/>
          <w:b w:val="1"/>
          <w:bCs w:val="1"/>
          <w:color w:val="005CB9"/>
        </w:rPr>
        <w:t xml:space="preserve">    Roper Technologies, Inc.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-204470</wp:posOffset>
            </wp:positionV>
            <wp:extent cx="8255" cy="2482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2482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05" w:lineRule="exact"/>
        <w:rPr>
          <w:sz w:val="20"/>
          <w:szCs w:val="20"/>
          <w:color w:val="auto"/>
        </w:rPr>
      </w:pPr>
    </w:p>
    <w:p>
      <w:pPr>
        <w:ind w:left="540" w:hanging="424"/>
        <w:spacing w:after="0" w:line="204" w:lineRule="auto"/>
        <w:tabs>
          <w:tab w:leader="none" w:pos="5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and restricted stock unit awards with the remaining shares of each grant vesting, subject to certification that applicable Company performance conditions have been met, as follows:</w:t>
      </w:r>
    </w:p>
    <w:p>
      <w:pPr>
        <w:spacing w:after="0" w:line="53" w:lineRule="exact"/>
        <w:rPr>
          <w:rFonts w:ascii="Arial" w:cs="Arial" w:eastAsia="Arial" w:hAnsi="Arial"/>
          <w:sz w:val="22"/>
          <w:szCs w:val="22"/>
          <w:color w:val="auto"/>
          <w:vertAlign w:val="superscript"/>
        </w:rPr>
      </w:pPr>
    </w:p>
    <w:p>
      <w:pPr>
        <w:ind w:left="880" w:hanging="332"/>
        <w:spacing w:after="0"/>
        <w:tabs>
          <w:tab w:leader="none" w:pos="8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8,815 restricted shares granted on March 14, 2023 and vesting in March 2026;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8,212 restricted stock units granted on March 12, 2024 and vesting in March 2027.</w:t>
      </w:r>
    </w:p>
    <w:p>
      <w:pPr>
        <w:spacing w:after="0" w:line="82" w:lineRule="exact"/>
        <w:rPr>
          <w:rFonts w:ascii="Arial" w:cs="Arial" w:eastAsia="Arial" w:hAnsi="Arial"/>
          <w:sz w:val="14"/>
          <w:szCs w:val="14"/>
          <w:color w:val="auto"/>
        </w:rPr>
      </w:pPr>
    </w:p>
    <w:p>
      <w:pPr>
        <w:ind w:left="540" w:hanging="424"/>
        <w:spacing w:after="0" w:line="204" w:lineRule="auto"/>
        <w:tabs>
          <w:tab w:leader="none" w:pos="5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and restricted stock unit awards with the remaining shares of each grant vesting, subject to certification that applicable Company performance conditions have been met, as follows:</w:t>
      </w:r>
    </w:p>
    <w:p>
      <w:pPr>
        <w:spacing w:after="0" w:line="53" w:lineRule="exact"/>
        <w:rPr>
          <w:rFonts w:ascii="Arial" w:cs="Arial" w:eastAsia="Arial" w:hAnsi="Arial"/>
          <w:sz w:val="22"/>
          <w:szCs w:val="22"/>
          <w:color w:val="auto"/>
          <w:vertAlign w:val="superscript"/>
        </w:rPr>
      </w:pPr>
    </w:p>
    <w:p>
      <w:pPr>
        <w:ind w:left="880" w:hanging="332"/>
        <w:spacing w:after="0"/>
        <w:tabs>
          <w:tab w:leader="none" w:pos="8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8,110 restricted shares granted on March 14, 2023 and vesting in March 2026;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7,664 restricted stock units granted on March 12, 2024 and vesting in March 2027.</w:t>
      </w:r>
    </w:p>
    <w:p>
      <w:pPr>
        <w:spacing w:after="0" w:line="82" w:lineRule="exact"/>
        <w:rPr>
          <w:rFonts w:ascii="Arial" w:cs="Arial" w:eastAsia="Arial" w:hAnsi="Arial"/>
          <w:sz w:val="14"/>
          <w:szCs w:val="14"/>
          <w:color w:val="auto"/>
        </w:rPr>
      </w:pPr>
    </w:p>
    <w:p>
      <w:pPr>
        <w:ind w:left="540" w:hanging="424"/>
        <w:spacing w:after="0" w:line="204" w:lineRule="auto"/>
        <w:tabs>
          <w:tab w:leader="none" w:pos="5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For all restricted stock and restricted stock unit awards granted, the vesting only occurs if the Compensation Committee certifies our Company’s attainment of related performance goals.</w:t>
      </w:r>
    </w:p>
    <w:p>
      <w:pPr>
        <w:spacing w:after="0" w:line="130"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45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153670</wp:posOffset>
            </wp:positionV>
            <wp:extent cx="7011670" cy="4457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11670" cy="445770"/>
                    </a:xfrm>
                    <a:prstGeom prst="rect">
                      <a:avLst/>
                    </a:prstGeom>
                    <a:noFill/>
                  </pic:spPr>
                </pic:pic>
              </a:graphicData>
            </a:graphic>
          </wp:anchor>
        </w:drawing>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640" w:type="dxa"/>
            <w:vAlign w:val="bottom"/>
            <w:shd w:val="clear" w:color="auto" w:fill="005CB9"/>
          </w:tcPr>
          <w:p>
            <w:pPr>
              <w:spacing w:after="0"/>
              <w:rPr>
                <w:sz w:val="15"/>
                <w:szCs w:val="15"/>
                <w:color w:val="auto"/>
              </w:rPr>
            </w:pPr>
          </w:p>
        </w:tc>
        <w:tc>
          <w:tcPr>
            <w:tcW w:w="2800" w:type="dxa"/>
            <w:vAlign w:val="bottom"/>
            <w:shd w:val="clear" w:color="auto" w:fill="005CB9"/>
          </w:tcPr>
          <w:p>
            <w:pPr>
              <w:jc w:val="right"/>
              <w:ind w:right="61"/>
              <w:spacing w:after="0"/>
              <w:rPr>
                <w:sz w:val="20"/>
                <w:szCs w:val="20"/>
                <w:color w:val="auto"/>
              </w:rPr>
            </w:pPr>
            <w:r>
              <w:rPr>
                <w:rFonts w:ascii="Arial" w:cs="Arial" w:eastAsia="Arial" w:hAnsi="Arial"/>
                <w:sz w:val="14"/>
                <w:szCs w:val="14"/>
                <w:color w:val="FFFFFF"/>
              </w:rPr>
              <w:t>Option Awards</w:t>
            </w:r>
          </w:p>
        </w:tc>
        <w:tc>
          <w:tcPr>
            <w:tcW w:w="1780" w:type="dxa"/>
            <w:vAlign w:val="bottom"/>
            <w:shd w:val="clear" w:color="auto" w:fill="005CB9"/>
          </w:tcPr>
          <w:p>
            <w:pPr>
              <w:spacing w:after="0"/>
              <w:rPr>
                <w:sz w:val="15"/>
                <w:szCs w:val="15"/>
                <w:color w:val="auto"/>
              </w:rPr>
            </w:pPr>
          </w:p>
        </w:tc>
        <w:tc>
          <w:tcPr>
            <w:tcW w:w="2380" w:type="dxa"/>
            <w:vAlign w:val="bottom"/>
            <w:shd w:val="clear" w:color="auto" w:fill="005CB9"/>
          </w:tcPr>
          <w:p>
            <w:pPr>
              <w:jc w:val="right"/>
              <w:ind w:right="81"/>
              <w:spacing w:after="0"/>
              <w:rPr>
                <w:sz w:val="20"/>
                <w:szCs w:val="20"/>
                <w:color w:val="auto"/>
              </w:rPr>
            </w:pPr>
            <w:r>
              <w:rPr>
                <w:rFonts w:ascii="Arial" w:cs="Arial" w:eastAsia="Arial" w:hAnsi="Arial"/>
                <w:sz w:val="14"/>
                <w:szCs w:val="14"/>
                <w:color w:val="FFFFFF"/>
              </w:rPr>
              <w:t>Stock Awards</w:t>
            </w:r>
          </w:p>
        </w:tc>
        <w:tc>
          <w:tcPr>
            <w:tcW w:w="140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Value Realized on </w:t>
            </w:r>
          </w:p>
        </w:tc>
        <w:tc>
          <w:tcPr>
            <w:tcW w:w="20" w:type="dxa"/>
            <w:vAlign w:val="bottom"/>
            <w:vMerge w:val="restart"/>
          </w:tcPr>
          <w:p>
            <w:pPr>
              <w:spacing w:after="0"/>
              <w:rPr>
                <w:sz w:val="20"/>
                <w:szCs w:val="20"/>
                <w:color w:val="auto"/>
              </w:rPr>
            </w:pPr>
            <w:r>
              <w:rPr>
                <w:rFonts w:ascii="Arial" w:cs="Arial" w:eastAsia="Arial" w:hAnsi="Arial"/>
                <w:sz w:val="1"/>
                <w:szCs w:val="1"/>
                <w:color w:val="FFFFFF"/>
                <w:w w:val="4294967236"/>
              </w:rPr>
              <w:t> </w:t>
            </w:r>
          </w:p>
        </w:tc>
        <w:tc>
          <w:tcPr>
            <w:tcW w:w="0" w:type="dxa"/>
            <w:vAlign w:val="bottom"/>
          </w:tcPr>
          <w:p>
            <w:pPr>
              <w:spacing w:after="0"/>
              <w:rPr>
                <w:sz w:val="1"/>
                <w:szCs w:val="1"/>
                <w:color w:val="auto"/>
              </w:rPr>
            </w:pPr>
          </w:p>
        </w:tc>
      </w:tr>
      <w:tr>
        <w:trPr>
          <w:trHeight w:val="166"/>
        </w:trPr>
        <w:tc>
          <w:tcPr>
            <w:tcW w:w="2640" w:type="dxa"/>
            <w:vAlign w:val="bottom"/>
            <w:shd w:val="clear" w:color="auto" w:fill="005CB9"/>
          </w:tcPr>
          <w:p>
            <w:pPr>
              <w:spacing w:after="0"/>
              <w:rPr>
                <w:sz w:val="14"/>
                <w:szCs w:val="14"/>
                <w:color w:val="auto"/>
              </w:rPr>
            </w:pPr>
          </w:p>
        </w:tc>
        <w:tc>
          <w:tcPr>
            <w:tcW w:w="2800" w:type="dxa"/>
            <w:vAlign w:val="bottom"/>
            <w:shd w:val="clear" w:color="auto" w:fill="005CB9"/>
          </w:tcPr>
          <w:p>
            <w:pPr>
              <w:jc w:val="right"/>
              <w:ind w:right="321"/>
              <w:spacing w:after="0"/>
              <w:rPr>
                <w:sz w:val="20"/>
                <w:szCs w:val="20"/>
                <w:color w:val="auto"/>
              </w:rPr>
            </w:pPr>
            <w:r>
              <w:rPr>
                <w:rFonts w:ascii="Arial" w:cs="Arial" w:eastAsia="Arial" w:hAnsi="Arial"/>
                <w:sz w:val="14"/>
                <w:szCs w:val="14"/>
                <w:color w:val="FFFFFF"/>
              </w:rPr>
              <w:t>Number of Shares Acquired</w:t>
            </w:r>
          </w:p>
        </w:tc>
        <w:tc>
          <w:tcPr>
            <w:tcW w:w="1780" w:type="dxa"/>
            <w:vAlign w:val="bottom"/>
            <w:shd w:val="clear" w:color="auto" w:fill="005CB9"/>
          </w:tcPr>
          <w:p>
            <w:pPr>
              <w:jc w:val="right"/>
              <w:ind w:right="240"/>
              <w:spacing w:after="0"/>
              <w:rPr>
                <w:sz w:val="20"/>
                <w:szCs w:val="20"/>
                <w:color w:val="auto"/>
              </w:rPr>
            </w:pPr>
            <w:r>
              <w:rPr>
                <w:rFonts w:ascii="Arial" w:cs="Arial" w:eastAsia="Arial" w:hAnsi="Arial"/>
                <w:sz w:val="14"/>
                <w:szCs w:val="14"/>
                <w:color w:val="FFFFFF"/>
              </w:rPr>
              <w:t>Value Realized Upon</w:t>
            </w:r>
          </w:p>
        </w:tc>
        <w:tc>
          <w:tcPr>
            <w:tcW w:w="2380" w:type="dxa"/>
            <w:vAlign w:val="bottom"/>
            <w:shd w:val="clear" w:color="auto" w:fill="005CB9"/>
          </w:tcPr>
          <w:p>
            <w:pPr>
              <w:jc w:val="right"/>
              <w:ind w:right="201"/>
              <w:spacing w:after="0"/>
              <w:rPr>
                <w:sz w:val="20"/>
                <w:szCs w:val="20"/>
                <w:color w:val="auto"/>
              </w:rPr>
            </w:pPr>
            <w:r>
              <w:rPr>
                <w:rFonts w:ascii="Arial" w:cs="Arial" w:eastAsia="Arial" w:hAnsi="Arial"/>
                <w:sz w:val="14"/>
                <w:szCs w:val="14"/>
                <w:color w:val="FFFFFF"/>
              </w:rPr>
              <w:t>Number of Shares Acquired</w:t>
            </w:r>
          </w:p>
        </w:tc>
        <w:tc>
          <w:tcPr>
            <w:tcW w:w="1400" w:type="dxa"/>
            <w:vAlign w:val="bottom"/>
            <w:vMerge w:val="continue"/>
            <w:shd w:val="clear" w:color="auto" w:fill="005CB9"/>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005CB9"/>
          </w:tcPr>
          <w:p>
            <w:pPr>
              <w:ind w:left="60"/>
              <w:spacing w:after="0"/>
              <w:rPr>
                <w:sz w:val="20"/>
                <w:szCs w:val="20"/>
                <w:color w:val="auto"/>
              </w:rPr>
            </w:pPr>
            <w:r>
              <w:rPr>
                <w:rFonts w:ascii="Arial" w:cs="Arial" w:eastAsia="Arial" w:hAnsi="Arial"/>
                <w:sz w:val="14"/>
                <w:szCs w:val="14"/>
                <w:color w:val="FFFFFF"/>
              </w:rPr>
              <w:t>Name</w:t>
            </w:r>
          </w:p>
        </w:tc>
        <w:tc>
          <w:tcPr>
            <w:tcW w:w="2800" w:type="dxa"/>
            <w:vAlign w:val="bottom"/>
            <w:shd w:val="clear" w:color="auto" w:fill="005CB9"/>
          </w:tcPr>
          <w:p>
            <w:pPr>
              <w:jc w:val="right"/>
              <w:ind w:right="321"/>
              <w:spacing w:after="0"/>
              <w:rPr>
                <w:sz w:val="20"/>
                <w:szCs w:val="20"/>
                <w:color w:val="auto"/>
              </w:rPr>
            </w:pPr>
            <w:r>
              <w:rPr>
                <w:rFonts w:ascii="Arial" w:cs="Arial" w:eastAsia="Arial" w:hAnsi="Arial"/>
                <w:sz w:val="14"/>
                <w:szCs w:val="14"/>
                <w:color w:val="FFFFFF"/>
              </w:rPr>
              <w:t>on Exercise(#)</w:t>
            </w:r>
          </w:p>
        </w:tc>
        <w:tc>
          <w:tcPr>
            <w:tcW w:w="1780" w:type="dxa"/>
            <w:vAlign w:val="bottom"/>
            <w:shd w:val="clear" w:color="auto" w:fill="005CB9"/>
          </w:tcPr>
          <w:p>
            <w:pPr>
              <w:jc w:val="right"/>
              <w:ind w:right="240"/>
              <w:spacing w:after="0"/>
              <w:rPr>
                <w:sz w:val="20"/>
                <w:szCs w:val="20"/>
                <w:color w:val="auto"/>
              </w:rPr>
            </w:pPr>
            <w:r>
              <w:rPr>
                <w:rFonts w:ascii="Arial" w:cs="Arial" w:eastAsia="Arial" w:hAnsi="Arial"/>
                <w:sz w:val="14"/>
                <w:szCs w:val="14"/>
                <w:color w:val="FFFFFF"/>
              </w:rPr>
              <w:t>Exercise ($)</w:t>
            </w:r>
          </w:p>
        </w:tc>
        <w:tc>
          <w:tcPr>
            <w:tcW w:w="2380" w:type="dxa"/>
            <w:vAlign w:val="bottom"/>
            <w:shd w:val="clear" w:color="auto" w:fill="005CB9"/>
          </w:tcPr>
          <w:p>
            <w:pPr>
              <w:jc w:val="right"/>
              <w:ind w:right="201"/>
              <w:spacing w:after="0"/>
              <w:rPr>
                <w:sz w:val="20"/>
                <w:szCs w:val="20"/>
                <w:color w:val="auto"/>
              </w:rPr>
            </w:pPr>
            <w:r>
              <w:rPr>
                <w:rFonts w:ascii="Arial" w:cs="Arial" w:eastAsia="Arial" w:hAnsi="Arial"/>
                <w:sz w:val="14"/>
                <w:szCs w:val="14"/>
                <w:color w:val="FFFFFF"/>
              </w:rPr>
              <w:t>on Vesting(#)</w:t>
            </w:r>
          </w:p>
        </w:tc>
        <w:tc>
          <w:tcPr>
            <w:tcW w:w="14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xml:space="preserve">Vesting ($) </w:t>
            </w:r>
          </w:p>
        </w:tc>
        <w:tc>
          <w:tcPr>
            <w:tcW w:w="20" w:type="dxa"/>
            <w:vAlign w:val="bottom"/>
          </w:tcPr>
          <w:p>
            <w:pPr>
              <w:spacing w:after="0"/>
              <w:rPr>
                <w:sz w:val="20"/>
                <w:szCs w:val="20"/>
                <w:color w:val="auto"/>
              </w:rPr>
            </w:pPr>
            <w:r>
              <w:rPr>
                <w:rFonts w:ascii="Arial" w:cs="Arial" w:eastAsia="Arial" w:hAnsi="Arial"/>
                <w:sz w:val="1"/>
                <w:szCs w:val="1"/>
                <w:color w:val="FFFFFF"/>
                <w:w w:val="4294967236"/>
              </w:rPr>
              <w:t> </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640" w:type="dxa"/>
            <w:vAlign w:val="bottom"/>
            <w:shd w:val="clear" w:color="auto" w:fill="CCDEF1"/>
          </w:tcPr>
          <w:p>
            <w:pPr>
              <w:ind w:left="60"/>
              <w:spacing w:after="0"/>
              <w:rPr>
                <w:sz w:val="20"/>
                <w:szCs w:val="20"/>
                <w:color w:val="auto"/>
              </w:rPr>
            </w:pPr>
            <w:r>
              <w:rPr>
                <w:rFonts w:ascii="Arial" w:cs="Arial" w:eastAsia="Arial" w:hAnsi="Arial"/>
                <w:sz w:val="17"/>
                <w:szCs w:val="17"/>
                <w:color w:val="auto"/>
              </w:rPr>
              <w:t>L. Neil Hunn</w:t>
            </w:r>
          </w:p>
        </w:tc>
        <w:tc>
          <w:tcPr>
            <w:tcW w:w="2800" w:type="dxa"/>
            <w:vAlign w:val="bottom"/>
            <w:shd w:val="clear" w:color="auto" w:fill="CCDEF1"/>
          </w:tcPr>
          <w:p>
            <w:pPr>
              <w:jc w:val="right"/>
              <w:ind w:right="321"/>
              <w:spacing w:after="0"/>
              <w:rPr>
                <w:sz w:val="20"/>
                <w:szCs w:val="20"/>
                <w:color w:val="auto"/>
              </w:rPr>
            </w:pPr>
            <w:r>
              <w:rPr>
                <w:rFonts w:ascii="Arial" w:cs="Arial" w:eastAsia="Arial" w:hAnsi="Arial"/>
                <w:sz w:val="17"/>
                <w:szCs w:val="17"/>
                <w:color w:val="auto"/>
              </w:rPr>
              <w:t>30,000</w:t>
            </w:r>
          </w:p>
        </w:tc>
        <w:tc>
          <w:tcPr>
            <w:tcW w:w="1780" w:type="dxa"/>
            <w:vAlign w:val="bottom"/>
            <w:shd w:val="clear" w:color="auto" w:fill="CCDEF1"/>
          </w:tcPr>
          <w:p>
            <w:pPr>
              <w:jc w:val="right"/>
              <w:ind w:right="240"/>
              <w:spacing w:after="0"/>
              <w:rPr>
                <w:sz w:val="20"/>
                <w:szCs w:val="20"/>
                <w:color w:val="auto"/>
              </w:rPr>
            </w:pPr>
            <w:r>
              <w:rPr>
                <w:rFonts w:ascii="Arial" w:cs="Arial" w:eastAsia="Arial" w:hAnsi="Arial"/>
                <w:sz w:val="17"/>
                <w:szCs w:val="17"/>
                <w:color w:val="auto"/>
              </w:rPr>
              <w:t>12,482,091</w:t>
            </w:r>
          </w:p>
        </w:tc>
        <w:tc>
          <w:tcPr>
            <w:tcW w:w="2380" w:type="dxa"/>
            <w:vAlign w:val="bottom"/>
            <w:shd w:val="clear" w:color="auto" w:fill="CCDEF1"/>
          </w:tcPr>
          <w:p>
            <w:pPr>
              <w:jc w:val="right"/>
              <w:ind w:right="201"/>
              <w:spacing w:after="0"/>
              <w:rPr>
                <w:sz w:val="20"/>
                <w:szCs w:val="20"/>
                <w:color w:val="auto"/>
              </w:rPr>
            </w:pPr>
            <w:r>
              <w:rPr>
                <w:rFonts w:ascii="Arial" w:cs="Arial" w:eastAsia="Arial" w:hAnsi="Arial"/>
                <w:sz w:val="17"/>
                <w:szCs w:val="17"/>
                <w:color w:val="auto"/>
              </w:rPr>
              <w:t>29,403</w:t>
            </w:r>
          </w:p>
        </w:tc>
        <w:tc>
          <w:tcPr>
            <w:tcW w:w="14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15,904,377</w:t>
            </w:r>
          </w:p>
        </w:tc>
        <w:tc>
          <w:tcPr>
            <w:tcW w:w="20" w:type="dxa"/>
            <w:vAlign w:val="bottom"/>
            <w:shd w:val="clear" w:color="auto" w:fill="CCDEF1"/>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60"/>
              <w:spacing w:after="0"/>
              <w:rPr>
                <w:sz w:val="20"/>
                <w:szCs w:val="20"/>
                <w:color w:val="auto"/>
              </w:rPr>
            </w:pPr>
            <w:r>
              <w:rPr>
                <w:rFonts w:ascii="Arial" w:cs="Arial" w:eastAsia="Arial" w:hAnsi="Arial"/>
                <w:sz w:val="17"/>
                <w:szCs w:val="17"/>
                <w:color w:val="auto"/>
              </w:rPr>
              <w:t>Jason P. Conley</w:t>
            </w:r>
          </w:p>
        </w:tc>
        <w:tc>
          <w:tcPr>
            <w:tcW w:w="2800" w:type="dxa"/>
            <w:vAlign w:val="bottom"/>
          </w:tcPr>
          <w:p>
            <w:pPr>
              <w:jc w:val="right"/>
              <w:ind w:right="321"/>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201"/>
              <w:spacing w:after="0"/>
              <w:rPr>
                <w:sz w:val="20"/>
                <w:szCs w:val="20"/>
                <w:color w:val="auto"/>
              </w:rPr>
            </w:pPr>
            <w:r>
              <w:rPr>
                <w:rFonts w:ascii="Arial" w:cs="Arial" w:eastAsia="Arial" w:hAnsi="Arial"/>
                <w:sz w:val="17"/>
                <w:szCs w:val="17"/>
                <w:color w:val="auto"/>
              </w:rPr>
              <w:t>5,607</w:t>
            </w:r>
          </w:p>
        </w:tc>
        <w:tc>
          <w:tcPr>
            <w:tcW w:w="1400" w:type="dxa"/>
            <w:vAlign w:val="bottom"/>
          </w:tcPr>
          <w:p>
            <w:pPr>
              <w:jc w:val="right"/>
              <w:spacing w:after="0"/>
              <w:rPr>
                <w:sz w:val="20"/>
                <w:szCs w:val="20"/>
                <w:color w:val="auto"/>
              </w:rPr>
            </w:pPr>
            <w:r>
              <w:rPr>
                <w:rFonts w:ascii="Arial" w:cs="Arial" w:eastAsia="Arial" w:hAnsi="Arial"/>
                <w:sz w:val="17"/>
                <w:szCs w:val="17"/>
                <w:color w:val="auto"/>
              </w:rPr>
              <w:t>3,032,882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DEF1"/>
          </w:tcPr>
          <w:p>
            <w:pPr>
              <w:ind w:left="60"/>
              <w:spacing w:after="0"/>
              <w:rPr>
                <w:sz w:val="20"/>
                <w:szCs w:val="20"/>
                <w:color w:val="auto"/>
              </w:rPr>
            </w:pPr>
            <w:r>
              <w:rPr>
                <w:rFonts w:ascii="Arial" w:cs="Arial" w:eastAsia="Arial" w:hAnsi="Arial"/>
                <w:sz w:val="17"/>
                <w:szCs w:val="17"/>
                <w:color w:val="auto"/>
              </w:rPr>
              <w:t>John K. Stipancich</w:t>
            </w:r>
          </w:p>
        </w:tc>
        <w:tc>
          <w:tcPr>
            <w:tcW w:w="2800" w:type="dxa"/>
            <w:vAlign w:val="bottom"/>
            <w:shd w:val="clear" w:color="auto" w:fill="CCDEF1"/>
          </w:tcPr>
          <w:p>
            <w:pPr>
              <w:jc w:val="right"/>
              <w:ind w:right="321"/>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DEF1"/>
          </w:tcPr>
          <w:p>
            <w:pPr>
              <w:jc w:val="right"/>
              <w:ind w:right="240"/>
              <w:spacing w:after="0"/>
              <w:rPr>
                <w:sz w:val="20"/>
                <w:szCs w:val="20"/>
                <w:color w:val="auto"/>
              </w:rPr>
            </w:pPr>
            <w:r>
              <w:rPr>
                <w:rFonts w:ascii="Arial" w:cs="Arial" w:eastAsia="Arial" w:hAnsi="Arial"/>
                <w:sz w:val="17"/>
                <w:szCs w:val="17"/>
                <w:color w:val="auto"/>
              </w:rPr>
              <w:t>-</w:t>
            </w:r>
          </w:p>
        </w:tc>
        <w:tc>
          <w:tcPr>
            <w:tcW w:w="2380" w:type="dxa"/>
            <w:vAlign w:val="bottom"/>
            <w:shd w:val="clear" w:color="auto" w:fill="CCDEF1"/>
          </w:tcPr>
          <w:p>
            <w:pPr>
              <w:jc w:val="right"/>
              <w:ind w:right="201"/>
              <w:spacing w:after="0"/>
              <w:rPr>
                <w:sz w:val="20"/>
                <w:szCs w:val="20"/>
                <w:color w:val="auto"/>
              </w:rPr>
            </w:pPr>
            <w:r>
              <w:rPr>
                <w:rFonts w:ascii="Arial" w:cs="Arial" w:eastAsia="Arial" w:hAnsi="Arial"/>
                <w:sz w:val="17"/>
                <w:szCs w:val="17"/>
                <w:color w:val="auto"/>
              </w:rPr>
              <w:t>5,607</w:t>
            </w:r>
          </w:p>
        </w:tc>
        <w:tc>
          <w:tcPr>
            <w:tcW w:w="14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3,032,882</w:t>
            </w:r>
          </w:p>
        </w:tc>
        <w:tc>
          <w:tcPr>
            <w:tcW w:w="20" w:type="dxa"/>
            <w:vAlign w:val="bottom"/>
            <w:shd w:val="clear" w:color="auto" w:fill="CCDEF1"/>
          </w:tcPr>
          <w:p>
            <w:pPr>
              <w:spacing w:after="0"/>
              <w:rPr>
                <w:sz w:val="22"/>
                <w:szCs w:val="2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 Pension Benefits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None of our named executive officers participates in a Company-sponsored defined-benefit pension plan.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Non-Qualified Deferred Compensation</w:t>
      </w:r>
    </w:p>
    <w:p>
      <w:pPr>
        <w:spacing w:after="0" w:line="9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Pursuant to our Company’s Non-Qualified Retirement Plan, named executive officers may defer base salary and payments earned under the cash incentive program.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6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following table sets forth certain information with respect to the Non-Qualified Retirement Plan for our named executive officers during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5568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11670" cy="556895"/>
                    </a:xfrm>
                    <a:prstGeom prst="rect">
                      <a:avLst/>
                    </a:prstGeom>
                    <a:noFill/>
                  </pic:spPr>
                </pic:pic>
              </a:graphicData>
            </a:graphic>
          </wp:anchor>
        </w:drawing>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520" w:type="dxa"/>
            <w:vAlign w:val="bottom"/>
          </w:tcPr>
          <w:p>
            <w:pPr>
              <w:jc w:val="right"/>
              <w:ind w:right="102"/>
              <w:spacing w:after="0"/>
              <w:rPr>
                <w:sz w:val="20"/>
                <w:szCs w:val="20"/>
                <w:color w:val="auto"/>
              </w:rPr>
            </w:pPr>
            <w:r>
              <w:rPr>
                <w:rFonts w:ascii="Arial" w:cs="Arial" w:eastAsia="Arial" w:hAnsi="Arial"/>
                <w:sz w:val="14"/>
                <w:szCs w:val="14"/>
                <w:color w:val="FFFFFF"/>
              </w:rPr>
              <w:t xml:space="preserve">Executive   </w:t>
            </w:r>
          </w:p>
        </w:tc>
        <w:tc>
          <w:tcPr>
            <w:tcW w:w="1300" w:type="dxa"/>
            <w:vAlign w:val="bottom"/>
          </w:tcPr>
          <w:p>
            <w:pPr>
              <w:jc w:val="right"/>
              <w:ind w:right="102"/>
              <w:spacing w:after="0"/>
              <w:rPr>
                <w:sz w:val="20"/>
                <w:szCs w:val="20"/>
                <w:color w:val="auto"/>
              </w:rPr>
            </w:pPr>
            <w:r>
              <w:rPr>
                <w:rFonts w:ascii="Arial" w:cs="Arial" w:eastAsia="Arial" w:hAnsi="Arial"/>
                <w:sz w:val="14"/>
                <w:szCs w:val="14"/>
                <w:color w:val="FFFFFF"/>
              </w:rPr>
              <w:t xml:space="preserve">Registrant   </w:t>
            </w:r>
          </w:p>
        </w:tc>
        <w:tc>
          <w:tcPr>
            <w:tcW w:w="1140" w:type="dxa"/>
            <w:vAlign w:val="bottom"/>
          </w:tcPr>
          <w:p>
            <w:pPr>
              <w:ind w:left="240"/>
              <w:spacing w:after="0"/>
              <w:rPr>
                <w:sz w:val="20"/>
                <w:szCs w:val="20"/>
                <w:color w:val="auto"/>
              </w:rPr>
            </w:pPr>
            <w:r>
              <w:rPr>
                <w:rFonts w:ascii="Arial" w:cs="Arial" w:eastAsia="Arial" w:hAnsi="Arial"/>
                <w:sz w:val="14"/>
                <w:szCs w:val="14"/>
                <w:color w:val="FFFFFF"/>
              </w:rPr>
              <w:t>Aggregate</w:t>
            </w:r>
          </w:p>
        </w:tc>
        <w:tc>
          <w:tcPr>
            <w:tcW w:w="1260" w:type="dxa"/>
            <w:vAlign w:val="bottom"/>
          </w:tcPr>
          <w:p>
            <w:pPr>
              <w:jc w:val="right"/>
              <w:ind w:right="42"/>
              <w:spacing w:after="0"/>
              <w:rPr>
                <w:sz w:val="20"/>
                <w:szCs w:val="20"/>
                <w:color w:val="auto"/>
              </w:rPr>
            </w:pPr>
            <w:r>
              <w:rPr>
                <w:rFonts w:ascii="Arial" w:cs="Arial" w:eastAsia="Arial" w:hAnsi="Arial"/>
                <w:sz w:val="14"/>
                <w:szCs w:val="14"/>
                <w:color w:val="FFFFFF"/>
              </w:rPr>
              <w:t xml:space="preserve">Aggregate   </w:t>
            </w:r>
          </w:p>
        </w:tc>
        <w:tc>
          <w:tcPr>
            <w:tcW w:w="1080" w:type="dxa"/>
            <w:vAlign w:val="bottom"/>
          </w:tcPr>
          <w:p>
            <w:pPr>
              <w:jc w:val="right"/>
              <w:spacing w:after="0"/>
              <w:rPr>
                <w:sz w:val="20"/>
                <w:szCs w:val="20"/>
                <w:color w:val="auto"/>
              </w:rPr>
            </w:pPr>
            <w:r>
              <w:rPr>
                <w:rFonts w:ascii="Arial" w:cs="Arial" w:eastAsia="Arial" w:hAnsi="Arial"/>
                <w:sz w:val="14"/>
                <w:szCs w:val="14"/>
                <w:color w:val="FFFFFF"/>
              </w:rPr>
              <w:t xml:space="preserve">Aggregate   </w:t>
            </w:r>
          </w:p>
        </w:tc>
      </w:tr>
      <w:tr>
        <w:trPr>
          <w:trHeight w:val="162"/>
        </w:trPr>
        <w:tc>
          <w:tcPr>
            <w:tcW w:w="4720" w:type="dxa"/>
            <w:vAlign w:val="bottom"/>
          </w:tcPr>
          <w:p>
            <w:pPr>
              <w:spacing w:after="0"/>
              <w:rPr>
                <w:sz w:val="14"/>
                <w:szCs w:val="14"/>
                <w:color w:val="auto"/>
              </w:rPr>
            </w:pPr>
          </w:p>
        </w:tc>
        <w:tc>
          <w:tcPr>
            <w:tcW w:w="1520" w:type="dxa"/>
            <w:vAlign w:val="bottom"/>
          </w:tcPr>
          <w:p>
            <w:pPr>
              <w:jc w:val="right"/>
              <w:ind w:right="102"/>
              <w:spacing w:after="0"/>
              <w:rPr>
                <w:sz w:val="20"/>
                <w:szCs w:val="20"/>
                <w:color w:val="auto"/>
              </w:rPr>
            </w:pPr>
            <w:r>
              <w:rPr>
                <w:rFonts w:ascii="Arial" w:cs="Arial" w:eastAsia="Arial" w:hAnsi="Arial"/>
                <w:sz w:val="14"/>
                <w:szCs w:val="14"/>
                <w:color w:val="FFFFFF"/>
              </w:rPr>
              <w:t xml:space="preserve">Contributions   </w:t>
            </w:r>
          </w:p>
        </w:tc>
        <w:tc>
          <w:tcPr>
            <w:tcW w:w="1300" w:type="dxa"/>
            <w:vAlign w:val="bottom"/>
          </w:tcPr>
          <w:p>
            <w:pPr>
              <w:jc w:val="right"/>
              <w:ind w:right="102"/>
              <w:spacing w:after="0"/>
              <w:rPr>
                <w:sz w:val="20"/>
                <w:szCs w:val="20"/>
                <w:color w:val="auto"/>
              </w:rPr>
            </w:pPr>
            <w:r>
              <w:rPr>
                <w:rFonts w:ascii="Arial" w:cs="Arial" w:eastAsia="Arial" w:hAnsi="Arial"/>
                <w:sz w:val="14"/>
                <w:szCs w:val="14"/>
                <w:color w:val="FFFFFF"/>
              </w:rPr>
              <w:t xml:space="preserve">Contributions   </w:t>
            </w:r>
          </w:p>
        </w:tc>
        <w:tc>
          <w:tcPr>
            <w:tcW w:w="1140" w:type="dxa"/>
            <w:vAlign w:val="bottom"/>
          </w:tcPr>
          <w:p>
            <w:pPr>
              <w:ind w:left="340"/>
              <w:spacing w:after="0"/>
              <w:rPr>
                <w:sz w:val="20"/>
                <w:szCs w:val="20"/>
                <w:color w:val="auto"/>
              </w:rPr>
            </w:pPr>
            <w:r>
              <w:rPr>
                <w:rFonts w:ascii="Arial" w:cs="Arial" w:eastAsia="Arial" w:hAnsi="Arial"/>
                <w:sz w:val="14"/>
                <w:szCs w:val="14"/>
                <w:color w:val="FFFFFF"/>
              </w:rPr>
              <w:t>Earnings</w:t>
            </w:r>
          </w:p>
        </w:tc>
        <w:tc>
          <w:tcPr>
            <w:tcW w:w="1260" w:type="dxa"/>
            <w:vAlign w:val="bottom"/>
          </w:tcPr>
          <w:p>
            <w:pPr>
              <w:jc w:val="right"/>
              <w:ind w:right="42"/>
              <w:spacing w:after="0"/>
              <w:rPr>
                <w:sz w:val="20"/>
                <w:szCs w:val="20"/>
                <w:color w:val="auto"/>
              </w:rPr>
            </w:pPr>
            <w:r>
              <w:rPr>
                <w:rFonts w:ascii="Arial" w:cs="Arial" w:eastAsia="Arial" w:hAnsi="Arial"/>
                <w:sz w:val="14"/>
                <w:szCs w:val="14"/>
                <w:color w:val="FFFFFF"/>
              </w:rPr>
              <w:t xml:space="preserve">Withdrawals/   </w:t>
            </w:r>
          </w:p>
        </w:tc>
        <w:tc>
          <w:tcPr>
            <w:tcW w:w="1080" w:type="dxa"/>
            <w:vAlign w:val="bottom"/>
          </w:tcPr>
          <w:p>
            <w:pPr>
              <w:jc w:val="right"/>
              <w:spacing w:after="0"/>
              <w:rPr>
                <w:sz w:val="20"/>
                <w:szCs w:val="20"/>
                <w:color w:val="auto"/>
              </w:rPr>
            </w:pPr>
            <w:r>
              <w:rPr>
                <w:rFonts w:ascii="Arial" w:cs="Arial" w:eastAsia="Arial" w:hAnsi="Arial"/>
                <w:sz w:val="14"/>
                <w:szCs w:val="14"/>
                <w:color w:val="FFFFFF"/>
              </w:rPr>
              <w:t xml:space="preserve">Balance   </w:t>
            </w:r>
          </w:p>
        </w:tc>
      </w:tr>
      <w:tr>
        <w:trPr>
          <w:trHeight w:val="162"/>
        </w:trPr>
        <w:tc>
          <w:tcPr>
            <w:tcW w:w="4720" w:type="dxa"/>
            <w:vAlign w:val="bottom"/>
          </w:tcPr>
          <w:p>
            <w:pPr>
              <w:spacing w:after="0"/>
              <w:rPr>
                <w:sz w:val="14"/>
                <w:szCs w:val="14"/>
                <w:color w:val="auto"/>
              </w:rPr>
            </w:pPr>
          </w:p>
        </w:tc>
        <w:tc>
          <w:tcPr>
            <w:tcW w:w="1520" w:type="dxa"/>
            <w:vAlign w:val="bottom"/>
          </w:tcPr>
          <w:p>
            <w:pPr>
              <w:jc w:val="right"/>
              <w:ind w:right="102"/>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1300" w:type="dxa"/>
            <w:vAlign w:val="bottom"/>
          </w:tcPr>
          <w:p>
            <w:pPr>
              <w:jc w:val="right"/>
              <w:ind w:right="102"/>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(2)</w:t>
            </w:r>
            <w:r>
              <w:rPr>
                <w:rFonts w:ascii="Arial" w:cs="Arial" w:eastAsia="Arial" w:hAnsi="Arial"/>
                <w:sz w:val="14"/>
                <w:szCs w:val="14"/>
                <w:color w:val="FFFFFF"/>
              </w:rPr>
              <w:t xml:space="preserve">   </w:t>
            </w:r>
          </w:p>
        </w:tc>
        <w:tc>
          <w:tcPr>
            <w:tcW w:w="1140" w:type="dxa"/>
            <w:vAlign w:val="bottom"/>
          </w:tcPr>
          <w:p>
            <w:pPr>
              <w:jc w:val="right"/>
              <w:ind w:right="102"/>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(3)</w:t>
            </w:r>
            <w:r>
              <w:rPr>
                <w:rFonts w:ascii="Arial" w:cs="Arial" w:eastAsia="Arial" w:hAnsi="Arial"/>
                <w:sz w:val="14"/>
                <w:szCs w:val="14"/>
                <w:color w:val="FFFFFF"/>
              </w:rPr>
              <w:t xml:space="preserve"> </w:t>
            </w:r>
          </w:p>
        </w:tc>
        <w:tc>
          <w:tcPr>
            <w:tcW w:w="1260" w:type="dxa"/>
            <w:vAlign w:val="bottom"/>
          </w:tcPr>
          <w:p>
            <w:pPr>
              <w:jc w:val="right"/>
              <w:ind w:right="42"/>
              <w:spacing w:after="0"/>
              <w:rPr>
                <w:sz w:val="20"/>
                <w:szCs w:val="20"/>
                <w:color w:val="auto"/>
              </w:rPr>
            </w:pPr>
            <w:r>
              <w:rPr>
                <w:rFonts w:ascii="Arial" w:cs="Arial" w:eastAsia="Arial" w:hAnsi="Arial"/>
                <w:sz w:val="14"/>
                <w:szCs w:val="14"/>
                <w:color w:val="FFFFFF"/>
              </w:rPr>
              <w:t xml:space="preserve">Distributions   </w:t>
            </w:r>
          </w:p>
        </w:tc>
        <w:tc>
          <w:tcPr>
            <w:tcW w:w="1080" w:type="dxa"/>
            <w:vAlign w:val="bottom"/>
          </w:tcPr>
          <w:p>
            <w:pPr>
              <w:jc w:val="right"/>
              <w:spacing w:after="0"/>
              <w:rPr>
                <w:sz w:val="20"/>
                <w:szCs w:val="20"/>
                <w:color w:val="auto"/>
              </w:rPr>
            </w:pPr>
            <w:r>
              <w:rPr>
                <w:rFonts w:ascii="Arial" w:cs="Arial" w:eastAsia="Arial" w:hAnsi="Arial"/>
                <w:sz w:val="14"/>
                <w:szCs w:val="14"/>
                <w:color w:val="FFFFFF"/>
              </w:rPr>
              <w:t>at Last FYE</w:t>
            </w:r>
            <w:r>
              <w:rPr>
                <w:rFonts w:ascii="Arial" w:cs="Arial" w:eastAsia="Arial" w:hAnsi="Arial"/>
                <w:sz w:val="14"/>
                <w:szCs w:val="14"/>
                <w:color w:val="FFFFFF"/>
                <w:vertAlign w:val="superscript"/>
              </w:rPr>
              <w:t>(4)</w:t>
            </w:r>
            <w:r>
              <w:rPr>
                <w:rFonts w:ascii="Arial" w:cs="Arial" w:eastAsia="Arial" w:hAnsi="Arial"/>
                <w:sz w:val="14"/>
                <w:szCs w:val="14"/>
                <w:color w:val="FFFFFF"/>
              </w:rPr>
              <w:t xml:space="preserve">   </w:t>
            </w:r>
          </w:p>
        </w:tc>
      </w:tr>
      <w:tr>
        <w:trPr>
          <w:trHeight w:val="185"/>
        </w:trPr>
        <w:tc>
          <w:tcPr>
            <w:tcW w:w="4720" w:type="dxa"/>
            <w:vAlign w:val="bottom"/>
          </w:tcPr>
          <w:p>
            <w:pPr>
              <w:ind w:left="60"/>
              <w:spacing w:after="0"/>
              <w:rPr>
                <w:sz w:val="20"/>
                <w:szCs w:val="20"/>
                <w:color w:val="auto"/>
              </w:rPr>
            </w:pPr>
            <w:r>
              <w:rPr>
                <w:rFonts w:ascii="Arial" w:cs="Arial" w:eastAsia="Arial" w:hAnsi="Arial"/>
                <w:sz w:val="14"/>
                <w:szCs w:val="14"/>
                <w:color w:val="FFFFFF"/>
              </w:rPr>
              <w:t>Name</w:t>
            </w:r>
          </w:p>
        </w:tc>
        <w:tc>
          <w:tcPr>
            <w:tcW w:w="1520" w:type="dxa"/>
            <w:vAlign w:val="bottom"/>
          </w:tcPr>
          <w:p>
            <w:pPr>
              <w:jc w:val="right"/>
              <w:ind w:right="102"/>
              <w:spacing w:after="0"/>
              <w:rPr>
                <w:sz w:val="20"/>
                <w:szCs w:val="20"/>
                <w:color w:val="auto"/>
              </w:rPr>
            </w:pPr>
            <w:r>
              <w:rPr>
                <w:rFonts w:ascii="Arial" w:cs="Arial" w:eastAsia="Arial" w:hAnsi="Arial"/>
                <w:sz w:val="14"/>
                <w:szCs w:val="14"/>
                <w:color w:val="FFFFFF"/>
              </w:rPr>
              <w:t xml:space="preserve">($)   </w:t>
            </w:r>
          </w:p>
        </w:tc>
        <w:tc>
          <w:tcPr>
            <w:tcW w:w="1300" w:type="dxa"/>
            <w:vAlign w:val="bottom"/>
          </w:tcPr>
          <w:p>
            <w:pPr>
              <w:jc w:val="right"/>
              <w:ind w:right="102"/>
              <w:spacing w:after="0"/>
              <w:rPr>
                <w:sz w:val="20"/>
                <w:szCs w:val="20"/>
                <w:color w:val="auto"/>
              </w:rPr>
            </w:pPr>
            <w:r>
              <w:rPr>
                <w:rFonts w:ascii="Arial" w:cs="Arial" w:eastAsia="Arial" w:hAnsi="Arial"/>
                <w:sz w:val="14"/>
                <w:szCs w:val="14"/>
                <w:color w:val="FFFFFF"/>
              </w:rPr>
              <w:t xml:space="preserve">($)   </w:t>
            </w:r>
          </w:p>
        </w:tc>
        <w:tc>
          <w:tcPr>
            <w:tcW w:w="1140" w:type="dxa"/>
            <w:vAlign w:val="bottom"/>
          </w:tcPr>
          <w:p>
            <w:pPr>
              <w:jc w:val="right"/>
              <w:ind w:right="102"/>
              <w:spacing w:after="0"/>
              <w:rPr>
                <w:sz w:val="20"/>
                <w:szCs w:val="20"/>
                <w:color w:val="auto"/>
              </w:rPr>
            </w:pPr>
            <w:r>
              <w:rPr>
                <w:rFonts w:ascii="Arial" w:cs="Arial" w:eastAsia="Arial" w:hAnsi="Arial"/>
                <w:sz w:val="14"/>
                <w:szCs w:val="14"/>
                <w:color w:val="FFFFFF"/>
              </w:rPr>
              <w:t xml:space="preserve">($) </w:t>
            </w:r>
          </w:p>
        </w:tc>
        <w:tc>
          <w:tcPr>
            <w:tcW w:w="1260" w:type="dxa"/>
            <w:vAlign w:val="bottom"/>
          </w:tcPr>
          <w:p>
            <w:pPr>
              <w:jc w:val="right"/>
              <w:ind w:right="42"/>
              <w:spacing w:after="0"/>
              <w:rPr>
                <w:sz w:val="20"/>
                <w:szCs w:val="20"/>
                <w:color w:val="auto"/>
              </w:rPr>
            </w:pPr>
            <w:r>
              <w:rPr>
                <w:rFonts w:ascii="Arial" w:cs="Arial" w:eastAsia="Arial" w:hAnsi="Arial"/>
                <w:sz w:val="14"/>
                <w:szCs w:val="14"/>
                <w:color w:val="FFFFFF"/>
              </w:rPr>
              <w:t xml:space="preserve">($)   </w:t>
            </w:r>
          </w:p>
        </w:tc>
        <w:tc>
          <w:tcPr>
            <w:tcW w:w="1080" w:type="dxa"/>
            <w:vAlign w:val="bottom"/>
          </w:tcPr>
          <w:p>
            <w:pPr>
              <w:jc w:val="right"/>
              <w:spacing w:after="0"/>
              <w:rPr>
                <w:sz w:val="20"/>
                <w:szCs w:val="20"/>
                <w:color w:val="auto"/>
              </w:rPr>
            </w:pPr>
            <w:r>
              <w:rPr>
                <w:rFonts w:ascii="Arial" w:cs="Arial" w:eastAsia="Arial" w:hAnsi="Arial"/>
                <w:sz w:val="14"/>
                <w:szCs w:val="14"/>
                <w:color w:val="FFFFFF"/>
              </w:rPr>
              <w:t xml:space="preserve">($)   </w:t>
            </w:r>
          </w:p>
        </w:tc>
      </w:tr>
      <w:tr>
        <w:trPr>
          <w:trHeight w:val="68"/>
        </w:trPr>
        <w:tc>
          <w:tcPr>
            <w:tcW w:w="47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6"/>
        </w:trPr>
        <w:tc>
          <w:tcPr>
            <w:tcW w:w="4720" w:type="dxa"/>
            <w:vAlign w:val="bottom"/>
            <w:shd w:val="clear" w:color="auto" w:fill="CCDEF1"/>
          </w:tcPr>
          <w:p>
            <w:pPr>
              <w:ind w:left="60"/>
              <w:spacing w:after="0"/>
              <w:rPr>
                <w:sz w:val="20"/>
                <w:szCs w:val="20"/>
                <w:color w:val="auto"/>
              </w:rPr>
            </w:pPr>
            <w:r>
              <w:rPr>
                <w:rFonts w:ascii="Arial" w:cs="Arial" w:eastAsia="Arial" w:hAnsi="Arial"/>
                <w:sz w:val="17"/>
                <w:szCs w:val="17"/>
                <w:color w:val="auto"/>
              </w:rPr>
              <w:t>L. Neil Hunn</w:t>
            </w:r>
          </w:p>
        </w:tc>
        <w:tc>
          <w:tcPr>
            <w:tcW w:w="1520" w:type="dxa"/>
            <w:vAlign w:val="bottom"/>
            <w:shd w:val="clear" w:color="auto" w:fill="CCDEF1"/>
          </w:tcPr>
          <w:p>
            <w:pPr>
              <w:jc w:val="right"/>
              <w:ind w:right="202"/>
              <w:spacing w:after="0"/>
              <w:rPr>
                <w:sz w:val="20"/>
                <w:szCs w:val="20"/>
                <w:color w:val="auto"/>
              </w:rPr>
            </w:pPr>
            <w:r>
              <w:rPr>
                <w:rFonts w:ascii="Arial" w:cs="Arial" w:eastAsia="Arial" w:hAnsi="Arial"/>
                <w:sz w:val="17"/>
                <w:szCs w:val="17"/>
                <w:color w:val="auto"/>
              </w:rPr>
              <w:t>2,052,956</w:t>
            </w:r>
          </w:p>
        </w:tc>
        <w:tc>
          <w:tcPr>
            <w:tcW w:w="1300" w:type="dxa"/>
            <w:vAlign w:val="bottom"/>
            <w:shd w:val="clear" w:color="auto" w:fill="CCDEF1"/>
          </w:tcPr>
          <w:p>
            <w:pPr>
              <w:jc w:val="right"/>
              <w:ind w:right="202"/>
              <w:spacing w:after="0"/>
              <w:rPr>
                <w:sz w:val="20"/>
                <w:szCs w:val="20"/>
                <w:color w:val="auto"/>
              </w:rPr>
            </w:pPr>
            <w:r>
              <w:rPr>
                <w:rFonts w:ascii="Arial" w:cs="Arial" w:eastAsia="Arial" w:hAnsi="Arial"/>
                <w:sz w:val="17"/>
                <w:szCs w:val="17"/>
                <w:color w:val="auto"/>
              </w:rPr>
              <w:t>1,536,854</w:t>
            </w:r>
          </w:p>
        </w:tc>
        <w:tc>
          <w:tcPr>
            <w:tcW w:w="1140" w:type="dxa"/>
            <w:vAlign w:val="bottom"/>
            <w:shd w:val="clear" w:color="auto" w:fill="CCDEF1"/>
          </w:tcPr>
          <w:p>
            <w:pPr>
              <w:ind w:left="240"/>
              <w:spacing w:after="0"/>
              <w:rPr>
                <w:sz w:val="20"/>
                <w:szCs w:val="20"/>
                <w:color w:val="auto"/>
              </w:rPr>
            </w:pPr>
            <w:r>
              <w:rPr>
                <w:rFonts w:ascii="Arial" w:cs="Arial" w:eastAsia="Arial" w:hAnsi="Arial"/>
                <w:sz w:val="17"/>
                <w:szCs w:val="17"/>
                <w:color w:val="auto"/>
              </w:rPr>
              <w:t>358,173</w:t>
            </w:r>
          </w:p>
        </w:tc>
        <w:tc>
          <w:tcPr>
            <w:tcW w:w="1260" w:type="dxa"/>
            <w:vAlign w:val="bottom"/>
            <w:shd w:val="clear" w:color="auto" w:fill="CCDEF1"/>
          </w:tcPr>
          <w:p>
            <w:pPr>
              <w:jc w:val="right"/>
              <w:ind w:right="202"/>
              <w:spacing w:after="0"/>
              <w:rPr>
                <w:sz w:val="20"/>
                <w:szCs w:val="20"/>
                <w:color w:val="auto"/>
              </w:rPr>
            </w:pPr>
            <w:r>
              <w:rPr>
                <w:rFonts w:ascii="Arial" w:cs="Arial" w:eastAsia="Arial" w:hAnsi="Arial"/>
                <w:sz w:val="17"/>
                <w:szCs w:val="17"/>
                <w:color w:val="auto"/>
              </w:rPr>
              <w:t>(721,774)</w:t>
            </w:r>
          </w:p>
        </w:tc>
        <w:tc>
          <w:tcPr>
            <w:tcW w:w="1080" w:type="dxa"/>
            <w:vAlign w:val="bottom"/>
            <w:shd w:val="clear" w:color="auto" w:fill="CCDEF1"/>
          </w:tcPr>
          <w:p>
            <w:pPr>
              <w:jc w:val="right"/>
              <w:ind w:right="42"/>
              <w:spacing w:after="0"/>
              <w:rPr>
                <w:sz w:val="20"/>
                <w:szCs w:val="20"/>
                <w:color w:val="auto"/>
              </w:rPr>
            </w:pPr>
            <w:r>
              <w:rPr>
                <w:rFonts w:ascii="Arial" w:cs="Arial" w:eastAsia="Arial" w:hAnsi="Arial"/>
                <w:sz w:val="17"/>
                <w:szCs w:val="17"/>
                <w:color w:val="auto"/>
              </w:rPr>
              <w:t>4,251,960</w:t>
            </w:r>
          </w:p>
        </w:tc>
      </w:tr>
      <w:tr>
        <w:trPr>
          <w:trHeight w:val="250"/>
        </w:trPr>
        <w:tc>
          <w:tcPr>
            <w:tcW w:w="4720" w:type="dxa"/>
            <w:vAlign w:val="bottom"/>
          </w:tcPr>
          <w:p>
            <w:pPr>
              <w:ind w:left="60"/>
              <w:spacing w:after="0"/>
              <w:rPr>
                <w:sz w:val="20"/>
                <w:szCs w:val="20"/>
                <w:color w:val="auto"/>
              </w:rPr>
            </w:pPr>
            <w:r>
              <w:rPr>
                <w:rFonts w:ascii="Arial" w:cs="Arial" w:eastAsia="Arial" w:hAnsi="Arial"/>
                <w:sz w:val="17"/>
                <w:szCs w:val="17"/>
                <w:color w:val="auto"/>
              </w:rPr>
              <w:t>Jason P. Conley</w:t>
            </w:r>
          </w:p>
        </w:tc>
        <w:tc>
          <w:tcPr>
            <w:tcW w:w="1520" w:type="dxa"/>
            <w:vAlign w:val="bottom"/>
          </w:tcPr>
          <w:p>
            <w:pPr>
              <w:jc w:val="right"/>
              <w:ind w:right="202"/>
              <w:spacing w:after="0"/>
              <w:rPr>
                <w:sz w:val="20"/>
                <w:szCs w:val="20"/>
                <w:color w:val="auto"/>
              </w:rPr>
            </w:pPr>
            <w:r>
              <w:rPr>
                <w:rFonts w:ascii="Arial" w:cs="Arial" w:eastAsia="Arial" w:hAnsi="Arial"/>
                <w:sz w:val="17"/>
                <w:szCs w:val="17"/>
                <w:color w:val="auto"/>
              </w:rPr>
              <w:t>281,677</w:t>
            </w:r>
          </w:p>
        </w:tc>
        <w:tc>
          <w:tcPr>
            <w:tcW w:w="1300" w:type="dxa"/>
            <w:vAlign w:val="bottom"/>
          </w:tcPr>
          <w:p>
            <w:pPr>
              <w:jc w:val="right"/>
              <w:ind w:right="202"/>
              <w:spacing w:after="0"/>
              <w:rPr>
                <w:sz w:val="20"/>
                <w:szCs w:val="20"/>
                <w:color w:val="auto"/>
              </w:rPr>
            </w:pPr>
            <w:r>
              <w:rPr>
                <w:rFonts w:ascii="Arial" w:cs="Arial" w:eastAsia="Arial" w:hAnsi="Arial"/>
                <w:sz w:val="17"/>
                <w:szCs w:val="17"/>
                <w:color w:val="auto"/>
              </w:rPr>
              <w:t>90,578</w:t>
            </w:r>
          </w:p>
        </w:tc>
        <w:tc>
          <w:tcPr>
            <w:tcW w:w="1140" w:type="dxa"/>
            <w:vAlign w:val="bottom"/>
          </w:tcPr>
          <w:p>
            <w:pPr>
              <w:ind w:left="240"/>
              <w:spacing w:after="0"/>
              <w:rPr>
                <w:sz w:val="20"/>
                <w:szCs w:val="20"/>
                <w:color w:val="auto"/>
              </w:rPr>
            </w:pPr>
            <w:r>
              <w:rPr>
                <w:rFonts w:ascii="Arial" w:cs="Arial" w:eastAsia="Arial" w:hAnsi="Arial"/>
                <w:sz w:val="17"/>
                <w:szCs w:val="17"/>
                <w:color w:val="auto"/>
              </w:rPr>
              <w:t>209,416</w:t>
            </w:r>
          </w:p>
        </w:tc>
        <w:tc>
          <w:tcPr>
            <w:tcW w:w="1260" w:type="dxa"/>
            <w:vAlign w:val="bottom"/>
          </w:tcPr>
          <w:p>
            <w:pPr>
              <w:jc w:val="right"/>
              <w:ind w:right="202"/>
              <w:spacing w:after="0"/>
              <w:rPr>
                <w:sz w:val="20"/>
                <w:szCs w:val="20"/>
                <w:color w:val="auto"/>
              </w:rPr>
            </w:pPr>
            <w:r>
              <w:rPr>
                <w:rFonts w:ascii="Arial" w:cs="Arial" w:eastAsia="Arial" w:hAnsi="Arial"/>
                <w:sz w:val="17"/>
                <w:szCs w:val="17"/>
                <w:color w:val="auto"/>
              </w:rPr>
              <w:t>(293,384)</w:t>
            </w: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3,323,852</w:t>
            </w:r>
          </w:p>
        </w:tc>
      </w:tr>
      <w:tr>
        <w:trPr>
          <w:trHeight w:val="263"/>
        </w:trPr>
        <w:tc>
          <w:tcPr>
            <w:tcW w:w="4720" w:type="dxa"/>
            <w:vAlign w:val="bottom"/>
            <w:shd w:val="clear" w:color="auto" w:fill="CCDEF1"/>
          </w:tcPr>
          <w:p>
            <w:pPr>
              <w:ind w:left="60"/>
              <w:spacing w:after="0"/>
              <w:rPr>
                <w:sz w:val="20"/>
                <w:szCs w:val="20"/>
                <w:color w:val="auto"/>
              </w:rPr>
            </w:pPr>
            <w:r>
              <w:rPr>
                <w:rFonts w:ascii="Arial" w:cs="Arial" w:eastAsia="Arial" w:hAnsi="Arial"/>
                <w:sz w:val="17"/>
                <w:szCs w:val="17"/>
                <w:color w:val="auto"/>
              </w:rPr>
              <w:t>John K. Stipancich</w:t>
            </w:r>
          </w:p>
        </w:tc>
        <w:tc>
          <w:tcPr>
            <w:tcW w:w="1520" w:type="dxa"/>
            <w:vAlign w:val="bottom"/>
            <w:shd w:val="clear" w:color="auto" w:fill="CCDEF1"/>
          </w:tcPr>
          <w:p>
            <w:pPr>
              <w:jc w:val="right"/>
              <w:ind w:right="202"/>
              <w:spacing w:after="0"/>
              <w:rPr>
                <w:sz w:val="20"/>
                <w:szCs w:val="20"/>
                <w:color w:val="auto"/>
              </w:rPr>
            </w:pPr>
            <w:r>
              <w:rPr>
                <w:rFonts w:ascii="Arial" w:cs="Arial" w:eastAsia="Arial" w:hAnsi="Arial"/>
                <w:sz w:val="17"/>
                <w:szCs w:val="17"/>
                <w:color w:val="auto"/>
              </w:rPr>
              <w:t>110,100</w:t>
            </w:r>
          </w:p>
        </w:tc>
        <w:tc>
          <w:tcPr>
            <w:tcW w:w="1300" w:type="dxa"/>
            <w:vAlign w:val="bottom"/>
            <w:shd w:val="clear" w:color="auto" w:fill="CCDEF1"/>
          </w:tcPr>
          <w:p>
            <w:pPr>
              <w:jc w:val="right"/>
              <w:ind w:right="202"/>
              <w:spacing w:after="0"/>
              <w:rPr>
                <w:sz w:val="20"/>
                <w:szCs w:val="20"/>
                <w:color w:val="auto"/>
              </w:rPr>
            </w:pPr>
            <w:r>
              <w:rPr>
                <w:rFonts w:ascii="Arial" w:cs="Arial" w:eastAsia="Arial" w:hAnsi="Arial"/>
                <w:sz w:val="17"/>
                <w:szCs w:val="17"/>
                <w:color w:val="auto"/>
              </w:rPr>
              <w:t>111,750</w:t>
            </w:r>
          </w:p>
        </w:tc>
        <w:tc>
          <w:tcPr>
            <w:tcW w:w="1140" w:type="dxa"/>
            <w:vAlign w:val="bottom"/>
            <w:shd w:val="clear" w:color="auto" w:fill="CCDEF1"/>
          </w:tcPr>
          <w:p>
            <w:pPr>
              <w:ind w:left="240"/>
              <w:spacing w:after="0"/>
              <w:rPr>
                <w:sz w:val="20"/>
                <w:szCs w:val="20"/>
                <w:color w:val="auto"/>
              </w:rPr>
            </w:pPr>
            <w:r>
              <w:rPr>
                <w:rFonts w:ascii="Arial" w:cs="Arial" w:eastAsia="Arial" w:hAnsi="Arial"/>
                <w:sz w:val="17"/>
                <w:szCs w:val="17"/>
                <w:color w:val="auto"/>
              </w:rPr>
              <w:t>102,609</w:t>
            </w:r>
          </w:p>
        </w:tc>
        <w:tc>
          <w:tcPr>
            <w:tcW w:w="1260" w:type="dxa"/>
            <w:vAlign w:val="bottom"/>
            <w:shd w:val="clear" w:color="auto" w:fill="CCDEF1"/>
          </w:tcPr>
          <w:p>
            <w:pPr>
              <w:jc w:val="right"/>
              <w:ind w:right="262"/>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DEF1"/>
          </w:tcPr>
          <w:p>
            <w:pPr>
              <w:jc w:val="right"/>
              <w:ind w:right="42"/>
              <w:spacing w:after="0"/>
              <w:rPr>
                <w:sz w:val="20"/>
                <w:szCs w:val="20"/>
                <w:color w:val="auto"/>
              </w:rPr>
            </w:pPr>
            <w:r>
              <w:rPr>
                <w:rFonts w:ascii="Arial" w:cs="Arial" w:eastAsia="Arial" w:hAnsi="Arial"/>
                <w:sz w:val="17"/>
                <w:szCs w:val="17"/>
                <w:color w:val="auto"/>
              </w:rPr>
              <w:t>1,731,417</w:t>
            </w:r>
          </w:p>
        </w:tc>
      </w:tr>
    </w:tbl>
    <w:p>
      <w:pPr>
        <w:spacing w:after="0" w:line="31" w:lineRule="exact"/>
        <w:rPr>
          <w:sz w:val="20"/>
          <w:szCs w:val="20"/>
          <w:color w:val="auto"/>
        </w:rPr>
      </w:pPr>
    </w:p>
    <w:p>
      <w:pPr>
        <w:ind w:left="540" w:right="20" w:hanging="424"/>
        <w:spacing w:after="0" w:line="204"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Amounts reflect participant deferrals under the Non-Qualified Retirement Plan during the fiscal year ended December 31, 2024 and all of these amounts are included in the Summary Compensation Table above in the “Salary” or “Non-Equity Incentive Plan Compensation” column as applicable.</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Except with respect to $1,326,782 for Mr. Hunn, which was included in the Summary Compensation Table for 2023 in connection with the payout of the five-year CEO Special Long-Term Cash Incentive, the amounts in this column are included in the Summary Compensation Table in the “All Other Compensation” column.</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No portion of these earnings was included in the Summary Compensation Table because the Non-Qualified Retirement Plan does not provide for “above-market” or preferential earnings as defined in applicable SEC rules.</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Of the amounts reflected in this column, the following portions were reported in previous years’ Summary Compensation Tables for the named executive officers: Mr. Hunn, $2,922,783; Mr. Conley, $1,955,265; and Mr. Stipancich, $1,210,265.</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Potential Payments upon Termination or Change in Control</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offer letters with Messrs. Hunn and Stipancich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Offer Letters to Messrs. Hunn and Stipancich</w:t>
      </w:r>
    </w:p>
    <w:p>
      <w:pPr>
        <w:spacing w:after="0" w:line="9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 xml:space="preserve">Mr. Hunn. </w:t>
      </w:r>
      <w:r>
        <w:rPr>
          <w:rFonts w:ascii="Arial" w:cs="Arial" w:eastAsia="Arial" w:hAnsi="Arial"/>
          <w:sz w:val="17"/>
          <w:szCs w:val="17"/>
          <w:color w:val="auto"/>
        </w:rPr>
        <w:t>Pursuant to an offer letter dated August 18, 2011, if Mr. Hunn’s employment were to be terminated without cause, he would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one year of medical benefit coverage and a severance payment equal to his then-current annual base salary.</w:t>
      </w:r>
    </w:p>
    <w:p>
      <w:pPr>
        <w:spacing w:after="0" w:line="51"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Mr. Stipancich</w:t>
      </w:r>
      <w:r>
        <w:rPr>
          <w:rFonts w:ascii="Arial" w:cs="Arial" w:eastAsia="Arial" w:hAnsi="Arial"/>
          <w:sz w:val="17"/>
          <w:szCs w:val="17"/>
          <w:color w:val="auto"/>
        </w:rPr>
        <w:t>. Pursuant to an offer letter dated June 17, 2016, if Mr. Stipancich’s employment were to be terminated without cause, he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one year of medical benefit coverage and a severance payment equal to his then-current annual base salary, plus a pro-rated bonus based upon Company performance.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Summary of Termination Payments and Benefits</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The following tables summarize the value of the termination payments and benefits that each of our named executive officers would receive if he had terminated employment on December 31, 2024 under the circumstances shown. Scenarios for termination for cause, voluntary resignation, and retirement have not been included because, in those circumstances, no severance or other additional payments would be made to named executive officers. Scenarios for termination due to death or disability have not been included because they do not discriminate in scope, terms or operation in favor of named executive officers compared to the benefits offered to all salaried employees.</w:t>
      </w:r>
    </w:p>
    <w:p>
      <w:pPr>
        <w:spacing w:after="0" w:line="134"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47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 N</w:t>
      </w:r>
      <w:r>
        <w:rPr>
          <w:rFonts w:ascii="Arial" w:cs="Arial" w:eastAsia="Arial" w:hAnsi="Arial"/>
          <w:sz w:val="14"/>
          <w:szCs w:val="14"/>
          <w:b w:val="1"/>
          <w:bCs w:val="1"/>
          <w:color w:val="005CB9"/>
        </w:rPr>
        <w:t>EIL</w:t>
      </w:r>
      <w:r>
        <w:rPr>
          <w:rFonts w:ascii="Arial" w:cs="Arial" w:eastAsia="Arial" w:hAnsi="Arial"/>
          <w:sz w:val="18"/>
          <w:szCs w:val="18"/>
          <w:b w:val="1"/>
          <w:bCs w:val="1"/>
          <w:color w:val="005CB9"/>
        </w:rPr>
        <w:t xml:space="preserve"> H</w:t>
      </w:r>
      <w:r>
        <w:rPr>
          <w:rFonts w:ascii="Arial" w:cs="Arial" w:eastAsia="Arial" w:hAnsi="Arial"/>
          <w:sz w:val="14"/>
          <w:szCs w:val="14"/>
          <w:b w:val="1"/>
          <w:bCs w:val="1"/>
          <w:color w:val="005CB9"/>
        </w:rPr>
        <w:t>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78105</wp:posOffset>
            </wp:positionV>
            <wp:extent cx="7011670" cy="4622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11670" cy="462280"/>
                    </a:xfrm>
                    <a:prstGeom prst="rect">
                      <a:avLst/>
                    </a:prstGeom>
                    <a:noFill/>
                  </pic:spPr>
                </pic:pic>
              </a:graphicData>
            </a:graphic>
          </wp:anchor>
        </w:drawing>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80" w:type="dxa"/>
            <w:vAlign w:val="bottom"/>
            <w:shd w:val="clear" w:color="auto" w:fill="005CB9"/>
          </w:tcPr>
          <w:p>
            <w:pPr>
              <w:spacing w:after="0"/>
              <w:rPr>
                <w:sz w:val="15"/>
                <w:szCs w:val="15"/>
                <w:color w:val="auto"/>
              </w:rPr>
            </w:pPr>
          </w:p>
        </w:tc>
        <w:tc>
          <w:tcPr>
            <w:tcW w:w="1920" w:type="dxa"/>
            <w:vAlign w:val="bottom"/>
            <w:shd w:val="clear" w:color="auto" w:fill="005CB9"/>
          </w:tcPr>
          <w:p>
            <w:pPr>
              <w:spacing w:after="0"/>
              <w:rPr>
                <w:sz w:val="15"/>
                <w:szCs w:val="15"/>
                <w:color w:val="auto"/>
              </w:rPr>
            </w:pPr>
          </w:p>
        </w:tc>
        <w:tc>
          <w:tcPr>
            <w:tcW w:w="1700" w:type="dxa"/>
            <w:vAlign w:val="bottom"/>
            <w:shd w:val="clear" w:color="auto" w:fill="005CB9"/>
          </w:tcPr>
          <w:p>
            <w:pPr>
              <w:jc w:val="right"/>
              <w:ind w:right="238"/>
              <w:spacing w:after="0"/>
              <w:rPr>
                <w:sz w:val="20"/>
                <w:szCs w:val="20"/>
                <w:color w:val="auto"/>
              </w:rPr>
            </w:pPr>
            <w:r>
              <w:rPr>
                <w:rFonts w:ascii="Arial" w:cs="Arial" w:eastAsia="Arial" w:hAnsi="Arial"/>
                <w:sz w:val="14"/>
                <w:szCs w:val="14"/>
                <w:color w:val="FFFFFF"/>
              </w:rPr>
              <w:t>Termination Scenario</w:t>
            </w:r>
          </w:p>
        </w:tc>
        <w:tc>
          <w:tcPr>
            <w:tcW w:w="1300" w:type="dxa"/>
            <w:vAlign w:val="bottom"/>
            <w:shd w:val="clear" w:color="auto" w:fill="005CB9"/>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6080" w:type="dxa"/>
            <w:vAlign w:val="bottom"/>
            <w:shd w:val="clear" w:color="auto" w:fill="005CB9"/>
          </w:tcPr>
          <w:p>
            <w:pPr>
              <w:spacing w:after="0"/>
              <w:rPr>
                <w:sz w:val="14"/>
                <w:szCs w:val="14"/>
                <w:color w:val="auto"/>
              </w:rPr>
            </w:pPr>
          </w:p>
        </w:tc>
        <w:tc>
          <w:tcPr>
            <w:tcW w:w="1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By Employee</w:t>
            </w:r>
          </w:p>
        </w:tc>
        <w:tc>
          <w:tcPr>
            <w:tcW w:w="1700" w:type="dxa"/>
            <w:vAlign w:val="bottom"/>
            <w:shd w:val="clear" w:color="auto" w:fill="005CB9"/>
          </w:tcPr>
          <w:p>
            <w:pPr>
              <w:jc w:val="right"/>
              <w:ind w:right="198"/>
              <w:spacing w:after="0"/>
              <w:rPr>
                <w:sz w:val="20"/>
                <w:szCs w:val="20"/>
                <w:color w:val="auto"/>
              </w:rPr>
            </w:pPr>
            <w:r>
              <w:rPr>
                <w:rFonts w:ascii="Arial" w:cs="Arial" w:eastAsia="Arial" w:hAnsi="Arial"/>
                <w:sz w:val="14"/>
                <w:szCs w:val="14"/>
                <w:color w:val="FFFFFF"/>
              </w:rPr>
              <w:t>By Company</w:t>
            </w:r>
          </w:p>
        </w:tc>
        <w:tc>
          <w:tcPr>
            <w:tcW w:w="13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4"/>
                <w:szCs w:val="14"/>
                <w:color w:val="auto"/>
              </w:rPr>
            </w:pPr>
          </w:p>
        </w:tc>
      </w:tr>
      <w:tr>
        <w:trPr>
          <w:trHeight w:val="185"/>
        </w:trPr>
        <w:tc>
          <w:tcPr>
            <w:tcW w:w="6080" w:type="dxa"/>
            <w:vAlign w:val="bottom"/>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For Good Reason</w:t>
            </w:r>
          </w:p>
        </w:tc>
        <w:tc>
          <w:tcPr>
            <w:tcW w:w="1700" w:type="dxa"/>
            <w:vAlign w:val="bottom"/>
            <w:shd w:val="clear" w:color="auto" w:fill="005CB9"/>
          </w:tcPr>
          <w:p>
            <w:pPr>
              <w:jc w:val="right"/>
              <w:ind w:right="198"/>
              <w:spacing w:after="0"/>
              <w:rPr>
                <w:sz w:val="20"/>
                <w:szCs w:val="20"/>
                <w:color w:val="auto"/>
              </w:rPr>
            </w:pPr>
            <w:r>
              <w:rPr>
                <w:rFonts w:ascii="Arial" w:cs="Arial" w:eastAsia="Arial" w:hAnsi="Arial"/>
                <w:sz w:val="14"/>
                <w:szCs w:val="14"/>
                <w:color w:val="FFFFFF"/>
              </w:rPr>
              <w:t>Without Cause</w:t>
            </w:r>
          </w:p>
        </w:tc>
        <w:tc>
          <w:tcPr>
            <w:tcW w:w="13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Cash payments</w:t>
            </w:r>
          </w:p>
        </w:tc>
        <w:tc>
          <w:tcPr>
            <w:tcW w:w="192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178"/>
              <w:spacing w:after="0"/>
              <w:rPr>
                <w:sz w:val="20"/>
                <w:szCs w:val="20"/>
                <w:color w:val="auto"/>
              </w:rPr>
            </w:pPr>
            <w:r>
              <w:rPr>
                <w:rFonts w:ascii="Arial" w:cs="Arial" w:eastAsia="Arial" w:hAnsi="Arial"/>
                <w:sz w:val="17"/>
                <w:szCs w:val="17"/>
                <w:color w:val="auto"/>
              </w:rPr>
              <w:t>$1,000,000</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1,000,000</w:t>
            </w:r>
          </w:p>
        </w:tc>
        <w:tc>
          <w:tcPr>
            <w:tcW w:w="20" w:type="dxa"/>
            <w:vAlign w:val="bottom"/>
            <w:shd w:val="clear" w:color="auto" w:fill="CCDEF1"/>
          </w:tcPr>
          <w:p>
            <w:pPr>
              <w:spacing w:after="0"/>
              <w:rPr>
                <w:sz w:val="23"/>
                <w:szCs w:val="23"/>
                <w:color w:val="auto"/>
              </w:rPr>
            </w:pPr>
          </w:p>
        </w:tc>
      </w:tr>
      <w:tr>
        <w:trPr>
          <w:trHeight w:val="67"/>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12"/>
                <w:szCs w:val="12"/>
                <w:color w:val="auto"/>
              </w:rPr>
              <w:t>(2)(3)</w:t>
            </w:r>
          </w:p>
        </w:tc>
        <w:tc>
          <w:tcPr>
            <w:tcW w:w="1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2022 Stock Option Grant</w:t>
            </w:r>
          </w:p>
        </w:tc>
        <w:tc>
          <w:tcPr>
            <w:tcW w:w="192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2,270,965</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340"/>
              <w:spacing w:after="0"/>
              <w:rPr>
                <w:sz w:val="20"/>
                <w:szCs w:val="20"/>
                <w:color w:val="auto"/>
              </w:rPr>
            </w:pPr>
            <w:r>
              <w:rPr>
                <w:rFonts w:ascii="Arial" w:cs="Arial" w:eastAsia="Arial" w:hAnsi="Arial"/>
                <w:sz w:val="17"/>
                <w:szCs w:val="17"/>
                <w:color w:val="auto"/>
              </w:rPr>
              <w:t>  2023 Stock Option Grant</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3,297,472</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Stock Option Grant</w:t>
            </w:r>
          </w:p>
        </w:tc>
        <w:tc>
          <w:tcPr>
            <w:tcW w:w="192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340"/>
              <w:spacing w:after="0"/>
              <w:rPr>
                <w:sz w:val="20"/>
                <w:szCs w:val="20"/>
                <w:color w:val="auto"/>
              </w:rPr>
            </w:pPr>
            <w:r>
              <w:rPr>
                <w:rFonts w:ascii="Arial" w:cs="Arial" w:eastAsia="Arial" w:hAnsi="Arial"/>
                <w:sz w:val="17"/>
                <w:szCs w:val="17"/>
                <w:color w:val="auto"/>
              </w:rPr>
              <w:t>  2023 Restricted Stock Grant</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16,980,900</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Restricted Stock Unit Award</w:t>
            </w:r>
          </w:p>
        </w:tc>
        <w:tc>
          <w:tcPr>
            <w:tcW w:w="192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13,795,259</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80"/>
              <w:spacing w:after="0"/>
              <w:rPr>
                <w:sz w:val="20"/>
                <w:szCs w:val="20"/>
                <w:color w:val="auto"/>
              </w:rPr>
            </w:pPr>
            <w:r>
              <w:rPr>
                <w:rFonts w:ascii="Arial" w:cs="Arial" w:eastAsia="Arial" w:hAnsi="Arial"/>
                <w:sz w:val="17"/>
                <w:szCs w:val="17"/>
                <w:color w:val="auto"/>
              </w:rPr>
              <w:t>Continued Medical Benefits</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78"/>
              <w:spacing w:after="0"/>
              <w:rPr>
                <w:sz w:val="20"/>
                <w:szCs w:val="20"/>
                <w:color w:val="auto"/>
              </w:rPr>
            </w:pPr>
            <w:r>
              <w:rPr>
                <w:rFonts w:ascii="Arial" w:cs="Arial" w:eastAsia="Arial" w:hAnsi="Arial"/>
                <w:sz w:val="17"/>
                <w:szCs w:val="17"/>
                <w:color w:val="auto"/>
              </w:rPr>
              <w:t>27,593</w:t>
            </w:r>
          </w:p>
        </w:tc>
        <w:tc>
          <w:tcPr>
            <w:tcW w:w="1300" w:type="dxa"/>
            <w:vAlign w:val="bottom"/>
          </w:tcPr>
          <w:p>
            <w:pPr>
              <w:jc w:val="right"/>
              <w:spacing w:after="0"/>
              <w:rPr>
                <w:sz w:val="20"/>
                <w:szCs w:val="20"/>
                <w:color w:val="auto"/>
              </w:rPr>
            </w:pPr>
            <w:r>
              <w:rPr>
                <w:rFonts w:ascii="Arial" w:cs="Arial" w:eastAsia="Arial" w:hAnsi="Arial"/>
                <w:sz w:val="17"/>
                <w:szCs w:val="17"/>
                <w:color w:val="auto"/>
              </w:rPr>
              <w:t>27,593</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80"/>
              <w:spacing w:after="0"/>
              <w:rPr>
                <w:sz w:val="20"/>
                <w:szCs w:val="20"/>
                <w:color w:val="auto"/>
              </w:rPr>
            </w:pPr>
            <w:r>
              <w:rPr>
                <w:rFonts w:ascii="Arial" w:cs="Arial" w:eastAsia="Arial" w:hAnsi="Arial"/>
                <w:sz w:val="17"/>
                <w:szCs w:val="17"/>
                <w:color w:val="auto"/>
              </w:rPr>
              <w:t>Total</w:t>
            </w:r>
          </w:p>
        </w:tc>
        <w:tc>
          <w:tcPr>
            <w:tcW w:w="1920" w:type="dxa"/>
            <w:vAlign w:val="bottom"/>
            <w:shd w:val="clear" w:color="auto" w:fill="CCDEF1"/>
          </w:tcPr>
          <w:p>
            <w:pPr>
              <w:spacing w:after="0"/>
              <w:rPr>
                <w:sz w:val="23"/>
                <w:szCs w:val="23"/>
                <w:color w:val="auto"/>
              </w:rPr>
            </w:pPr>
          </w:p>
        </w:tc>
        <w:tc>
          <w:tcPr>
            <w:tcW w:w="1700" w:type="dxa"/>
            <w:vAlign w:val="bottom"/>
            <w:shd w:val="clear" w:color="auto" w:fill="CCDEF1"/>
          </w:tcPr>
          <w:p>
            <w:pPr>
              <w:jc w:val="right"/>
              <w:ind w:right="178"/>
              <w:spacing w:after="0"/>
              <w:rPr>
                <w:sz w:val="20"/>
                <w:szCs w:val="20"/>
                <w:color w:val="auto"/>
              </w:rPr>
            </w:pPr>
            <w:r>
              <w:rPr>
                <w:rFonts w:ascii="Arial" w:cs="Arial" w:eastAsia="Arial" w:hAnsi="Arial"/>
                <w:sz w:val="17"/>
                <w:szCs w:val="17"/>
                <w:color w:val="auto"/>
              </w:rPr>
              <w:t>$1,027,593</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$37,372,189</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336"/>
        </w:trPr>
        <w:tc>
          <w:tcPr>
            <w:tcW w:w="6080" w:type="dxa"/>
            <w:vAlign w:val="bottom"/>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ASON</w:t>
            </w:r>
            <w:r>
              <w:rPr>
                <w:rFonts w:ascii="Arial" w:cs="Arial" w:eastAsia="Arial" w:hAnsi="Arial"/>
                <w:sz w:val="18"/>
                <w:szCs w:val="18"/>
                <w:b w:val="1"/>
                <w:bCs w:val="1"/>
                <w:color w:val="005CB9"/>
              </w:rPr>
              <w:t xml:space="preserve"> P. C</w:t>
            </w:r>
            <w:r>
              <w:rPr>
                <w:rFonts w:ascii="Arial" w:cs="Arial" w:eastAsia="Arial" w:hAnsi="Arial"/>
                <w:sz w:val="14"/>
                <w:szCs w:val="14"/>
                <w:b w:val="1"/>
                <w:bCs w:val="1"/>
                <w:color w:val="005CB9"/>
              </w:rPr>
              <w:t>ONLEY</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6080" w:type="dxa"/>
            <w:vAlign w:val="bottom"/>
          </w:tcPr>
          <w:p>
            <w:pPr>
              <w:spacing w:after="0"/>
              <w:rPr>
                <w:sz w:val="16"/>
                <w:szCs w:val="16"/>
                <w:color w:val="auto"/>
              </w:rPr>
            </w:pPr>
          </w:p>
        </w:tc>
        <w:tc>
          <w:tcPr>
            <w:tcW w:w="362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6080" w:type="dxa"/>
            <w:vAlign w:val="bottom"/>
            <w:shd w:val="clear" w:color="auto" w:fill="005CB9"/>
          </w:tcPr>
          <w:p>
            <w:pPr>
              <w:spacing w:after="0"/>
              <w:rPr>
                <w:sz w:val="17"/>
                <w:szCs w:val="17"/>
                <w:color w:val="auto"/>
              </w:rPr>
            </w:pPr>
          </w:p>
        </w:tc>
        <w:tc>
          <w:tcPr>
            <w:tcW w:w="3620" w:type="dxa"/>
            <w:vAlign w:val="bottom"/>
            <w:gridSpan w:val="2"/>
            <w:shd w:val="clear" w:color="auto" w:fill="005CB9"/>
          </w:tcPr>
          <w:p>
            <w:pPr>
              <w:jc w:val="right"/>
              <w:ind w:right="298"/>
              <w:spacing w:after="0"/>
              <w:rPr>
                <w:sz w:val="20"/>
                <w:szCs w:val="20"/>
                <w:color w:val="auto"/>
              </w:rPr>
            </w:pPr>
            <w:r>
              <w:rPr>
                <w:rFonts w:ascii="Arial" w:cs="Arial" w:eastAsia="Arial" w:hAnsi="Arial"/>
                <w:sz w:val="14"/>
                <w:szCs w:val="14"/>
                <w:color w:val="FFFFFF"/>
              </w:rPr>
              <w:t>Termination Scenario</w:t>
            </w:r>
          </w:p>
        </w:tc>
        <w:tc>
          <w:tcPr>
            <w:tcW w:w="1300" w:type="dxa"/>
            <w:vAlign w:val="bottom"/>
            <w:shd w:val="clear" w:color="auto" w:fill="005CB9"/>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6080" w:type="dxa"/>
            <w:vAlign w:val="bottom"/>
            <w:shd w:val="clear" w:color="auto" w:fill="005CB9"/>
          </w:tcPr>
          <w:p>
            <w:pPr>
              <w:spacing w:after="0"/>
              <w:rPr>
                <w:sz w:val="13"/>
                <w:szCs w:val="13"/>
                <w:color w:val="auto"/>
              </w:rPr>
            </w:pPr>
          </w:p>
        </w:tc>
        <w:tc>
          <w:tcPr>
            <w:tcW w:w="1920" w:type="dxa"/>
            <w:vAlign w:val="bottom"/>
            <w:shd w:val="clear" w:color="auto" w:fill="005CB9"/>
          </w:tcPr>
          <w:p>
            <w:pPr>
              <w:jc w:val="right"/>
              <w:ind w:right="58"/>
              <w:spacing w:after="0" w:line="159" w:lineRule="exact"/>
              <w:rPr>
                <w:sz w:val="20"/>
                <w:szCs w:val="20"/>
                <w:color w:val="auto"/>
              </w:rPr>
            </w:pPr>
            <w:r>
              <w:rPr>
                <w:rFonts w:ascii="Arial" w:cs="Arial" w:eastAsia="Arial" w:hAnsi="Arial"/>
                <w:sz w:val="14"/>
                <w:szCs w:val="14"/>
                <w:color w:val="FFFFFF"/>
              </w:rPr>
              <w:t>By Employee</w:t>
            </w:r>
          </w:p>
        </w:tc>
        <w:tc>
          <w:tcPr>
            <w:tcW w:w="1700" w:type="dxa"/>
            <w:vAlign w:val="bottom"/>
            <w:shd w:val="clear" w:color="auto" w:fill="005CB9"/>
          </w:tcPr>
          <w:p>
            <w:pPr>
              <w:jc w:val="right"/>
              <w:ind w:right="318"/>
              <w:spacing w:after="0" w:line="159" w:lineRule="exact"/>
              <w:rPr>
                <w:sz w:val="20"/>
                <w:szCs w:val="20"/>
                <w:color w:val="auto"/>
              </w:rPr>
            </w:pPr>
            <w:r>
              <w:rPr>
                <w:rFonts w:ascii="Arial" w:cs="Arial" w:eastAsia="Arial" w:hAnsi="Arial"/>
                <w:sz w:val="14"/>
                <w:szCs w:val="14"/>
                <w:color w:val="FFFFFF"/>
              </w:rPr>
              <w:t>By Company</w:t>
            </w:r>
          </w:p>
        </w:tc>
        <w:tc>
          <w:tcPr>
            <w:tcW w:w="1300" w:type="dxa"/>
            <w:vAlign w:val="bottom"/>
            <w:shd w:val="clear" w:color="auto" w:fill="005CB9"/>
          </w:tcPr>
          <w:p>
            <w:pPr>
              <w:jc w:val="right"/>
              <w:spacing w:after="0" w:line="159" w:lineRule="exact"/>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3"/>
                <w:szCs w:val="13"/>
                <w:color w:val="auto"/>
              </w:rPr>
            </w:pPr>
          </w:p>
        </w:tc>
      </w:tr>
      <w:tr>
        <w:trPr>
          <w:trHeight w:val="185"/>
        </w:trPr>
        <w:tc>
          <w:tcPr>
            <w:tcW w:w="6080" w:type="dxa"/>
            <w:vAlign w:val="bottom"/>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920" w:type="dxa"/>
            <w:vAlign w:val="bottom"/>
            <w:shd w:val="clear" w:color="auto" w:fill="005CB9"/>
          </w:tcPr>
          <w:p>
            <w:pPr>
              <w:jc w:val="right"/>
              <w:ind w:right="58"/>
              <w:spacing w:after="0"/>
              <w:rPr>
                <w:sz w:val="20"/>
                <w:szCs w:val="20"/>
                <w:color w:val="auto"/>
              </w:rPr>
            </w:pPr>
            <w:r>
              <w:rPr>
                <w:rFonts w:ascii="Arial" w:cs="Arial" w:eastAsia="Arial" w:hAnsi="Arial"/>
                <w:sz w:val="14"/>
                <w:szCs w:val="14"/>
                <w:color w:val="FFFFFF"/>
              </w:rPr>
              <w:t>For Good Reason</w:t>
            </w:r>
          </w:p>
        </w:tc>
        <w:tc>
          <w:tcPr>
            <w:tcW w:w="1700" w:type="dxa"/>
            <w:vAlign w:val="bottom"/>
            <w:shd w:val="clear" w:color="auto" w:fill="005CB9"/>
          </w:tcPr>
          <w:p>
            <w:pPr>
              <w:jc w:val="right"/>
              <w:ind w:right="318"/>
              <w:spacing w:after="0"/>
              <w:rPr>
                <w:sz w:val="20"/>
                <w:szCs w:val="20"/>
                <w:color w:val="auto"/>
              </w:rPr>
            </w:pPr>
            <w:r>
              <w:rPr>
                <w:rFonts w:ascii="Arial" w:cs="Arial" w:eastAsia="Arial" w:hAnsi="Arial"/>
                <w:sz w:val="14"/>
                <w:szCs w:val="14"/>
                <w:color w:val="FFFFFF"/>
              </w:rPr>
              <w:t>Without Cause</w:t>
            </w:r>
          </w:p>
        </w:tc>
        <w:tc>
          <w:tcPr>
            <w:tcW w:w="13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Cash payments</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  -</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 </w:t>
            </w:r>
          </w:p>
        </w:tc>
        <w:tc>
          <w:tcPr>
            <w:tcW w:w="20" w:type="dxa"/>
            <w:vAlign w:val="bottom"/>
            <w:shd w:val="clear" w:color="auto" w:fill="CCDEF1"/>
          </w:tcPr>
          <w:p>
            <w:pPr>
              <w:spacing w:after="0"/>
              <w:rPr>
                <w:sz w:val="23"/>
                <w:szCs w:val="23"/>
                <w:color w:val="auto"/>
              </w:rPr>
            </w:pPr>
          </w:p>
        </w:tc>
      </w:tr>
      <w:tr>
        <w:trPr>
          <w:trHeight w:val="67"/>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12"/>
                <w:szCs w:val="12"/>
                <w:color w:val="auto"/>
              </w:rPr>
              <w:t>(2)(3)</w:t>
            </w:r>
          </w:p>
        </w:tc>
        <w:tc>
          <w:tcPr>
            <w:tcW w:w="1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7"/>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2022 Stock Option Grant</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428,973</w:t>
            </w:r>
          </w:p>
        </w:tc>
        <w:tc>
          <w:tcPr>
            <w:tcW w:w="20" w:type="dxa"/>
            <w:vAlign w:val="bottom"/>
            <w:shd w:val="clear" w:color="auto" w:fill="CCDEF1"/>
          </w:tcPr>
          <w:p>
            <w:pPr>
              <w:spacing w:after="0"/>
              <w:rPr>
                <w:sz w:val="23"/>
                <w:szCs w:val="23"/>
                <w:color w:val="auto"/>
              </w:rPr>
            </w:pPr>
          </w:p>
        </w:tc>
      </w:tr>
      <w:tr>
        <w:trPr>
          <w:trHeight w:val="67"/>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340"/>
              <w:spacing w:after="0"/>
              <w:rPr>
                <w:sz w:val="20"/>
                <w:szCs w:val="20"/>
                <w:color w:val="auto"/>
              </w:rPr>
            </w:pPr>
            <w:r>
              <w:rPr>
                <w:rFonts w:ascii="Arial" w:cs="Arial" w:eastAsia="Arial" w:hAnsi="Arial"/>
                <w:sz w:val="17"/>
                <w:szCs w:val="17"/>
                <w:color w:val="auto"/>
              </w:rPr>
              <w:t>  2024 Stock Option Grant</w:t>
            </w:r>
          </w:p>
        </w:tc>
        <w:tc>
          <w:tcPr>
            <w:tcW w:w="19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889,899</w:t>
            </w:r>
          </w:p>
        </w:tc>
        <w:tc>
          <w:tcPr>
            <w:tcW w:w="20" w:type="dxa"/>
            <w:vAlign w:val="bottom"/>
          </w:tcPr>
          <w:p>
            <w:pPr>
              <w:spacing w:after="0"/>
              <w:rPr>
                <w:sz w:val="23"/>
                <w:szCs w:val="23"/>
                <w:color w:val="auto"/>
              </w:rPr>
            </w:pPr>
          </w:p>
        </w:tc>
      </w:tr>
      <w:tr>
        <w:trPr>
          <w:trHeight w:val="67"/>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Stock Option Grant</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20" w:type="dxa"/>
            <w:vAlign w:val="bottom"/>
            <w:shd w:val="clear" w:color="auto" w:fill="CCDEF1"/>
          </w:tcPr>
          <w:p>
            <w:pPr>
              <w:spacing w:after="0"/>
              <w:rPr>
                <w:sz w:val="23"/>
                <w:szCs w:val="23"/>
                <w:color w:val="auto"/>
              </w:rPr>
            </w:pPr>
          </w:p>
        </w:tc>
      </w:tr>
      <w:tr>
        <w:trPr>
          <w:trHeight w:val="67"/>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340"/>
              <w:spacing w:after="0"/>
              <w:rPr>
                <w:sz w:val="20"/>
                <w:szCs w:val="20"/>
                <w:color w:val="auto"/>
              </w:rPr>
            </w:pPr>
            <w:r>
              <w:rPr>
                <w:rFonts w:ascii="Arial" w:cs="Arial" w:eastAsia="Arial" w:hAnsi="Arial"/>
                <w:sz w:val="17"/>
                <w:szCs w:val="17"/>
                <w:color w:val="auto"/>
              </w:rPr>
              <w:t>  2023 Restricted Stock Grant</w:t>
            </w:r>
          </w:p>
        </w:tc>
        <w:tc>
          <w:tcPr>
            <w:tcW w:w="19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4,582,478</w:t>
            </w:r>
          </w:p>
        </w:tc>
        <w:tc>
          <w:tcPr>
            <w:tcW w:w="20" w:type="dxa"/>
            <w:vAlign w:val="bottom"/>
          </w:tcPr>
          <w:p>
            <w:pPr>
              <w:spacing w:after="0"/>
              <w:rPr>
                <w:sz w:val="23"/>
                <w:szCs w:val="23"/>
                <w:color w:val="auto"/>
              </w:rPr>
            </w:pPr>
          </w:p>
        </w:tc>
      </w:tr>
      <w:tr>
        <w:trPr>
          <w:trHeight w:val="67"/>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Restricted Stock Unit Award</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4,269,008</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80"/>
              <w:spacing w:after="0"/>
              <w:rPr>
                <w:sz w:val="20"/>
                <w:szCs w:val="20"/>
                <w:color w:val="auto"/>
              </w:rPr>
            </w:pPr>
            <w:r>
              <w:rPr>
                <w:rFonts w:ascii="Arial" w:cs="Arial" w:eastAsia="Arial" w:hAnsi="Arial"/>
                <w:sz w:val="17"/>
                <w:szCs w:val="17"/>
                <w:color w:val="auto"/>
              </w:rPr>
              <w:t>Continued Medical Benefits</w:t>
            </w:r>
          </w:p>
        </w:tc>
        <w:tc>
          <w:tcPr>
            <w:tcW w:w="19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 xml:space="preserve">- </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80"/>
              <w:spacing w:after="0"/>
              <w:rPr>
                <w:sz w:val="20"/>
                <w:szCs w:val="20"/>
                <w:color w:val="auto"/>
              </w:rPr>
            </w:pPr>
            <w:r>
              <w:rPr>
                <w:rFonts w:ascii="Arial" w:cs="Arial" w:eastAsia="Arial" w:hAnsi="Arial"/>
                <w:sz w:val="17"/>
                <w:szCs w:val="17"/>
                <w:color w:val="auto"/>
              </w:rPr>
              <w:t>Total</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  -</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$10,170,358</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336"/>
        </w:trPr>
        <w:tc>
          <w:tcPr>
            <w:tcW w:w="6080" w:type="dxa"/>
            <w:vAlign w:val="bottom"/>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OHN</w:t>
            </w:r>
            <w:r>
              <w:rPr>
                <w:rFonts w:ascii="Arial" w:cs="Arial" w:eastAsia="Arial" w:hAnsi="Arial"/>
                <w:sz w:val="18"/>
                <w:szCs w:val="18"/>
                <w:b w:val="1"/>
                <w:bCs w:val="1"/>
                <w:color w:val="005CB9"/>
              </w:rPr>
              <w:t xml:space="preserve"> K. S</w:t>
            </w:r>
            <w:r>
              <w:rPr>
                <w:rFonts w:ascii="Arial" w:cs="Arial" w:eastAsia="Arial" w:hAnsi="Arial"/>
                <w:sz w:val="14"/>
                <w:szCs w:val="14"/>
                <w:b w:val="1"/>
                <w:bCs w:val="1"/>
                <w:color w:val="005CB9"/>
              </w:rPr>
              <w:t>TIPANCICH</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6080" w:type="dxa"/>
            <w:vAlign w:val="bottom"/>
          </w:tcPr>
          <w:p>
            <w:pPr>
              <w:spacing w:after="0"/>
              <w:rPr>
                <w:sz w:val="16"/>
                <w:szCs w:val="16"/>
                <w:color w:val="auto"/>
              </w:rPr>
            </w:pPr>
          </w:p>
        </w:tc>
        <w:tc>
          <w:tcPr>
            <w:tcW w:w="362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6080" w:type="dxa"/>
            <w:vAlign w:val="bottom"/>
            <w:shd w:val="clear" w:color="auto" w:fill="005CB9"/>
          </w:tcPr>
          <w:p>
            <w:pPr>
              <w:spacing w:after="0"/>
              <w:rPr>
                <w:sz w:val="15"/>
                <w:szCs w:val="15"/>
                <w:color w:val="auto"/>
              </w:rPr>
            </w:pPr>
          </w:p>
        </w:tc>
        <w:tc>
          <w:tcPr>
            <w:tcW w:w="3620" w:type="dxa"/>
            <w:vAlign w:val="bottom"/>
            <w:gridSpan w:val="2"/>
            <w:shd w:val="clear" w:color="auto" w:fill="005CB9"/>
          </w:tcPr>
          <w:p>
            <w:pPr>
              <w:jc w:val="right"/>
              <w:ind w:right="298"/>
              <w:spacing w:after="0"/>
              <w:rPr>
                <w:sz w:val="20"/>
                <w:szCs w:val="20"/>
                <w:color w:val="auto"/>
              </w:rPr>
            </w:pPr>
            <w:r>
              <w:rPr>
                <w:rFonts w:ascii="Arial" w:cs="Arial" w:eastAsia="Arial" w:hAnsi="Arial"/>
                <w:sz w:val="14"/>
                <w:szCs w:val="14"/>
                <w:color w:val="FFFFFF"/>
              </w:rPr>
              <w:t>Termination Scenario</w:t>
            </w:r>
          </w:p>
        </w:tc>
        <w:tc>
          <w:tcPr>
            <w:tcW w:w="1300" w:type="dxa"/>
            <w:vAlign w:val="bottom"/>
            <w:shd w:val="clear" w:color="auto" w:fill="005CB9"/>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6080" w:type="dxa"/>
            <w:vAlign w:val="bottom"/>
            <w:shd w:val="clear" w:color="auto" w:fill="005CB9"/>
          </w:tcPr>
          <w:p>
            <w:pPr>
              <w:spacing w:after="0"/>
              <w:rPr>
                <w:sz w:val="14"/>
                <w:szCs w:val="14"/>
                <w:color w:val="auto"/>
              </w:rPr>
            </w:pPr>
          </w:p>
        </w:tc>
        <w:tc>
          <w:tcPr>
            <w:tcW w:w="1920" w:type="dxa"/>
            <w:vAlign w:val="bottom"/>
            <w:shd w:val="clear" w:color="auto" w:fill="005CB9"/>
          </w:tcPr>
          <w:p>
            <w:pPr>
              <w:jc w:val="right"/>
              <w:ind w:right="58"/>
              <w:spacing w:after="0"/>
              <w:rPr>
                <w:sz w:val="20"/>
                <w:szCs w:val="20"/>
                <w:color w:val="auto"/>
              </w:rPr>
            </w:pPr>
            <w:r>
              <w:rPr>
                <w:rFonts w:ascii="Arial" w:cs="Arial" w:eastAsia="Arial" w:hAnsi="Arial"/>
                <w:sz w:val="14"/>
                <w:szCs w:val="14"/>
                <w:color w:val="FFFFFF"/>
              </w:rPr>
              <w:t>By Employee</w:t>
            </w:r>
          </w:p>
        </w:tc>
        <w:tc>
          <w:tcPr>
            <w:tcW w:w="1700" w:type="dxa"/>
            <w:vAlign w:val="bottom"/>
            <w:shd w:val="clear" w:color="auto" w:fill="005CB9"/>
          </w:tcPr>
          <w:p>
            <w:pPr>
              <w:jc w:val="right"/>
              <w:ind w:right="318"/>
              <w:spacing w:after="0"/>
              <w:rPr>
                <w:sz w:val="20"/>
                <w:szCs w:val="20"/>
                <w:color w:val="auto"/>
              </w:rPr>
            </w:pPr>
            <w:r>
              <w:rPr>
                <w:rFonts w:ascii="Arial" w:cs="Arial" w:eastAsia="Arial" w:hAnsi="Arial"/>
                <w:sz w:val="14"/>
                <w:szCs w:val="14"/>
                <w:color w:val="FFFFFF"/>
              </w:rPr>
              <w:t>By Company</w:t>
            </w:r>
          </w:p>
        </w:tc>
        <w:tc>
          <w:tcPr>
            <w:tcW w:w="13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4"/>
                <w:szCs w:val="14"/>
                <w:color w:val="auto"/>
              </w:rPr>
            </w:pPr>
          </w:p>
        </w:tc>
      </w:tr>
      <w:tr>
        <w:trPr>
          <w:trHeight w:val="185"/>
        </w:trPr>
        <w:tc>
          <w:tcPr>
            <w:tcW w:w="6080" w:type="dxa"/>
            <w:vAlign w:val="bottom"/>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920" w:type="dxa"/>
            <w:vAlign w:val="bottom"/>
            <w:shd w:val="clear" w:color="auto" w:fill="005CB9"/>
          </w:tcPr>
          <w:p>
            <w:pPr>
              <w:jc w:val="right"/>
              <w:ind w:right="58"/>
              <w:spacing w:after="0"/>
              <w:rPr>
                <w:sz w:val="20"/>
                <w:szCs w:val="20"/>
                <w:color w:val="auto"/>
              </w:rPr>
            </w:pPr>
            <w:r>
              <w:rPr>
                <w:rFonts w:ascii="Arial" w:cs="Arial" w:eastAsia="Arial" w:hAnsi="Arial"/>
                <w:sz w:val="14"/>
                <w:szCs w:val="14"/>
                <w:color w:val="FFFFFF"/>
              </w:rPr>
              <w:t>For Good Reason</w:t>
            </w:r>
          </w:p>
        </w:tc>
        <w:tc>
          <w:tcPr>
            <w:tcW w:w="1700" w:type="dxa"/>
            <w:vAlign w:val="bottom"/>
            <w:shd w:val="clear" w:color="auto" w:fill="005CB9"/>
          </w:tcPr>
          <w:p>
            <w:pPr>
              <w:jc w:val="right"/>
              <w:ind w:right="318"/>
              <w:spacing w:after="0"/>
              <w:rPr>
                <w:sz w:val="20"/>
                <w:szCs w:val="20"/>
                <w:color w:val="auto"/>
              </w:rPr>
            </w:pPr>
            <w:r>
              <w:rPr>
                <w:rFonts w:ascii="Arial" w:cs="Arial" w:eastAsia="Arial" w:hAnsi="Arial"/>
                <w:sz w:val="14"/>
                <w:szCs w:val="14"/>
                <w:color w:val="FFFFFF"/>
              </w:rPr>
              <w:t>Without Cause</w:t>
            </w:r>
          </w:p>
        </w:tc>
        <w:tc>
          <w:tcPr>
            <w:tcW w:w="13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Cash payments</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$2,025,919</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2,025,919</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12"/>
                <w:szCs w:val="12"/>
                <w:color w:val="auto"/>
              </w:rPr>
              <w:t>(2)(3)</w:t>
            </w:r>
          </w:p>
        </w:tc>
        <w:tc>
          <w:tcPr>
            <w:tcW w:w="1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2022 Stock Option Grant</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451,050</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340"/>
              <w:spacing w:after="0"/>
              <w:rPr>
                <w:sz w:val="20"/>
                <w:szCs w:val="20"/>
                <w:color w:val="auto"/>
              </w:rPr>
            </w:pPr>
            <w:r>
              <w:rPr>
                <w:rFonts w:ascii="Arial" w:cs="Arial" w:eastAsia="Arial" w:hAnsi="Arial"/>
                <w:sz w:val="17"/>
                <w:szCs w:val="17"/>
                <w:color w:val="auto"/>
              </w:rPr>
              <w:t>  2023 Stock Option Grant</w:t>
            </w:r>
          </w:p>
        </w:tc>
        <w:tc>
          <w:tcPr>
            <w:tcW w:w="19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818,678</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Stock Option Grant</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340"/>
              <w:spacing w:after="0"/>
              <w:rPr>
                <w:sz w:val="20"/>
                <w:szCs w:val="20"/>
                <w:color w:val="auto"/>
              </w:rPr>
            </w:pPr>
            <w:r>
              <w:rPr>
                <w:rFonts w:ascii="Arial" w:cs="Arial" w:eastAsia="Arial" w:hAnsi="Arial"/>
                <w:sz w:val="17"/>
                <w:szCs w:val="17"/>
                <w:color w:val="auto"/>
              </w:rPr>
              <w:t>  2023 Restricted Stock Grant</w:t>
            </w:r>
          </w:p>
        </w:tc>
        <w:tc>
          <w:tcPr>
            <w:tcW w:w="19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4,215,984</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Restricted Stock Unit Award</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3,984,130</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6080" w:type="dxa"/>
            <w:vAlign w:val="bottom"/>
          </w:tcPr>
          <w:p>
            <w:pPr>
              <w:ind w:left="80"/>
              <w:spacing w:after="0"/>
              <w:rPr>
                <w:sz w:val="20"/>
                <w:szCs w:val="20"/>
                <w:color w:val="auto"/>
              </w:rPr>
            </w:pPr>
            <w:r>
              <w:rPr>
                <w:rFonts w:ascii="Arial" w:cs="Arial" w:eastAsia="Arial" w:hAnsi="Arial"/>
                <w:sz w:val="17"/>
                <w:szCs w:val="17"/>
                <w:color w:val="auto"/>
              </w:rPr>
              <w:t>Continued Medical Benefits</w:t>
            </w:r>
          </w:p>
        </w:tc>
        <w:tc>
          <w:tcPr>
            <w:tcW w:w="19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8"/>
              <w:spacing w:after="0"/>
              <w:rPr>
                <w:sz w:val="20"/>
                <w:szCs w:val="20"/>
                <w:color w:val="auto"/>
              </w:rPr>
            </w:pPr>
            <w:r>
              <w:rPr>
                <w:rFonts w:ascii="Arial" w:cs="Arial" w:eastAsia="Arial" w:hAnsi="Arial"/>
                <w:sz w:val="17"/>
                <w:szCs w:val="17"/>
                <w:color w:val="auto"/>
              </w:rPr>
              <w:t>27,593</w:t>
            </w:r>
          </w:p>
        </w:tc>
        <w:tc>
          <w:tcPr>
            <w:tcW w:w="1300" w:type="dxa"/>
            <w:vAlign w:val="bottom"/>
          </w:tcPr>
          <w:p>
            <w:pPr>
              <w:jc w:val="right"/>
              <w:spacing w:after="0"/>
              <w:rPr>
                <w:sz w:val="20"/>
                <w:szCs w:val="20"/>
                <w:color w:val="auto"/>
              </w:rPr>
            </w:pPr>
            <w:r>
              <w:rPr>
                <w:rFonts w:ascii="Arial" w:cs="Arial" w:eastAsia="Arial" w:hAnsi="Arial"/>
                <w:sz w:val="17"/>
                <w:szCs w:val="17"/>
                <w:color w:val="auto"/>
              </w:rPr>
              <w:t>27,593</w:t>
            </w:r>
          </w:p>
        </w:tc>
        <w:tc>
          <w:tcPr>
            <w:tcW w:w="20" w:type="dxa"/>
            <w:vAlign w:val="bottom"/>
          </w:tcPr>
          <w:p>
            <w:pPr>
              <w:spacing w:after="0"/>
              <w:rPr>
                <w:sz w:val="23"/>
                <w:szCs w:val="23"/>
                <w:color w:val="auto"/>
              </w:rPr>
            </w:pPr>
          </w:p>
        </w:tc>
      </w:tr>
      <w:tr>
        <w:trPr>
          <w:trHeight w:val="68"/>
        </w:trPr>
        <w:tc>
          <w:tcPr>
            <w:tcW w:w="6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080" w:type="dxa"/>
            <w:vAlign w:val="bottom"/>
            <w:shd w:val="clear" w:color="auto" w:fill="CCDEF1"/>
          </w:tcPr>
          <w:p>
            <w:pPr>
              <w:ind w:left="80"/>
              <w:spacing w:after="0"/>
              <w:rPr>
                <w:sz w:val="20"/>
                <w:szCs w:val="20"/>
                <w:color w:val="auto"/>
              </w:rPr>
            </w:pPr>
            <w:r>
              <w:rPr>
                <w:rFonts w:ascii="Arial" w:cs="Arial" w:eastAsia="Arial" w:hAnsi="Arial"/>
                <w:sz w:val="17"/>
                <w:szCs w:val="17"/>
                <w:color w:val="auto"/>
              </w:rPr>
              <w:t>Total</w:t>
            </w:r>
          </w:p>
        </w:tc>
        <w:tc>
          <w:tcPr>
            <w:tcW w:w="192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$2,053,512</w:t>
            </w:r>
          </w:p>
        </w:tc>
        <w:tc>
          <w:tcPr>
            <w:tcW w:w="130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$11,523,354</w:t>
            </w:r>
          </w:p>
        </w:tc>
        <w:tc>
          <w:tcPr>
            <w:tcW w:w="20" w:type="dxa"/>
            <w:vAlign w:val="bottom"/>
            <w:shd w:val="clear" w:color="auto" w:fill="CCDEF1"/>
          </w:tcPr>
          <w:p>
            <w:pPr>
              <w:spacing w:after="0"/>
              <w:rPr>
                <w:sz w:val="23"/>
                <w:szCs w:val="23"/>
                <w:color w:val="auto"/>
              </w:rPr>
            </w:pPr>
          </w:p>
        </w:tc>
      </w:tr>
      <w:tr>
        <w:trPr>
          <w:trHeight w:val="68"/>
        </w:trPr>
        <w:tc>
          <w:tcPr>
            <w:tcW w:w="6080" w:type="dxa"/>
            <w:vAlign w:val="bottom"/>
            <w:shd w:val="clear" w:color="auto" w:fill="CCDEF1"/>
          </w:tcPr>
          <w:p>
            <w:pPr>
              <w:spacing w:after="0"/>
              <w:rPr>
                <w:sz w:val="5"/>
                <w:szCs w:val="5"/>
                <w:color w:val="auto"/>
              </w:rPr>
            </w:pPr>
          </w:p>
        </w:tc>
        <w:tc>
          <w:tcPr>
            <w:tcW w:w="19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3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-5022850</wp:posOffset>
            </wp:positionV>
            <wp:extent cx="7011670" cy="4622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11670" cy="46228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-2373630</wp:posOffset>
            </wp:positionV>
            <wp:extent cx="7011670" cy="4540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11670" cy="454025"/>
                    </a:xfrm>
                    <a:prstGeom prst="rect">
                      <a:avLst/>
                    </a:prstGeom>
                    <a:noFill/>
                  </pic:spPr>
                </pic:pic>
              </a:graphicData>
            </a:graphic>
          </wp:anchor>
        </w:drawing>
      </w:r>
    </w:p>
    <w:p>
      <w:pPr>
        <w:spacing w:after="0" w:line="30"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Assumes employment is terminated involuntarily without cause.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42"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Based on closing market price of our common stock on December 31, 2024 of $519.85 per share.</w:t>
      </w:r>
    </w:p>
    <w:p>
      <w:pPr>
        <w:spacing w:after="0" w:line="66" w:lineRule="exact"/>
        <w:rPr>
          <w:rFonts w:ascii="Arial" w:cs="Arial" w:eastAsia="Arial" w:hAnsi="Arial"/>
          <w:sz w:val="22"/>
          <w:szCs w:val="22"/>
          <w:color w:val="auto"/>
          <w:vertAlign w:val="superscript"/>
        </w:rPr>
      </w:pPr>
    </w:p>
    <w:p>
      <w:pPr>
        <w:jc w:val="both"/>
        <w:ind w:left="540" w:hanging="424"/>
        <w:spacing w:after="0" w:line="215" w:lineRule="auto"/>
        <w:tabs>
          <w:tab w:leader="none" w:pos="5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Under the terms of our 2021 Incentive Plan, if within two years after a change in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and restricted stock units lapse, and (iii) the target payout opportunities on outstanding performance-based restricted stock and restricted stock units shall be deemed to have been fully earned (subject to the conditions provided in the 2021 Incentive Plan).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CEO Pay Ratio</w:t>
      </w:r>
    </w:p>
    <w:p>
      <w:pPr>
        <w:spacing w:after="0" w:line="9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As required by SEC rules, we compared the total compensation of our CEO in 2024 to that of our median employee for the same period. Through our core human capital management system with supplementation from manual inputs, we collected information for our global workforce of 18,134 employees (12,061 of which are based in the United States), including our full-time, part-time and temporary workers, and excluded our employees in Germany (101) and France (94) under the de minimis exemption.</w:t>
      </w:r>
    </w:p>
    <w:p>
      <w:pPr>
        <w:spacing w:after="0" w:line="69"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We identified our median employee as of December 31, 2024 by applying a consistent compensation measure for the period from January 1, 2024 to December 31, 2024 across our global employee population—annual salary or hourly pay, bonus and commissions (excluding equity compensation because inclusion of such would have had no impact on the determination of the median employee). We annualized the compensation for our full-time and part-time employees who were newly-hired in 2024. Our median employee’s total 2024 compensation was $95,181 and our CEO’s was $23,706,520 ($19,938 more than as reported in the Summary Compensation Table above due to the inclusion of certain employee benefits). Accordingly, our 2024 CEO to Median Employee Pay Ratio was 249:1.</w:t>
      </w:r>
    </w:p>
    <w:p>
      <w:pPr>
        <w:spacing w:after="0" w:line="7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SEC rules for identifying the median employee permit companies to adopt a variety of methodologies, to apply certain exclusions, and to make reasonable estimates and assumptions that reflect their employee populations and compensation practices. Consequently, the pay ratios reported by other companies may not be comparable to the pay ratio reported by Roper.</w:t>
      </w:r>
    </w:p>
    <w:p>
      <w:pPr>
        <w:spacing w:after="0" w:line="129"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49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Pay Versus Performance</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As required by SEC Rules, we are providing the following information about the relationship between certain executive compensation and certain financial performance of our Company, illustrating pay versus performance, or PVP. For its Company Selected Measure (“CSM”) and an additional measure to show in this table, the Company has chosen Adjusted Free Cash Flow and Adjusted EBITDA, respectively.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154940</wp:posOffset>
            </wp:positionV>
            <wp:extent cx="7011670" cy="7626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11670" cy="7626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60" w:type="dxa"/>
            <w:vAlign w:val="bottom"/>
            <w:shd w:val="clear" w:color="auto" w:fill="005CB9"/>
          </w:tcPr>
          <w:p>
            <w:pPr>
              <w:spacing w:after="0"/>
              <w:rPr>
                <w:sz w:val="13"/>
                <w:szCs w:val="13"/>
                <w:color w:val="auto"/>
              </w:rPr>
            </w:pPr>
          </w:p>
        </w:tc>
        <w:tc>
          <w:tcPr>
            <w:tcW w:w="11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220" w:type="dxa"/>
            <w:vAlign w:val="bottom"/>
            <w:shd w:val="clear" w:color="auto" w:fill="005CB9"/>
          </w:tcPr>
          <w:p>
            <w:pPr>
              <w:spacing w:after="0"/>
              <w:rPr>
                <w:sz w:val="13"/>
                <w:szCs w:val="13"/>
                <w:color w:val="auto"/>
              </w:rPr>
            </w:pPr>
          </w:p>
        </w:tc>
        <w:tc>
          <w:tcPr>
            <w:tcW w:w="980" w:type="dxa"/>
            <w:vAlign w:val="bottom"/>
            <w:shd w:val="clear" w:color="auto" w:fill="005CB9"/>
          </w:tcPr>
          <w:p>
            <w:pPr>
              <w:jc w:val="right"/>
              <w:ind w:right="33"/>
              <w:spacing w:after="0"/>
              <w:rPr>
                <w:sz w:val="20"/>
                <w:szCs w:val="20"/>
                <w:color w:val="auto"/>
              </w:rPr>
            </w:pPr>
            <w:r>
              <w:rPr>
                <w:rFonts w:ascii="Arial" w:cs="Arial" w:eastAsia="Arial" w:hAnsi="Arial"/>
                <w:sz w:val="13"/>
                <w:szCs w:val="13"/>
                <w:color w:val="FFFFFF"/>
              </w:rPr>
              <w:t>Average</w:t>
            </w:r>
          </w:p>
        </w:tc>
        <w:tc>
          <w:tcPr>
            <w:tcW w:w="200" w:type="dxa"/>
            <w:vAlign w:val="bottom"/>
            <w:shd w:val="clear" w:color="auto" w:fill="005CB9"/>
          </w:tcPr>
          <w:p>
            <w:pPr>
              <w:spacing w:after="0"/>
              <w:rPr>
                <w:sz w:val="13"/>
                <w:szCs w:val="13"/>
                <w:color w:val="auto"/>
              </w:rPr>
            </w:pPr>
          </w:p>
        </w:tc>
        <w:tc>
          <w:tcPr>
            <w:tcW w:w="1040" w:type="dxa"/>
            <w:vAlign w:val="bottom"/>
            <w:shd w:val="clear" w:color="auto" w:fill="005CB9"/>
          </w:tcPr>
          <w:p>
            <w:pPr>
              <w:spacing w:after="0"/>
              <w:rPr>
                <w:sz w:val="13"/>
                <w:szCs w:val="13"/>
                <w:color w:val="auto"/>
              </w:rPr>
            </w:pPr>
          </w:p>
        </w:tc>
        <w:tc>
          <w:tcPr>
            <w:tcW w:w="180" w:type="dxa"/>
            <w:vAlign w:val="bottom"/>
            <w:shd w:val="clear" w:color="auto" w:fill="005CB9"/>
          </w:tcPr>
          <w:p>
            <w:pPr>
              <w:spacing w:after="0"/>
              <w:rPr>
                <w:sz w:val="13"/>
                <w:szCs w:val="13"/>
                <w:color w:val="auto"/>
              </w:rPr>
            </w:pPr>
          </w:p>
        </w:tc>
        <w:tc>
          <w:tcPr>
            <w:tcW w:w="1960" w:type="dxa"/>
            <w:vAlign w:val="bottom"/>
            <w:gridSpan w:val="2"/>
            <w:shd w:val="clear" w:color="auto" w:fill="005CB9"/>
          </w:tcPr>
          <w:p>
            <w:pPr>
              <w:jc w:val="right"/>
              <w:ind w:right="51"/>
              <w:spacing w:after="0"/>
              <w:rPr>
                <w:sz w:val="20"/>
                <w:szCs w:val="20"/>
                <w:color w:val="auto"/>
              </w:rPr>
            </w:pPr>
            <w:r>
              <w:rPr>
                <w:rFonts w:ascii="Arial" w:cs="Arial" w:eastAsia="Arial" w:hAnsi="Arial"/>
                <w:sz w:val="13"/>
                <w:szCs w:val="13"/>
                <w:color w:val="FFFFFF"/>
              </w:rPr>
              <w:t>Value of Initial Fixed $100</w:t>
            </w:r>
          </w:p>
        </w:tc>
        <w:tc>
          <w:tcPr>
            <w:tcW w:w="760" w:type="dxa"/>
            <w:vAlign w:val="bottom"/>
            <w:shd w:val="clear" w:color="auto" w:fill="005CB9"/>
          </w:tcPr>
          <w:p>
            <w:pPr>
              <w:spacing w:after="0"/>
              <w:rPr>
                <w:sz w:val="13"/>
                <w:szCs w:val="13"/>
                <w:color w:val="auto"/>
              </w:rPr>
            </w:pPr>
          </w:p>
        </w:tc>
        <w:tc>
          <w:tcPr>
            <w:tcW w:w="780" w:type="dxa"/>
            <w:vAlign w:val="bottom"/>
            <w:vMerge w:val="restart"/>
            <w:shd w:val="clear" w:color="auto" w:fill="005CB9"/>
          </w:tcPr>
          <w:p>
            <w:pPr>
              <w:jc w:val="right"/>
              <w:ind w:right="73"/>
              <w:spacing w:after="0"/>
              <w:rPr>
                <w:sz w:val="20"/>
                <w:szCs w:val="20"/>
                <w:color w:val="auto"/>
              </w:rPr>
            </w:pPr>
            <w:r>
              <w:rPr>
                <w:rFonts w:ascii="Arial" w:cs="Arial" w:eastAsia="Arial" w:hAnsi="Arial"/>
                <w:sz w:val="13"/>
                <w:szCs w:val="13"/>
                <w:color w:val="FFFFFF"/>
              </w:rPr>
              <w:t>Adjusted</w:t>
            </w:r>
          </w:p>
        </w:tc>
        <w:tc>
          <w:tcPr>
            <w:tcW w:w="720" w:type="dxa"/>
            <w:vAlign w:val="bottom"/>
            <w:shd w:val="clear" w:color="auto" w:fill="005CB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005CB9"/>
          </w:tcPr>
          <w:p>
            <w:pPr>
              <w:spacing w:after="0"/>
              <w:rPr>
                <w:sz w:val="10"/>
                <w:szCs w:val="10"/>
                <w:color w:val="auto"/>
              </w:rPr>
            </w:pPr>
          </w:p>
        </w:tc>
        <w:tc>
          <w:tcPr>
            <w:tcW w:w="1100" w:type="dxa"/>
            <w:vAlign w:val="bottom"/>
            <w:shd w:val="clear" w:color="auto" w:fill="005CB9"/>
          </w:tcPr>
          <w:p>
            <w:pPr>
              <w:spacing w:after="0"/>
              <w:rPr>
                <w:sz w:val="10"/>
                <w:szCs w:val="10"/>
                <w:color w:val="auto"/>
              </w:rPr>
            </w:pPr>
          </w:p>
        </w:tc>
        <w:tc>
          <w:tcPr>
            <w:tcW w:w="200" w:type="dxa"/>
            <w:vAlign w:val="bottom"/>
            <w:shd w:val="clear" w:color="auto" w:fill="005CB9"/>
          </w:tcPr>
          <w:p>
            <w:pPr>
              <w:spacing w:after="0"/>
              <w:rPr>
                <w:sz w:val="10"/>
                <w:szCs w:val="10"/>
                <w:color w:val="auto"/>
              </w:rPr>
            </w:pPr>
          </w:p>
        </w:tc>
        <w:tc>
          <w:tcPr>
            <w:tcW w:w="1000" w:type="dxa"/>
            <w:vAlign w:val="bottom"/>
            <w:shd w:val="clear" w:color="auto" w:fill="005CB9"/>
          </w:tcPr>
          <w:p>
            <w:pPr>
              <w:spacing w:after="0"/>
              <w:rPr>
                <w:sz w:val="10"/>
                <w:szCs w:val="10"/>
                <w:color w:val="auto"/>
              </w:rPr>
            </w:pPr>
          </w:p>
        </w:tc>
        <w:tc>
          <w:tcPr>
            <w:tcW w:w="220" w:type="dxa"/>
            <w:vAlign w:val="bottom"/>
            <w:shd w:val="clear" w:color="auto" w:fill="005CB9"/>
          </w:tcPr>
          <w:p>
            <w:pPr>
              <w:spacing w:after="0"/>
              <w:rPr>
                <w:sz w:val="10"/>
                <w:szCs w:val="10"/>
                <w:color w:val="auto"/>
              </w:rPr>
            </w:pPr>
          </w:p>
        </w:tc>
        <w:tc>
          <w:tcPr>
            <w:tcW w:w="980" w:type="dxa"/>
            <w:vAlign w:val="bottom"/>
            <w:shd w:val="clear" w:color="auto" w:fill="005CB9"/>
          </w:tcPr>
          <w:p>
            <w:pPr>
              <w:jc w:val="right"/>
              <w:ind w:right="33"/>
              <w:spacing w:after="0" w:line="126" w:lineRule="exact"/>
              <w:rPr>
                <w:sz w:val="20"/>
                <w:szCs w:val="20"/>
                <w:color w:val="auto"/>
              </w:rPr>
            </w:pPr>
            <w:r>
              <w:rPr>
                <w:rFonts w:ascii="Arial" w:cs="Arial" w:eastAsia="Arial" w:hAnsi="Arial"/>
                <w:sz w:val="13"/>
                <w:szCs w:val="13"/>
                <w:color w:val="FFFFFF"/>
              </w:rPr>
              <w:t>Summary</w:t>
            </w:r>
          </w:p>
        </w:tc>
        <w:tc>
          <w:tcPr>
            <w:tcW w:w="200" w:type="dxa"/>
            <w:vAlign w:val="bottom"/>
            <w:shd w:val="clear" w:color="auto" w:fill="005CB9"/>
          </w:tcPr>
          <w:p>
            <w:pPr>
              <w:spacing w:after="0"/>
              <w:rPr>
                <w:sz w:val="10"/>
                <w:szCs w:val="10"/>
                <w:color w:val="auto"/>
              </w:rPr>
            </w:pPr>
          </w:p>
        </w:tc>
        <w:tc>
          <w:tcPr>
            <w:tcW w:w="1040" w:type="dxa"/>
            <w:vAlign w:val="bottom"/>
            <w:shd w:val="clear" w:color="auto" w:fill="005CB9"/>
          </w:tcPr>
          <w:p>
            <w:pPr>
              <w:jc w:val="right"/>
              <w:ind w:right="93"/>
              <w:spacing w:after="0" w:line="126" w:lineRule="exact"/>
              <w:rPr>
                <w:sz w:val="20"/>
                <w:szCs w:val="20"/>
                <w:color w:val="auto"/>
              </w:rPr>
            </w:pPr>
            <w:r>
              <w:rPr>
                <w:rFonts w:ascii="Arial" w:cs="Arial" w:eastAsia="Arial" w:hAnsi="Arial"/>
                <w:sz w:val="13"/>
                <w:szCs w:val="13"/>
                <w:color w:val="FFFFFF"/>
              </w:rPr>
              <w:t>Average</w:t>
            </w:r>
          </w:p>
        </w:tc>
        <w:tc>
          <w:tcPr>
            <w:tcW w:w="180" w:type="dxa"/>
            <w:vAlign w:val="bottom"/>
            <w:shd w:val="clear" w:color="auto" w:fill="005CB9"/>
          </w:tcPr>
          <w:p>
            <w:pPr>
              <w:spacing w:after="0"/>
              <w:rPr>
                <w:sz w:val="10"/>
                <w:szCs w:val="10"/>
                <w:color w:val="auto"/>
              </w:rPr>
            </w:pPr>
          </w:p>
        </w:tc>
        <w:tc>
          <w:tcPr>
            <w:tcW w:w="1960" w:type="dxa"/>
            <w:vAlign w:val="bottom"/>
            <w:gridSpan w:val="2"/>
            <w:shd w:val="clear" w:color="auto" w:fill="005CB9"/>
          </w:tcPr>
          <w:p>
            <w:pPr>
              <w:jc w:val="right"/>
              <w:ind w:right="51"/>
              <w:spacing w:after="0" w:line="126" w:lineRule="exact"/>
              <w:rPr>
                <w:sz w:val="20"/>
                <w:szCs w:val="20"/>
                <w:color w:val="auto"/>
              </w:rPr>
            </w:pPr>
            <w:r>
              <w:rPr>
                <w:rFonts w:ascii="Arial" w:cs="Arial" w:eastAsia="Arial" w:hAnsi="Arial"/>
                <w:sz w:val="13"/>
                <w:szCs w:val="13"/>
                <w:color w:val="FFFFFF"/>
              </w:rPr>
              <w:t>Investment Based On:</w:t>
            </w:r>
          </w:p>
        </w:tc>
        <w:tc>
          <w:tcPr>
            <w:tcW w:w="760" w:type="dxa"/>
            <w:vAlign w:val="bottom"/>
            <w:shd w:val="clear" w:color="auto" w:fill="005CB9"/>
          </w:tcPr>
          <w:p>
            <w:pPr>
              <w:spacing w:after="0"/>
              <w:rPr>
                <w:sz w:val="10"/>
                <w:szCs w:val="10"/>
                <w:color w:val="auto"/>
              </w:rPr>
            </w:pPr>
          </w:p>
        </w:tc>
        <w:tc>
          <w:tcPr>
            <w:tcW w:w="780" w:type="dxa"/>
            <w:vAlign w:val="bottom"/>
            <w:vMerge w:val="continue"/>
            <w:shd w:val="clear" w:color="auto" w:fill="005CB9"/>
          </w:tcPr>
          <w:p>
            <w:pPr>
              <w:spacing w:after="0"/>
              <w:rPr>
                <w:sz w:val="10"/>
                <w:szCs w:val="10"/>
                <w:color w:val="auto"/>
              </w:rPr>
            </w:pPr>
          </w:p>
        </w:tc>
        <w:tc>
          <w:tcPr>
            <w:tcW w:w="720" w:type="dxa"/>
            <w:vAlign w:val="bottom"/>
            <w:shd w:val="clear" w:color="auto" w:fill="005CB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005CB9"/>
          </w:tcPr>
          <w:p>
            <w:pPr>
              <w:spacing w:after="0"/>
              <w:rPr>
                <w:sz w:val="11"/>
                <w:szCs w:val="11"/>
                <w:color w:val="auto"/>
              </w:rPr>
            </w:pPr>
          </w:p>
        </w:tc>
        <w:tc>
          <w:tcPr>
            <w:tcW w:w="1100" w:type="dxa"/>
            <w:vAlign w:val="bottom"/>
            <w:shd w:val="clear" w:color="auto" w:fill="005CB9"/>
          </w:tcPr>
          <w:p>
            <w:pPr>
              <w:jc w:val="right"/>
              <w:ind w:right="32"/>
              <w:spacing w:after="0" w:line="135" w:lineRule="exact"/>
              <w:rPr>
                <w:sz w:val="20"/>
                <w:szCs w:val="20"/>
                <w:color w:val="auto"/>
              </w:rPr>
            </w:pPr>
            <w:r>
              <w:rPr>
                <w:rFonts w:ascii="Arial" w:cs="Arial" w:eastAsia="Arial" w:hAnsi="Arial"/>
                <w:sz w:val="13"/>
                <w:szCs w:val="13"/>
                <w:color w:val="FFFFFF"/>
              </w:rPr>
              <w:t>Summary</w:t>
            </w:r>
          </w:p>
        </w:tc>
        <w:tc>
          <w:tcPr>
            <w:tcW w:w="200" w:type="dxa"/>
            <w:vAlign w:val="bottom"/>
            <w:shd w:val="clear" w:color="auto" w:fill="005CB9"/>
          </w:tcPr>
          <w:p>
            <w:pPr>
              <w:spacing w:after="0"/>
              <w:rPr>
                <w:sz w:val="11"/>
                <w:szCs w:val="11"/>
                <w:color w:val="auto"/>
              </w:rPr>
            </w:pPr>
          </w:p>
        </w:tc>
        <w:tc>
          <w:tcPr>
            <w:tcW w:w="1000" w:type="dxa"/>
            <w:vAlign w:val="bottom"/>
            <w:shd w:val="clear" w:color="auto" w:fill="005CB9"/>
          </w:tcPr>
          <w:p>
            <w:pPr>
              <w:spacing w:after="0"/>
              <w:rPr>
                <w:sz w:val="11"/>
                <w:szCs w:val="11"/>
                <w:color w:val="auto"/>
              </w:rPr>
            </w:pP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3"/>
              <w:spacing w:after="0" w:line="135" w:lineRule="exact"/>
              <w:rPr>
                <w:sz w:val="20"/>
                <w:szCs w:val="20"/>
                <w:color w:val="auto"/>
              </w:rPr>
            </w:pPr>
            <w:r>
              <w:rPr>
                <w:rFonts w:ascii="Arial" w:cs="Arial" w:eastAsia="Arial" w:hAnsi="Arial"/>
                <w:sz w:val="13"/>
                <w:szCs w:val="13"/>
                <w:color w:val="FFFFFF"/>
              </w:rPr>
              <w:t>Compensation</w:t>
            </w:r>
          </w:p>
        </w:tc>
        <w:tc>
          <w:tcPr>
            <w:tcW w:w="200" w:type="dxa"/>
            <w:vAlign w:val="bottom"/>
            <w:shd w:val="clear" w:color="auto" w:fill="005CB9"/>
          </w:tcPr>
          <w:p>
            <w:pPr>
              <w:spacing w:after="0"/>
              <w:rPr>
                <w:sz w:val="11"/>
                <w:szCs w:val="11"/>
                <w:color w:val="auto"/>
              </w:rPr>
            </w:pPr>
          </w:p>
        </w:tc>
        <w:tc>
          <w:tcPr>
            <w:tcW w:w="1040" w:type="dxa"/>
            <w:vAlign w:val="bottom"/>
            <w:shd w:val="clear" w:color="auto" w:fill="005CB9"/>
          </w:tcPr>
          <w:p>
            <w:pPr>
              <w:jc w:val="right"/>
              <w:ind w:right="93"/>
              <w:spacing w:after="0" w:line="135" w:lineRule="exact"/>
              <w:rPr>
                <w:sz w:val="20"/>
                <w:szCs w:val="20"/>
                <w:color w:val="auto"/>
              </w:rPr>
            </w:pPr>
            <w:r>
              <w:rPr>
                <w:rFonts w:ascii="Arial" w:cs="Arial" w:eastAsia="Arial" w:hAnsi="Arial"/>
                <w:sz w:val="13"/>
                <w:szCs w:val="13"/>
                <w:color w:val="FFFFFF"/>
              </w:rPr>
              <w:t>Compensation</w:t>
            </w:r>
          </w:p>
        </w:tc>
        <w:tc>
          <w:tcPr>
            <w:tcW w:w="180" w:type="dxa"/>
            <w:vAlign w:val="bottom"/>
            <w:shd w:val="clear" w:color="auto" w:fill="005CB9"/>
          </w:tcPr>
          <w:p>
            <w:pPr>
              <w:spacing w:after="0"/>
              <w:rPr>
                <w:sz w:val="11"/>
                <w:szCs w:val="11"/>
                <w:color w:val="auto"/>
              </w:rPr>
            </w:pPr>
          </w:p>
        </w:tc>
        <w:tc>
          <w:tcPr>
            <w:tcW w:w="1340" w:type="dxa"/>
            <w:vAlign w:val="bottom"/>
            <w:shd w:val="clear" w:color="auto" w:fill="005CB9"/>
          </w:tcPr>
          <w:p>
            <w:pPr>
              <w:spacing w:after="0"/>
              <w:rPr>
                <w:sz w:val="11"/>
                <w:szCs w:val="11"/>
                <w:color w:val="auto"/>
              </w:rPr>
            </w:pPr>
          </w:p>
        </w:tc>
        <w:tc>
          <w:tcPr>
            <w:tcW w:w="620" w:type="dxa"/>
            <w:vAlign w:val="bottom"/>
            <w:shd w:val="clear" w:color="auto" w:fill="005CB9"/>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78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Free</w:t>
            </w:r>
          </w:p>
        </w:tc>
        <w:tc>
          <w:tcPr>
            <w:tcW w:w="720" w:type="dxa"/>
            <w:vAlign w:val="bottom"/>
            <w:shd w:val="clear" w:color="auto" w:fill="005CB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005CB9"/>
          </w:tcPr>
          <w:p>
            <w:pPr>
              <w:spacing w:after="0"/>
              <w:rPr>
                <w:sz w:val="11"/>
                <w:szCs w:val="11"/>
                <w:color w:val="auto"/>
              </w:rPr>
            </w:pPr>
          </w:p>
        </w:tc>
        <w:tc>
          <w:tcPr>
            <w:tcW w:w="1100" w:type="dxa"/>
            <w:vAlign w:val="bottom"/>
            <w:shd w:val="clear" w:color="auto" w:fill="005CB9"/>
          </w:tcPr>
          <w:p>
            <w:pPr>
              <w:ind w:left="180"/>
              <w:spacing w:after="0" w:line="135" w:lineRule="exact"/>
              <w:rPr>
                <w:sz w:val="20"/>
                <w:szCs w:val="20"/>
                <w:color w:val="auto"/>
              </w:rPr>
            </w:pPr>
            <w:r>
              <w:rPr>
                <w:rFonts w:ascii="Arial" w:cs="Arial" w:eastAsia="Arial" w:hAnsi="Arial"/>
                <w:sz w:val="13"/>
                <w:szCs w:val="13"/>
                <w:color w:val="FFFFFF"/>
              </w:rPr>
              <w:t>Compensation</w:t>
            </w:r>
          </w:p>
        </w:tc>
        <w:tc>
          <w:tcPr>
            <w:tcW w:w="200" w:type="dxa"/>
            <w:vAlign w:val="bottom"/>
            <w:shd w:val="clear" w:color="auto" w:fill="005CB9"/>
          </w:tcPr>
          <w:p>
            <w:pPr>
              <w:spacing w:after="0"/>
              <w:rPr>
                <w:sz w:val="11"/>
                <w:szCs w:val="11"/>
                <w:color w:val="auto"/>
              </w:rPr>
            </w:pPr>
          </w:p>
        </w:tc>
        <w:tc>
          <w:tcPr>
            <w:tcW w:w="1000" w:type="dxa"/>
            <w:vAlign w:val="bottom"/>
            <w:shd w:val="clear" w:color="auto" w:fill="005CB9"/>
          </w:tcPr>
          <w:p>
            <w:pPr>
              <w:ind w:left="80"/>
              <w:spacing w:after="0" w:line="135" w:lineRule="exact"/>
              <w:rPr>
                <w:sz w:val="20"/>
                <w:szCs w:val="20"/>
                <w:color w:val="auto"/>
              </w:rPr>
            </w:pPr>
            <w:r>
              <w:rPr>
                <w:rFonts w:ascii="Arial" w:cs="Arial" w:eastAsia="Arial" w:hAnsi="Arial"/>
                <w:sz w:val="13"/>
                <w:szCs w:val="13"/>
                <w:color w:val="FFFFFF"/>
              </w:rPr>
              <w:t>Compensation</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3"/>
              <w:spacing w:after="0" w:line="135" w:lineRule="exact"/>
              <w:rPr>
                <w:sz w:val="20"/>
                <w:szCs w:val="20"/>
                <w:color w:val="auto"/>
              </w:rPr>
            </w:pPr>
            <w:r>
              <w:rPr>
                <w:rFonts w:ascii="Arial" w:cs="Arial" w:eastAsia="Arial" w:hAnsi="Arial"/>
                <w:sz w:val="13"/>
                <w:szCs w:val="13"/>
                <w:color w:val="FFFFFF"/>
              </w:rPr>
              <w:t>Table Total for</w:t>
            </w:r>
          </w:p>
        </w:tc>
        <w:tc>
          <w:tcPr>
            <w:tcW w:w="200" w:type="dxa"/>
            <w:vAlign w:val="bottom"/>
            <w:shd w:val="clear" w:color="auto" w:fill="005CB9"/>
          </w:tcPr>
          <w:p>
            <w:pPr>
              <w:spacing w:after="0"/>
              <w:rPr>
                <w:sz w:val="11"/>
                <w:szCs w:val="11"/>
                <w:color w:val="auto"/>
              </w:rPr>
            </w:pPr>
          </w:p>
        </w:tc>
        <w:tc>
          <w:tcPr>
            <w:tcW w:w="1040" w:type="dxa"/>
            <w:vAlign w:val="bottom"/>
            <w:shd w:val="clear" w:color="auto" w:fill="005CB9"/>
          </w:tcPr>
          <w:p>
            <w:pPr>
              <w:jc w:val="right"/>
              <w:ind w:right="93"/>
              <w:spacing w:after="0" w:line="135" w:lineRule="exact"/>
              <w:rPr>
                <w:sz w:val="20"/>
                <w:szCs w:val="20"/>
                <w:color w:val="auto"/>
              </w:rPr>
            </w:pPr>
            <w:r>
              <w:rPr>
                <w:rFonts w:ascii="Arial" w:cs="Arial" w:eastAsia="Arial" w:hAnsi="Arial"/>
                <w:sz w:val="13"/>
                <w:szCs w:val="13"/>
                <w:color w:val="FFFFFF"/>
              </w:rPr>
              <w:t>Actually Paid</w:t>
            </w:r>
          </w:p>
        </w:tc>
        <w:tc>
          <w:tcPr>
            <w:tcW w:w="180" w:type="dxa"/>
            <w:vAlign w:val="bottom"/>
            <w:shd w:val="clear" w:color="auto" w:fill="005CB9"/>
          </w:tcPr>
          <w:p>
            <w:pPr>
              <w:spacing w:after="0"/>
              <w:rPr>
                <w:sz w:val="11"/>
                <w:szCs w:val="11"/>
                <w:color w:val="auto"/>
              </w:rPr>
            </w:pPr>
          </w:p>
        </w:tc>
        <w:tc>
          <w:tcPr>
            <w:tcW w:w="134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Total</w:t>
            </w:r>
          </w:p>
        </w:tc>
        <w:tc>
          <w:tcPr>
            <w:tcW w:w="620" w:type="dxa"/>
            <w:vAlign w:val="bottom"/>
            <w:shd w:val="clear" w:color="auto" w:fill="005CB9"/>
          </w:tcPr>
          <w:p>
            <w:pPr>
              <w:spacing w:after="0"/>
              <w:rPr>
                <w:sz w:val="11"/>
                <w:szCs w:val="11"/>
                <w:color w:val="auto"/>
              </w:rPr>
            </w:pPr>
          </w:p>
        </w:tc>
        <w:tc>
          <w:tcPr>
            <w:tcW w:w="76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rPr>
              <w:t>Net</w:t>
            </w:r>
          </w:p>
        </w:tc>
        <w:tc>
          <w:tcPr>
            <w:tcW w:w="78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Cash</w:t>
            </w:r>
          </w:p>
        </w:tc>
        <w:tc>
          <w:tcPr>
            <w:tcW w:w="72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005CB9"/>
          </w:tcPr>
          <w:p>
            <w:pPr>
              <w:spacing w:after="0"/>
              <w:rPr>
                <w:sz w:val="11"/>
                <w:szCs w:val="11"/>
                <w:color w:val="auto"/>
              </w:rPr>
            </w:pPr>
          </w:p>
        </w:tc>
        <w:tc>
          <w:tcPr>
            <w:tcW w:w="1100" w:type="dxa"/>
            <w:vAlign w:val="bottom"/>
            <w:shd w:val="clear" w:color="auto" w:fill="005CB9"/>
          </w:tcPr>
          <w:p>
            <w:pPr>
              <w:jc w:val="right"/>
              <w:ind w:right="32"/>
              <w:spacing w:after="0" w:line="135" w:lineRule="exact"/>
              <w:rPr>
                <w:sz w:val="20"/>
                <w:szCs w:val="20"/>
                <w:color w:val="auto"/>
              </w:rPr>
            </w:pPr>
            <w:r>
              <w:rPr>
                <w:rFonts w:ascii="Arial" w:cs="Arial" w:eastAsia="Arial" w:hAnsi="Arial"/>
                <w:sz w:val="13"/>
                <w:szCs w:val="13"/>
                <w:color w:val="FFFFFF"/>
              </w:rPr>
              <w:t>Table Total for</w:t>
            </w:r>
          </w:p>
        </w:tc>
        <w:tc>
          <w:tcPr>
            <w:tcW w:w="200" w:type="dxa"/>
            <w:vAlign w:val="bottom"/>
            <w:shd w:val="clear" w:color="auto" w:fill="005CB9"/>
          </w:tcPr>
          <w:p>
            <w:pPr>
              <w:spacing w:after="0"/>
              <w:rPr>
                <w:sz w:val="11"/>
                <w:szCs w:val="11"/>
                <w:color w:val="auto"/>
              </w:rPr>
            </w:pPr>
          </w:p>
        </w:tc>
        <w:tc>
          <w:tcPr>
            <w:tcW w:w="1000" w:type="dxa"/>
            <w:vAlign w:val="bottom"/>
            <w:shd w:val="clear" w:color="auto" w:fill="005CB9"/>
          </w:tcPr>
          <w:p>
            <w:pPr>
              <w:jc w:val="right"/>
              <w:ind w:right="31"/>
              <w:spacing w:after="0" w:line="135" w:lineRule="exact"/>
              <w:rPr>
                <w:sz w:val="20"/>
                <w:szCs w:val="20"/>
                <w:color w:val="auto"/>
              </w:rPr>
            </w:pPr>
            <w:r>
              <w:rPr>
                <w:rFonts w:ascii="Arial" w:cs="Arial" w:eastAsia="Arial" w:hAnsi="Arial"/>
                <w:sz w:val="13"/>
                <w:szCs w:val="13"/>
                <w:color w:val="FFFFFF"/>
              </w:rPr>
              <w:t>Actually Paid</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3"/>
              <w:spacing w:after="0" w:line="135" w:lineRule="exact"/>
              <w:rPr>
                <w:sz w:val="20"/>
                <w:szCs w:val="20"/>
                <w:color w:val="auto"/>
              </w:rPr>
            </w:pPr>
            <w:r>
              <w:rPr>
                <w:rFonts w:ascii="Arial" w:cs="Arial" w:eastAsia="Arial" w:hAnsi="Arial"/>
                <w:sz w:val="13"/>
                <w:szCs w:val="13"/>
                <w:color w:val="FFFFFF"/>
              </w:rPr>
              <w:t>Non-PEO</w:t>
            </w:r>
          </w:p>
        </w:tc>
        <w:tc>
          <w:tcPr>
            <w:tcW w:w="200" w:type="dxa"/>
            <w:vAlign w:val="bottom"/>
            <w:shd w:val="clear" w:color="auto" w:fill="005CB9"/>
          </w:tcPr>
          <w:p>
            <w:pPr>
              <w:spacing w:after="0"/>
              <w:rPr>
                <w:sz w:val="11"/>
                <w:szCs w:val="11"/>
                <w:color w:val="auto"/>
              </w:rPr>
            </w:pPr>
          </w:p>
        </w:tc>
        <w:tc>
          <w:tcPr>
            <w:tcW w:w="1040" w:type="dxa"/>
            <w:vAlign w:val="bottom"/>
            <w:shd w:val="clear" w:color="auto" w:fill="005CB9"/>
          </w:tcPr>
          <w:p>
            <w:pPr>
              <w:ind w:left="220"/>
              <w:spacing w:after="0" w:line="135" w:lineRule="exact"/>
              <w:rPr>
                <w:sz w:val="20"/>
                <w:szCs w:val="20"/>
                <w:color w:val="auto"/>
              </w:rPr>
            </w:pPr>
            <w:r>
              <w:rPr>
                <w:rFonts w:ascii="Arial" w:cs="Arial" w:eastAsia="Arial" w:hAnsi="Arial"/>
                <w:sz w:val="13"/>
                <w:szCs w:val="13"/>
                <w:color w:val="FFFFFF"/>
              </w:rPr>
              <w:t>to Non-PEO</w:t>
            </w:r>
          </w:p>
        </w:tc>
        <w:tc>
          <w:tcPr>
            <w:tcW w:w="180" w:type="dxa"/>
            <w:vAlign w:val="bottom"/>
            <w:shd w:val="clear" w:color="auto" w:fill="005CB9"/>
          </w:tcPr>
          <w:p>
            <w:pPr>
              <w:spacing w:after="0"/>
              <w:rPr>
                <w:sz w:val="11"/>
                <w:szCs w:val="11"/>
                <w:color w:val="auto"/>
              </w:rPr>
            </w:pPr>
          </w:p>
        </w:tc>
        <w:tc>
          <w:tcPr>
            <w:tcW w:w="134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Shareholder</w:t>
            </w:r>
          </w:p>
        </w:tc>
        <w:tc>
          <w:tcPr>
            <w:tcW w:w="62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rPr>
              <w:t>S&amp;P</w:t>
            </w:r>
          </w:p>
        </w:tc>
        <w:tc>
          <w:tcPr>
            <w:tcW w:w="76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rPr>
              <w:t>Income</w:t>
            </w:r>
          </w:p>
        </w:tc>
        <w:tc>
          <w:tcPr>
            <w:tcW w:w="78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Flow</w:t>
            </w:r>
          </w:p>
        </w:tc>
        <w:tc>
          <w:tcPr>
            <w:tcW w:w="72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rPr>
              <w:t>EBITDA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005CB9"/>
          </w:tcPr>
          <w:p>
            <w:pPr>
              <w:ind w:left="60"/>
              <w:spacing w:after="0"/>
              <w:rPr>
                <w:sz w:val="20"/>
                <w:szCs w:val="20"/>
                <w:color w:val="auto"/>
              </w:rPr>
            </w:pPr>
            <w:r>
              <w:rPr>
                <w:rFonts w:ascii="Arial" w:cs="Arial" w:eastAsia="Arial" w:hAnsi="Arial"/>
                <w:sz w:val="13"/>
                <w:szCs w:val="13"/>
                <w:color w:val="FFFFFF"/>
              </w:rPr>
              <w:t>Year</w:t>
            </w:r>
          </w:p>
        </w:tc>
        <w:tc>
          <w:tcPr>
            <w:tcW w:w="1100" w:type="dxa"/>
            <w:vAlign w:val="bottom"/>
            <w:shd w:val="clear" w:color="auto" w:fill="005CB9"/>
          </w:tcPr>
          <w:p>
            <w:pPr>
              <w:jc w:val="right"/>
              <w:ind w:right="32"/>
              <w:spacing w:after="0"/>
              <w:rPr>
                <w:sz w:val="20"/>
                <w:szCs w:val="20"/>
                <w:color w:val="auto"/>
              </w:rPr>
            </w:pPr>
            <w:r>
              <w:rPr>
                <w:rFonts w:ascii="Arial" w:cs="Arial" w:eastAsia="Arial" w:hAnsi="Arial"/>
                <w:sz w:val="13"/>
                <w:szCs w:val="13"/>
                <w:color w:val="FFFFFF"/>
              </w:rPr>
              <w:t>PEO</w:t>
            </w:r>
          </w:p>
        </w:tc>
        <w:tc>
          <w:tcPr>
            <w:tcW w:w="200" w:type="dxa"/>
            <w:vAlign w:val="bottom"/>
            <w:shd w:val="clear" w:color="auto" w:fill="005CB9"/>
          </w:tcPr>
          <w:p>
            <w:pPr>
              <w:spacing w:after="0"/>
              <w:rPr>
                <w:sz w:val="14"/>
                <w:szCs w:val="14"/>
                <w:color w:val="auto"/>
              </w:rPr>
            </w:pPr>
          </w:p>
        </w:tc>
        <w:tc>
          <w:tcPr>
            <w:tcW w:w="1000" w:type="dxa"/>
            <w:vAlign w:val="bottom"/>
            <w:shd w:val="clear" w:color="auto" w:fill="005CB9"/>
          </w:tcPr>
          <w:p>
            <w:pPr>
              <w:jc w:val="right"/>
              <w:ind w:right="31"/>
              <w:spacing w:after="0"/>
              <w:rPr>
                <w:sz w:val="20"/>
                <w:szCs w:val="20"/>
                <w:color w:val="auto"/>
              </w:rPr>
            </w:pPr>
            <w:r>
              <w:rPr>
                <w:rFonts w:ascii="Arial" w:cs="Arial" w:eastAsia="Arial" w:hAnsi="Arial"/>
                <w:sz w:val="13"/>
                <w:szCs w:val="13"/>
                <w:color w:val="FFFFFF"/>
              </w:rPr>
              <w:t>to PEO</w:t>
            </w:r>
          </w:p>
        </w:tc>
        <w:tc>
          <w:tcPr>
            <w:tcW w:w="220" w:type="dxa"/>
            <w:vAlign w:val="bottom"/>
            <w:shd w:val="clear" w:color="auto" w:fill="005CB9"/>
          </w:tcPr>
          <w:p>
            <w:pPr>
              <w:spacing w:after="0"/>
              <w:rPr>
                <w:sz w:val="14"/>
                <w:szCs w:val="14"/>
                <w:color w:val="auto"/>
              </w:rPr>
            </w:pPr>
          </w:p>
        </w:tc>
        <w:tc>
          <w:tcPr>
            <w:tcW w:w="980" w:type="dxa"/>
            <w:vAlign w:val="bottom"/>
            <w:shd w:val="clear" w:color="auto" w:fill="005CB9"/>
          </w:tcPr>
          <w:p>
            <w:pPr>
              <w:jc w:val="right"/>
              <w:ind w:right="33"/>
              <w:spacing w:after="0"/>
              <w:rPr>
                <w:sz w:val="20"/>
                <w:szCs w:val="20"/>
                <w:color w:val="auto"/>
              </w:rPr>
            </w:pPr>
            <w:r>
              <w:rPr>
                <w:rFonts w:ascii="Arial" w:cs="Arial" w:eastAsia="Arial" w:hAnsi="Arial"/>
                <w:sz w:val="13"/>
                <w:szCs w:val="13"/>
                <w:color w:val="FFFFFF"/>
              </w:rPr>
              <w:t>NEOs</w:t>
            </w:r>
          </w:p>
        </w:tc>
        <w:tc>
          <w:tcPr>
            <w:tcW w:w="200" w:type="dxa"/>
            <w:vAlign w:val="bottom"/>
            <w:shd w:val="clear" w:color="auto" w:fill="005CB9"/>
          </w:tcPr>
          <w:p>
            <w:pPr>
              <w:spacing w:after="0"/>
              <w:rPr>
                <w:sz w:val="14"/>
                <w:szCs w:val="14"/>
                <w:color w:val="auto"/>
              </w:rPr>
            </w:pPr>
          </w:p>
        </w:tc>
        <w:tc>
          <w:tcPr>
            <w:tcW w:w="1040" w:type="dxa"/>
            <w:vAlign w:val="bottom"/>
            <w:shd w:val="clear" w:color="auto" w:fill="005CB9"/>
          </w:tcPr>
          <w:p>
            <w:pPr>
              <w:jc w:val="right"/>
              <w:ind w:right="93"/>
              <w:spacing w:after="0"/>
              <w:rPr>
                <w:sz w:val="20"/>
                <w:szCs w:val="20"/>
                <w:color w:val="auto"/>
              </w:rPr>
            </w:pPr>
            <w:r>
              <w:rPr>
                <w:rFonts w:ascii="Arial" w:cs="Arial" w:eastAsia="Arial" w:hAnsi="Arial"/>
                <w:sz w:val="13"/>
                <w:szCs w:val="13"/>
                <w:color w:val="FFFFFF"/>
              </w:rPr>
              <w:t>NEOs</w:t>
            </w:r>
          </w:p>
        </w:tc>
        <w:tc>
          <w:tcPr>
            <w:tcW w:w="180" w:type="dxa"/>
            <w:vAlign w:val="bottom"/>
            <w:shd w:val="clear" w:color="auto" w:fill="005CB9"/>
          </w:tcPr>
          <w:p>
            <w:pPr>
              <w:spacing w:after="0"/>
              <w:rPr>
                <w:sz w:val="14"/>
                <w:szCs w:val="14"/>
                <w:color w:val="auto"/>
              </w:rPr>
            </w:pPr>
          </w:p>
        </w:tc>
        <w:tc>
          <w:tcPr>
            <w:tcW w:w="1340" w:type="dxa"/>
            <w:vAlign w:val="bottom"/>
            <w:shd w:val="clear" w:color="auto" w:fill="005CB9"/>
          </w:tcPr>
          <w:p>
            <w:pPr>
              <w:jc w:val="right"/>
              <w:ind w:right="73"/>
              <w:spacing w:after="0"/>
              <w:rPr>
                <w:sz w:val="20"/>
                <w:szCs w:val="20"/>
                <w:color w:val="auto"/>
              </w:rPr>
            </w:pPr>
            <w:r>
              <w:rPr>
                <w:rFonts w:ascii="Arial" w:cs="Arial" w:eastAsia="Arial" w:hAnsi="Arial"/>
                <w:sz w:val="13"/>
                <w:szCs w:val="13"/>
                <w:color w:val="FFFFFF"/>
              </w:rPr>
              <w:t>Return</w:t>
            </w:r>
          </w:p>
        </w:tc>
        <w:tc>
          <w:tcPr>
            <w:tcW w:w="620" w:type="dxa"/>
            <w:vAlign w:val="bottom"/>
            <w:shd w:val="clear" w:color="auto" w:fill="005CB9"/>
          </w:tcPr>
          <w:p>
            <w:pPr>
              <w:jc w:val="right"/>
              <w:ind w:right="51"/>
              <w:spacing w:after="0"/>
              <w:rPr>
                <w:sz w:val="20"/>
                <w:szCs w:val="20"/>
                <w:color w:val="auto"/>
              </w:rPr>
            </w:pPr>
            <w:r>
              <w:rPr>
                <w:rFonts w:ascii="Arial" w:cs="Arial" w:eastAsia="Arial" w:hAnsi="Arial"/>
                <w:sz w:val="13"/>
                <w:szCs w:val="13"/>
                <w:color w:val="FFFFFF"/>
              </w:rPr>
              <w:t>500 IT</w:t>
            </w:r>
          </w:p>
        </w:tc>
        <w:tc>
          <w:tcPr>
            <w:tcW w:w="760" w:type="dxa"/>
            <w:vAlign w:val="bottom"/>
            <w:shd w:val="clear" w:color="auto" w:fill="005CB9"/>
          </w:tcPr>
          <w:p>
            <w:pPr>
              <w:jc w:val="right"/>
              <w:ind w:right="51"/>
              <w:spacing w:after="0"/>
              <w:rPr>
                <w:sz w:val="20"/>
                <w:szCs w:val="20"/>
                <w:color w:val="auto"/>
              </w:rPr>
            </w:pPr>
            <w:r>
              <w:rPr>
                <w:rFonts w:ascii="Arial" w:cs="Arial" w:eastAsia="Arial" w:hAnsi="Arial"/>
                <w:sz w:val="13"/>
                <w:szCs w:val="13"/>
                <w:color w:val="FFFFFF"/>
              </w:rPr>
              <w:t>$ millions</w:t>
            </w:r>
          </w:p>
        </w:tc>
        <w:tc>
          <w:tcPr>
            <w:tcW w:w="780" w:type="dxa"/>
            <w:vAlign w:val="bottom"/>
            <w:shd w:val="clear" w:color="auto" w:fill="005CB9"/>
          </w:tcPr>
          <w:p>
            <w:pPr>
              <w:jc w:val="right"/>
              <w:ind w:right="73"/>
              <w:spacing w:after="0"/>
              <w:rPr>
                <w:sz w:val="20"/>
                <w:szCs w:val="20"/>
                <w:color w:val="auto"/>
              </w:rPr>
            </w:pPr>
            <w:r>
              <w:rPr>
                <w:rFonts w:ascii="Arial" w:cs="Arial" w:eastAsia="Arial" w:hAnsi="Arial"/>
                <w:sz w:val="13"/>
                <w:szCs w:val="13"/>
                <w:color w:val="FFFFFF"/>
              </w:rPr>
              <w:t>$ millions</w:t>
            </w:r>
          </w:p>
        </w:tc>
        <w:tc>
          <w:tcPr>
            <w:tcW w:w="7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86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2024</w:t>
            </w:r>
          </w:p>
        </w:tc>
        <w:tc>
          <w:tcPr>
            <w:tcW w:w="110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95"/>
              </w:rPr>
              <w:t>$23,686,622 </w:t>
            </w:r>
          </w:p>
        </w:tc>
        <w:tc>
          <w:tcPr>
            <w:tcW w:w="200" w:type="dxa"/>
            <w:vAlign w:val="bottom"/>
            <w:tcBorders>
              <w:bottom w:val="single" w:sz="8" w:color="CCDEF1"/>
            </w:tcBorders>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CCDEF1"/>
            </w:tcBorders>
            <w:shd w:val="clear" w:color="auto" w:fill="CCDEF1"/>
          </w:tcPr>
          <w:p>
            <w:pPr>
              <w:ind w:left="100"/>
              <w:spacing w:after="0"/>
              <w:rPr>
                <w:sz w:val="20"/>
                <w:szCs w:val="20"/>
                <w:color w:val="auto"/>
              </w:rPr>
            </w:pPr>
            <w:r>
              <w:rPr>
                <w:rFonts w:ascii="Arial" w:cs="Arial" w:eastAsia="Arial" w:hAnsi="Arial"/>
                <w:sz w:val="14"/>
                <w:szCs w:val="14"/>
                <w:color w:val="auto"/>
                <w:w w:val="95"/>
              </w:rPr>
              <w:t>$14,635,756 </w:t>
            </w:r>
          </w:p>
        </w:tc>
        <w:tc>
          <w:tcPr>
            <w:tcW w:w="220" w:type="dxa"/>
            <w:vAlign w:val="bottom"/>
            <w:tcBorders>
              <w:bottom w:val="single" w:sz="8" w:color="CCDEF1"/>
            </w:tcBorders>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$7,986,994 </w:t>
            </w:r>
          </w:p>
        </w:tc>
        <w:tc>
          <w:tcPr>
            <w:tcW w:w="200" w:type="dxa"/>
            <w:vAlign w:val="bottom"/>
            <w:tcBorders>
              <w:bottom w:val="single" w:sz="8" w:color="CCDEF1"/>
            </w:tcBorders>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1040" w:type="dxa"/>
            <w:vAlign w:val="bottom"/>
            <w:tcBorders>
              <w:bottom w:val="single" w:sz="8" w:color="CCDEF1"/>
            </w:tcBorders>
            <w:shd w:val="clear" w:color="auto" w:fill="CCDEF1"/>
          </w:tcPr>
          <w:p>
            <w:pPr>
              <w:ind w:left="220"/>
              <w:spacing w:after="0"/>
              <w:rPr>
                <w:sz w:val="20"/>
                <w:szCs w:val="20"/>
                <w:color w:val="auto"/>
              </w:rPr>
            </w:pPr>
            <w:r>
              <w:rPr>
                <w:rFonts w:ascii="Arial" w:cs="Arial" w:eastAsia="Arial" w:hAnsi="Arial"/>
                <w:sz w:val="14"/>
                <w:szCs w:val="14"/>
                <w:color w:val="auto"/>
                <w:w w:val="95"/>
              </w:rPr>
              <w:t>$5,748,204 </w:t>
            </w:r>
          </w:p>
        </w:tc>
        <w:tc>
          <w:tcPr>
            <w:tcW w:w="1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Borders>
              <w:bottom w:val="single" w:sz="8" w:color="CCDEF1"/>
            </w:tcBorders>
            <w:shd w:val="clear" w:color="auto" w:fill="CCDEF1"/>
          </w:tcPr>
          <w:p>
            <w:pPr>
              <w:jc w:val="right"/>
              <w:ind w:right="73"/>
              <w:spacing w:after="0"/>
              <w:rPr>
                <w:sz w:val="20"/>
                <w:szCs w:val="20"/>
                <w:color w:val="auto"/>
              </w:rPr>
            </w:pPr>
            <w:r>
              <w:rPr>
                <w:rFonts w:ascii="Arial" w:cs="Arial" w:eastAsia="Arial" w:hAnsi="Arial"/>
                <w:sz w:val="14"/>
                <w:szCs w:val="14"/>
                <w:color w:val="auto"/>
              </w:rPr>
              <w:t>$151</w:t>
            </w:r>
          </w:p>
        </w:tc>
        <w:tc>
          <w:tcPr>
            <w:tcW w:w="620" w:type="dxa"/>
            <w:vAlign w:val="bottom"/>
            <w:tcBorders>
              <w:bottom w:val="single" w:sz="8" w:color="CCDEF1"/>
            </w:tcBorders>
            <w:shd w:val="clear" w:color="auto" w:fill="CCDEF1"/>
          </w:tcPr>
          <w:p>
            <w:pPr>
              <w:jc w:val="right"/>
              <w:ind w:right="51"/>
              <w:spacing w:after="0"/>
              <w:rPr>
                <w:sz w:val="20"/>
                <w:szCs w:val="20"/>
                <w:color w:val="auto"/>
              </w:rPr>
            </w:pPr>
            <w:r>
              <w:rPr>
                <w:rFonts w:ascii="Arial" w:cs="Arial" w:eastAsia="Arial" w:hAnsi="Arial"/>
                <w:sz w:val="14"/>
                <w:szCs w:val="14"/>
                <w:color w:val="auto"/>
              </w:rPr>
              <w:t>$300</w:t>
            </w:r>
          </w:p>
        </w:tc>
        <w:tc>
          <w:tcPr>
            <w:tcW w:w="760" w:type="dxa"/>
            <w:vAlign w:val="bottom"/>
            <w:tcBorders>
              <w:bottom w:val="single" w:sz="8" w:color="CCDEF1"/>
            </w:tcBorders>
            <w:shd w:val="clear" w:color="auto" w:fill="CCDEF1"/>
          </w:tcPr>
          <w:p>
            <w:pPr>
              <w:jc w:val="right"/>
              <w:ind w:right="51"/>
              <w:spacing w:after="0"/>
              <w:rPr>
                <w:sz w:val="20"/>
                <w:szCs w:val="20"/>
                <w:color w:val="auto"/>
              </w:rPr>
            </w:pPr>
            <w:r>
              <w:rPr>
                <w:rFonts w:ascii="Arial" w:cs="Arial" w:eastAsia="Arial" w:hAnsi="Arial"/>
                <w:sz w:val="14"/>
                <w:szCs w:val="14"/>
                <w:color w:val="auto"/>
              </w:rPr>
              <w:t>$1,549</w:t>
            </w:r>
          </w:p>
        </w:tc>
        <w:tc>
          <w:tcPr>
            <w:tcW w:w="780" w:type="dxa"/>
            <w:vAlign w:val="bottom"/>
            <w:tcBorders>
              <w:bottom w:val="single" w:sz="8" w:color="CCDEF1"/>
            </w:tcBorders>
            <w:shd w:val="clear" w:color="auto" w:fill="CCDEF1"/>
          </w:tcPr>
          <w:p>
            <w:pPr>
              <w:jc w:val="right"/>
              <w:ind w:right="73"/>
              <w:spacing w:after="0"/>
              <w:rPr>
                <w:sz w:val="20"/>
                <w:szCs w:val="20"/>
                <w:color w:val="auto"/>
              </w:rPr>
            </w:pPr>
            <w:r>
              <w:rPr>
                <w:rFonts w:ascii="Arial" w:cs="Arial" w:eastAsia="Arial" w:hAnsi="Arial"/>
                <w:sz w:val="14"/>
                <w:szCs w:val="14"/>
                <w:color w:val="auto"/>
              </w:rPr>
              <w:t>$2,282</w:t>
            </w:r>
          </w:p>
        </w:tc>
        <w:tc>
          <w:tcPr>
            <w:tcW w:w="72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$2,832</w:t>
            </w:r>
          </w:p>
        </w:tc>
        <w:tc>
          <w:tcPr>
            <w:tcW w:w="2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860" w:type="dxa"/>
            <w:vAlign w:val="bottom"/>
          </w:tcPr>
          <w:p>
            <w:pPr>
              <w:ind w:left="60"/>
              <w:spacing w:after="0"/>
              <w:rPr>
                <w:sz w:val="20"/>
                <w:szCs w:val="20"/>
                <w:color w:val="auto"/>
              </w:rPr>
            </w:pPr>
            <w:r>
              <w:rPr>
                <w:rFonts w:ascii="Arial" w:cs="Arial" w:eastAsia="Arial" w:hAnsi="Arial"/>
                <w:sz w:val="14"/>
                <w:szCs w:val="14"/>
                <w:color w:val="auto"/>
              </w:rPr>
              <w:t>2023</w:t>
            </w:r>
          </w:p>
        </w:tc>
        <w:tc>
          <w:tcPr>
            <w:tcW w:w="1100" w:type="dxa"/>
            <w:vAlign w:val="bottom"/>
          </w:tcPr>
          <w:p>
            <w:pPr>
              <w:ind w:left="200"/>
              <w:spacing w:after="0"/>
              <w:rPr>
                <w:sz w:val="20"/>
                <w:szCs w:val="20"/>
                <w:color w:val="auto"/>
              </w:rPr>
            </w:pPr>
            <w:r>
              <w:rPr>
                <w:rFonts w:ascii="Arial" w:cs="Arial" w:eastAsia="Arial" w:hAnsi="Arial"/>
                <w:sz w:val="14"/>
                <w:szCs w:val="14"/>
                <w:color w:val="auto"/>
                <w:w w:val="95"/>
              </w:rPr>
              <w:t>$41,295,585 </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000" w:type="dxa"/>
            <w:vAlign w:val="bottom"/>
          </w:tcPr>
          <w:p>
            <w:pPr>
              <w:ind w:left="100"/>
              <w:spacing w:after="0"/>
              <w:rPr>
                <w:sz w:val="20"/>
                <w:szCs w:val="20"/>
                <w:color w:val="auto"/>
              </w:rPr>
            </w:pPr>
            <w:r>
              <w:rPr>
                <w:rFonts w:ascii="Arial" w:cs="Arial" w:eastAsia="Arial" w:hAnsi="Arial"/>
                <w:sz w:val="14"/>
                <w:szCs w:val="14"/>
                <w:color w:val="auto"/>
                <w:w w:val="95"/>
              </w:rPr>
              <w:t>$58,797,192 </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$4,574,182 </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040" w:type="dxa"/>
            <w:vAlign w:val="bottom"/>
          </w:tcPr>
          <w:p>
            <w:pPr>
              <w:ind w:left="220"/>
              <w:spacing w:after="0"/>
              <w:rPr>
                <w:sz w:val="20"/>
                <w:szCs w:val="20"/>
                <w:color w:val="auto"/>
              </w:rPr>
            </w:pPr>
            <w:r>
              <w:rPr>
                <w:rFonts w:ascii="Arial" w:cs="Arial" w:eastAsia="Arial" w:hAnsi="Arial"/>
                <w:sz w:val="14"/>
                <w:szCs w:val="14"/>
                <w:color w:val="auto"/>
                <w:w w:val="95"/>
              </w:rPr>
              <w:t>$7,665,126 </w:t>
            </w:r>
          </w:p>
        </w:tc>
        <w:tc>
          <w:tcPr>
            <w:tcW w:w="1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Pr>
          <w:p>
            <w:pPr>
              <w:jc w:val="right"/>
              <w:ind w:right="73"/>
              <w:spacing w:after="0"/>
              <w:rPr>
                <w:sz w:val="20"/>
                <w:szCs w:val="20"/>
                <w:color w:val="auto"/>
              </w:rPr>
            </w:pPr>
            <w:r>
              <w:rPr>
                <w:rFonts w:ascii="Arial" w:cs="Arial" w:eastAsia="Arial" w:hAnsi="Arial"/>
                <w:sz w:val="14"/>
                <w:szCs w:val="14"/>
                <w:color w:val="auto"/>
              </w:rPr>
              <w:t>$157</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$219</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$1,384</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$1,962</w:t>
            </w:r>
          </w:p>
        </w:tc>
        <w:tc>
          <w:tcPr>
            <w:tcW w:w="720" w:type="dxa"/>
            <w:vAlign w:val="bottom"/>
          </w:tcPr>
          <w:p>
            <w:pPr>
              <w:jc w:val="right"/>
              <w:spacing w:after="0"/>
              <w:rPr>
                <w:sz w:val="20"/>
                <w:szCs w:val="20"/>
                <w:color w:val="auto"/>
              </w:rPr>
            </w:pPr>
            <w:r>
              <w:rPr>
                <w:rFonts w:ascii="Arial" w:cs="Arial" w:eastAsia="Arial" w:hAnsi="Arial"/>
                <w:sz w:val="14"/>
                <w:szCs w:val="14"/>
                <w:color w:val="auto"/>
              </w:rPr>
              <w:t>$2,511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86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95"/>
              </w:rPr>
              <w:t>$21,893,365 </w:t>
            </w:r>
          </w:p>
        </w:tc>
        <w:tc>
          <w:tcPr>
            <w:tcW w:w="200" w:type="dxa"/>
            <w:vAlign w:val="bottom"/>
            <w:tcBorders>
              <w:bottom w:val="single" w:sz="8" w:color="CCDEF1"/>
            </w:tcBorders>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CCDEF1"/>
            </w:tcBorders>
            <w:shd w:val="clear" w:color="auto" w:fill="CCDEF1"/>
          </w:tcPr>
          <w:p>
            <w:pPr>
              <w:ind w:left="100"/>
              <w:spacing w:after="0"/>
              <w:rPr>
                <w:sz w:val="20"/>
                <w:szCs w:val="20"/>
                <w:color w:val="auto"/>
              </w:rPr>
            </w:pPr>
            <w:r>
              <w:rPr>
                <w:rFonts w:ascii="Arial" w:cs="Arial" w:eastAsia="Arial" w:hAnsi="Arial"/>
                <w:sz w:val="14"/>
                <w:szCs w:val="14"/>
                <w:color w:val="auto"/>
                <w:w w:val="95"/>
              </w:rPr>
              <w:t>$  8,358,572 </w:t>
            </w:r>
          </w:p>
        </w:tc>
        <w:tc>
          <w:tcPr>
            <w:tcW w:w="220" w:type="dxa"/>
            <w:vAlign w:val="bottom"/>
            <w:tcBorders>
              <w:bottom w:val="single" w:sz="8" w:color="CCDEF1"/>
            </w:tcBorders>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$6,063,861 </w:t>
            </w:r>
          </w:p>
        </w:tc>
        <w:tc>
          <w:tcPr>
            <w:tcW w:w="200" w:type="dxa"/>
            <w:vAlign w:val="bottom"/>
            <w:tcBorders>
              <w:bottom w:val="single" w:sz="8" w:color="CCDEF1"/>
            </w:tcBorders>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1040" w:type="dxa"/>
            <w:vAlign w:val="bottom"/>
            <w:tcBorders>
              <w:bottom w:val="single" w:sz="8" w:color="CCDEF1"/>
            </w:tcBorders>
            <w:shd w:val="clear" w:color="auto" w:fill="CCDEF1"/>
          </w:tcPr>
          <w:p>
            <w:pPr>
              <w:ind w:left="220"/>
              <w:spacing w:after="0"/>
              <w:rPr>
                <w:sz w:val="20"/>
                <w:szCs w:val="20"/>
                <w:color w:val="auto"/>
              </w:rPr>
            </w:pPr>
            <w:r>
              <w:rPr>
                <w:rFonts w:ascii="Arial" w:cs="Arial" w:eastAsia="Arial" w:hAnsi="Arial"/>
                <w:sz w:val="14"/>
                <w:szCs w:val="14"/>
                <w:color w:val="auto"/>
                <w:w w:val="95"/>
              </w:rPr>
              <w:t>$3,431,516 </w:t>
            </w:r>
          </w:p>
        </w:tc>
        <w:tc>
          <w:tcPr>
            <w:tcW w:w="1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Borders>
              <w:bottom w:val="single" w:sz="8" w:color="CCDEF1"/>
            </w:tcBorders>
            <w:shd w:val="clear" w:color="auto" w:fill="CCDEF1"/>
          </w:tcPr>
          <w:p>
            <w:pPr>
              <w:jc w:val="right"/>
              <w:ind w:right="73"/>
              <w:spacing w:after="0"/>
              <w:rPr>
                <w:sz w:val="20"/>
                <w:szCs w:val="20"/>
                <w:color w:val="auto"/>
              </w:rPr>
            </w:pPr>
            <w:r>
              <w:rPr>
                <w:rFonts w:ascii="Arial" w:cs="Arial" w:eastAsia="Arial" w:hAnsi="Arial"/>
                <w:sz w:val="14"/>
                <w:szCs w:val="14"/>
                <w:color w:val="auto"/>
              </w:rPr>
              <w:t>$124</w:t>
            </w:r>
          </w:p>
        </w:tc>
        <w:tc>
          <w:tcPr>
            <w:tcW w:w="620" w:type="dxa"/>
            <w:vAlign w:val="bottom"/>
            <w:tcBorders>
              <w:bottom w:val="single" w:sz="8" w:color="CCDEF1"/>
            </w:tcBorders>
            <w:shd w:val="clear" w:color="auto" w:fill="CCDEF1"/>
          </w:tcPr>
          <w:p>
            <w:pPr>
              <w:jc w:val="right"/>
              <w:ind w:right="51"/>
              <w:spacing w:after="0"/>
              <w:rPr>
                <w:sz w:val="20"/>
                <w:szCs w:val="20"/>
                <w:color w:val="auto"/>
              </w:rPr>
            </w:pPr>
            <w:r>
              <w:rPr>
                <w:rFonts w:ascii="Arial" w:cs="Arial" w:eastAsia="Arial" w:hAnsi="Arial"/>
                <w:sz w:val="14"/>
                <w:szCs w:val="14"/>
                <w:color w:val="auto"/>
              </w:rPr>
              <w:t>$139</w:t>
            </w:r>
          </w:p>
        </w:tc>
        <w:tc>
          <w:tcPr>
            <w:tcW w:w="760" w:type="dxa"/>
            <w:vAlign w:val="bottom"/>
            <w:tcBorders>
              <w:bottom w:val="single" w:sz="8" w:color="CCDEF1"/>
            </w:tcBorders>
            <w:shd w:val="clear" w:color="auto" w:fill="CCDEF1"/>
          </w:tcPr>
          <w:p>
            <w:pPr>
              <w:jc w:val="right"/>
              <w:ind w:right="51"/>
              <w:spacing w:after="0"/>
              <w:rPr>
                <w:sz w:val="20"/>
                <w:szCs w:val="20"/>
                <w:color w:val="auto"/>
              </w:rPr>
            </w:pPr>
            <w:r>
              <w:rPr>
                <w:rFonts w:ascii="Arial" w:cs="Arial" w:eastAsia="Arial" w:hAnsi="Arial"/>
                <w:sz w:val="14"/>
                <w:szCs w:val="14"/>
                <w:color w:val="auto"/>
              </w:rPr>
              <w:t>$4,545</w:t>
            </w:r>
          </w:p>
        </w:tc>
        <w:tc>
          <w:tcPr>
            <w:tcW w:w="780" w:type="dxa"/>
            <w:vAlign w:val="bottom"/>
            <w:tcBorders>
              <w:bottom w:val="single" w:sz="8" w:color="CCDEF1"/>
            </w:tcBorders>
            <w:shd w:val="clear" w:color="auto" w:fill="CCDEF1"/>
          </w:tcPr>
          <w:p>
            <w:pPr>
              <w:jc w:val="right"/>
              <w:ind w:right="73"/>
              <w:spacing w:after="0"/>
              <w:rPr>
                <w:sz w:val="20"/>
                <w:szCs w:val="20"/>
                <w:color w:val="auto"/>
              </w:rPr>
            </w:pPr>
            <w:r>
              <w:rPr>
                <w:rFonts w:ascii="Arial" w:cs="Arial" w:eastAsia="Arial" w:hAnsi="Arial"/>
                <w:sz w:val="14"/>
                <w:szCs w:val="14"/>
                <w:color w:val="auto"/>
              </w:rPr>
              <w:t>$1,490</w:t>
            </w:r>
          </w:p>
        </w:tc>
        <w:tc>
          <w:tcPr>
            <w:tcW w:w="72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$2,170</w:t>
            </w:r>
          </w:p>
        </w:tc>
        <w:tc>
          <w:tcPr>
            <w:tcW w:w="2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860" w:type="dxa"/>
            <w:vAlign w:val="bottom"/>
          </w:tcPr>
          <w:p>
            <w:pPr>
              <w:ind w:left="60"/>
              <w:spacing w:after="0"/>
              <w:rPr>
                <w:sz w:val="20"/>
                <w:szCs w:val="20"/>
                <w:color w:val="auto"/>
              </w:rPr>
            </w:pPr>
            <w:r>
              <w:rPr>
                <w:rFonts w:ascii="Arial" w:cs="Arial" w:eastAsia="Arial" w:hAnsi="Arial"/>
                <w:sz w:val="14"/>
                <w:szCs w:val="14"/>
                <w:color w:val="auto"/>
              </w:rPr>
              <w:t>2021</w:t>
            </w:r>
          </w:p>
        </w:tc>
        <w:tc>
          <w:tcPr>
            <w:tcW w:w="1100" w:type="dxa"/>
            <w:vAlign w:val="bottom"/>
          </w:tcPr>
          <w:p>
            <w:pPr>
              <w:ind w:left="200"/>
              <w:spacing w:after="0"/>
              <w:rPr>
                <w:sz w:val="20"/>
                <w:szCs w:val="20"/>
                <w:color w:val="auto"/>
              </w:rPr>
            </w:pPr>
            <w:r>
              <w:rPr>
                <w:rFonts w:ascii="Arial" w:cs="Arial" w:eastAsia="Arial" w:hAnsi="Arial"/>
                <w:sz w:val="14"/>
                <w:szCs w:val="14"/>
                <w:color w:val="auto"/>
                <w:w w:val="95"/>
              </w:rPr>
              <w:t>$21,532,055 </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000" w:type="dxa"/>
            <w:vAlign w:val="bottom"/>
          </w:tcPr>
          <w:p>
            <w:pPr>
              <w:ind w:left="100"/>
              <w:spacing w:after="0"/>
              <w:rPr>
                <w:sz w:val="20"/>
                <w:szCs w:val="20"/>
                <w:color w:val="auto"/>
              </w:rPr>
            </w:pPr>
            <w:r>
              <w:rPr>
                <w:rFonts w:ascii="Arial" w:cs="Arial" w:eastAsia="Arial" w:hAnsi="Arial"/>
                <w:sz w:val="14"/>
                <w:szCs w:val="14"/>
                <w:color w:val="auto"/>
                <w:w w:val="95"/>
              </w:rPr>
              <w:t>$34,591,237 </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$6,036,612 </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040" w:type="dxa"/>
            <w:vAlign w:val="bottom"/>
          </w:tcPr>
          <w:p>
            <w:pPr>
              <w:ind w:left="220"/>
              <w:spacing w:after="0"/>
              <w:rPr>
                <w:sz w:val="20"/>
                <w:szCs w:val="20"/>
                <w:color w:val="auto"/>
              </w:rPr>
            </w:pPr>
            <w:r>
              <w:rPr>
                <w:rFonts w:ascii="Arial" w:cs="Arial" w:eastAsia="Arial" w:hAnsi="Arial"/>
                <w:sz w:val="14"/>
                <w:szCs w:val="14"/>
                <w:color w:val="auto"/>
                <w:w w:val="95"/>
              </w:rPr>
              <w:t>$8,448,612 </w:t>
            </w:r>
          </w:p>
        </w:tc>
        <w:tc>
          <w:tcPr>
            <w:tcW w:w="1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Pr>
          <w:p>
            <w:pPr>
              <w:jc w:val="right"/>
              <w:ind w:right="73"/>
              <w:spacing w:after="0"/>
              <w:rPr>
                <w:sz w:val="20"/>
                <w:szCs w:val="20"/>
                <w:color w:val="auto"/>
              </w:rPr>
            </w:pPr>
            <w:r>
              <w:rPr>
                <w:rFonts w:ascii="Arial" w:cs="Arial" w:eastAsia="Arial" w:hAnsi="Arial"/>
                <w:sz w:val="14"/>
                <w:szCs w:val="14"/>
                <w:color w:val="auto"/>
              </w:rPr>
              <w:t>$140</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$194</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$1,153</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$1,598</w:t>
            </w:r>
          </w:p>
        </w:tc>
        <w:tc>
          <w:tcPr>
            <w:tcW w:w="720" w:type="dxa"/>
            <w:vAlign w:val="bottom"/>
          </w:tcPr>
          <w:p>
            <w:pPr>
              <w:jc w:val="right"/>
              <w:spacing w:after="0"/>
              <w:rPr>
                <w:sz w:val="20"/>
                <w:szCs w:val="20"/>
                <w:color w:val="auto"/>
              </w:rPr>
            </w:pPr>
            <w:r>
              <w:rPr>
                <w:rFonts w:ascii="Arial" w:cs="Arial" w:eastAsia="Arial" w:hAnsi="Arial"/>
                <w:sz w:val="14"/>
                <w:szCs w:val="14"/>
                <w:color w:val="auto"/>
              </w:rPr>
              <w:t>$1,944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860" w:type="dxa"/>
            <w:vAlign w:val="bottom"/>
            <w:shd w:val="clear" w:color="auto" w:fill="CCDEF1"/>
          </w:tcPr>
          <w:p>
            <w:pPr>
              <w:ind w:left="60"/>
              <w:spacing w:after="0"/>
              <w:rPr>
                <w:sz w:val="20"/>
                <w:szCs w:val="20"/>
                <w:color w:val="auto"/>
              </w:rPr>
            </w:pPr>
            <w:r>
              <w:rPr>
                <w:rFonts w:ascii="Arial" w:cs="Arial" w:eastAsia="Arial" w:hAnsi="Arial"/>
                <w:sz w:val="14"/>
                <w:szCs w:val="14"/>
                <w:color w:val="auto"/>
              </w:rPr>
              <w:t>2020</w:t>
            </w:r>
          </w:p>
        </w:tc>
        <w:tc>
          <w:tcPr>
            <w:tcW w:w="1100" w:type="dxa"/>
            <w:vAlign w:val="bottom"/>
            <w:shd w:val="clear" w:color="auto" w:fill="CCDEF1"/>
          </w:tcPr>
          <w:p>
            <w:pPr>
              <w:ind w:left="200"/>
              <w:spacing w:after="0"/>
              <w:rPr>
                <w:sz w:val="20"/>
                <w:szCs w:val="20"/>
                <w:color w:val="auto"/>
              </w:rPr>
            </w:pPr>
            <w:r>
              <w:rPr>
                <w:rFonts w:ascii="Arial" w:cs="Arial" w:eastAsia="Arial" w:hAnsi="Arial"/>
                <w:sz w:val="14"/>
                <w:szCs w:val="14"/>
                <w:color w:val="auto"/>
                <w:w w:val="95"/>
              </w:rPr>
              <w:t>$19,078,951 </w:t>
            </w:r>
          </w:p>
        </w:tc>
        <w:tc>
          <w:tcPr>
            <w:tcW w:w="200" w:type="dxa"/>
            <w:vAlign w:val="bottom"/>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DEF1"/>
          </w:tcPr>
          <w:p>
            <w:pPr>
              <w:ind w:left="100"/>
              <w:spacing w:after="0"/>
              <w:rPr>
                <w:sz w:val="20"/>
                <w:szCs w:val="20"/>
                <w:color w:val="auto"/>
              </w:rPr>
            </w:pPr>
            <w:r>
              <w:rPr>
                <w:rFonts w:ascii="Arial" w:cs="Arial" w:eastAsia="Arial" w:hAnsi="Arial"/>
                <w:sz w:val="14"/>
                <w:szCs w:val="14"/>
                <w:color w:val="auto"/>
                <w:w w:val="95"/>
              </w:rPr>
              <w:t>$36,516,078 </w:t>
            </w:r>
          </w:p>
        </w:tc>
        <w:tc>
          <w:tcPr>
            <w:tcW w:w="220" w:type="dxa"/>
            <w:vAlign w:val="bottom"/>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CDEF1"/>
          </w:tcPr>
          <w:p>
            <w:pPr>
              <w:jc w:val="right"/>
              <w:spacing w:after="0"/>
              <w:rPr>
                <w:sz w:val="20"/>
                <w:szCs w:val="20"/>
                <w:color w:val="auto"/>
              </w:rPr>
            </w:pPr>
            <w:r>
              <w:rPr>
                <w:rFonts w:ascii="Arial" w:cs="Arial" w:eastAsia="Arial" w:hAnsi="Arial"/>
                <w:sz w:val="14"/>
                <w:szCs w:val="14"/>
                <w:color w:val="auto"/>
              </w:rPr>
              <w:t>$4,984,588 </w:t>
            </w:r>
          </w:p>
        </w:tc>
        <w:tc>
          <w:tcPr>
            <w:tcW w:w="200" w:type="dxa"/>
            <w:vAlign w:val="bottom"/>
            <w:shd w:val="clear" w:color="auto" w:fill="CCDEF1"/>
          </w:tcPr>
          <w:p>
            <w:pPr>
              <w:ind w:left="4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DEF1"/>
          </w:tcPr>
          <w:p>
            <w:pPr>
              <w:ind w:left="220"/>
              <w:spacing w:after="0"/>
              <w:rPr>
                <w:sz w:val="20"/>
                <w:szCs w:val="20"/>
                <w:color w:val="auto"/>
              </w:rPr>
            </w:pPr>
            <w:r>
              <w:rPr>
                <w:rFonts w:ascii="Arial" w:cs="Arial" w:eastAsia="Arial" w:hAnsi="Arial"/>
                <w:sz w:val="14"/>
                <w:szCs w:val="14"/>
                <w:color w:val="auto"/>
                <w:w w:val="95"/>
              </w:rPr>
              <w:t>$9,144,533 </w:t>
            </w:r>
          </w:p>
        </w:tc>
        <w:tc>
          <w:tcPr>
            <w:tcW w:w="180" w:type="dxa"/>
            <w:vAlign w:val="bottom"/>
            <w:shd w:val="clear" w:color="auto" w:fill="CCDEF1"/>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shd w:val="clear" w:color="auto" w:fill="CCDEF1"/>
          </w:tcPr>
          <w:p>
            <w:pPr>
              <w:jc w:val="right"/>
              <w:ind w:right="73"/>
              <w:spacing w:after="0"/>
              <w:rPr>
                <w:sz w:val="20"/>
                <w:szCs w:val="20"/>
                <w:color w:val="auto"/>
              </w:rPr>
            </w:pPr>
            <w:r>
              <w:rPr>
                <w:rFonts w:ascii="Arial" w:cs="Arial" w:eastAsia="Arial" w:hAnsi="Arial"/>
                <w:sz w:val="14"/>
                <w:szCs w:val="14"/>
                <w:color w:val="auto"/>
              </w:rPr>
              <w:t>$122</w:t>
            </w:r>
          </w:p>
        </w:tc>
        <w:tc>
          <w:tcPr>
            <w:tcW w:w="620" w:type="dxa"/>
            <w:vAlign w:val="bottom"/>
            <w:shd w:val="clear" w:color="auto" w:fill="CCDEF1"/>
          </w:tcPr>
          <w:p>
            <w:pPr>
              <w:jc w:val="right"/>
              <w:ind w:right="51"/>
              <w:spacing w:after="0"/>
              <w:rPr>
                <w:sz w:val="20"/>
                <w:szCs w:val="20"/>
                <w:color w:val="auto"/>
              </w:rPr>
            </w:pPr>
            <w:r>
              <w:rPr>
                <w:rFonts w:ascii="Arial" w:cs="Arial" w:eastAsia="Arial" w:hAnsi="Arial"/>
                <w:sz w:val="14"/>
                <w:szCs w:val="14"/>
                <w:color w:val="auto"/>
              </w:rPr>
              <w:t>$144</w:t>
            </w:r>
          </w:p>
        </w:tc>
        <w:tc>
          <w:tcPr>
            <w:tcW w:w="760" w:type="dxa"/>
            <w:vAlign w:val="bottom"/>
            <w:shd w:val="clear" w:color="auto" w:fill="CCDEF1"/>
          </w:tcPr>
          <w:p>
            <w:pPr>
              <w:jc w:val="right"/>
              <w:ind w:right="51"/>
              <w:spacing w:after="0"/>
              <w:rPr>
                <w:sz w:val="20"/>
                <w:szCs w:val="20"/>
                <w:color w:val="auto"/>
              </w:rPr>
            </w:pPr>
            <w:r>
              <w:rPr>
                <w:rFonts w:ascii="Arial" w:cs="Arial" w:eastAsia="Arial" w:hAnsi="Arial"/>
                <w:sz w:val="14"/>
                <w:szCs w:val="14"/>
                <w:color w:val="auto"/>
              </w:rPr>
              <w:t>$   950</w:t>
            </w:r>
          </w:p>
        </w:tc>
        <w:tc>
          <w:tcPr>
            <w:tcW w:w="780" w:type="dxa"/>
            <w:vAlign w:val="bottom"/>
            <w:shd w:val="clear" w:color="auto" w:fill="CCDEF1"/>
          </w:tcPr>
          <w:p>
            <w:pPr>
              <w:jc w:val="right"/>
              <w:ind w:right="73"/>
              <w:spacing w:after="0"/>
              <w:rPr>
                <w:sz w:val="20"/>
                <w:szCs w:val="20"/>
                <w:color w:val="auto"/>
              </w:rPr>
            </w:pPr>
            <w:r>
              <w:rPr>
                <w:rFonts w:ascii="Arial" w:cs="Arial" w:eastAsia="Arial" w:hAnsi="Arial"/>
                <w:sz w:val="14"/>
                <w:szCs w:val="14"/>
                <w:color w:val="auto"/>
              </w:rPr>
              <w:t>$1,273</w:t>
            </w:r>
          </w:p>
        </w:tc>
        <w:tc>
          <w:tcPr>
            <w:tcW w:w="720" w:type="dxa"/>
            <w:vAlign w:val="bottom"/>
            <w:shd w:val="clear" w:color="auto" w:fill="CCDEF1"/>
          </w:tcPr>
          <w:p>
            <w:pPr>
              <w:jc w:val="right"/>
              <w:spacing w:after="0"/>
              <w:rPr>
                <w:sz w:val="20"/>
                <w:szCs w:val="20"/>
                <w:color w:val="auto"/>
              </w:rPr>
            </w:pPr>
            <w:r>
              <w:rPr>
                <w:rFonts w:ascii="Arial" w:cs="Arial" w:eastAsia="Arial" w:hAnsi="Arial"/>
                <w:sz w:val="14"/>
                <w:szCs w:val="14"/>
                <w:color w:val="auto"/>
              </w:rPr>
              <w:t>$1,590</w:t>
            </w:r>
          </w:p>
        </w:tc>
        <w:tc>
          <w:tcPr>
            <w:tcW w:w="20" w:type="dxa"/>
            <w:vAlign w:val="bottom"/>
            <w:shd w:val="clear" w:color="auto" w:fill="CCDEF1"/>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860" w:type="dxa"/>
            <w:vAlign w:val="bottom"/>
            <w:shd w:val="clear" w:color="auto" w:fill="CCDEF1"/>
          </w:tcPr>
          <w:p>
            <w:pPr>
              <w:spacing w:after="0"/>
              <w:rPr>
                <w:sz w:val="4"/>
                <w:szCs w:val="4"/>
                <w:color w:val="auto"/>
              </w:rPr>
            </w:pPr>
          </w:p>
        </w:tc>
        <w:tc>
          <w:tcPr>
            <w:tcW w:w="1100" w:type="dxa"/>
            <w:vAlign w:val="bottom"/>
            <w:shd w:val="clear" w:color="auto" w:fill="CCDEF1"/>
          </w:tcPr>
          <w:p>
            <w:pPr>
              <w:spacing w:after="0"/>
              <w:rPr>
                <w:sz w:val="4"/>
                <w:szCs w:val="4"/>
                <w:color w:val="auto"/>
              </w:rPr>
            </w:pPr>
          </w:p>
        </w:tc>
        <w:tc>
          <w:tcPr>
            <w:tcW w:w="200" w:type="dxa"/>
            <w:vAlign w:val="bottom"/>
            <w:shd w:val="clear" w:color="auto" w:fill="CCDEF1"/>
          </w:tcPr>
          <w:p>
            <w:pPr>
              <w:spacing w:after="0"/>
              <w:rPr>
                <w:sz w:val="4"/>
                <w:szCs w:val="4"/>
                <w:color w:val="auto"/>
              </w:rPr>
            </w:pPr>
          </w:p>
        </w:tc>
        <w:tc>
          <w:tcPr>
            <w:tcW w:w="1000" w:type="dxa"/>
            <w:vAlign w:val="bottom"/>
            <w:shd w:val="clear" w:color="auto" w:fill="CCDEF1"/>
          </w:tcPr>
          <w:p>
            <w:pPr>
              <w:spacing w:after="0"/>
              <w:rPr>
                <w:sz w:val="4"/>
                <w:szCs w:val="4"/>
                <w:color w:val="auto"/>
              </w:rPr>
            </w:pPr>
          </w:p>
        </w:tc>
        <w:tc>
          <w:tcPr>
            <w:tcW w:w="220" w:type="dxa"/>
            <w:vAlign w:val="bottom"/>
            <w:shd w:val="clear" w:color="auto" w:fill="CCDEF1"/>
          </w:tcPr>
          <w:p>
            <w:pPr>
              <w:spacing w:after="0"/>
              <w:rPr>
                <w:sz w:val="4"/>
                <w:szCs w:val="4"/>
                <w:color w:val="auto"/>
              </w:rPr>
            </w:pPr>
          </w:p>
        </w:tc>
        <w:tc>
          <w:tcPr>
            <w:tcW w:w="980" w:type="dxa"/>
            <w:vAlign w:val="bottom"/>
            <w:shd w:val="clear" w:color="auto" w:fill="CCDEF1"/>
          </w:tcPr>
          <w:p>
            <w:pPr>
              <w:spacing w:after="0"/>
              <w:rPr>
                <w:sz w:val="4"/>
                <w:szCs w:val="4"/>
                <w:color w:val="auto"/>
              </w:rPr>
            </w:pPr>
          </w:p>
        </w:tc>
        <w:tc>
          <w:tcPr>
            <w:tcW w:w="200" w:type="dxa"/>
            <w:vAlign w:val="bottom"/>
            <w:shd w:val="clear" w:color="auto" w:fill="CCDEF1"/>
          </w:tcPr>
          <w:p>
            <w:pPr>
              <w:spacing w:after="0"/>
              <w:rPr>
                <w:sz w:val="4"/>
                <w:szCs w:val="4"/>
                <w:color w:val="auto"/>
              </w:rPr>
            </w:pPr>
          </w:p>
        </w:tc>
        <w:tc>
          <w:tcPr>
            <w:tcW w:w="1040" w:type="dxa"/>
            <w:vAlign w:val="bottom"/>
            <w:shd w:val="clear" w:color="auto" w:fill="CCDEF1"/>
          </w:tcPr>
          <w:p>
            <w:pPr>
              <w:spacing w:after="0"/>
              <w:rPr>
                <w:sz w:val="4"/>
                <w:szCs w:val="4"/>
                <w:color w:val="auto"/>
              </w:rPr>
            </w:pPr>
          </w:p>
        </w:tc>
        <w:tc>
          <w:tcPr>
            <w:tcW w:w="180" w:type="dxa"/>
            <w:vAlign w:val="bottom"/>
            <w:shd w:val="clear" w:color="auto" w:fill="CCDEF1"/>
          </w:tcPr>
          <w:p>
            <w:pPr>
              <w:spacing w:after="0"/>
              <w:rPr>
                <w:sz w:val="4"/>
                <w:szCs w:val="4"/>
                <w:color w:val="auto"/>
              </w:rPr>
            </w:pPr>
          </w:p>
        </w:tc>
        <w:tc>
          <w:tcPr>
            <w:tcW w:w="1340" w:type="dxa"/>
            <w:vAlign w:val="bottom"/>
            <w:shd w:val="clear" w:color="auto" w:fill="CCDEF1"/>
          </w:tcPr>
          <w:p>
            <w:pPr>
              <w:spacing w:after="0"/>
              <w:rPr>
                <w:sz w:val="4"/>
                <w:szCs w:val="4"/>
                <w:color w:val="auto"/>
              </w:rPr>
            </w:pPr>
          </w:p>
        </w:tc>
        <w:tc>
          <w:tcPr>
            <w:tcW w:w="620" w:type="dxa"/>
            <w:vAlign w:val="bottom"/>
            <w:shd w:val="clear" w:color="auto" w:fill="CCDEF1"/>
          </w:tcPr>
          <w:p>
            <w:pPr>
              <w:spacing w:after="0"/>
              <w:rPr>
                <w:sz w:val="4"/>
                <w:szCs w:val="4"/>
                <w:color w:val="auto"/>
              </w:rPr>
            </w:pPr>
          </w:p>
        </w:tc>
        <w:tc>
          <w:tcPr>
            <w:tcW w:w="760" w:type="dxa"/>
            <w:vAlign w:val="bottom"/>
            <w:shd w:val="clear" w:color="auto" w:fill="CCDEF1"/>
          </w:tcPr>
          <w:p>
            <w:pPr>
              <w:spacing w:after="0"/>
              <w:rPr>
                <w:sz w:val="4"/>
                <w:szCs w:val="4"/>
                <w:color w:val="auto"/>
              </w:rPr>
            </w:pPr>
          </w:p>
        </w:tc>
        <w:tc>
          <w:tcPr>
            <w:tcW w:w="780" w:type="dxa"/>
            <w:vAlign w:val="bottom"/>
            <w:shd w:val="clear" w:color="auto" w:fill="CCDEF1"/>
          </w:tcPr>
          <w:p>
            <w:pPr>
              <w:spacing w:after="0"/>
              <w:rPr>
                <w:sz w:val="4"/>
                <w:szCs w:val="4"/>
                <w:color w:val="auto"/>
              </w:rPr>
            </w:pPr>
          </w:p>
        </w:tc>
        <w:tc>
          <w:tcPr>
            <w:tcW w:w="720" w:type="dxa"/>
            <w:vAlign w:val="bottom"/>
            <w:shd w:val="clear" w:color="auto" w:fill="CCDEF1"/>
          </w:tcPr>
          <w:p>
            <w:pPr>
              <w:spacing w:after="0"/>
              <w:rPr>
                <w:sz w:val="4"/>
                <w:szCs w:val="4"/>
                <w:color w:val="auto"/>
              </w:rPr>
            </w:pPr>
          </w:p>
        </w:tc>
        <w:tc>
          <w:tcPr>
            <w:tcW w:w="20" w:type="dxa"/>
            <w:vAlign w:val="bottom"/>
            <w:shd w:val="clear" w:color="auto" w:fill="CCDEF1"/>
          </w:tcPr>
          <w:p>
            <w:pPr>
              <w:spacing w:after="0"/>
              <w:rPr>
                <w:sz w:val="4"/>
                <w:szCs w:val="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principal executive officer (“PEO”) for each of 2024, 2023, 2022, 2021 and 2020 (each a “Covered Year”) is L. Neil Hunn.</w:t>
      </w:r>
    </w:p>
    <w:p>
      <w:pPr>
        <w:spacing w:after="0" w:line="52" w:lineRule="exact"/>
        <w:rPr>
          <w:rFonts w:ascii="Arial" w:cs="Arial" w:eastAsia="Arial" w:hAnsi="Arial"/>
          <w:sz w:val="18"/>
          <w:szCs w:val="18"/>
          <w:color w:val="auto"/>
          <w:vertAlign w:val="superscript"/>
        </w:rPr>
      </w:pPr>
    </w:p>
    <w:p>
      <w:pPr>
        <w:ind w:left="540" w:right="20" w:hanging="424"/>
        <w:spacing w:after="0" w:line="229" w:lineRule="auto"/>
        <w:tabs>
          <w:tab w:leader="none" w:pos="54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non-PEO named executive officers (the “other NEOs”) for Covered Years 2020, 2021, 2022, and 2023 are Jason P. Conley, Robert C. Crisci and John K. Stipancich. Mr. Conley and Mr. Stipancich are the other NEOs for Covered Year 2024.</w:t>
      </w:r>
    </w:p>
    <w:p>
      <w:pPr>
        <w:spacing w:after="0" w:line="53" w:lineRule="exact"/>
        <w:rPr>
          <w:rFonts w:ascii="Arial" w:cs="Arial" w:eastAsia="Arial" w:hAnsi="Arial"/>
          <w:sz w:val="18"/>
          <w:szCs w:val="18"/>
          <w:color w:val="auto"/>
          <w:vertAlign w:val="superscript"/>
        </w:rPr>
      </w:pPr>
    </w:p>
    <w:p>
      <w:pPr>
        <w:ind w:left="540" w:hanging="424"/>
        <w:spacing w:after="0" w:line="229" w:lineRule="auto"/>
        <w:tabs>
          <w:tab w:leader="none" w:pos="54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Adjusted Free Cash Flow and Adjusted EBITDA are presented on a continuing operations basis and an adjusted (non-GAAP) basis. Reconciliations of these non-GAAP financial measures to the most comparable GAAP measures and other related information is available in “Appendix A—Reconciliations, Tables 1 and 2”.</w:t>
      </w:r>
    </w:p>
    <w:p>
      <w:pPr>
        <w:spacing w:after="0" w:line="176"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Compensation Actually Paid (“CAP”) illustrated in the table above is calculated by making the following adjustments from the Summary Compensation Table (“SCT”) totals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2400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11670" cy="240030"/>
                    </a:xfrm>
                    <a:prstGeom prst="rect">
                      <a:avLst/>
                    </a:prstGeom>
                    <a:noFill/>
                  </pic:spPr>
                </pic:pic>
              </a:graphicData>
            </a:graphic>
          </wp:anchor>
        </w:drawing>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20" w:type="dxa"/>
            <w:vAlign w:val="bottom"/>
            <w:shd w:val="clear" w:color="auto" w:fill="005CB9"/>
          </w:tcPr>
          <w:p>
            <w:pPr>
              <w:spacing w:after="0"/>
              <w:rPr>
                <w:sz w:val="20"/>
                <w:szCs w:val="20"/>
                <w:color w:val="auto"/>
              </w:rPr>
            </w:pPr>
            <w:r>
              <w:rPr>
                <w:rFonts w:ascii="Arial" w:cs="Arial" w:eastAsia="Arial" w:hAnsi="Arial"/>
                <w:sz w:val="14"/>
                <w:szCs w:val="14"/>
                <w:color w:val="FFFFFF"/>
              </w:rPr>
              <w:t>  Item and Value—Added (Deducted)</w:t>
            </w:r>
          </w:p>
        </w:tc>
        <w:tc>
          <w:tcPr>
            <w:tcW w:w="13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2024  </w:t>
            </w:r>
          </w:p>
        </w:tc>
        <w:tc>
          <w:tcPr>
            <w:tcW w:w="20" w:type="dxa"/>
            <w:vAlign w:val="bottom"/>
          </w:tcPr>
          <w:p>
            <w:pPr>
              <w:spacing w:after="0"/>
              <w:rPr>
                <w:sz w:val="14"/>
                <w:szCs w:val="14"/>
                <w:color w:val="auto"/>
              </w:rPr>
            </w:pPr>
          </w:p>
        </w:tc>
      </w:tr>
      <w:tr>
        <w:trPr>
          <w:trHeight w:val="68"/>
        </w:trPr>
        <w:tc>
          <w:tcPr>
            <w:tcW w:w="96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4"/>
        </w:trPr>
        <w:tc>
          <w:tcPr>
            <w:tcW w:w="96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b w:val="1"/>
                <w:bCs w:val="1"/>
                <w:color w:val="auto"/>
              </w:rPr>
              <w:t>For PEO:</w:t>
            </w:r>
          </w:p>
        </w:tc>
        <w:tc>
          <w:tcPr>
            <w:tcW w:w="1380" w:type="dxa"/>
            <w:vAlign w:val="bottom"/>
            <w:tcBorders>
              <w:bottom w:val="single" w:sz="8" w:color="CCDEF1"/>
            </w:tcBorders>
            <w:shd w:val="clear" w:color="auto" w:fill="CCDEF1"/>
          </w:tcPr>
          <w:p>
            <w:pPr>
              <w:spacing w:after="0"/>
              <w:rPr>
                <w:sz w:val="24"/>
                <w:szCs w:val="24"/>
                <w:color w:val="auto"/>
              </w:rPr>
            </w:pP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9620" w:type="dxa"/>
            <w:vAlign w:val="bottom"/>
          </w:tcPr>
          <w:p>
            <w:pPr>
              <w:ind w:left="80"/>
              <w:spacing w:after="0"/>
              <w:rPr>
                <w:sz w:val="20"/>
                <w:szCs w:val="20"/>
                <w:color w:val="auto"/>
              </w:rPr>
            </w:pPr>
            <w:r>
              <w:rPr>
                <w:rFonts w:ascii="Arial" w:cs="Arial" w:eastAsia="Arial" w:hAnsi="Arial"/>
                <w:sz w:val="17"/>
                <w:szCs w:val="17"/>
                <w:color w:val="auto"/>
              </w:rPr>
              <w:t>-SCT “Stock Awards” column value</w:t>
            </w:r>
          </w:p>
        </w:tc>
        <w:tc>
          <w:tcPr>
            <w:tcW w:w="1380" w:type="dxa"/>
            <w:vAlign w:val="bottom"/>
          </w:tcPr>
          <w:p>
            <w:pPr>
              <w:jc w:val="right"/>
              <w:spacing w:after="0"/>
              <w:rPr>
                <w:sz w:val="20"/>
                <w:szCs w:val="20"/>
                <w:color w:val="auto"/>
              </w:rPr>
            </w:pPr>
            <w:r>
              <w:rPr>
                <w:rFonts w:ascii="Arial" w:cs="Arial" w:eastAsia="Arial" w:hAnsi="Arial"/>
                <w:sz w:val="17"/>
                <w:szCs w:val="17"/>
                <w:color w:val="auto"/>
              </w:rPr>
              <w:t>(15,023,657)  </w:t>
            </w:r>
          </w:p>
        </w:tc>
        <w:tc>
          <w:tcPr>
            <w:tcW w:w="20" w:type="dxa"/>
            <w:vAlign w:val="bottom"/>
          </w:tcPr>
          <w:p>
            <w:pPr>
              <w:spacing w:after="0"/>
              <w:rPr>
                <w:sz w:val="23"/>
                <w:szCs w:val="23"/>
                <w:color w:val="auto"/>
              </w:rPr>
            </w:pPr>
          </w:p>
        </w:tc>
      </w:tr>
      <w:tr>
        <w:trPr>
          <w:trHeight w:val="54"/>
        </w:trPr>
        <w:tc>
          <w:tcPr>
            <w:tcW w:w="9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96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color w:val="auto"/>
              </w:rPr>
              <w:t>-SCT “Option Awards” column value</w:t>
            </w:r>
          </w:p>
        </w:tc>
        <w:tc>
          <w:tcPr>
            <w:tcW w:w="13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(4,847,184)  </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9620" w:type="dxa"/>
            <w:vAlign w:val="bottom"/>
          </w:tcPr>
          <w:p>
            <w:pPr>
              <w:ind w:left="80"/>
              <w:spacing w:after="0"/>
              <w:rPr>
                <w:sz w:val="20"/>
                <w:szCs w:val="20"/>
                <w:color w:val="auto"/>
              </w:rPr>
            </w:pPr>
            <w:r>
              <w:rPr>
                <w:rFonts w:ascii="Arial" w:cs="Arial" w:eastAsia="Arial" w:hAnsi="Arial"/>
                <w:sz w:val="17"/>
                <w:szCs w:val="17"/>
                <w:color w:val="auto"/>
              </w:rPr>
              <w:t>+ Covered Year-end fair value of outstanding equity awards granted in Covered Year</w:t>
            </w:r>
          </w:p>
        </w:tc>
        <w:tc>
          <w:tcPr>
            <w:tcW w:w="1380" w:type="dxa"/>
            <w:vAlign w:val="bottom"/>
          </w:tcPr>
          <w:p>
            <w:pPr>
              <w:jc w:val="right"/>
              <w:spacing w:after="0"/>
              <w:rPr>
                <w:sz w:val="20"/>
                <w:szCs w:val="20"/>
                <w:color w:val="auto"/>
              </w:rPr>
            </w:pPr>
            <w:r>
              <w:rPr>
                <w:rFonts w:ascii="Arial" w:cs="Arial" w:eastAsia="Arial" w:hAnsi="Arial"/>
                <w:sz w:val="17"/>
                <w:szCs w:val="17"/>
                <w:color w:val="auto"/>
              </w:rPr>
              <w:t>16,178,883   </w:t>
            </w:r>
          </w:p>
        </w:tc>
        <w:tc>
          <w:tcPr>
            <w:tcW w:w="20" w:type="dxa"/>
            <w:vAlign w:val="bottom"/>
          </w:tcPr>
          <w:p>
            <w:pPr>
              <w:spacing w:after="0"/>
              <w:rPr>
                <w:sz w:val="23"/>
                <w:szCs w:val="23"/>
                <w:color w:val="auto"/>
              </w:rPr>
            </w:pPr>
          </w:p>
        </w:tc>
      </w:tr>
      <w:tr>
        <w:trPr>
          <w:trHeight w:val="54"/>
        </w:trPr>
        <w:tc>
          <w:tcPr>
            <w:tcW w:w="9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96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color w:val="auto"/>
              </w:rPr>
              <w:t>+/- change in fair value (from prior year-end to Covered Year-end) of outstanding equity awards granted prior to Covered Year</w:t>
            </w:r>
          </w:p>
        </w:tc>
        <w:tc>
          <w:tcPr>
            <w:tcW w:w="13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(4,554,750)  </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34"/>
        </w:trPr>
        <w:tc>
          <w:tcPr>
            <w:tcW w:w="9620" w:type="dxa"/>
            <w:vAlign w:val="bottom"/>
          </w:tcPr>
          <w:p>
            <w:pPr>
              <w:ind w:left="80"/>
              <w:spacing w:after="0"/>
              <w:rPr>
                <w:sz w:val="20"/>
                <w:szCs w:val="20"/>
                <w:color w:val="auto"/>
              </w:rPr>
            </w:pPr>
            <w:r>
              <w:rPr>
                <w:rFonts w:ascii="Arial" w:cs="Arial" w:eastAsia="Arial" w:hAnsi="Arial"/>
                <w:sz w:val="17"/>
                <w:szCs w:val="17"/>
                <w:color w:val="auto"/>
              </w:rPr>
              <w:t>+/- change in fair value (from prior year-end to vesting date) of equity awards granted prior to Covered Year and vested in</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9620" w:type="dxa"/>
            <w:vAlign w:val="bottom"/>
          </w:tcPr>
          <w:p>
            <w:pPr>
              <w:ind w:left="80"/>
              <w:spacing w:after="0"/>
              <w:rPr>
                <w:sz w:val="20"/>
                <w:szCs w:val="20"/>
                <w:color w:val="auto"/>
              </w:rPr>
            </w:pPr>
            <w:r>
              <w:rPr>
                <w:rFonts w:ascii="Arial" w:cs="Arial" w:eastAsia="Arial" w:hAnsi="Arial"/>
                <w:sz w:val="17"/>
                <w:szCs w:val="17"/>
                <w:color w:val="auto"/>
              </w:rPr>
              <w:t>Covered Year</w:t>
            </w:r>
          </w:p>
        </w:tc>
        <w:tc>
          <w:tcPr>
            <w:tcW w:w="1380" w:type="dxa"/>
            <w:vAlign w:val="bottom"/>
          </w:tcPr>
          <w:p>
            <w:pPr>
              <w:jc w:val="right"/>
              <w:spacing w:after="0"/>
              <w:rPr>
                <w:sz w:val="20"/>
                <w:szCs w:val="20"/>
                <w:color w:val="auto"/>
              </w:rPr>
            </w:pPr>
            <w:r>
              <w:rPr>
                <w:rFonts w:ascii="Arial" w:cs="Arial" w:eastAsia="Arial" w:hAnsi="Arial"/>
                <w:sz w:val="17"/>
                <w:szCs w:val="17"/>
                <w:color w:val="auto"/>
              </w:rPr>
              <w:t>(804,158)  </w:t>
            </w:r>
          </w:p>
        </w:tc>
        <w:tc>
          <w:tcPr>
            <w:tcW w:w="20" w:type="dxa"/>
            <w:vAlign w:val="bottom"/>
          </w:tcPr>
          <w:p>
            <w:pPr>
              <w:spacing w:after="0"/>
              <w:rPr>
                <w:sz w:val="19"/>
                <w:szCs w:val="19"/>
                <w:color w:val="auto"/>
              </w:rPr>
            </w:pPr>
          </w:p>
        </w:tc>
      </w:tr>
      <w:tr>
        <w:trPr>
          <w:trHeight w:val="54"/>
        </w:trPr>
        <w:tc>
          <w:tcPr>
            <w:tcW w:w="9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96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b w:val="1"/>
                <w:bCs w:val="1"/>
                <w:color w:val="auto"/>
              </w:rPr>
              <w:t>For Non-PEO Named Executive Officers (Average):</w:t>
            </w:r>
          </w:p>
        </w:tc>
        <w:tc>
          <w:tcPr>
            <w:tcW w:w="1380" w:type="dxa"/>
            <w:vAlign w:val="bottom"/>
            <w:tcBorders>
              <w:bottom w:val="single" w:sz="8" w:color="CCDEF1"/>
            </w:tcBorders>
            <w:shd w:val="clear" w:color="auto" w:fill="CCDEF1"/>
          </w:tcPr>
          <w:p>
            <w:pPr>
              <w:spacing w:after="0"/>
              <w:rPr>
                <w:sz w:val="24"/>
                <w:szCs w:val="24"/>
                <w:color w:val="auto"/>
              </w:rPr>
            </w:pP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9620" w:type="dxa"/>
            <w:vAlign w:val="bottom"/>
          </w:tcPr>
          <w:p>
            <w:pPr>
              <w:ind w:left="80"/>
              <w:spacing w:after="0"/>
              <w:rPr>
                <w:sz w:val="20"/>
                <w:szCs w:val="20"/>
                <w:color w:val="auto"/>
              </w:rPr>
            </w:pPr>
            <w:r>
              <w:rPr>
                <w:rFonts w:ascii="Arial" w:cs="Arial" w:eastAsia="Arial" w:hAnsi="Arial"/>
                <w:sz w:val="17"/>
                <w:szCs w:val="17"/>
                <w:color w:val="auto"/>
              </w:rPr>
              <w:t>-SCT “Stock Awards” column value</w:t>
            </w:r>
          </w:p>
        </w:tc>
        <w:tc>
          <w:tcPr>
            <w:tcW w:w="1380" w:type="dxa"/>
            <w:vAlign w:val="bottom"/>
          </w:tcPr>
          <w:p>
            <w:pPr>
              <w:jc w:val="right"/>
              <w:spacing w:after="0"/>
              <w:rPr>
                <w:sz w:val="20"/>
                <w:szCs w:val="20"/>
                <w:color w:val="auto"/>
              </w:rPr>
            </w:pPr>
            <w:r>
              <w:rPr>
                <w:rFonts w:ascii="Arial" w:cs="Arial" w:eastAsia="Arial" w:hAnsi="Arial"/>
                <w:sz w:val="17"/>
                <w:szCs w:val="17"/>
                <w:color w:val="auto"/>
              </w:rPr>
              <w:t>(4,494,019)  </w:t>
            </w:r>
          </w:p>
        </w:tc>
        <w:tc>
          <w:tcPr>
            <w:tcW w:w="20" w:type="dxa"/>
            <w:vAlign w:val="bottom"/>
          </w:tcPr>
          <w:p>
            <w:pPr>
              <w:spacing w:after="0"/>
              <w:rPr>
                <w:sz w:val="23"/>
                <w:szCs w:val="23"/>
                <w:color w:val="auto"/>
              </w:rPr>
            </w:pPr>
          </w:p>
        </w:tc>
      </w:tr>
      <w:tr>
        <w:trPr>
          <w:trHeight w:val="54"/>
        </w:trPr>
        <w:tc>
          <w:tcPr>
            <w:tcW w:w="9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96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color w:val="auto"/>
              </w:rPr>
              <w:t>-SCT “Option Awards” column value</w:t>
            </w:r>
          </w:p>
        </w:tc>
        <w:tc>
          <w:tcPr>
            <w:tcW w:w="13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(1,449,982)  </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70"/>
        </w:trPr>
        <w:tc>
          <w:tcPr>
            <w:tcW w:w="9620" w:type="dxa"/>
            <w:vAlign w:val="bottom"/>
          </w:tcPr>
          <w:p>
            <w:pPr>
              <w:ind w:left="80"/>
              <w:spacing w:after="0"/>
              <w:rPr>
                <w:sz w:val="20"/>
                <w:szCs w:val="20"/>
                <w:color w:val="auto"/>
              </w:rPr>
            </w:pPr>
            <w:r>
              <w:rPr>
                <w:rFonts w:ascii="Arial" w:cs="Arial" w:eastAsia="Arial" w:hAnsi="Arial"/>
                <w:sz w:val="17"/>
                <w:szCs w:val="17"/>
                <w:color w:val="auto"/>
              </w:rPr>
              <w:t>+ Covered Year-end fair value of outstanding equity awards granted in Covered Year</w:t>
            </w:r>
          </w:p>
        </w:tc>
        <w:tc>
          <w:tcPr>
            <w:tcW w:w="1380" w:type="dxa"/>
            <w:vAlign w:val="bottom"/>
          </w:tcPr>
          <w:p>
            <w:pPr>
              <w:jc w:val="right"/>
              <w:spacing w:after="0"/>
              <w:rPr>
                <w:sz w:val="20"/>
                <w:szCs w:val="20"/>
                <w:color w:val="auto"/>
              </w:rPr>
            </w:pPr>
            <w:r>
              <w:rPr>
                <w:rFonts w:ascii="Arial" w:cs="Arial" w:eastAsia="Arial" w:hAnsi="Arial"/>
                <w:sz w:val="17"/>
                <w:szCs w:val="17"/>
                <w:color w:val="auto"/>
              </w:rPr>
              <w:t>4,839,618   </w:t>
            </w:r>
          </w:p>
        </w:tc>
        <w:tc>
          <w:tcPr>
            <w:tcW w:w="20" w:type="dxa"/>
            <w:vAlign w:val="bottom"/>
          </w:tcPr>
          <w:p>
            <w:pPr>
              <w:spacing w:after="0"/>
              <w:rPr>
                <w:sz w:val="23"/>
                <w:szCs w:val="23"/>
                <w:color w:val="auto"/>
              </w:rPr>
            </w:pPr>
          </w:p>
        </w:tc>
      </w:tr>
      <w:tr>
        <w:trPr>
          <w:trHeight w:val="54"/>
        </w:trPr>
        <w:tc>
          <w:tcPr>
            <w:tcW w:w="9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96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color w:val="auto"/>
              </w:rPr>
              <w:t>+/- change in fair value (from prior year-end to Covered Year-end) of outstanding equity awards granted prior to Covered Year</w:t>
            </w:r>
          </w:p>
        </w:tc>
        <w:tc>
          <w:tcPr>
            <w:tcW w:w="13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(1,043,392)  </w:t>
            </w:r>
          </w:p>
        </w:tc>
        <w:tc>
          <w:tcPr>
            <w:tcW w:w="20" w:type="dxa"/>
            <w:vAlign w:val="bottom"/>
            <w:tcBorders>
              <w:bottom w:val="single" w:sz="8" w:color="CCDEF1"/>
            </w:tcBorders>
            <w:shd w:val="clear" w:color="auto" w:fill="CCDEF1"/>
          </w:tcPr>
          <w:p>
            <w:pPr>
              <w:spacing w:after="0"/>
              <w:rPr>
                <w:sz w:val="24"/>
                <w:szCs w:val="24"/>
                <w:color w:val="auto"/>
              </w:rPr>
            </w:pPr>
          </w:p>
        </w:tc>
      </w:tr>
      <w:tr>
        <w:trPr>
          <w:trHeight w:val="234"/>
        </w:trPr>
        <w:tc>
          <w:tcPr>
            <w:tcW w:w="9620" w:type="dxa"/>
            <w:vAlign w:val="bottom"/>
          </w:tcPr>
          <w:p>
            <w:pPr>
              <w:ind w:left="80"/>
              <w:spacing w:after="0"/>
              <w:rPr>
                <w:sz w:val="20"/>
                <w:szCs w:val="20"/>
                <w:color w:val="auto"/>
              </w:rPr>
            </w:pPr>
            <w:r>
              <w:rPr>
                <w:rFonts w:ascii="Arial" w:cs="Arial" w:eastAsia="Arial" w:hAnsi="Arial"/>
                <w:sz w:val="17"/>
                <w:szCs w:val="17"/>
                <w:color w:val="auto"/>
              </w:rPr>
              <w:t>+/- change in fair value (from prior year-end to vesting date) of equity awards granted prior to Covered Year and vested in</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9620" w:type="dxa"/>
            <w:vAlign w:val="bottom"/>
          </w:tcPr>
          <w:p>
            <w:pPr>
              <w:ind w:left="80"/>
              <w:spacing w:after="0"/>
              <w:rPr>
                <w:sz w:val="20"/>
                <w:szCs w:val="20"/>
                <w:color w:val="auto"/>
              </w:rPr>
            </w:pPr>
            <w:r>
              <w:rPr>
                <w:rFonts w:ascii="Arial" w:cs="Arial" w:eastAsia="Arial" w:hAnsi="Arial"/>
                <w:sz w:val="17"/>
                <w:szCs w:val="17"/>
                <w:color w:val="auto"/>
              </w:rPr>
              <w:t>Covered Year</w:t>
            </w:r>
          </w:p>
        </w:tc>
        <w:tc>
          <w:tcPr>
            <w:tcW w:w="1380" w:type="dxa"/>
            <w:vAlign w:val="bottom"/>
          </w:tcPr>
          <w:p>
            <w:pPr>
              <w:jc w:val="right"/>
              <w:spacing w:after="0"/>
              <w:rPr>
                <w:sz w:val="20"/>
                <w:szCs w:val="20"/>
                <w:color w:val="auto"/>
              </w:rPr>
            </w:pPr>
            <w:r>
              <w:rPr>
                <w:rFonts w:ascii="Arial" w:cs="Arial" w:eastAsia="Arial" w:hAnsi="Arial"/>
                <w:sz w:val="17"/>
                <w:szCs w:val="17"/>
                <w:color w:val="auto"/>
              </w:rPr>
              <w:t>(91,015)  </w:t>
            </w:r>
          </w:p>
        </w:tc>
        <w:tc>
          <w:tcPr>
            <w:tcW w:w="20" w:type="dxa"/>
            <w:vAlign w:val="bottom"/>
          </w:tcPr>
          <w:p>
            <w:pPr>
              <w:spacing w:after="0"/>
              <w:rPr>
                <w:sz w:val="19"/>
                <w:szCs w:val="19"/>
                <w:color w:val="auto"/>
              </w:rPr>
            </w:pPr>
          </w:p>
        </w:tc>
      </w:tr>
    </w:tbl>
    <w:p>
      <w:pPr>
        <w:spacing w:after="0" w:line="14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Please note that while similar adjustment information was provided in the Company’s 2024 proxy statement for Covered Year 2023 and in the Company’s 2023 proxy statement for Covered Years 2020, 2021 and 2022, under</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applicable SEC guidance, repeating such adjustment information is not required in this Proxy Statement because in the Company’s view it is not material to the Company shareholders’ understanding of the information reported in the PVP table for 2024 or the relationships disclosures provided below.</w:t>
      </w:r>
    </w:p>
    <w:p>
      <w:pPr>
        <w:spacing w:after="0" w:line="67"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charts below describe the relationship between the PEO and other NEOs’ CAP to Net Income, to cumulative Company Total Shareholder Return, and to the Company’s two Company-selected measures, Adjusted Free Cash Flow and Adjusted EBITDA, plus the relationship between cumulative Company Total Shareholder Return and cumulative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7029450" cy="33947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2945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2022, the Company’s Net Income included a gain of $3,356 million related to the disposition of discontinued operations, net of tax.</w:t>
      </w:r>
    </w:p>
    <w:p>
      <w:pPr>
        <w:spacing w:after="0" w:line="82" w:lineRule="exact"/>
        <w:rPr>
          <w:rFonts w:ascii="Arial" w:cs="Arial" w:eastAsia="Arial" w:hAnsi="Arial"/>
          <w:sz w:val="14"/>
          <w:szCs w:val="14"/>
          <w:color w:val="auto"/>
        </w:rPr>
      </w:pPr>
    </w:p>
    <w:p>
      <w:pPr>
        <w:ind w:left="540" w:right="20" w:hanging="424"/>
        <w:spacing w:after="0" w:line="285"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2023, the Compensation Actually Paid to the PEO includes $17.8 million earned under the five-year CEO Special Long-Term Cash Incentive, plus $1.33 million in a company matching amount based on his deferral of a portion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7029450" cy="27774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2945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326390</wp:posOffset>
            </wp:positionV>
            <wp:extent cx="7029450" cy="27863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2945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following table lists the four financial performance measures that we believe represent the most important financial performance measures we used to link compensation actually paid to our named executive officers for 2024 to our performance:</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-95885</wp:posOffset>
            </wp:positionV>
            <wp:extent cx="474916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Adjusted EBITDA</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-95885</wp:posOffset>
            </wp:positionV>
            <wp:extent cx="474916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Relative Total Shareholder Return</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right="560"/>
        <w:spacing w:after="0" w:line="276" w:lineRule="auto"/>
        <w:rPr>
          <w:sz w:val="20"/>
          <w:szCs w:val="20"/>
          <w:color w:val="auto"/>
        </w:rPr>
      </w:pPr>
      <w:r>
        <w:rPr>
          <w:rFonts w:ascii="Arial" w:cs="Arial" w:eastAsia="Arial" w:hAnsi="Arial"/>
          <w:sz w:val="29"/>
          <w:szCs w:val="29"/>
          <w:color w:val="005CB9"/>
        </w:rPr>
        <w:t>PROPOSAL 2: ADVISORY VOTE TO APPROVE THE COMPENSATION OF THE COMPANY’S NAMED EXECUTIVE OFFICERS</w:t>
      </w:r>
    </w:p>
    <w:p>
      <w:pPr>
        <w:spacing w:after="0" w:line="242"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Pursuant to Section 14A of the Exchange Act, we are seeking your advisory vote approving the compensation of our named executive officers as disclosed in this Proxy Statement. We believe that our executive compensation program is structured in the best manner possible to support our business objectives, evidenced by the superior long-term returns we continue to deliver to our shareholders. Over the past 10 and 15 years, our compound annual return to shareholders was 13.4% and 17.2%, respectively, compared to the S&amp;P 500’s return over the same periods of 13.1% and 13.9%, respectively.</w:t>
      </w:r>
    </w:p>
    <w:p>
      <w:pPr>
        <w:spacing w:after="0" w:line="72"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Our executive compensation program is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seeking shareholder approval of the following resolution:</w:t>
      </w:r>
    </w:p>
    <w:p>
      <w:pPr>
        <w:spacing w:after="0" w:line="102" w:lineRule="exact"/>
        <w:rPr>
          <w:sz w:val="20"/>
          <w:szCs w:val="20"/>
          <w:color w:val="auto"/>
        </w:rPr>
      </w:pPr>
    </w:p>
    <w:p>
      <w:pPr>
        <w:jc w:val="both"/>
        <w:ind w:left="660" w:right="20"/>
        <w:spacing w:after="0" w:line="249"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67"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vote on this proposal is advisory and non-binding; however, the Compensation Committee and our Board will review the results of the vote and consider them when making future determinations regarding our executive compensation program. We conduct this Say-on-Pay vote annually, and we expect to hold our next Say-on-Pay vote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129540</wp:posOffset>
            </wp:positionV>
            <wp:extent cx="7020560" cy="3340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0560" cy="334010"/>
                    </a:xfrm>
                    <a:prstGeom prst="rect">
                      <a:avLst/>
                    </a:prstGeom>
                    <a:noFill/>
                  </pic:spPr>
                </pic:pic>
              </a:graphicData>
            </a:graphic>
          </wp:anchor>
        </w:drawing>
      </w:r>
    </w:p>
    <w:p>
      <w:pPr>
        <w:spacing w:after="0" w:line="212" w:lineRule="exact"/>
        <w:rPr>
          <w:sz w:val="20"/>
          <w:szCs w:val="20"/>
          <w:color w:val="auto"/>
        </w:rPr>
      </w:pPr>
    </w:p>
    <w:p>
      <w:pPr>
        <w:ind w:left="560" w:right="460"/>
        <w:spacing w:after="0" w:line="281" w:lineRule="auto"/>
        <w:rPr>
          <w:sz w:val="20"/>
          <w:szCs w:val="20"/>
          <w:color w:val="auto"/>
        </w:rPr>
      </w:pPr>
      <w:r>
        <w:rPr>
          <w:rFonts w:ascii="Arial" w:cs="Arial" w:eastAsia="Arial" w:hAnsi="Arial"/>
          <w:sz w:val="18"/>
          <w:szCs w:val="18"/>
          <w:b w:val="1"/>
          <w:bCs w:val="1"/>
          <w:color w:val="auto"/>
        </w:rPr>
        <w:t>The Board recommends a vote “FOR” the resolution approving, on an advisory basis, the compensation of the Company’s named executive officers.</w:t>
      </w:r>
    </w:p>
    <w:p>
      <w:pPr>
        <w:spacing w:after="0" w:line="142"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AUDIT COMMITTEE REPORT</w:t>
      </w:r>
    </w:p>
    <w:p>
      <w:pPr>
        <w:spacing w:after="0" w:line="33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Audit Committee of the Board of Directors is currently comprised of five non-employee directors, each of whom has been determined by the Board of Directors to be independent under the Nasdaq and SEC rules. The Audit Committee’s responsibilities are set forth in its charter.</w:t>
      </w:r>
    </w:p>
    <w:p>
      <w:pPr>
        <w:spacing w:after="0" w:line="5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registered public accounting firm and the performance of the Company’s internal audit function. The Committee retains the Company’s independent registered public accounting firm to undertake appropriate reviews and audits of the Company’s financial statements, determines the compensation of the independent registered public accounting firm, and pre-approves all of their services. The Committee also periodically reviews the work performed by other public accounting firms retained by the Company to provide various financial and information technology services. The Company’s management is primarily responsible for the Company’s financial reporting process and for the preparation of the Company’s financial statements in accordance with GAAP. The Audit Committee maintains oversight of the independent registered public accounting firm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w:t>
      </w:r>
    </w:p>
    <w:p>
      <w:pPr>
        <w:spacing w:after="0" w:line="73"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The Audit Committee maintains oversight of the Company’s internal audit function by evaluating the appointment and performance of the Company’s Vice President of internal audit and periodically meeting with this individual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7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(i) appointed and retained PricewaterhouseCoopers LLP (“PwC”) as the Company’s independent registered public accounting firm for the fiscal year ended December 31, 2024; (ii) reviewed and discussed with the Company’s management the Company’s audited financial statements for the fiscal year ended December 31, 2024; (iii) discussed with PwC the matters required to be discussed by the Auditing Standard No. 1301,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issued by the Public Company Accounting Oversight Board (the “PCAOB”);</w:t>
      </w:r>
    </w:p>
    <w:p>
      <w:pPr>
        <w:spacing w:after="0" w:line="3" w:lineRule="exact"/>
        <w:rPr>
          <w:sz w:val="20"/>
          <w:szCs w:val="20"/>
          <w:color w:val="auto"/>
        </w:rPr>
      </w:pPr>
    </w:p>
    <w:p>
      <w:pPr>
        <w:jc w:val="both"/>
        <w:ind w:left="120" w:hanging="4"/>
        <w:spacing w:after="0" w:line="232" w:lineRule="auto"/>
        <w:tabs>
          <w:tab w:leader="none" w:pos="424"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PwC required by PCAOB Ethics and Independence Rule 3526, “</w:t>
      </w:r>
      <w:r>
        <w:rPr>
          <w:rFonts w:ascii="Arial" w:cs="Arial" w:eastAsia="Arial" w:hAnsi="Arial"/>
          <w:sz w:val="17"/>
          <w:szCs w:val="17"/>
          <w:i w:val="1"/>
          <w:iCs w:val="1"/>
          <w:color w:val="auto"/>
        </w:rPr>
        <w:t>Communications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 Concerning Independence</w:t>
      </w:r>
      <w:r>
        <w:rPr>
          <w:rFonts w:ascii="Arial" w:cs="Arial" w:eastAsia="Arial" w:hAnsi="Arial"/>
          <w:sz w:val="17"/>
          <w:szCs w:val="17"/>
          <w:color w:val="auto"/>
        </w:rPr>
        <w:t>,” and has discussed with PwC its independence from the Company and its management;</w:t>
      </w:r>
    </w:p>
    <w:p>
      <w:pPr>
        <w:jc w:val="both"/>
        <w:ind w:left="120" w:hanging="4"/>
        <w:spacing w:after="0"/>
        <w:tabs>
          <w:tab w:leader="none" w:pos="369"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discussed 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Section 404 of the Sarbanes-Oxley Act of 2002 (the “Sarbanes-Oxley Act”).</w:t>
      </w:r>
    </w:p>
    <w:p>
      <w:pPr>
        <w:spacing w:after="0" w:line="73"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In reliance on the reviews, reports and discussions referred to above, the Audit Committee recommended to the Board of Directors, and the Board of Directors has approved, that the audited financial statements be included in the Company’s Annual Report on Form 10-K for the fiscal year ended December 31, 2024, for filing with the SEC.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Richard F. Wallman, Chair</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Irene M. Esteves</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line="232" w:lineRule="auto"/>
        <w:rPr>
          <w:sz w:val="20"/>
          <w:szCs w:val="20"/>
          <w:color w:val="auto"/>
        </w:rPr>
      </w:pPr>
      <w:r>
        <w:rPr>
          <w:rFonts w:ascii="Arial" w:cs="Arial" w:eastAsia="Arial" w:hAnsi="Arial"/>
          <w:sz w:val="17"/>
          <w:szCs w:val="17"/>
          <w:color w:val="auto"/>
        </w:rPr>
        <w:t>John F. Murphy</w:t>
      </w:r>
    </w:p>
    <w:p>
      <w:pPr>
        <w:ind w:left="560"/>
        <w:spacing w:after="0"/>
        <w:rPr>
          <w:sz w:val="20"/>
          <w:szCs w:val="20"/>
          <w:color w:val="auto"/>
        </w:rPr>
      </w:pPr>
      <w:r>
        <w:rPr>
          <w:rFonts w:ascii="Arial" w:cs="Arial" w:eastAsia="Arial" w:hAnsi="Arial"/>
          <w:sz w:val="17"/>
          <w:szCs w:val="17"/>
          <w:color w:val="auto"/>
        </w:rPr>
        <w:t>Christopher Wright</w:t>
      </w:r>
    </w:p>
    <w:p>
      <w:pPr>
        <w:spacing w:after="0" w:line="200" w:lineRule="exact"/>
        <w:rPr>
          <w:sz w:val="20"/>
          <w:szCs w:val="20"/>
          <w:color w:val="auto"/>
        </w:rPr>
      </w:pPr>
    </w:p>
    <w:p>
      <w:pPr>
        <w:spacing w:after="0" w:line="212"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i w:val="1"/>
          <w:iCs w:val="1"/>
          <w:color w:val="005CB9"/>
        </w:rPr>
        <w:t>The foregoing report and other information provided above regarding the Audit Committee should not be deemed incorporated by reference by any general statement incorporating by reference this Proxy Statement into any filing under the Securities Act or the Exchange Act, except to the extent that Roper specifically incorporates this information by reference, and shall not otherwise be deemed filed under either the Securities Act or the Exchange Act.</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INDEPENDENT PUBLIC ACCOUNTANT’S FEES</w:t>
      </w:r>
    </w:p>
    <w:p>
      <w:pPr>
        <w:spacing w:after="0" w:line="33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Set forth below are the professional fees billed by PwC for the fiscal years ended December 31, 2024 and 2023. It is the Audit Committee’s policy that all services performed by and all fees paid to the independent registered public accounting firm require the Audit Committee’s prior approval. As such, all audit, audit-related, tax, and other fees were pre-approved by the Audit Committee.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540" w:type="dxa"/>
            <w:vAlign w:val="bottom"/>
            <w:vMerge w:val="restart"/>
          </w:tcPr>
          <w:p>
            <w:pPr>
              <w:spacing w:after="0"/>
              <w:rPr>
                <w:sz w:val="20"/>
                <w:szCs w:val="20"/>
                <w:color w:val="auto"/>
              </w:rPr>
            </w:pPr>
            <w:r>
              <w:rPr>
                <w:rFonts w:ascii="Arial" w:cs="Arial" w:eastAsia="Arial" w:hAnsi="Arial"/>
                <w:sz w:val="14"/>
                <w:szCs w:val="14"/>
                <w:color w:val="auto"/>
              </w:rPr>
              <w:t>Fees</w:t>
            </w:r>
          </w:p>
        </w:tc>
        <w:tc>
          <w:tcPr>
            <w:tcW w:w="9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9"/>
        </w:trPr>
        <w:tc>
          <w:tcPr>
            <w:tcW w:w="8540" w:type="dxa"/>
            <w:vAlign w:val="bottom"/>
            <w:tcBorders>
              <w:bottom w:val="single" w:sz="8" w:color="auto"/>
            </w:tcBorders>
            <w:vMerge w:val="continue"/>
          </w:tcPr>
          <w:p>
            <w:pPr>
              <w:spacing w:after="0"/>
              <w:rPr>
                <w:sz w:val="14"/>
                <w:szCs w:val="14"/>
                <w:color w:val="auto"/>
              </w:rPr>
            </w:pPr>
          </w:p>
        </w:tc>
        <w:tc>
          <w:tcPr>
            <w:tcW w:w="9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color w:val="auto"/>
              </w:rPr>
              <w:t>FY 2024</w:t>
            </w:r>
          </w:p>
        </w:tc>
        <w:tc>
          <w:tcPr>
            <w:tcW w:w="15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color w:val="auto"/>
              </w:rPr>
              <w:t>FY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540" w:type="dxa"/>
            <w:vAlign w:val="bottom"/>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12"/>
                <w:szCs w:val="12"/>
                <w:color w:val="auto"/>
              </w:rPr>
              <w:t>(1)</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$6,306</w:t>
            </w:r>
          </w:p>
        </w:tc>
        <w:tc>
          <w:tcPr>
            <w:tcW w:w="1520" w:type="dxa"/>
            <w:vAlign w:val="bottom"/>
          </w:tcPr>
          <w:p>
            <w:pPr>
              <w:jc w:val="right"/>
              <w:ind w:right="199"/>
              <w:spacing w:after="0"/>
              <w:rPr>
                <w:sz w:val="20"/>
                <w:szCs w:val="20"/>
                <w:color w:val="auto"/>
              </w:rPr>
            </w:pPr>
            <w:r>
              <w:rPr>
                <w:rFonts w:ascii="Arial" w:cs="Arial" w:eastAsia="Arial" w:hAnsi="Arial"/>
                <w:sz w:val="17"/>
                <w:szCs w:val="17"/>
                <w:color w:val="auto"/>
              </w:rPr>
              <w:t>$5,546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40" w:type="dxa"/>
            <w:vAlign w:val="bottom"/>
          </w:tcPr>
          <w:p>
            <w:pPr>
              <w:spacing w:after="0"/>
              <w:rPr>
                <w:sz w:val="20"/>
                <w:szCs w:val="20"/>
                <w:color w:val="auto"/>
              </w:rPr>
            </w:pPr>
            <w:r>
              <w:rPr>
                <w:rFonts w:ascii="Arial" w:cs="Arial" w:eastAsia="Arial" w:hAnsi="Arial"/>
                <w:sz w:val="17"/>
                <w:szCs w:val="17"/>
                <w:color w:val="auto"/>
              </w:rPr>
              <w:t>Audit-Related Fees</w:t>
            </w:r>
            <w:r>
              <w:rPr>
                <w:rFonts w:ascii="Arial" w:cs="Arial" w:eastAsia="Arial" w:hAnsi="Arial"/>
                <w:sz w:val="12"/>
                <w:szCs w:val="12"/>
                <w:color w:val="auto"/>
              </w:rPr>
              <w:t>(2)</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99"/>
              <w:spacing w:after="0"/>
              <w:rPr>
                <w:sz w:val="20"/>
                <w:szCs w:val="20"/>
                <w:color w:val="auto"/>
              </w:rPr>
            </w:pPr>
            <w:r>
              <w:rPr>
                <w:rFonts w:ascii="Arial" w:cs="Arial" w:eastAsia="Arial" w:hAnsi="Arial"/>
                <w:sz w:val="17"/>
                <w:szCs w:val="17"/>
                <w:color w:val="auto"/>
              </w:rPr>
              <w:t>1,934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2"/>
                <w:szCs w:val="12"/>
                <w:color w:val="auto"/>
              </w:rPr>
              <w:t>(3)</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146</w:t>
            </w:r>
          </w:p>
        </w:tc>
        <w:tc>
          <w:tcPr>
            <w:tcW w:w="1520" w:type="dxa"/>
            <w:vAlign w:val="bottom"/>
          </w:tcPr>
          <w:p>
            <w:pPr>
              <w:jc w:val="right"/>
              <w:ind w:right="199"/>
              <w:spacing w:after="0"/>
              <w:rPr>
                <w:sz w:val="20"/>
                <w:szCs w:val="20"/>
                <w:color w:val="auto"/>
              </w:rPr>
            </w:pPr>
            <w:r>
              <w:rPr>
                <w:rFonts w:ascii="Arial" w:cs="Arial" w:eastAsia="Arial" w:hAnsi="Arial"/>
                <w:sz w:val="17"/>
                <w:szCs w:val="17"/>
                <w:color w:val="auto"/>
              </w:rPr>
              <w:t>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7"/>
                <w:szCs w:val="17"/>
                <w:color w:val="auto"/>
              </w:rPr>
              <w:t>Total Fees</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$6,452</w:t>
            </w:r>
          </w:p>
        </w:tc>
        <w:tc>
          <w:tcPr>
            <w:tcW w:w="1520" w:type="dxa"/>
            <w:vAlign w:val="bottom"/>
          </w:tcPr>
          <w:p>
            <w:pPr>
              <w:jc w:val="right"/>
              <w:ind w:right="199"/>
              <w:spacing w:after="0"/>
              <w:rPr>
                <w:sz w:val="20"/>
                <w:szCs w:val="20"/>
                <w:color w:val="auto"/>
              </w:rPr>
            </w:pPr>
            <w:r>
              <w:rPr>
                <w:rFonts w:ascii="Arial" w:cs="Arial" w:eastAsia="Arial" w:hAnsi="Arial"/>
                <w:sz w:val="17"/>
                <w:szCs w:val="17"/>
                <w:color w:val="auto"/>
              </w:rPr>
              <w:t>$8,320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20" w:hanging="424"/>
        <w:spacing w:after="0" w:line="204" w:lineRule="auto"/>
        <w:tabs>
          <w:tab w:leader="none" w:pos="5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audit or review services in accordance with the standards of the PCAOB and fees for services, such as statutory audits and review of documents filed with the SEC. Audit fees also include fees paid in connection with services required for compliance with Section 404 of the Sarbanes-Oxley Act.</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assurance and related services which primarily include, with respect to 2023, due diligence on acquisition targets and additional services related to the sale of a majority interest in our industrial businesses in 2022.</w:t>
      </w:r>
    </w:p>
    <w:p>
      <w:pPr>
        <w:ind w:left="540" w:hanging="424"/>
        <w:spacing w:after="0" w:line="230" w:lineRule="auto"/>
        <w:tabs>
          <w:tab w:leader="none" w:pos="5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Tax fees include tax compliance, assistance with tax audits, tax advice and tax planning data.</w:t>
      </w:r>
    </w:p>
    <w:p>
      <w:pPr>
        <w:spacing w:after="0" w:line="135"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7"/>
          <w:szCs w:val="17"/>
          <w:color w:val="auto"/>
        </w:rPr>
        <w:t>As required by Section 10A(i)(1) of the Exchange Act, all audit and non-audit services to be performed by our independent registered public accounting firm must be approved in advance by the Audit Committee, subject to certain exceptions relating to non-audit services accounting for less than five percent of the total fees paid to our independent registered public accounting firm which are subsequently ratified by the Audit Committee. In addition, pursuant to Section 10A(i)(3) of the Exchange Act, as amended, the Audit Committee has established procedures by which the Chair of the Audit Committee may pre-approve such services, provided the Chair subsequently reports the details of the services to the full Audit Committee. All audit-related fees, tax fees and all other fees, as described in the table above, were approved by the Audit Committee.</w:t>
      </w:r>
    </w:p>
    <w:p>
      <w:pPr>
        <w:spacing w:after="0" w:line="388" w:lineRule="exact"/>
        <w:rPr>
          <w:sz w:val="20"/>
          <w:szCs w:val="20"/>
          <w:color w:val="auto"/>
        </w:rPr>
      </w:pPr>
    </w:p>
    <w:p>
      <w:pPr>
        <w:ind w:left="120" w:right="800"/>
        <w:spacing w:after="0" w:line="273" w:lineRule="auto"/>
        <w:rPr>
          <w:sz w:val="20"/>
          <w:szCs w:val="20"/>
          <w:color w:val="auto"/>
        </w:rPr>
      </w:pPr>
      <w:r>
        <w:rPr>
          <w:rFonts w:ascii="Arial" w:cs="Arial" w:eastAsia="Arial" w:hAnsi="Arial"/>
          <w:sz w:val="28"/>
          <w:szCs w:val="28"/>
          <w:color w:val="005CB9"/>
        </w:rPr>
        <w:t>PROPOSAL 3: RATIFICATION OF THE APPOINTMENT OF PRICEWATERHOUSECOOPERS LLP AS OUR INDEPENDENT REGISTERED PUBLIC ACCOUNTING FIRM FOR THE YEAR ENDING DECEMBER 31, 2025</w:t>
      </w:r>
    </w:p>
    <w:p>
      <w:pPr>
        <w:spacing w:after="0" w:line="248"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7"/>
          <w:szCs w:val="17"/>
          <w:color w:val="auto"/>
        </w:rPr>
        <w:t>The Audit Committee has appointed PwC as our independent registered public accounting firm for the year ending December 31, 2025. Our Board of Directors recommends that the shareholders ratify this appointment. PwC has been our Company’s independent registered public accounting firm since May 2002. One or more representatives of PwC are expected to be present at the Annual Meeting and will be given the opportunity to make a statement if they so desire and respond to appropriate questions of shareholders in attendance. If this proposal does not pass, the selection of our independent registered public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133985</wp:posOffset>
            </wp:positionV>
            <wp:extent cx="702056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20560" cy="342900"/>
                    </a:xfrm>
                    <a:prstGeom prst="rect">
                      <a:avLst/>
                    </a:prstGeom>
                    <a:noFill/>
                  </pic:spPr>
                </pic:pic>
              </a:graphicData>
            </a:graphic>
          </wp:anchor>
        </w:drawing>
      </w:r>
    </w:p>
    <w:p>
      <w:pPr>
        <w:spacing w:after="0" w:line="233" w:lineRule="exact"/>
        <w:rPr>
          <w:sz w:val="20"/>
          <w:szCs w:val="20"/>
          <w:color w:val="auto"/>
        </w:rPr>
      </w:pPr>
    </w:p>
    <w:p>
      <w:pPr>
        <w:ind w:left="560" w:right="240"/>
        <w:spacing w:after="0" w:line="28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PricewaterhouseCoopers LLP as our independent registered public accounting firm for the year ending December 31, 2025.</w:t>
      </w:r>
    </w:p>
    <w:p>
      <w:pPr>
        <w:spacing w:after="0" w:line="142"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ANNUAL MEETING AND VOTING INFORMATION</w:t>
      </w:r>
    </w:p>
    <w:p>
      <w:pPr>
        <w:spacing w:after="0" w:line="33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Our Company is soliciting the enclosed proxy for use at the 2025 Annual Meeting of Shareholders. This Proxy Statement and the enclosed proxy card are being mailed or otherwise made available to shareholders on or about April 25, 2025.</w:t>
      </w:r>
    </w:p>
    <w:p>
      <w:pPr>
        <w:spacing w:after="0" w:line="15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We are concurrently mailing or making available to shareholders a copy of our 2024 Annual Report, which includes our Annual Report on Form 10-K for the fiscal year ended December 31, 2024. Our Annual Report on Form 10-K and its exhibits are available at www.sec.gov. Our 2024 Annual Report and Annual Report on Form 10-K are not part of these proxy soliciting materials.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Proxy Statement contains important information for you to consider when deciding how to vote. Please read this information carefully.</w:t>
      </w:r>
    </w:p>
    <w:p>
      <w:pPr>
        <w:sectPr>
          <w:pgSz w:w="11900" w:h="16838" w:orient="portrait"/>
          <w:cols w:equalWidth="0" w:num="1">
            <w:col w:w="11140"/>
          </w:cols>
          <w:pgMar w:left="320" w:top="482" w:right="439" w:bottom="1440" w:gutter="0" w:footer="0" w:header="0"/>
        </w:sect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When is the Annual Meeting?</w:t>
      </w:r>
    </w:p>
    <w:p>
      <w:pPr>
        <w:ind w:left="120"/>
        <w:spacing w:after="0"/>
        <w:tabs>
          <w:tab w:leader="none" w:pos="480" w:val="left"/>
        </w:tabs>
        <w:rPr>
          <w:sz w:val="20"/>
          <w:szCs w:val="20"/>
          <w:color w:val="auto"/>
        </w:rPr>
      </w:pPr>
      <w:r>
        <w:rPr>
          <w:rFonts w:ascii="Arial" w:cs="Arial" w:eastAsia="Arial" w:hAnsi="Arial"/>
          <w:sz w:val="49"/>
          <w:szCs w:val="49"/>
          <w:color w:val="005CB9"/>
          <w:vertAlign w:val="subscript"/>
        </w:rPr>
        <w:t>A:</w:t>
      </w:r>
      <w:r>
        <w:rPr>
          <w:sz w:val="20"/>
          <w:szCs w:val="20"/>
          <w:color w:val="auto"/>
        </w:rPr>
        <w:tab/>
      </w:r>
      <w:r>
        <w:rPr>
          <w:rFonts w:ascii="Arial" w:cs="Arial" w:eastAsia="Arial" w:hAnsi="Arial"/>
          <w:sz w:val="17"/>
          <w:szCs w:val="17"/>
          <w:b w:val="1"/>
          <w:bCs w:val="1"/>
          <w:i w:val="1"/>
          <w:iCs w:val="1"/>
          <w:color w:val="auto"/>
        </w:rPr>
        <w:t>Date &amp; Time:</w:t>
      </w:r>
    </w:p>
    <w:p>
      <w:pPr>
        <w:spacing w:after="0" w:line="1" w:lineRule="exact"/>
        <w:rPr>
          <w:sz w:val="20"/>
          <w:szCs w:val="20"/>
          <w:color w:val="auto"/>
        </w:rPr>
      </w:pPr>
    </w:p>
    <w:p>
      <w:pPr>
        <w:ind w:left="520"/>
        <w:spacing w:after="0" w:line="248" w:lineRule="auto"/>
        <w:rPr>
          <w:sz w:val="20"/>
          <w:szCs w:val="20"/>
          <w:color w:val="auto"/>
        </w:rPr>
      </w:pPr>
      <w:r>
        <w:rPr>
          <w:rFonts w:ascii="Arial" w:cs="Arial" w:eastAsia="Arial" w:hAnsi="Arial"/>
          <w:sz w:val="17"/>
          <w:szCs w:val="17"/>
          <w:color w:val="auto"/>
        </w:rPr>
        <w:t>Tuesday, June 10, 2025 at 10:00 a.m. (Eastern) (and at any postponement or adjournments thereof)</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Place:</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Westin Sarasota</w:t>
      </w:r>
    </w:p>
    <w:p>
      <w:pPr>
        <w:ind w:left="520"/>
        <w:spacing w:after="0" w:line="232" w:lineRule="auto"/>
        <w:rPr>
          <w:sz w:val="20"/>
          <w:szCs w:val="20"/>
          <w:color w:val="auto"/>
        </w:rPr>
      </w:pPr>
      <w:r>
        <w:rPr>
          <w:rFonts w:ascii="Arial" w:cs="Arial" w:eastAsia="Arial" w:hAnsi="Arial"/>
          <w:sz w:val="17"/>
          <w:szCs w:val="17"/>
          <w:color w:val="auto"/>
        </w:rPr>
        <w:t>100 Marina View Drive</w:t>
      </w:r>
    </w:p>
    <w:p>
      <w:pPr>
        <w:ind w:left="520"/>
        <w:spacing w:after="0"/>
        <w:rPr>
          <w:sz w:val="20"/>
          <w:szCs w:val="20"/>
          <w:color w:val="auto"/>
        </w:rPr>
      </w:pPr>
      <w:r>
        <w:rPr>
          <w:rFonts w:ascii="Arial" w:cs="Arial" w:eastAsia="Arial" w:hAnsi="Arial"/>
          <w:sz w:val="17"/>
          <w:szCs w:val="17"/>
          <w:color w:val="auto"/>
        </w:rPr>
        <w:t>Sarasota, Florida 34236</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purpose of this meeting?</w:t>
      </w:r>
    </w:p>
    <w:p>
      <w:pPr>
        <w:spacing w:after="0" w:line="45" w:lineRule="exact"/>
        <w:rPr>
          <w:sz w:val="20"/>
          <w:szCs w:val="20"/>
          <w:color w:val="auto"/>
        </w:rPr>
      </w:pPr>
    </w:p>
    <w:p>
      <w:pPr>
        <w:ind w:left="500" w:hanging="390"/>
        <w:spacing w:after="0" w:line="211" w:lineRule="auto"/>
        <w:rPr>
          <w:sz w:val="20"/>
          <w:szCs w:val="20"/>
          <w:color w:val="auto"/>
        </w:rPr>
      </w:pPr>
      <w:r>
        <w:rPr>
          <w:rFonts w:ascii="Arial" w:cs="Arial" w:eastAsia="Arial" w:hAnsi="Arial"/>
          <w:sz w:val="24"/>
          <w:szCs w:val="24"/>
          <w:color w:val="005CB9"/>
        </w:rPr>
        <w:t>A</w:t>
      </w:r>
      <w:r>
        <w:rPr>
          <w:rFonts w:ascii="Arial" w:cs="Arial" w:eastAsia="Arial" w:hAnsi="Arial"/>
          <w:sz w:val="32"/>
          <w:szCs w:val="32"/>
          <w:color w:val="000000"/>
          <w:vertAlign w:val="subscript"/>
        </w:rPr>
        <w:t>:</w:t>
      </w:r>
      <w:r>
        <w:rPr>
          <w:rFonts w:ascii="Arial" w:cs="Arial" w:eastAsia="Arial" w:hAnsi="Arial"/>
          <w:sz w:val="24"/>
          <w:szCs w:val="24"/>
          <w:color w:val="005CB9"/>
        </w:rPr>
        <w:t xml:space="preserve"> </w:t>
      </w:r>
      <w:r>
        <w:rPr>
          <w:rFonts w:ascii="Arial" w:cs="Arial" w:eastAsia="Arial" w:hAnsi="Arial"/>
          <w:sz w:val="16"/>
          <w:szCs w:val="16"/>
          <w:color w:val="000000"/>
        </w:rPr>
        <w:t>This is the Annual Meeting of our shareholders. At this meeting,</w:t>
      </w:r>
      <w:r>
        <w:rPr>
          <w:rFonts w:ascii="Arial" w:cs="Arial" w:eastAsia="Arial" w:hAnsi="Arial"/>
          <w:sz w:val="24"/>
          <w:szCs w:val="24"/>
          <w:color w:val="005CB9"/>
        </w:rPr>
        <w:t xml:space="preserve"> </w:t>
      </w:r>
      <w:r>
        <w:rPr>
          <w:rFonts w:ascii="Arial" w:cs="Arial" w:eastAsia="Arial" w:hAnsi="Arial"/>
          <w:sz w:val="16"/>
          <w:szCs w:val="16"/>
          <w:color w:val="000000"/>
        </w:rPr>
        <w:t>we will be voting on the following matters:</w:t>
      </w:r>
    </w:p>
    <w:p>
      <w:pPr>
        <w:spacing w:after="0" w:line="88" w:lineRule="exact"/>
        <w:rPr>
          <w:sz w:val="20"/>
          <w:szCs w:val="20"/>
          <w:color w:val="auto"/>
        </w:rPr>
      </w:pPr>
    </w:p>
    <w:p>
      <w:pPr>
        <w:ind w:left="880" w:hanging="373"/>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election of nine director nominees;</w:t>
      </w:r>
    </w:p>
    <w:p>
      <w:pPr>
        <w:spacing w:after="0" w:line="115" w:lineRule="exact"/>
        <w:rPr>
          <w:rFonts w:ascii="Arial" w:cs="Arial" w:eastAsia="Arial" w:hAnsi="Arial"/>
          <w:sz w:val="17"/>
          <w:szCs w:val="17"/>
          <w:color w:val="auto"/>
        </w:rPr>
      </w:pPr>
    </w:p>
    <w:p>
      <w:pPr>
        <w:ind w:left="880" w:hanging="373"/>
        <w:spacing w:after="0" w:line="267"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Approval of, on a non-binding advisory basis, the compensation of our named executive officers; and</w:t>
      </w:r>
    </w:p>
    <w:p>
      <w:pPr>
        <w:spacing w:after="0" w:line="64" w:lineRule="exact"/>
        <w:rPr>
          <w:rFonts w:ascii="Arial" w:cs="Arial" w:eastAsia="Arial" w:hAnsi="Arial"/>
          <w:sz w:val="17"/>
          <w:szCs w:val="17"/>
          <w:color w:val="auto"/>
        </w:rPr>
      </w:pPr>
    </w:p>
    <w:p>
      <w:pPr>
        <w:jc w:val="both"/>
        <w:ind w:left="880" w:right="20" w:hanging="373"/>
        <w:spacing w:after="0" w:line="249"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Ratification of the appointment of PricewaterhouseCoopers LLP as our independent registered public accounting firm for 2025.</w:t>
      </w:r>
    </w:p>
    <w:p>
      <w:pPr>
        <w:spacing w:after="0" w:line="67" w:lineRule="exact"/>
        <w:rPr>
          <w:sz w:val="20"/>
          <w:szCs w:val="20"/>
          <w:color w:val="auto"/>
        </w:rPr>
      </w:pPr>
    </w:p>
    <w:p>
      <w:pPr>
        <w:jc w:val="both"/>
        <w:ind w:left="520"/>
        <w:spacing w:after="0" w:line="241" w:lineRule="auto"/>
        <w:rPr>
          <w:sz w:val="20"/>
          <w:szCs w:val="20"/>
          <w:color w:val="auto"/>
        </w:rPr>
      </w:pPr>
      <w:r>
        <w:rPr>
          <w:rFonts w:ascii="Arial" w:cs="Arial" w:eastAsia="Arial" w:hAnsi="Arial"/>
          <w:sz w:val="17"/>
          <w:szCs w:val="17"/>
          <w:color w:val="auto"/>
        </w:rPr>
        <w:t>Our Board of Directors strongly encourages you to exercise your right to vote on these matters. Your vote is important. Voting early by Internet, telephone, or mailing proxy or voting instruction card helps ensure that we receive a quorum of shares necessary to hold the meeting.</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86" w:right="20" w:hanging="386"/>
        <w:spacing w:after="0" w:line="256" w:lineRule="auto"/>
        <w:tabs>
          <w:tab w:leader="none" w:pos="386" w:val="left"/>
        </w:tabs>
        <w:numPr>
          <w:ilvl w:val="0"/>
          <w:numId w:val="64"/>
        </w:numPr>
        <w:rPr>
          <w:rFonts w:ascii="Arial" w:cs="Arial" w:eastAsia="Arial" w:hAnsi="Arial"/>
          <w:sz w:val="22"/>
          <w:szCs w:val="22"/>
          <w:b w:val="1"/>
          <w:bCs w:val="1"/>
          <w:color w:val="005CB9"/>
        </w:rPr>
      </w:pPr>
      <w:r>
        <w:rPr>
          <w:rFonts w:ascii="Arial" w:cs="Arial" w:eastAsia="Arial" w:hAnsi="Arial"/>
          <w:sz w:val="22"/>
          <w:szCs w:val="22"/>
          <w:b w:val="1"/>
          <w:bCs w:val="1"/>
          <w:color w:val="005CB9"/>
        </w:rPr>
        <w:t>What happens if additional matters are presented at the Annual Meeting?</w:t>
      </w:r>
    </w:p>
    <w:p>
      <w:pPr>
        <w:spacing w:after="0" w:line="1" w:lineRule="exact"/>
        <w:rPr>
          <w:sz w:val="20"/>
          <w:szCs w:val="20"/>
          <w:color w:val="auto"/>
        </w:rPr>
      </w:pPr>
    </w:p>
    <w:p>
      <w:pPr>
        <w:jc w:val="both"/>
        <w:ind w:left="386" w:right="20" w:hanging="391"/>
        <w:spacing w:after="0" w:line="210"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We are not aware of any matters to be acted upon at the Annual</w:t>
      </w:r>
      <w:r>
        <w:rPr>
          <w:rFonts w:ascii="Arial" w:cs="Arial" w:eastAsia="Arial" w:hAnsi="Arial"/>
          <w:sz w:val="25"/>
          <w:szCs w:val="25"/>
          <w:color w:val="005CB9"/>
        </w:rPr>
        <w:t xml:space="preserve"> </w:t>
      </w:r>
      <w:r>
        <w:rPr>
          <w:rFonts w:ascii="Arial" w:cs="Arial" w:eastAsia="Arial" w:hAnsi="Arial"/>
          <w:sz w:val="17"/>
          <w:szCs w:val="17"/>
          <w:color w:val="000000"/>
        </w:rPr>
        <w:t>Meeting other than the proposals described in this Proxy Statement. The Board of Directors has named Michael R. Peterson and John K. Stipancich as proxy holders for this Annual Meeting. If for any reason a director nominee is not available as a candidate, the proxy holders may vote your shares for another candidate who may be nominated by the Board, or the Board may reduce its size.</w:t>
      </w:r>
    </w:p>
    <w:p>
      <w:pPr>
        <w:spacing w:after="0" w:line="73" w:lineRule="exact"/>
        <w:rPr>
          <w:sz w:val="20"/>
          <w:szCs w:val="20"/>
          <w:color w:val="auto"/>
        </w:rPr>
      </w:pPr>
    </w:p>
    <w:p>
      <w:pPr>
        <w:jc w:val="both"/>
        <w:ind w:left="386" w:right="20"/>
        <w:spacing w:after="0" w:line="241" w:lineRule="auto"/>
        <w:rPr>
          <w:sz w:val="20"/>
          <w:szCs w:val="20"/>
          <w:color w:val="auto"/>
        </w:rPr>
      </w:pPr>
      <w:r>
        <w:rPr>
          <w:rFonts w:ascii="Arial" w:cs="Arial" w:eastAsia="Arial" w:hAnsi="Arial"/>
          <w:sz w:val="17"/>
          <w:szCs w:val="17"/>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72" w:lineRule="exact"/>
        <w:rPr>
          <w:sz w:val="20"/>
          <w:szCs w:val="20"/>
          <w:color w:val="auto"/>
        </w:rPr>
      </w:pPr>
    </w:p>
    <w:p>
      <w:pPr>
        <w:ind w:left="386"/>
        <w:spacing w:after="0"/>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each director nominee;</w:t>
      </w:r>
    </w:p>
    <w:p>
      <w:pPr>
        <w:spacing w:after="0" w:line="102" w:lineRule="exact"/>
        <w:rPr>
          <w:sz w:val="20"/>
          <w:szCs w:val="20"/>
          <w:color w:val="auto"/>
        </w:rPr>
      </w:pPr>
    </w:p>
    <w:p>
      <w:pPr>
        <w:jc w:val="both"/>
        <w:ind w:left="386"/>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compensation of our named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and</w:t>
      </w:r>
    </w:p>
    <w:p>
      <w:pPr>
        <w:spacing w:after="0" w:line="51" w:lineRule="exact"/>
        <w:rPr>
          <w:sz w:val="20"/>
          <w:szCs w:val="20"/>
          <w:color w:val="auto"/>
        </w:rPr>
      </w:pPr>
    </w:p>
    <w:p>
      <w:pPr>
        <w:jc w:val="both"/>
        <w:ind w:left="386"/>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appointment of PricewaterhouseCoopers LLP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registered public accounting firm for 2025.</w:t>
      </w:r>
    </w:p>
    <w:p>
      <w:pPr>
        <w:sectPr>
          <w:pgSz w:w="11900" w:h="16838" w:orient="portrait"/>
          <w:cols w:equalWidth="0" w:num="2">
            <w:col w:w="5400" w:space="334"/>
            <w:col w:w="5406"/>
          </w:cols>
          <w:pgMar w:left="320" w:top="482"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Who may vote at the Annual Meeting?</w:t>
      </w:r>
    </w:p>
    <w:p>
      <w:pPr>
        <w:spacing w:after="0" w:line="45" w:lineRule="exact"/>
        <w:rPr>
          <w:sz w:val="20"/>
          <w:szCs w:val="20"/>
          <w:color w:val="auto"/>
        </w:rPr>
      </w:pPr>
    </w:p>
    <w:p>
      <w:pPr>
        <w:jc w:val="both"/>
        <w:ind w:left="500" w:hanging="390"/>
        <w:spacing w:after="0" w:line="199"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Only shareholders of record at the close of business on the</w:t>
      </w:r>
      <w:r>
        <w:rPr>
          <w:rFonts w:ascii="Arial" w:cs="Arial" w:eastAsia="Arial" w:hAnsi="Arial"/>
          <w:sz w:val="25"/>
          <w:szCs w:val="25"/>
          <w:color w:val="005CB9"/>
        </w:rPr>
        <w:t xml:space="preserve"> </w:t>
      </w:r>
      <w:r>
        <w:rPr>
          <w:rFonts w:ascii="Arial" w:cs="Arial" w:eastAsia="Arial" w:hAnsi="Arial"/>
          <w:sz w:val="17"/>
          <w:szCs w:val="17"/>
          <w:color w:val="000000"/>
        </w:rPr>
        <w:t>record date will be entitled to vote at the Annual Meeting or any postponed or adjourned meeting, and these shareholders will be entitled to vote whether or not they have transferred any of their shares of Roper common stock since that date.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record date?</w:t>
      </w:r>
    </w:p>
    <w:p>
      <w:pPr>
        <w:spacing w:after="0" w:line="45" w:lineRule="exact"/>
        <w:rPr>
          <w:sz w:val="20"/>
          <w:szCs w:val="20"/>
          <w:color w:val="auto"/>
        </w:rPr>
      </w:pPr>
    </w:p>
    <w:p>
      <w:pPr>
        <w:jc w:val="both"/>
        <w:ind w:left="500" w:hanging="390"/>
        <w:spacing w:after="0" w:line="210"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Our Board has established the close of business on April 16,</w:t>
      </w:r>
      <w:r>
        <w:rPr>
          <w:rFonts w:ascii="Arial" w:cs="Arial" w:eastAsia="Arial" w:hAnsi="Arial"/>
          <w:sz w:val="25"/>
          <w:szCs w:val="25"/>
          <w:color w:val="005CB9"/>
        </w:rPr>
        <w:t xml:space="preserve"> </w:t>
      </w:r>
      <w:r>
        <w:rPr>
          <w:rFonts w:ascii="Arial" w:cs="Arial" w:eastAsia="Arial" w:hAnsi="Arial"/>
          <w:sz w:val="17"/>
          <w:szCs w:val="17"/>
          <w:color w:val="000000"/>
        </w:rPr>
        <w:t>2025 as the record date to determine the shareholders of record entitled to receive a notice of, and to vote at, our Annual Meeting or any postponement or adjournment thereof. On the record date, there were 107,519,731 shares of our common stock, $0.01 par value, outstanding and entitled to vote. Each share of our common stock is entitled to one vote that may be voted on each matter to be acted upon at this Annual Meeting.</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a shareholder of record?</w:t>
      </w:r>
    </w:p>
    <w:p>
      <w:pPr>
        <w:spacing w:after="0" w:line="45" w:lineRule="exact"/>
        <w:rPr>
          <w:sz w:val="20"/>
          <w:szCs w:val="20"/>
          <w:color w:val="auto"/>
        </w:rPr>
      </w:pPr>
    </w:p>
    <w:p>
      <w:pPr>
        <w:jc w:val="both"/>
        <w:ind w:left="500" w:hanging="390"/>
        <w:spacing w:after="0" w:line="204"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A shareholder of record or a registered shareholder is a</w:t>
      </w:r>
      <w:r>
        <w:rPr>
          <w:rFonts w:ascii="Arial" w:cs="Arial" w:eastAsia="Arial" w:hAnsi="Arial"/>
          <w:sz w:val="25"/>
          <w:szCs w:val="25"/>
          <w:color w:val="005CB9"/>
        </w:rPr>
        <w:t xml:space="preserve"> </w:t>
      </w:r>
      <w:r>
        <w:rPr>
          <w:rFonts w:ascii="Arial" w:cs="Arial" w:eastAsia="Arial" w:hAnsi="Arial"/>
          <w:sz w:val="17"/>
          <w:szCs w:val="17"/>
          <w:color w:val="000000"/>
        </w:rPr>
        <w:t>shareholder whose ownership of Roper Technologies, Inc. common stock is reflected directly on the books and records of our transfer agent, Computershare Trust Company, N.A. If you are a shareholder of record, we are providing these materials directly to you.</w:t>
      </w:r>
    </w:p>
    <w:p>
      <w:pPr>
        <w:spacing w:after="0" w:line="74" w:lineRule="exact"/>
        <w:rPr>
          <w:sz w:val="20"/>
          <w:szCs w:val="20"/>
          <w:color w:val="auto"/>
        </w:rPr>
      </w:pPr>
    </w:p>
    <w:p>
      <w:pPr>
        <w:jc w:val="both"/>
        <w:ind w:left="520"/>
        <w:spacing w:after="0" w:line="236" w:lineRule="auto"/>
        <w:rPr>
          <w:sz w:val="20"/>
          <w:szCs w:val="20"/>
          <w:color w:val="auto"/>
        </w:rPr>
      </w:pPr>
      <w:r>
        <w:rPr>
          <w:rFonts w:ascii="Arial" w:cs="Arial" w:eastAsia="Arial" w:hAnsi="Arial"/>
          <w:sz w:val="17"/>
          <w:szCs w:val="17"/>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How can I submit my vote?</w:t>
      </w:r>
    </w:p>
    <w:p>
      <w:pPr>
        <w:spacing w:after="0" w:line="45" w:lineRule="exact"/>
        <w:rPr>
          <w:sz w:val="20"/>
          <w:szCs w:val="20"/>
          <w:color w:val="auto"/>
        </w:rPr>
      </w:pPr>
    </w:p>
    <w:p>
      <w:pPr>
        <w:jc w:val="both"/>
        <w:ind w:left="500" w:hanging="390"/>
        <w:spacing w:after="0" w:line="215"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There are four ways to vote: by Internet, by telephone, by mail</w:t>
      </w:r>
      <w:r>
        <w:rPr>
          <w:rFonts w:ascii="Arial" w:cs="Arial" w:eastAsia="Arial" w:hAnsi="Arial"/>
          <w:sz w:val="25"/>
          <w:szCs w:val="25"/>
          <w:color w:val="005CB9"/>
        </w:rPr>
        <w:t xml:space="preserve"> </w:t>
      </w:r>
      <w:r>
        <w:rPr>
          <w:rFonts w:ascii="Arial" w:cs="Arial" w:eastAsia="Arial" w:hAnsi="Arial"/>
          <w:sz w:val="17"/>
          <w:szCs w:val="17"/>
          <w:color w:val="000000"/>
        </w:rPr>
        <w:t>or in person. Submitting your proxy by Internet, telephone, or mail will not affect your right to attend the Annual Meeting and change your vote. Unless you are voting in person, your vote must be received by 11:59 p.m. Eastern Time on June 9,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720" w:right="20" w:hanging="294"/>
        <w:spacing w:after="0" w:line="267"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Have your proxy card available and log on to</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www.proxypush.com/ROP.</w:t>
      </w:r>
    </w:p>
    <w:p>
      <w:pPr>
        <w:spacing w:after="0" w:line="64" w:lineRule="exact"/>
        <w:rPr>
          <w:rFonts w:ascii="Arial" w:cs="Arial" w:eastAsia="Arial" w:hAnsi="Arial"/>
          <w:sz w:val="17"/>
          <w:szCs w:val="17"/>
          <w:color w:val="auto"/>
        </w:rPr>
      </w:pPr>
    </w:p>
    <w:p>
      <w:pPr>
        <w:jc w:val="both"/>
        <w:ind w:left="720" w:right="20" w:hanging="294"/>
        <w:spacing w:after="0" w:line="267"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Have your proxy card available and call</w:t>
      </w:r>
      <w:r>
        <w:rPr>
          <w:rFonts w:ascii="Arial" w:cs="Arial" w:eastAsia="Arial" w:hAnsi="Arial"/>
          <w:sz w:val="17"/>
          <w:szCs w:val="17"/>
          <w:b w:val="1"/>
          <w:bCs w:val="1"/>
          <w:color w:val="auto"/>
        </w:rPr>
        <w:t xml:space="preserve"> </w:t>
      </w:r>
      <w:r>
        <w:rPr>
          <w:rFonts w:ascii="Arial" w:cs="Arial" w:eastAsia="Arial" w:hAnsi="Arial"/>
          <w:sz w:val="17"/>
          <w:szCs w:val="17"/>
          <w:color w:val="auto"/>
        </w:rPr>
        <w:t>866-829-5176 toll free (US only) from a touchtone telephone.</w:t>
      </w:r>
    </w:p>
    <w:p>
      <w:pPr>
        <w:spacing w:after="0" w:line="64" w:lineRule="exact"/>
        <w:rPr>
          <w:rFonts w:ascii="Arial" w:cs="Arial" w:eastAsia="Arial" w:hAnsi="Arial"/>
          <w:sz w:val="17"/>
          <w:szCs w:val="17"/>
          <w:color w:val="auto"/>
        </w:rPr>
      </w:pPr>
    </w:p>
    <w:p>
      <w:pPr>
        <w:jc w:val="both"/>
        <w:ind w:left="720" w:right="20" w:hanging="294"/>
        <w:spacing w:after="0" w:line="249"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Mark, date, sign, and promptly mail the enclosed</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the postage-paid envelope provided for mailing in the United States.</w:t>
      </w:r>
    </w:p>
    <w:p>
      <w:pPr>
        <w:spacing w:after="0" w:line="80" w:lineRule="exact"/>
        <w:rPr>
          <w:rFonts w:ascii="Arial" w:cs="Arial" w:eastAsia="Arial" w:hAnsi="Arial"/>
          <w:sz w:val="17"/>
          <w:szCs w:val="17"/>
          <w:color w:val="auto"/>
        </w:rPr>
      </w:pPr>
    </w:p>
    <w:p>
      <w:pPr>
        <w:jc w:val="both"/>
        <w:ind w:left="720" w:right="20" w:hanging="294"/>
        <w:spacing w:after="0" w:line="244"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In Person. </w:t>
      </w:r>
      <w:r>
        <w:rPr>
          <w:rFonts w:ascii="Arial" w:cs="Arial" w:eastAsia="Arial" w:hAnsi="Arial"/>
          <w:sz w:val="17"/>
          <w:szCs w:val="17"/>
          <w:color w:val="auto"/>
        </w:rPr>
        <w:t>You may vote by ballot in person at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Bring your proxy card if you received one by mail, otherwise we will provide shareholders of record a ballot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-2161540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jc w:val="both"/>
        <w:ind w:left="380" w:right="20"/>
        <w:spacing w:after="0" w:line="237" w:lineRule="auto"/>
        <w:rPr>
          <w:sz w:val="20"/>
          <w:szCs w:val="20"/>
          <w:color w:val="auto"/>
        </w:rPr>
      </w:pPr>
      <w:r>
        <w:rPr>
          <w:rFonts w:ascii="Arial" w:cs="Arial" w:eastAsia="Arial" w:hAnsi="Arial"/>
          <w:sz w:val="17"/>
          <w:szCs w:val="17"/>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Q: What is a broker non-vote?</w:t>
      </w:r>
    </w:p>
    <w:p>
      <w:pPr>
        <w:spacing w:after="0" w:line="45" w:lineRule="exact"/>
        <w:rPr>
          <w:sz w:val="20"/>
          <w:szCs w:val="20"/>
          <w:color w:val="auto"/>
        </w:rPr>
      </w:pPr>
    </w:p>
    <w:p>
      <w:pPr>
        <w:jc w:val="both"/>
        <w:ind w:left="380" w:right="20" w:hanging="391"/>
        <w:spacing w:after="0" w:line="207"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If your shares are held in street name through a bank, broker, or</w:t>
      </w:r>
      <w:r>
        <w:rPr>
          <w:rFonts w:ascii="Arial" w:cs="Arial" w:eastAsia="Arial" w:hAnsi="Arial"/>
          <w:sz w:val="25"/>
          <w:szCs w:val="25"/>
          <w:color w:val="005CB9"/>
        </w:rPr>
        <w:t xml:space="preserve"> </w:t>
      </w:r>
      <w:r>
        <w:rPr>
          <w:rFonts w:ascii="Arial" w:cs="Arial" w:eastAsia="Arial" w:hAnsi="Arial"/>
          <w:sz w:val="17"/>
          <w:szCs w:val="17"/>
          <w:color w:val="000000"/>
        </w:rPr>
        <w:t>other intermediary, you must provide voting instructions to that institution. Under the rules of the Nasdaq Global Select Market, if you do not provide voting instructions, the institution may vote in its discretion on routine proposals, but not on non-routine proposals, or leave the shares unvoted, which is called a “broker non-vote.”</w:t>
      </w:r>
    </w:p>
    <w:p>
      <w:pPr>
        <w:spacing w:after="0" w:line="76" w:lineRule="exact"/>
        <w:rPr>
          <w:sz w:val="20"/>
          <w:szCs w:val="20"/>
          <w:color w:val="auto"/>
        </w:rPr>
      </w:pPr>
    </w:p>
    <w:p>
      <w:pPr>
        <w:jc w:val="both"/>
        <w:ind w:left="380"/>
        <w:spacing w:after="0" w:line="235" w:lineRule="auto"/>
        <w:rPr>
          <w:sz w:val="20"/>
          <w:szCs w:val="20"/>
          <w:color w:val="auto"/>
        </w:rPr>
      </w:pPr>
      <w:r>
        <w:rPr>
          <w:rFonts w:ascii="Arial" w:cs="Arial" w:eastAsia="Arial" w:hAnsi="Arial"/>
          <w:sz w:val="17"/>
          <w:szCs w:val="17"/>
          <w:color w:val="auto"/>
        </w:rPr>
        <w:t>The following proposals are not considered routine proposals, so banks, brokers, and other intermediaries do not have discretionary authority to vote on these matters if they have not received voting instructions from you: (i) the election of directors; and (ii) the advisory vote on the approval of the compensation of our named executive officers. The ratification of the appointment of the independent registered public accounting firm is considered a routine proposal, so if you do not provide voting instructions, the institution holding your shares may either leave the shares unvoted or vote the shares in its discretion. If your shares are held through a bank, broker, or other intermediary, please follow the voting instructions that you receive from that institution. The institution will be unable to vote</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-205105</wp:posOffset>
            </wp:positionV>
            <wp:extent cx="42037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74" w:lineRule="exact"/>
        <w:rPr>
          <w:sz w:val="20"/>
          <w:szCs w:val="20"/>
          <w:color w:val="auto"/>
        </w:rPr>
      </w:pPr>
    </w:p>
    <w:p>
      <w:pPr>
        <w:ind w:left="520"/>
        <w:spacing w:after="0" w:line="267" w:lineRule="auto"/>
        <w:rPr>
          <w:sz w:val="20"/>
          <w:szCs w:val="20"/>
          <w:color w:val="auto"/>
        </w:rPr>
      </w:pPr>
      <w:r>
        <w:rPr>
          <w:rFonts w:ascii="Arial" w:cs="Arial" w:eastAsia="Arial" w:hAnsi="Arial"/>
          <w:sz w:val="17"/>
          <w:szCs w:val="17"/>
          <w:color w:val="auto"/>
        </w:rPr>
        <w:t>your shares on any of the proposals except the appointment of PwC unless you have provided voting instructions.</w:t>
      </w:r>
    </w:p>
    <w:p>
      <w:pPr>
        <w:spacing w:after="0" w:line="180" w:lineRule="exact"/>
        <w:rPr>
          <w:sz w:val="20"/>
          <w:szCs w:val="20"/>
          <w:color w:val="auto"/>
        </w:rPr>
      </w:pPr>
    </w:p>
    <w:p>
      <w:pPr>
        <w:ind w:left="500" w:right="20" w:hanging="384"/>
        <w:spacing w:after="0" w:line="256" w:lineRule="auto"/>
        <w:tabs>
          <w:tab w:leader="none" w:pos="500" w:val="left"/>
        </w:tabs>
        <w:numPr>
          <w:ilvl w:val="0"/>
          <w:numId w:val="66"/>
        </w:numPr>
        <w:rPr>
          <w:rFonts w:ascii="Arial" w:cs="Arial" w:eastAsia="Arial" w:hAnsi="Arial"/>
          <w:sz w:val="22"/>
          <w:szCs w:val="22"/>
          <w:b w:val="1"/>
          <w:bCs w:val="1"/>
          <w:color w:val="005CB9"/>
        </w:rPr>
      </w:pPr>
      <w:r>
        <w:rPr>
          <w:rFonts w:ascii="Arial" w:cs="Arial" w:eastAsia="Arial" w:hAnsi="Arial"/>
          <w:sz w:val="22"/>
          <w:szCs w:val="22"/>
          <w:b w:val="1"/>
          <w:bCs w:val="1"/>
          <w:color w:val="005CB9"/>
        </w:rPr>
        <w:t>How are broker non-votes and abstentions treated?</w:t>
      </w:r>
    </w:p>
    <w:p>
      <w:pPr>
        <w:spacing w:after="0" w:line="1" w:lineRule="exact"/>
        <w:rPr>
          <w:sz w:val="20"/>
          <w:szCs w:val="20"/>
          <w:color w:val="auto"/>
        </w:rPr>
      </w:pPr>
    </w:p>
    <w:p>
      <w:pPr>
        <w:jc w:val="both"/>
        <w:ind w:left="500" w:hanging="390"/>
        <w:spacing w:after="0" w:line="223"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Broker non-votes are not treated as votes cast for purposes of</w:t>
      </w:r>
      <w:r>
        <w:rPr>
          <w:rFonts w:ascii="Arial" w:cs="Arial" w:eastAsia="Arial" w:hAnsi="Arial"/>
          <w:sz w:val="25"/>
          <w:szCs w:val="25"/>
          <w:color w:val="005CB9"/>
        </w:rPr>
        <w:t xml:space="preserve"> </w:t>
      </w:r>
      <w:r>
        <w:rPr>
          <w:rFonts w:ascii="Arial" w:cs="Arial" w:eastAsia="Arial" w:hAnsi="Arial"/>
          <w:sz w:val="17"/>
          <w:szCs w:val="17"/>
          <w:color w:val="000000"/>
        </w:rPr>
        <w:t>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constitutes a quorum?</w:t>
      </w:r>
    </w:p>
    <w:p>
      <w:pPr>
        <w:spacing w:after="0" w:line="45" w:lineRule="exact"/>
        <w:rPr>
          <w:sz w:val="20"/>
          <w:szCs w:val="20"/>
          <w:color w:val="auto"/>
        </w:rPr>
      </w:pPr>
    </w:p>
    <w:p>
      <w:pPr>
        <w:jc w:val="both"/>
        <w:ind w:left="500" w:hanging="390"/>
        <w:spacing w:after="0" w:line="212"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To conduct business at our Annual Meeting, we must have a</w:t>
      </w:r>
      <w:r>
        <w:rPr>
          <w:rFonts w:ascii="Arial" w:cs="Arial" w:eastAsia="Arial" w:hAnsi="Arial"/>
          <w:sz w:val="25"/>
          <w:szCs w:val="25"/>
          <w:color w:val="005CB9"/>
        </w:rPr>
        <w:t xml:space="preserve"> </w:t>
      </w:r>
      <w:r>
        <w:rPr>
          <w:rFonts w:ascii="Arial" w:cs="Arial" w:eastAsia="Arial" w:hAnsi="Arial"/>
          <w:sz w:val="17"/>
          <w:szCs w:val="17"/>
          <w:color w:val="000000"/>
        </w:rPr>
        <w:t>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postponed or adjourned to permit the further solicitation of proxies.</w:t>
      </w:r>
    </w:p>
    <w:p>
      <w:pPr>
        <w:spacing w:after="0" w:line="203" w:lineRule="exact"/>
        <w:rPr>
          <w:sz w:val="20"/>
          <w:szCs w:val="20"/>
          <w:color w:val="auto"/>
        </w:rPr>
      </w:pPr>
    </w:p>
    <w:p>
      <w:pPr>
        <w:ind w:left="500" w:hanging="384"/>
        <w:spacing w:after="0" w:line="256" w:lineRule="auto"/>
        <w:tabs>
          <w:tab w:leader="none" w:pos="500" w:val="left"/>
        </w:tabs>
        <w:numPr>
          <w:ilvl w:val="0"/>
          <w:numId w:val="67"/>
        </w:numPr>
        <w:rPr>
          <w:rFonts w:ascii="Arial" w:cs="Arial" w:eastAsia="Arial" w:hAnsi="Arial"/>
          <w:sz w:val="22"/>
          <w:szCs w:val="22"/>
          <w:b w:val="1"/>
          <w:bCs w:val="1"/>
          <w:color w:val="005CB9"/>
        </w:rPr>
      </w:pPr>
      <w:r>
        <w:rPr>
          <w:rFonts w:ascii="Arial" w:cs="Arial" w:eastAsia="Arial" w:hAnsi="Arial"/>
          <w:sz w:val="22"/>
          <w:szCs w:val="22"/>
          <w:b w:val="1"/>
          <w:bCs w:val="1"/>
          <w:color w:val="005CB9"/>
        </w:rPr>
        <w:t>How many votes are needed for each proposal?</w:t>
      </w:r>
    </w:p>
    <w:p>
      <w:pPr>
        <w:spacing w:after="0" w:line="1" w:lineRule="exact"/>
        <w:rPr>
          <w:sz w:val="20"/>
          <w:szCs w:val="20"/>
          <w:color w:val="auto"/>
        </w:rPr>
      </w:pPr>
    </w:p>
    <w:p>
      <w:pPr>
        <w:jc w:val="both"/>
        <w:ind w:left="500" w:hanging="390"/>
        <w:spacing w:after="0" w:line="216"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Our By-laws provide that each director will be elected by a</w:t>
      </w:r>
      <w:r>
        <w:rPr>
          <w:rFonts w:ascii="Arial" w:cs="Arial" w:eastAsia="Arial" w:hAnsi="Arial"/>
          <w:sz w:val="25"/>
          <w:szCs w:val="25"/>
          <w:color w:val="005CB9"/>
        </w:rPr>
        <w:t xml:space="preserve"> </w:t>
      </w:r>
      <w:r>
        <w:rPr>
          <w:rFonts w:ascii="Arial" w:cs="Arial" w:eastAsia="Arial" w:hAnsi="Arial"/>
          <w:sz w:val="17"/>
          <w:szCs w:val="17"/>
          <w:color w:val="000000"/>
        </w:rPr>
        <w:t>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 counted as votes cast for the election of directors. If an incumbent director fails to receive a majority of the votes cast, the director will tender his or her resignation to the Board. The Nominating and Governance Committee or another committee will consider the director’s resignation and recommend to the Board</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both"/>
        <w:ind w:left="380" w:right="20"/>
        <w:spacing w:after="0" w:line="249" w:lineRule="auto"/>
        <w:rPr>
          <w:sz w:val="20"/>
          <w:szCs w:val="20"/>
          <w:color w:val="auto"/>
        </w:rPr>
      </w:pPr>
      <w:r>
        <w:rPr>
          <w:rFonts w:ascii="Arial" w:cs="Arial" w:eastAsia="Arial" w:hAnsi="Arial"/>
          <w:sz w:val="17"/>
          <w:szCs w:val="17"/>
          <w:color w:val="auto"/>
        </w:rPr>
        <w:t>whether to accept or reject the resignation. The Board will publicly disclose its decision regarding the resignation within 90 days after the election results are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-971550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jc w:val="both"/>
        <w:ind w:left="380"/>
        <w:spacing w:after="0" w:line="237" w:lineRule="auto"/>
        <w:rPr>
          <w:sz w:val="20"/>
          <w:szCs w:val="20"/>
          <w:color w:val="auto"/>
        </w:rPr>
      </w:pPr>
      <w:r>
        <w:rPr>
          <w:rFonts w:ascii="Arial" w:cs="Arial" w:eastAsia="Arial" w:hAnsi="Arial"/>
          <w:sz w:val="17"/>
          <w:szCs w:val="17"/>
          <w:color w:val="auto"/>
        </w:rPr>
        <w:t>The vote on the approval of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76" w:lineRule="exact"/>
        <w:rPr>
          <w:sz w:val="20"/>
          <w:szCs w:val="20"/>
          <w:color w:val="auto"/>
        </w:rPr>
      </w:pPr>
    </w:p>
    <w:p>
      <w:pPr>
        <w:jc w:val="both"/>
        <w:ind w:left="380"/>
        <w:spacing w:after="0" w:line="236" w:lineRule="auto"/>
        <w:rPr>
          <w:sz w:val="20"/>
          <w:szCs w:val="20"/>
          <w:color w:val="auto"/>
        </w:rPr>
      </w:pPr>
      <w:r>
        <w:rPr>
          <w:rFonts w:ascii="Arial" w:cs="Arial" w:eastAsia="Arial" w:hAnsi="Arial"/>
          <w:sz w:val="17"/>
          <w:szCs w:val="17"/>
          <w:color w:val="auto"/>
        </w:rPr>
        <w:t>The affirmative vote of a majority of the shares present in person or represented by proxy and entitled to vote is required to approve the ratification of the appointment of PwC as the independent registered accounting firm of the Company. Abstentions will have the effect of a vote against this proposal. This proposal is considered a routine matter on which the broker will have discretionary authority to vote on the proposal should a beneficial owner not provide voting instructions. For that reason, if you are a beneficial owner and you wish to vote “for,” “against” or “abstain” on this proposal, you will have to provide your broker with such instruction. Otherwise, your broker will vote in its discretion.</w:t>
      </w:r>
    </w:p>
    <w:p>
      <w:pPr>
        <w:spacing w:after="0" w:line="73" w:lineRule="exact"/>
        <w:rPr>
          <w:sz w:val="20"/>
          <w:szCs w:val="20"/>
          <w:color w:val="auto"/>
        </w:rPr>
      </w:pPr>
    </w:p>
    <w:p>
      <w:pPr>
        <w:jc w:val="both"/>
        <w:ind w:left="380" w:right="20"/>
        <w:spacing w:after="0" w:line="239" w:lineRule="auto"/>
        <w:rPr>
          <w:sz w:val="20"/>
          <w:szCs w:val="20"/>
          <w:color w:val="auto"/>
        </w:rPr>
      </w:pPr>
      <w:r>
        <w:rPr>
          <w:rFonts w:ascii="Arial" w:cs="Arial" w:eastAsia="Arial" w:hAnsi="Arial"/>
          <w:sz w:val="17"/>
          <w:szCs w:val="17"/>
          <w:color w:val="auto"/>
        </w:rPr>
        <w:t>For all other matters proposed for a vote at the meeting, the affirmative vote of a majority of the shares present in person or represented by proxy and entitled to vote is required to approve the matter. Abstentions will have the effect of a vote against these proposals. Broker non-votes will have no effect on the outcome of the voting.</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Q: Is my proxy revocable?</w:t>
      </w:r>
    </w:p>
    <w:p>
      <w:pPr>
        <w:spacing w:after="0" w:line="45" w:lineRule="exact"/>
        <w:rPr>
          <w:sz w:val="20"/>
          <w:szCs w:val="20"/>
          <w:color w:val="auto"/>
        </w:rPr>
      </w:pPr>
    </w:p>
    <w:p>
      <w:pPr>
        <w:jc w:val="both"/>
        <w:ind w:left="380" w:right="20" w:hanging="391"/>
        <w:spacing w:after="0" w:line="199"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You may revoke your proxy before it is exercised by voting in</w:t>
      </w:r>
      <w:r>
        <w:rPr>
          <w:rFonts w:ascii="Arial" w:cs="Arial" w:eastAsia="Arial" w:hAnsi="Arial"/>
          <w:sz w:val="25"/>
          <w:szCs w:val="25"/>
          <w:color w:val="005CB9"/>
        </w:rPr>
        <w:t xml:space="preserve"> </w:t>
      </w:r>
      <w:r>
        <w:rPr>
          <w:rFonts w:ascii="Arial" w:cs="Arial" w:eastAsia="Arial" w:hAnsi="Arial"/>
          <w:sz w:val="17"/>
          <w:szCs w:val="17"/>
          <w:color w:val="000000"/>
        </w:rPr>
        <w:t>person at the Annual Meeting, by timely delivering a subsequent proxy or by notifying us in writing of such revocation to the attention of the Corporate Secretary, Roper Technologies, Inc., 6496 University Parkway, Sarasota, Florida 34240.</w:t>
      </w:r>
    </w:p>
    <w:p>
      <w:pPr>
        <w:spacing w:after="0" w:line="78" w:lineRule="exact"/>
        <w:rPr>
          <w:sz w:val="20"/>
          <w:szCs w:val="20"/>
          <w:color w:val="auto"/>
        </w:rPr>
      </w:pPr>
    </w:p>
    <w:p>
      <w:pPr>
        <w:jc w:val="both"/>
        <w:ind w:left="380" w:right="20"/>
        <w:spacing w:after="0" w:line="244" w:lineRule="auto"/>
        <w:rPr>
          <w:sz w:val="20"/>
          <w:szCs w:val="20"/>
          <w:color w:val="auto"/>
        </w:rPr>
      </w:pPr>
      <w:r>
        <w:rPr>
          <w:rFonts w:ascii="Arial" w:cs="Arial" w:eastAsia="Arial" w:hAnsi="Arial"/>
          <w:sz w:val="17"/>
          <w:szCs w:val="17"/>
          <w:color w:val="auto"/>
        </w:rPr>
        <w:t>If you are not the shareholder of record, you will need documentation from your record holder stating your ownership to vote personally at the Annual Meeting. See “What is a shareholder of record?” above.</w:t>
      </w:r>
    </w:p>
    <w:p>
      <w:pPr>
        <w:sectPr>
          <w:pgSz w:w="11900" w:h="16838" w:orient="portrait"/>
          <w:cols w:equalWidth="0" w:num="2">
            <w:col w:w="5400" w:space="340"/>
            <w:col w:w="540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7" w:lineRule="exact"/>
        <w:rPr>
          <w:sz w:val="20"/>
          <w:szCs w:val="20"/>
          <w:color w:val="auto"/>
        </w:rPr>
      </w:pPr>
    </w:p>
    <w:p>
      <w:pPr>
        <w:ind w:left="500" w:hanging="384"/>
        <w:spacing w:after="0" w:line="256" w:lineRule="auto"/>
        <w:tabs>
          <w:tab w:leader="none" w:pos="500" w:val="left"/>
        </w:tabs>
        <w:numPr>
          <w:ilvl w:val="0"/>
          <w:numId w:val="68"/>
        </w:numPr>
        <w:rPr>
          <w:rFonts w:ascii="Arial" w:cs="Arial" w:eastAsia="Arial" w:hAnsi="Arial"/>
          <w:sz w:val="22"/>
          <w:szCs w:val="22"/>
          <w:b w:val="1"/>
          <w:bCs w:val="1"/>
          <w:color w:val="005CB9"/>
        </w:rPr>
      </w:pPr>
      <w:r>
        <w:rPr>
          <w:rFonts w:ascii="Arial" w:cs="Arial" w:eastAsia="Arial" w:hAnsi="Arial"/>
          <w:sz w:val="22"/>
          <w:szCs w:val="22"/>
          <w:b w:val="1"/>
          <w:bCs w:val="1"/>
          <w:color w:val="005CB9"/>
        </w:rPr>
        <w:t>What is “householding” and how does it affect me?</w:t>
      </w:r>
    </w:p>
    <w:p>
      <w:pPr>
        <w:spacing w:after="0" w:line="1" w:lineRule="exact"/>
        <w:rPr>
          <w:sz w:val="20"/>
          <w:szCs w:val="20"/>
          <w:color w:val="auto"/>
        </w:rPr>
      </w:pPr>
    </w:p>
    <w:p>
      <w:pPr>
        <w:jc w:val="both"/>
        <w:ind w:left="500" w:hanging="390"/>
        <w:spacing w:after="0" w:line="219"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 proxy rules of the SEC permit companies and</w:t>
      </w:r>
      <w:r>
        <w:rPr>
          <w:rFonts w:ascii="Arial" w:cs="Arial" w:eastAsia="Arial" w:hAnsi="Arial"/>
          <w:sz w:val="25"/>
          <w:szCs w:val="25"/>
          <w:color w:val="005CB9"/>
        </w:rPr>
        <w:t xml:space="preserve"> </w:t>
      </w:r>
      <w:r>
        <w:rPr>
          <w:rFonts w:ascii="Arial" w:cs="Arial" w:eastAsia="Arial" w:hAnsi="Arial"/>
          <w:sz w:val="17"/>
          <w:szCs w:val="17"/>
          <w:color w:val="000000"/>
        </w:rPr>
        <w:t>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77" w:lineRule="exact"/>
        <w:rPr>
          <w:sz w:val="20"/>
          <w:szCs w:val="20"/>
          <w:color w:val="auto"/>
        </w:rPr>
      </w:pPr>
    </w:p>
    <w:p>
      <w:pPr>
        <w:jc w:val="both"/>
        <w:ind w:left="520"/>
        <w:spacing w:after="0" w:line="235" w:lineRule="auto"/>
        <w:rPr>
          <w:sz w:val="20"/>
          <w:szCs w:val="20"/>
          <w:color w:val="auto"/>
        </w:rPr>
      </w:pPr>
      <w:r>
        <w:rPr>
          <w:rFonts w:ascii="Arial" w:cs="Arial" w:eastAsia="Arial" w:hAnsi="Arial"/>
          <w:sz w:val="17"/>
          <w:szCs w:val="17"/>
          <w:color w:val="auto"/>
        </w:rPr>
        <w:t>Certain intermediaries use householding for our proxy materials and our 2024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2024 Annual Report if you call us at 941-556-2601 or direct your request in writing to the attention of the Corporate Secretary, Roper Technologies, Inc., 6496 University Parkway, Sarasota, Florida 34240.</w:t>
      </w:r>
    </w:p>
    <w:p>
      <w:pPr>
        <w:spacing w:after="0" w:line="205" w:lineRule="exact"/>
        <w:rPr>
          <w:sz w:val="20"/>
          <w:szCs w:val="20"/>
          <w:color w:val="auto"/>
        </w:rPr>
      </w:pPr>
    </w:p>
    <w:p>
      <w:pPr>
        <w:ind w:left="500" w:hanging="384"/>
        <w:spacing w:after="0" w:line="256" w:lineRule="auto"/>
        <w:tabs>
          <w:tab w:leader="none" w:pos="500" w:val="left"/>
        </w:tabs>
        <w:numPr>
          <w:ilvl w:val="0"/>
          <w:numId w:val="69"/>
        </w:numPr>
        <w:rPr>
          <w:rFonts w:ascii="Arial" w:cs="Arial" w:eastAsia="Arial" w:hAnsi="Arial"/>
          <w:sz w:val="22"/>
          <w:szCs w:val="22"/>
          <w:b w:val="1"/>
          <w:bCs w:val="1"/>
          <w:color w:val="005CB9"/>
        </w:rPr>
      </w:pPr>
      <w:r>
        <w:rPr>
          <w:rFonts w:ascii="Arial" w:cs="Arial" w:eastAsia="Arial" w:hAnsi="Arial"/>
          <w:sz w:val="22"/>
          <w:szCs w:val="22"/>
          <w:b w:val="1"/>
          <w:bCs w:val="1"/>
          <w:color w:val="005CB9"/>
        </w:rPr>
        <w:t>How can I find the voting results of the Annual Meeting?</w:t>
      </w:r>
    </w:p>
    <w:p>
      <w:pPr>
        <w:spacing w:after="0" w:line="1" w:lineRule="exact"/>
        <w:rPr>
          <w:sz w:val="20"/>
          <w:szCs w:val="20"/>
          <w:color w:val="auto"/>
        </w:rPr>
      </w:pPr>
    </w:p>
    <w:p>
      <w:pPr>
        <w:jc w:val="both"/>
        <w:ind w:left="500" w:right="20" w:hanging="390"/>
        <w:spacing w:after="0" w:line="194"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 Board of Directors has designated an inspector of election</w:t>
      </w:r>
      <w:r>
        <w:rPr>
          <w:rFonts w:ascii="Arial" w:cs="Arial" w:eastAsia="Arial" w:hAnsi="Arial"/>
          <w:sz w:val="25"/>
          <w:szCs w:val="25"/>
          <w:color w:val="005CB9"/>
        </w:rPr>
        <w:t xml:space="preserve"> </w:t>
      </w:r>
      <w:r>
        <w:rPr>
          <w:rFonts w:ascii="Arial" w:cs="Arial" w:eastAsia="Arial" w:hAnsi="Arial"/>
          <w:sz w:val="17"/>
          <w:szCs w:val="17"/>
          <w:color w:val="000000"/>
        </w:rPr>
        <w:t>who will tabulate the votes submitted by proxy and by ballot. Preliminary voting results will be announced at the Annual Meeting. Final voting results will be published in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both"/>
        <w:ind w:left="386" w:right="20"/>
        <w:spacing w:after="0" w:line="239" w:lineRule="auto"/>
        <w:rPr>
          <w:sz w:val="20"/>
          <w:szCs w:val="20"/>
          <w:color w:val="auto"/>
        </w:rPr>
      </w:pPr>
      <w:r>
        <w:rPr>
          <w:rFonts w:ascii="Arial" w:cs="Arial" w:eastAsia="Arial" w:hAnsi="Arial"/>
          <w:sz w:val="17"/>
          <w:szCs w:val="17"/>
          <w:color w:val="auto"/>
        </w:rPr>
        <w:t>Current Report on Form 8-K to be filed with the SEC within four business days after the Annual Meeting. If the official voting results are not available at that time, we will provide preliminary voting results in the Current Report on Form 8-K and will provide the final results in an amendment to the Current Report on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-1327150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83" w:lineRule="exact"/>
        <w:rPr>
          <w:sz w:val="20"/>
          <w:szCs w:val="20"/>
          <w:color w:val="auto"/>
        </w:rPr>
      </w:pPr>
    </w:p>
    <w:p>
      <w:pPr>
        <w:ind w:left="386" w:right="40" w:hanging="386"/>
        <w:spacing w:after="0" w:line="256" w:lineRule="auto"/>
        <w:tabs>
          <w:tab w:leader="none" w:pos="386" w:val="left"/>
        </w:tabs>
        <w:numPr>
          <w:ilvl w:val="0"/>
          <w:numId w:val="70"/>
        </w:numPr>
        <w:rPr>
          <w:rFonts w:ascii="Arial" w:cs="Arial" w:eastAsia="Arial" w:hAnsi="Arial"/>
          <w:sz w:val="22"/>
          <w:szCs w:val="22"/>
          <w:b w:val="1"/>
          <w:bCs w:val="1"/>
          <w:color w:val="005CB9"/>
        </w:rPr>
      </w:pPr>
      <w:r>
        <w:rPr>
          <w:rFonts w:ascii="Arial" w:cs="Arial" w:eastAsia="Arial" w:hAnsi="Arial"/>
          <w:sz w:val="22"/>
          <w:szCs w:val="22"/>
          <w:b w:val="1"/>
          <w:bCs w:val="1"/>
          <w:color w:val="005CB9"/>
        </w:rPr>
        <w:t>Who is paying for the expenses involved in preparing and mailing this Proxy Statement?</w:t>
      </w:r>
    </w:p>
    <w:p>
      <w:pPr>
        <w:spacing w:after="0" w:line="1" w:lineRule="exact"/>
        <w:rPr>
          <w:sz w:val="20"/>
          <w:szCs w:val="20"/>
          <w:color w:val="auto"/>
        </w:rPr>
      </w:pPr>
    </w:p>
    <w:p>
      <w:pPr>
        <w:jc w:val="both"/>
        <w:ind w:left="386" w:right="20" w:hanging="391"/>
        <w:spacing w:after="0" w:line="216"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Roper is paying the expenses involved in preparing, assembling</w:t>
      </w:r>
      <w:r>
        <w:rPr>
          <w:rFonts w:ascii="Arial" w:cs="Arial" w:eastAsia="Arial" w:hAnsi="Arial"/>
          <w:sz w:val="25"/>
          <w:szCs w:val="25"/>
          <w:color w:val="005CB9"/>
        </w:rPr>
        <w:t xml:space="preserve"> </w:t>
      </w:r>
      <w:r>
        <w:rPr>
          <w:rFonts w:ascii="Arial" w:cs="Arial" w:eastAsia="Arial" w:hAnsi="Arial"/>
          <w:sz w:val="17"/>
          <w:szCs w:val="17"/>
          <w:color w:val="000000"/>
        </w:rPr>
        <w:t>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this Annual Meeting for a fee of approximately $17,500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5CB9"/>
        </w:rPr>
        <w:t>Q: What is your website for additional information?</w:t>
      </w:r>
    </w:p>
    <w:p>
      <w:pPr>
        <w:spacing w:after="0" w:line="45" w:lineRule="exact"/>
        <w:rPr>
          <w:sz w:val="20"/>
          <w:szCs w:val="20"/>
          <w:color w:val="auto"/>
        </w:rPr>
      </w:pPr>
    </w:p>
    <w:p>
      <w:pPr>
        <w:jc w:val="both"/>
        <w:ind w:left="386" w:right="20" w:hanging="391"/>
        <w:spacing w:after="0" w:line="185"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We maintain a website at www.ropertech.com. The information on</w:t>
      </w:r>
      <w:r>
        <w:rPr>
          <w:rFonts w:ascii="Arial" w:cs="Arial" w:eastAsia="Arial" w:hAnsi="Arial"/>
          <w:sz w:val="25"/>
          <w:szCs w:val="25"/>
          <w:color w:val="005CB9"/>
        </w:rPr>
        <w:t xml:space="preserve"> </w:t>
      </w:r>
      <w:r>
        <w:rPr>
          <w:rFonts w:ascii="Arial" w:cs="Arial" w:eastAsia="Arial" w:hAnsi="Arial"/>
          <w:sz w:val="17"/>
          <w:szCs w:val="17"/>
          <w:color w:val="000000"/>
        </w:rPr>
        <w:t>our website is not part of this Proxy Statement, and it is not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INFORMATION REGARDING THE 2026 ANNUAL MEETING OF SHAREHOLDERS</w:t>
      </w:r>
    </w:p>
    <w:p>
      <w:pPr>
        <w:spacing w:after="0" w:line="33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If you wish to submit a matter to be considered at the 2026 Annual Meeting of Shareholders, you must comply with the procedures set forth below. Any proposal or nomination to be made to the Company should be sent to:</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Roper Technologies, Inc.</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6496 University Parkway</w:t>
      </w:r>
    </w:p>
    <w:p>
      <w:pPr>
        <w:ind w:left="620"/>
        <w:spacing w:after="0" w:line="232" w:lineRule="auto"/>
        <w:rPr>
          <w:sz w:val="20"/>
          <w:szCs w:val="20"/>
          <w:color w:val="auto"/>
        </w:rPr>
      </w:pPr>
      <w:r>
        <w:rPr>
          <w:rFonts w:ascii="Arial" w:cs="Arial" w:eastAsia="Arial" w:hAnsi="Arial"/>
          <w:sz w:val="17"/>
          <w:szCs w:val="17"/>
          <w:color w:val="auto"/>
        </w:rPr>
        <w:t>Sarasota, Florida 34240</w:t>
      </w:r>
    </w:p>
    <w:p>
      <w:pPr>
        <w:ind w:left="620"/>
        <w:spacing w:after="0" w:line="232" w:lineRule="auto"/>
        <w:rPr>
          <w:sz w:val="20"/>
          <w:szCs w:val="20"/>
          <w:color w:val="auto"/>
        </w:rPr>
      </w:pPr>
      <w:r>
        <w:rPr>
          <w:rFonts w:ascii="Arial" w:cs="Arial" w:eastAsia="Arial" w:hAnsi="Arial"/>
          <w:sz w:val="17"/>
          <w:szCs w:val="17"/>
          <w:color w:val="auto"/>
        </w:rPr>
        <w:t>Attention: Corporate Secretary</w:t>
      </w:r>
    </w:p>
    <w:p>
      <w:pPr>
        <w:ind w:left="620"/>
        <w:spacing w:after="0"/>
        <w:rPr>
          <w:sz w:val="20"/>
          <w:szCs w:val="20"/>
          <w:color w:val="auto"/>
        </w:rPr>
      </w:pPr>
      <w:r>
        <w:rPr>
          <w:rFonts w:ascii="Arial" w:cs="Arial" w:eastAsia="Arial" w:hAnsi="Arial"/>
          <w:sz w:val="17"/>
          <w:szCs w:val="17"/>
          <w:color w:val="auto"/>
        </w:rPr>
        <w:t>jstipancich@ropertech.com</w:t>
      </w:r>
    </w:p>
    <w:p>
      <w:pPr>
        <w:spacing w:after="0" w:line="113" w:lineRule="exact"/>
        <w:rPr>
          <w:sz w:val="20"/>
          <w:szCs w:val="20"/>
          <w:color w:val="auto"/>
        </w:rPr>
      </w:pPr>
    </w:p>
    <w:p>
      <w:pPr>
        <w:jc w:val="both"/>
        <w:ind w:left="340" w:right="20" w:hanging="224"/>
        <w:spacing w:after="0" w:line="249"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Proxy Statement Proposals. </w:t>
      </w:r>
      <w:r>
        <w:rPr>
          <w:rFonts w:ascii="Arial" w:cs="Arial" w:eastAsia="Arial" w:hAnsi="Arial"/>
          <w:sz w:val="17"/>
          <w:szCs w:val="17"/>
          <w:color w:val="auto"/>
        </w:rPr>
        <w:t>If you intend to submit a proposal to be included in the Proxy Statement for the 2026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we must receive your proposal no later than December 26, 2025. All proposals must comply with the SEC regulations under Rule 14a-8 for including shareholder proposals in a company’s proxy material.</w:t>
      </w:r>
    </w:p>
    <w:p>
      <w:pPr>
        <w:spacing w:after="0" w:line="201"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Director Candidate Nomination. </w:t>
      </w:r>
      <w:r>
        <w:rPr>
          <w:rFonts w:ascii="Arial" w:cs="Arial" w:eastAsia="Arial" w:hAnsi="Arial"/>
          <w:sz w:val="17"/>
          <w:szCs w:val="17"/>
          <w:color w:val="auto"/>
        </w:rPr>
        <w:t>Our By-laws set forth the procedures you must follow if you wish to nominate a director candidate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2026 Annual Meeting of Shareholders.</w:t>
      </w:r>
    </w:p>
    <w:p>
      <w:pPr>
        <w:spacing w:after="0" w:line="51" w:lineRule="exact"/>
        <w:rPr>
          <w:sz w:val="20"/>
          <w:szCs w:val="20"/>
          <w:color w:val="auto"/>
        </w:rPr>
      </w:pPr>
    </w:p>
    <w:p>
      <w:pPr>
        <w:jc w:val="both"/>
        <w:ind w:left="560" w:right="20"/>
        <w:spacing w:after="0" w:line="237" w:lineRule="auto"/>
        <w:rPr>
          <w:sz w:val="20"/>
          <w:szCs w:val="20"/>
          <w:color w:val="auto"/>
        </w:rPr>
      </w:pPr>
      <w:r>
        <w:rPr>
          <w:rFonts w:ascii="Arial" w:cs="Arial" w:eastAsia="Arial" w:hAnsi="Arial"/>
          <w:sz w:val="17"/>
          <w:szCs w:val="17"/>
          <w:i w:val="1"/>
          <w:iCs w:val="1"/>
          <w:color w:val="auto"/>
        </w:rPr>
        <w:t xml:space="preserve">Proxy Access to Include Nominees in our 2026 Proxy Statement. </w:t>
      </w:r>
      <w:r>
        <w:rPr>
          <w:rFonts w:ascii="Arial" w:cs="Arial" w:eastAsia="Arial" w:hAnsi="Arial"/>
          <w:sz w:val="17"/>
          <w:szCs w:val="17"/>
          <w:color w:val="auto"/>
        </w:rPr>
        <w:t>If you are a shareholder, or a group of up to 20 shareholders, owning 3%</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 our outstanding common stock continuously for at least three years and wish to nominate a director candidate and require us to include such nominee in our Proxy Statement and form of proxy, you must submit your request so it is received by the Company between November 26, 2025 and December 26, 2025,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2026 Proxy Statement” below.</w:t>
      </w:r>
    </w:p>
    <w:p>
      <w:pPr>
        <w:spacing w:after="0" w:line="76" w:lineRule="exact"/>
        <w:rPr>
          <w:sz w:val="20"/>
          <w:szCs w:val="20"/>
          <w:color w:val="auto"/>
        </w:rPr>
      </w:pPr>
    </w:p>
    <w:p>
      <w:pPr>
        <w:jc w:val="both"/>
        <w:ind w:left="560"/>
        <w:spacing w:after="0" w:line="235" w:lineRule="auto"/>
        <w:rPr>
          <w:sz w:val="20"/>
          <w:szCs w:val="20"/>
          <w:color w:val="auto"/>
        </w:rPr>
      </w:pPr>
      <w:r>
        <w:rPr>
          <w:rFonts w:ascii="Arial" w:cs="Arial" w:eastAsia="Arial" w:hAnsi="Arial"/>
          <w:sz w:val="17"/>
          <w:szCs w:val="17"/>
          <w:i w:val="1"/>
          <w:iCs w:val="1"/>
          <w:color w:val="auto"/>
        </w:rPr>
        <w:t xml:space="preserve">Nominees Not for Inclusion in our 2026 Proxy Statement. </w:t>
      </w:r>
      <w:r>
        <w:rPr>
          <w:rFonts w:ascii="Arial" w:cs="Arial" w:eastAsia="Arial" w:hAnsi="Arial"/>
          <w:sz w:val="17"/>
          <w:szCs w:val="17"/>
          <w:color w:val="auto"/>
        </w:rPr>
        <w:t>If you wish to nominate a director candidate in connection with the 2026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Shareholders and are not requiring that the nominee be included in our Proxy Statement, you must submit the nomination so it is received by the Company between February 10, 2026 and March 12, 2026, in accordance with our By-laws</w:t>
      </w:r>
      <w:r>
        <w:rPr>
          <w:rFonts w:ascii="Arial" w:cs="Arial" w:eastAsia="Arial" w:hAnsi="Arial"/>
          <w:sz w:val="17"/>
          <w:szCs w:val="17"/>
          <w:i w:val="1"/>
          <w:iCs w:val="1"/>
          <w:color w:val="auto"/>
        </w:rPr>
        <w:t>.</w:t>
      </w:r>
      <w:r>
        <w:rPr>
          <w:rFonts w:ascii="Arial" w:cs="Arial" w:eastAsia="Arial" w:hAnsi="Arial"/>
          <w:sz w:val="17"/>
          <w:szCs w:val="17"/>
          <w:color w:val="auto"/>
        </w:rPr>
        <w:t xml:space="preserve"> The notice to nominate a person for election as a Company director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 (vi) 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74" w:lineRule="exact"/>
        <w:rPr>
          <w:sz w:val="20"/>
          <w:szCs w:val="20"/>
          <w:color w:val="auto"/>
        </w:rPr>
      </w:pPr>
    </w:p>
    <w:p>
      <w:pPr>
        <w:jc w:val="both"/>
        <w:ind w:left="560"/>
        <w:spacing w:after="0" w:line="239" w:lineRule="auto"/>
        <w:rPr>
          <w:sz w:val="20"/>
          <w:szCs w:val="20"/>
          <w:color w:val="auto"/>
        </w:rPr>
      </w:pPr>
      <w:r>
        <w:rPr>
          <w:rFonts w:ascii="Arial" w:cs="Arial" w:eastAsia="Arial" w:hAnsi="Arial"/>
          <w:sz w:val="17"/>
          <w:szCs w:val="17"/>
          <w:i w:val="1"/>
          <w:iCs w:val="1"/>
          <w:color w:val="auto"/>
        </w:rPr>
        <w:t xml:space="preserve">Universal Proxy Rules for Nominees. </w:t>
      </w:r>
      <w:r>
        <w:rPr>
          <w:rFonts w:ascii="Arial" w:cs="Arial" w:eastAsia="Arial" w:hAnsi="Arial"/>
          <w:sz w:val="17"/>
          <w:szCs w:val="17"/>
          <w:color w:val="auto"/>
        </w:rPr>
        <w:t>For all nominees, whether included in our Proxy Statement or otherwise, in addition to satisfying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under our By-laws, if a shareholder intends to comply with the SEC’s universal proxy rules and to solicit proxies in support of director nominees other than the Company nominees, the shareholder must provide notice that sets forth the information required by Rule 14a-19 under the Exchange Act, which notice must be postmarked or transmitted electronically to us at our principal executive office no later than 60 calendar days prior to the one-year anniversary date of the Annual Meeting (for the 2026 Annual Meeting of Shareholders, no later than April 13, 2026).</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2037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560" w:right="20"/>
        <w:spacing w:after="0" w:line="249" w:lineRule="auto"/>
        <w:rPr>
          <w:sz w:val="20"/>
          <w:szCs w:val="20"/>
          <w:color w:val="auto"/>
        </w:rPr>
      </w:pPr>
      <w:r>
        <w:rPr>
          <w:rFonts w:ascii="Arial" w:cs="Arial" w:eastAsia="Arial" w:hAnsi="Arial"/>
          <w:sz w:val="17"/>
          <w:szCs w:val="17"/>
          <w:color w:val="auto"/>
        </w:rPr>
        <w:t>If the date of the Annual Meeting is changed by more than 30 calendar days from such anniversary date, however, then the shareholder must provide notice by the later of 60 calendar days prior to the date of the 2026 Annual Meeting and the 10</w:t>
      </w:r>
      <w:r>
        <w:rPr>
          <w:rFonts w:ascii="Arial" w:cs="Arial" w:eastAsia="Arial" w:hAnsi="Arial"/>
          <w:sz w:val="12"/>
          <w:szCs w:val="12"/>
          <w:color w:val="auto"/>
        </w:rPr>
        <w:t>th</w:t>
      </w:r>
      <w:r>
        <w:rPr>
          <w:rFonts w:ascii="Arial" w:cs="Arial" w:eastAsia="Arial" w:hAnsi="Arial"/>
          <w:sz w:val="17"/>
          <w:szCs w:val="17"/>
          <w:color w:val="auto"/>
        </w:rPr>
        <w:t xml:space="preserve"> calendar day following the date on which public announcement of the date of the 2026 Annual Meeting is first made.</w:t>
      </w:r>
    </w:p>
    <w:p>
      <w:pPr>
        <w:spacing w:after="0" w:line="202" w:lineRule="exact"/>
        <w:rPr>
          <w:sz w:val="20"/>
          <w:szCs w:val="20"/>
          <w:color w:val="auto"/>
        </w:rPr>
      </w:pPr>
    </w:p>
    <w:p>
      <w:pPr>
        <w:jc w:val="both"/>
        <w:ind w:left="340" w:right="20" w:hanging="224"/>
        <w:spacing w:after="0" w:line="236"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Matters for Annual Meeting Agenda. </w:t>
      </w:r>
      <w:r>
        <w:rPr>
          <w:rFonts w:ascii="Arial" w:cs="Arial" w:eastAsia="Arial" w:hAnsi="Arial"/>
          <w:sz w:val="17"/>
          <w:szCs w:val="17"/>
          <w:color w:val="auto"/>
        </w:rPr>
        <w:t>If you wish to have other business (not the nomination of a director candidate) brought before the 2026</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Shareholders, you must submit the proposal between February 10, 2026 and March 12, 2026, in accordance with our By-laws. If you intend to present the matter directly at the 2026 Annual Meeting of Shareholders, the notice must include: (a) the text of the proposal; (b) a brief statement of the reasons why you favor the proposal; (c) your name and address; (d) the number and class of all shares of each class of Company stock owned of record and beneficially by you (and any beneficial owner on whose behalf the proposal is made); (e)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 and (f) if applicable, any material interest of you and such beneficial owner in the matter proposed (other than as a shareholder).</w:t>
      </w:r>
    </w:p>
    <w:p>
      <w:pPr>
        <w:spacing w:after="0" w:line="181"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With respect to matters not included in the Proxy Statement but properly presented at the 2026 Annual Meeting of Shareholders, management generally will be able to vote proxies in its discretion if it receives notice of the proposal during the period specified above and advises shareholders in the Proxy Statement for the 2026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388"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OTHER MATTERS</w:t>
      </w:r>
    </w:p>
    <w:p>
      <w:pPr>
        <w:spacing w:after="0" w:line="33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As of the date of this Proxy Statement, the Board of Directors knows of no other business which will be or is intended to be presented at the Annual Meeting.</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1508760" cy="3429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Amy Woods Brinkley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 of the Board of Directors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25, 2025</w:t>
      </w:r>
    </w:p>
    <w:p>
      <w:pPr>
        <w:spacing w:after="0" w:line="163"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61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A—RECONCILIATIONS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1: Adjusted revenue, EBITDA and EBITDA margin reconciliation ($M)</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(from continuing operations)</w:t>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w w:val="96"/>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GAAP revenue</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$4,834</w:t>
            </w:r>
          </w:p>
        </w:tc>
        <w:tc>
          <w:tcPr>
            <w:tcW w:w="260" w:type="dxa"/>
            <w:vAlign w:val="bottom"/>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w w:val="98"/>
              </w:rPr>
              <w:t>5,372</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$6,178</w:t>
            </w:r>
          </w:p>
        </w:tc>
        <w:tc>
          <w:tcPr>
            <w:tcW w:w="840" w:type="dxa"/>
            <w:vAlign w:val="bottom"/>
            <w:gridSpan w:val="5"/>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$7,039</w:t>
            </w:r>
          </w:p>
        </w:tc>
        <w:tc>
          <w:tcPr>
            <w:tcW w:w="0" w:type="dxa"/>
            <w:vAlign w:val="bottom"/>
          </w:tcPr>
          <w:p>
            <w:pPr>
              <w:spacing w:after="0"/>
              <w:rPr>
                <w:sz w:val="1"/>
                <w:szCs w:val="1"/>
                <w:color w:val="auto"/>
              </w:rPr>
            </w:pPr>
          </w:p>
        </w:tc>
      </w:tr>
      <w:tr>
        <w:trPr>
          <w:trHeight w:val="196"/>
        </w:trPr>
        <w:tc>
          <w:tcPr>
            <w:tcW w:w="5400" w:type="dxa"/>
            <w:vAlign w:val="bottom"/>
          </w:tcPr>
          <w:p>
            <w:pPr>
              <w:ind w:left="340"/>
              <w:spacing w:after="0" w:line="189" w:lineRule="exact"/>
              <w:rPr>
                <w:sz w:val="20"/>
                <w:szCs w:val="20"/>
                <w:color w:val="auto"/>
              </w:rPr>
            </w:pPr>
            <w:r>
              <w:rPr>
                <w:rFonts w:ascii="Arial" w:cs="Arial" w:eastAsia="Arial" w:hAnsi="Arial"/>
                <w:sz w:val="17"/>
                <w:szCs w:val="17"/>
                <w:color w:val="auto"/>
              </w:rPr>
              <w:t>Purchase accounting adjustment to acquired deferred revenue</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Borders>
              <w:bottom w:val="single" w:sz="8" w:color="auto"/>
            </w:tcBorders>
          </w:tcPr>
          <w:p>
            <w:pPr>
              <w:jc w:val="right"/>
              <w:ind w:right="257"/>
              <w:spacing w:after="0" w:line="189"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6"/>
              <w:spacing w:after="0" w:line="189"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6"/>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revenue</w:t>
            </w:r>
          </w:p>
        </w:tc>
        <w:tc>
          <w:tcPr>
            <w:tcW w:w="780" w:type="dxa"/>
            <w:vAlign w:val="bottom"/>
            <w:shd w:val="clear" w:color="auto" w:fill="CCDEF1"/>
          </w:tcPr>
          <w:p>
            <w:pPr>
              <w:spacing w:after="0"/>
              <w:rPr>
                <w:sz w:val="16"/>
                <w:szCs w:val="16"/>
                <w:color w:val="auto"/>
              </w:rPr>
            </w:pPr>
          </w:p>
        </w:tc>
        <w:tc>
          <w:tcPr>
            <w:tcW w:w="1140" w:type="dxa"/>
            <w:vAlign w:val="bottom"/>
            <w:shd w:val="clear" w:color="auto" w:fill="CCDEF1"/>
          </w:tcPr>
          <w:p>
            <w:pPr>
              <w:spacing w:after="0"/>
              <w:rPr>
                <w:sz w:val="16"/>
                <w:szCs w:val="16"/>
                <w:color w:val="auto"/>
              </w:rPr>
            </w:pPr>
          </w:p>
        </w:tc>
        <w:tc>
          <w:tcPr>
            <w:tcW w:w="880" w:type="dxa"/>
            <w:vAlign w:val="bottom"/>
            <w:tcBorders>
              <w:bottom w:val="single" w:sz="8" w:color="auto"/>
            </w:tcBorders>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w w:val="99"/>
              </w:rPr>
              <w:t>$4,835</w:t>
            </w:r>
          </w:p>
        </w:tc>
        <w:tc>
          <w:tcPr>
            <w:tcW w:w="260" w:type="dxa"/>
            <w:vAlign w:val="bottom"/>
            <w:tcBorders>
              <w:bottom w:val="single" w:sz="8" w:color="auto"/>
            </w:tcBorders>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w w:val="98"/>
              </w:rPr>
              <w:t>5,372</w:t>
            </w:r>
          </w:p>
        </w:tc>
        <w:tc>
          <w:tcPr>
            <w:tcW w:w="940" w:type="dxa"/>
            <w:vAlign w:val="bottom"/>
            <w:tcBorders>
              <w:bottom w:val="single" w:sz="8" w:color="auto"/>
            </w:tcBorders>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$6,178</w:t>
            </w:r>
          </w:p>
        </w:tc>
        <w:tc>
          <w:tcPr>
            <w:tcW w:w="620" w:type="dxa"/>
            <w:vAlign w:val="bottom"/>
            <w:tcBorders>
              <w:bottom w:val="single" w:sz="8" w:color="auto"/>
            </w:tcBorders>
            <w:gridSpan w:val="4"/>
            <w:shd w:val="clear" w:color="auto" w:fill="CCDEF1"/>
          </w:tcPr>
          <w:p>
            <w:pPr>
              <w:jc w:val="right"/>
              <w:spacing w:after="0" w:line="189" w:lineRule="exact"/>
              <w:rPr>
                <w:sz w:val="20"/>
                <w:szCs w:val="20"/>
                <w:color w:val="auto"/>
              </w:rPr>
            </w:pPr>
            <w:r>
              <w:rPr>
                <w:rFonts w:ascii="Arial" w:cs="Arial" w:eastAsia="Arial" w:hAnsi="Arial"/>
                <w:sz w:val="17"/>
                <w:szCs w:val="17"/>
                <w:color w:val="auto"/>
              </w:rPr>
              <w:t>$7,039</w:t>
            </w:r>
          </w:p>
        </w:tc>
        <w:tc>
          <w:tcPr>
            <w:tcW w:w="2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GAAP earnings before income taxes</w:t>
            </w: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Borders>
              <w:top w:val="single" w:sz="8" w:color="auto"/>
            </w:tcBorders>
          </w:tcPr>
          <w:p>
            <w:pPr>
              <w:jc w:val="right"/>
              <w:ind w:right="257"/>
              <w:spacing w:after="0" w:line="183" w:lineRule="exact"/>
              <w:rPr>
                <w:sz w:val="20"/>
                <w:szCs w:val="20"/>
                <w:color w:val="auto"/>
              </w:rPr>
            </w:pPr>
            <w:r>
              <w:rPr>
                <w:rFonts w:ascii="Arial" w:cs="Arial" w:eastAsia="Arial" w:hAnsi="Arial"/>
                <w:sz w:val="17"/>
                <w:szCs w:val="17"/>
                <w:color w:val="auto"/>
                <w:w w:val="99"/>
              </w:rPr>
              <w:t>$1,032</w:t>
            </w:r>
          </w:p>
        </w:tc>
        <w:tc>
          <w:tcPr>
            <w:tcW w:w="2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256"/>
              <w:spacing w:after="0" w:line="183" w:lineRule="exact"/>
              <w:rPr>
                <w:sz w:val="20"/>
                <w:szCs w:val="20"/>
                <w:color w:val="auto"/>
              </w:rPr>
            </w:pPr>
            <w:r>
              <w:rPr>
                <w:rFonts w:ascii="Arial" w:cs="Arial" w:eastAsia="Arial" w:hAnsi="Arial"/>
                <w:sz w:val="17"/>
                <w:szCs w:val="17"/>
                <w:color w:val="auto"/>
                <w:w w:val="98"/>
              </w:rPr>
              <w:t>1,282</w:t>
            </w:r>
          </w:p>
        </w:tc>
        <w:tc>
          <w:tcPr>
            <w:tcW w:w="940" w:type="dxa"/>
            <w:vAlign w:val="bottom"/>
            <w:tcBorders>
              <w:top w:val="single" w:sz="8" w:color="auto"/>
            </w:tcBorders>
          </w:tcPr>
          <w:p>
            <w:pPr>
              <w:jc w:val="right"/>
              <w:ind w:right="156"/>
              <w:spacing w:after="0" w:line="183" w:lineRule="exact"/>
              <w:rPr>
                <w:sz w:val="20"/>
                <w:szCs w:val="20"/>
                <w:color w:val="auto"/>
              </w:rPr>
            </w:pPr>
            <w:r>
              <w:rPr>
                <w:rFonts w:ascii="Arial" w:cs="Arial" w:eastAsia="Arial" w:hAnsi="Arial"/>
                <w:sz w:val="17"/>
                <w:szCs w:val="17"/>
                <w:color w:val="auto"/>
              </w:rPr>
              <w:t>$1,743</w:t>
            </w:r>
          </w:p>
        </w:tc>
        <w:tc>
          <w:tcPr>
            <w:tcW w:w="620" w:type="dxa"/>
            <w:vAlign w:val="bottom"/>
            <w:tcBorders>
              <w:top w:val="single" w:sz="8" w:color="auto"/>
            </w:tcBorders>
            <w:gridSpan w:val="4"/>
          </w:tcPr>
          <w:p>
            <w:pPr>
              <w:jc w:val="right"/>
              <w:spacing w:after="0" w:line="183" w:lineRule="exact"/>
              <w:rPr>
                <w:sz w:val="20"/>
                <w:szCs w:val="20"/>
                <w:color w:val="auto"/>
              </w:rPr>
            </w:pPr>
            <w:r>
              <w:rPr>
                <w:rFonts w:ascii="Arial" w:cs="Arial" w:eastAsia="Arial" w:hAnsi="Arial"/>
                <w:sz w:val="17"/>
                <w:szCs w:val="17"/>
                <w:color w:val="auto"/>
              </w:rPr>
              <w:t>$1,967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Interest expense</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234</w:t>
            </w:r>
          </w:p>
        </w:tc>
        <w:tc>
          <w:tcPr>
            <w:tcW w:w="260" w:type="dxa"/>
            <w:vAlign w:val="bottom"/>
            <w:shd w:val="clear" w:color="auto" w:fill="CCDEF1"/>
          </w:tcPr>
          <w:p>
            <w:pPr>
              <w:spacing w:after="0"/>
              <w:rPr>
                <w:sz w:val="16"/>
                <w:szCs w:val="16"/>
                <w:color w:val="auto"/>
              </w:rPr>
            </w:pP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192</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165</w:t>
            </w:r>
          </w:p>
        </w:tc>
        <w:tc>
          <w:tcPr>
            <w:tcW w:w="18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89"/>
        </w:trPr>
        <w:tc>
          <w:tcPr>
            <w:tcW w:w="5400" w:type="dxa"/>
            <w:vAlign w:val="bottom"/>
          </w:tcPr>
          <w:p>
            <w:pPr>
              <w:ind w:left="340"/>
              <w:spacing w:after="0" w:line="189" w:lineRule="exact"/>
              <w:rPr>
                <w:sz w:val="20"/>
                <w:szCs w:val="20"/>
                <w:color w:val="auto"/>
              </w:rPr>
            </w:pPr>
            <w:r>
              <w:rPr>
                <w:rFonts w:ascii="Arial" w:cs="Arial" w:eastAsia="Arial" w:hAnsi="Arial"/>
                <w:sz w:val="17"/>
                <w:szCs w:val="17"/>
                <w:color w:val="auto"/>
              </w:rPr>
              <w:t>Depreciation</w:t>
            </w:r>
          </w:p>
        </w:tc>
        <w:tc>
          <w:tcPr>
            <w:tcW w:w="780" w:type="dxa"/>
            <w:vAlign w:val="bottom"/>
          </w:tcPr>
          <w:p>
            <w:pPr>
              <w:spacing w:after="0"/>
              <w:rPr>
                <w:sz w:val="16"/>
                <w:szCs w:val="16"/>
                <w:color w:val="auto"/>
              </w:rPr>
            </w:pPr>
          </w:p>
        </w:tc>
        <w:tc>
          <w:tcPr>
            <w:tcW w:w="2020" w:type="dxa"/>
            <w:vAlign w:val="bottom"/>
            <w:gridSpan w:val="2"/>
          </w:tcPr>
          <w:p>
            <w:pPr>
              <w:jc w:val="right"/>
              <w:ind w:right="257"/>
              <w:spacing w:after="0" w:line="189" w:lineRule="exact"/>
              <w:rPr>
                <w:sz w:val="20"/>
                <w:szCs w:val="20"/>
                <w:color w:val="auto"/>
              </w:rPr>
            </w:pPr>
            <w:r>
              <w:rPr>
                <w:rFonts w:ascii="Arial" w:cs="Arial" w:eastAsia="Arial" w:hAnsi="Arial"/>
                <w:sz w:val="17"/>
                <w:szCs w:val="17"/>
                <w:color w:val="auto"/>
              </w:rPr>
              <w:t>44</w:t>
            </w:r>
          </w:p>
        </w:tc>
        <w:tc>
          <w:tcPr>
            <w:tcW w:w="260" w:type="dxa"/>
            <w:vAlign w:val="bottom"/>
          </w:tcPr>
          <w:p>
            <w:pPr>
              <w:spacing w:after="0"/>
              <w:rPr>
                <w:sz w:val="16"/>
                <w:szCs w:val="16"/>
                <w:color w:val="auto"/>
              </w:rPr>
            </w:pPr>
          </w:p>
        </w:tc>
        <w:tc>
          <w:tcPr>
            <w:tcW w:w="780" w:type="dxa"/>
            <w:vAlign w:val="bottom"/>
          </w:tcPr>
          <w:p>
            <w:pPr>
              <w:jc w:val="right"/>
              <w:ind w:right="256"/>
              <w:spacing w:after="0" w:line="189" w:lineRule="exact"/>
              <w:rPr>
                <w:sz w:val="20"/>
                <w:szCs w:val="20"/>
                <w:color w:val="auto"/>
              </w:rPr>
            </w:pPr>
            <w:r>
              <w:rPr>
                <w:rFonts w:ascii="Arial" w:cs="Arial" w:eastAsia="Arial" w:hAnsi="Arial"/>
                <w:sz w:val="17"/>
                <w:szCs w:val="17"/>
                <w:color w:val="auto"/>
              </w:rPr>
              <w:t>37</w:t>
            </w:r>
          </w:p>
        </w:tc>
        <w:tc>
          <w:tcPr>
            <w:tcW w:w="94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Amortization</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572</w:t>
            </w:r>
          </w:p>
        </w:tc>
        <w:tc>
          <w:tcPr>
            <w:tcW w:w="260" w:type="dxa"/>
            <w:vAlign w:val="bottom"/>
            <w:shd w:val="clear" w:color="auto" w:fill="CCDEF1"/>
          </w:tcPr>
          <w:p>
            <w:pPr>
              <w:spacing w:after="0"/>
              <w:rPr>
                <w:sz w:val="16"/>
                <w:szCs w:val="16"/>
                <w:color w:val="auto"/>
              </w:rPr>
            </w:pP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613</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720</w:t>
            </w:r>
          </w:p>
        </w:tc>
        <w:tc>
          <w:tcPr>
            <w:tcW w:w="18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7"/>
                <w:szCs w:val="17"/>
                <w:color w:val="auto"/>
              </w:rPr>
              <w:t>EBITDA</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color w:val="auto"/>
                <w:w w:val="99"/>
              </w:rPr>
              <w:t>$1,882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color w:val="auto"/>
                <w:w w:val="98"/>
              </w:rPr>
              <w:t>2,124</w:t>
            </w:r>
          </w:p>
        </w:tc>
        <w:tc>
          <w:tcPr>
            <w:tcW w:w="9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$2,663</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$3,039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00" w:type="dxa"/>
            <w:vAlign w:val="bottom"/>
            <w:shd w:val="clear" w:color="auto" w:fill="CCDEF1"/>
          </w:tcPr>
          <w:p>
            <w:pPr>
              <w:ind w:left="340"/>
              <w:spacing w:after="0" w:line="161" w:lineRule="exact"/>
              <w:rPr>
                <w:sz w:val="20"/>
                <w:szCs w:val="20"/>
                <w:color w:val="auto"/>
              </w:rPr>
            </w:pPr>
            <w:r>
              <w:rPr>
                <w:rFonts w:ascii="Arial" w:cs="Arial" w:eastAsia="Arial" w:hAnsi="Arial"/>
                <w:sz w:val="17"/>
                <w:szCs w:val="17"/>
                <w:color w:val="auto"/>
              </w:rPr>
              <w:t>Purchase accounting adjustment to acquired deferred</w:t>
            </w:r>
          </w:p>
        </w:tc>
        <w:tc>
          <w:tcPr>
            <w:tcW w:w="780" w:type="dxa"/>
            <w:vAlign w:val="bottom"/>
            <w:shd w:val="clear" w:color="auto" w:fill="CCDEF1"/>
          </w:tcPr>
          <w:p>
            <w:pPr>
              <w:spacing w:after="0"/>
              <w:rPr>
                <w:sz w:val="13"/>
                <w:szCs w:val="13"/>
                <w:color w:val="auto"/>
              </w:rPr>
            </w:pPr>
          </w:p>
        </w:tc>
        <w:tc>
          <w:tcPr>
            <w:tcW w:w="1140" w:type="dxa"/>
            <w:vAlign w:val="bottom"/>
            <w:shd w:val="clear" w:color="auto" w:fill="CCDEF1"/>
          </w:tcPr>
          <w:p>
            <w:pPr>
              <w:spacing w:after="0"/>
              <w:rPr>
                <w:sz w:val="13"/>
                <w:szCs w:val="13"/>
                <w:color w:val="auto"/>
              </w:rPr>
            </w:pPr>
          </w:p>
        </w:tc>
        <w:tc>
          <w:tcPr>
            <w:tcW w:w="880" w:type="dxa"/>
            <w:vAlign w:val="bottom"/>
            <w:shd w:val="clear" w:color="auto" w:fill="CCDEF1"/>
          </w:tcPr>
          <w:p>
            <w:pPr>
              <w:spacing w:after="0"/>
              <w:rPr>
                <w:sz w:val="13"/>
                <w:szCs w:val="13"/>
                <w:color w:val="auto"/>
              </w:rPr>
            </w:pPr>
          </w:p>
        </w:tc>
        <w:tc>
          <w:tcPr>
            <w:tcW w:w="2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940" w:type="dxa"/>
            <w:vAlign w:val="bottom"/>
            <w:shd w:val="clear" w:color="auto" w:fill="CCDEF1"/>
          </w:tcPr>
          <w:p>
            <w:pPr>
              <w:spacing w:after="0"/>
              <w:rPr>
                <w:sz w:val="13"/>
                <w:szCs w:val="13"/>
                <w:color w:val="auto"/>
              </w:rPr>
            </w:pPr>
          </w:p>
        </w:tc>
        <w:tc>
          <w:tcPr>
            <w:tcW w:w="180" w:type="dxa"/>
            <w:vAlign w:val="bottom"/>
            <w:shd w:val="clear" w:color="auto" w:fill="CCDEF1"/>
          </w:tcPr>
          <w:p>
            <w:pPr>
              <w:spacing w:after="0"/>
              <w:rPr>
                <w:sz w:val="13"/>
                <w:szCs w:val="13"/>
                <w:color w:val="auto"/>
              </w:rPr>
            </w:pPr>
          </w:p>
        </w:tc>
        <w:tc>
          <w:tcPr>
            <w:tcW w:w="100" w:type="dxa"/>
            <w:vAlign w:val="bottom"/>
            <w:shd w:val="clear" w:color="auto" w:fill="CCDEF1"/>
          </w:tcPr>
          <w:p>
            <w:pPr>
              <w:spacing w:after="0"/>
              <w:rPr>
                <w:sz w:val="13"/>
                <w:szCs w:val="13"/>
                <w:color w:val="auto"/>
              </w:rPr>
            </w:pPr>
          </w:p>
        </w:tc>
        <w:tc>
          <w:tcPr>
            <w:tcW w:w="120" w:type="dxa"/>
            <w:vAlign w:val="bottom"/>
            <w:tcBorders>
              <w:right w:val="single" w:sz="8" w:color="CCDEF1"/>
            </w:tcBorders>
            <w:shd w:val="clear" w:color="auto" w:fill="CCDEF1"/>
          </w:tcPr>
          <w:p>
            <w:pPr>
              <w:spacing w:after="0"/>
              <w:rPr>
                <w:sz w:val="13"/>
                <w:szCs w:val="13"/>
                <w:color w:val="auto"/>
              </w:rPr>
            </w:pPr>
          </w:p>
        </w:tc>
        <w:tc>
          <w:tcPr>
            <w:tcW w:w="220" w:type="dxa"/>
            <w:vAlign w:val="bottom"/>
            <w:shd w:val="clear" w:color="auto" w:fill="CCDEF1"/>
          </w:tcPr>
          <w:p>
            <w:pPr>
              <w:spacing w:after="0"/>
              <w:rPr>
                <w:sz w:val="13"/>
                <w:szCs w:val="13"/>
                <w:color w:val="auto"/>
              </w:rPr>
            </w:pPr>
          </w:p>
        </w:tc>
        <w:tc>
          <w:tcPr>
            <w:tcW w:w="220" w:type="dxa"/>
            <w:vAlign w:val="bottom"/>
            <w:shd w:val="clear" w:color="auto" w:fill="CCDEF1"/>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DEF1"/>
          </w:tcPr>
          <w:p>
            <w:pPr>
              <w:ind w:left="340"/>
              <w:spacing w:after="0"/>
              <w:rPr>
                <w:sz w:val="20"/>
                <w:szCs w:val="20"/>
                <w:color w:val="auto"/>
              </w:rPr>
            </w:pPr>
            <w:r>
              <w:rPr>
                <w:rFonts w:ascii="Arial" w:cs="Arial" w:eastAsia="Arial" w:hAnsi="Arial"/>
                <w:sz w:val="17"/>
                <w:szCs w:val="17"/>
                <w:color w:val="auto"/>
              </w:rPr>
              <w:t>revenue and commission expense</w:t>
            </w:r>
          </w:p>
        </w:tc>
        <w:tc>
          <w:tcPr>
            <w:tcW w:w="780" w:type="dxa"/>
            <w:vAlign w:val="bottom"/>
            <w:shd w:val="clear" w:color="auto" w:fill="CCDEF1"/>
          </w:tcPr>
          <w:p>
            <w:pPr>
              <w:spacing w:after="0"/>
              <w:rPr>
                <w:sz w:val="19"/>
                <w:szCs w:val="19"/>
                <w:color w:val="auto"/>
              </w:rPr>
            </w:pPr>
          </w:p>
        </w:tc>
        <w:tc>
          <w:tcPr>
            <w:tcW w:w="2020" w:type="dxa"/>
            <w:vAlign w:val="bottom"/>
            <w:gridSpan w:val="2"/>
            <w:shd w:val="clear" w:color="auto" w:fill="CCDEF1"/>
          </w:tcPr>
          <w:p>
            <w:pPr>
              <w:jc w:val="right"/>
              <w:ind w:right="197"/>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DEF1"/>
          </w:tcPr>
          <w:p>
            <w:pPr>
              <w:spacing w:after="0"/>
              <w:rPr>
                <w:sz w:val="19"/>
                <w:szCs w:val="19"/>
                <w:color w:val="auto"/>
              </w:rPr>
            </w:pPr>
          </w:p>
        </w:tc>
        <w:tc>
          <w:tcPr>
            <w:tcW w:w="780" w:type="dxa"/>
            <w:vAlign w:val="bottom"/>
            <w:shd w:val="clear" w:color="auto" w:fill="CCDEF1"/>
          </w:tcPr>
          <w:p>
            <w:pPr>
              <w:jc w:val="right"/>
              <w:ind w:right="196"/>
              <w:spacing w:after="0"/>
              <w:rPr>
                <w:sz w:val="20"/>
                <w:szCs w:val="20"/>
                <w:color w:val="auto"/>
              </w:rPr>
            </w:pPr>
            <w:r>
              <w:rPr>
                <w:rFonts w:ascii="Arial" w:cs="Arial" w:eastAsia="Arial" w:hAnsi="Arial"/>
                <w:sz w:val="17"/>
                <w:szCs w:val="17"/>
                <w:color w:val="auto"/>
              </w:rPr>
              <w:t>(5)</w:t>
            </w:r>
          </w:p>
        </w:tc>
        <w:tc>
          <w:tcPr>
            <w:tcW w:w="940" w:type="dxa"/>
            <w:vAlign w:val="bottom"/>
            <w:shd w:val="clear" w:color="auto" w:fill="CCDEF1"/>
          </w:tcPr>
          <w:p>
            <w:pPr>
              <w:jc w:val="right"/>
              <w:ind w:right="1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DEF1"/>
          </w:tcPr>
          <w:p>
            <w:pPr>
              <w:spacing w:after="0"/>
              <w:rPr>
                <w:sz w:val="19"/>
                <w:szCs w:val="19"/>
                <w:color w:val="auto"/>
              </w:rPr>
            </w:pPr>
          </w:p>
        </w:tc>
        <w:tc>
          <w:tcPr>
            <w:tcW w:w="100" w:type="dxa"/>
            <w:vAlign w:val="bottom"/>
            <w:shd w:val="clear" w:color="auto" w:fill="CCDEF1"/>
          </w:tcPr>
          <w:p>
            <w:pPr>
              <w:spacing w:after="0"/>
              <w:rPr>
                <w:sz w:val="19"/>
                <w:szCs w:val="19"/>
                <w:color w:val="auto"/>
              </w:rPr>
            </w:pPr>
          </w:p>
        </w:tc>
        <w:tc>
          <w:tcPr>
            <w:tcW w:w="560" w:type="dxa"/>
            <w:vAlign w:val="bottom"/>
            <w:gridSpan w:val="3"/>
            <w:shd w:val="clear" w:color="auto" w:fill="CCDEF1"/>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5400" w:type="dxa"/>
            <w:vAlign w:val="bottom"/>
          </w:tcPr>
          <w:p>
            <w:pPr>
              <w:ind w:left="340"/>
              <w:spacing w:after="0" w:line="167" w:lineRule="exact"/>
              <w:rPr>
                <w:sz w:val="20"/>
                <w:szCs w:val="20"/>
                <w:color w:val="auto"/>
              </w:rPr>
            </w:pPr>
            <w:r>
              <w:rPr>
                <w:rFonts w:ascii="Arial" w:cs="Arial" w:eastAsia="Arial" w:hAnsi="Arial"/>
                <w:sz w:val="17"/>
                <w:szCs w:val="17"/>
                <w:color w:val="auto"/>
              </w:rPr>
              <w:t>Restructuring-related expenses associated with the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340"/>
              <w:spacing w:after="0"/>
              <w:rPr>
                <w:sz w:val="20"/>
                <w:szCs w:val="20"/>
                <w:color w:val="auto"/>
              </w:rPr>
            </w:pPr>
            <w:r>
              <w:rPr>
                <w:rFonts w:ascii="Arial" w:cs="Arial" w:eastAsia="Arial" w:hAnsi="Arial"/>
                <w:sz w:val="17"/>
                <w:szCs w:val="17"/>
                <w:color w:val="auto"/>
              </w:rPr>
              <w:t>Syntellis (’23) and Transact (’24) acquisitions</w:t>
            </w:r>
          </w:p>
        </w:tc>
        <w:tc>
          <w:tcPr>
            <w:tcW w:w="780" w:type="dxa"/>
            <w:vAlign w:val="bottom"/>
          </w:tcPr>
          <w:p>
            <w:pPr>
              <w:spacing w:after="0"/>
              <w:rPr>
                <w:sz w:val="19"/>
                <w:szCs w:val="19"/>
                <w:color w:val="auto"/>
              </w:rPr>
            </w:pPr>
          </w:p>
        </w:tc>
        <w:tc>
          <w:tcPr>
            <w:tcW w:w="2020" w:type="dxa"/>
            <w:vAlign w:val="bottom"/>
            <w:gridSpan w:val="2"/>
          </w:tcPr>
          <w:p>
            <w:pPr>
              <w:jc w:val="right"/>
              <w:ind w:right="2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6"/>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DEF1"/>
          </w:tcPr>
          <w:p>
            <w:pPr>
              <w:spacing w:after="0"/>
              <w:rPr>
                <w:sz w:val="16"/>
                <w:szCs w:val="16"/>
                <w:color w:val="auto"/>
              </w:rPr>
            </w:pP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5</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8</w:t>
            </w:r>
          </w:p>
        </w:tc>
        <w:tc>
          <w:tcPr>
            <w:tcW w:w="18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67"/>
        </w:trPr>
        <w:tc>
          <w:tcPr>
            <w:tcW w:w="5400" w:type="dxa"/>
            <w:vAlign w:val="bottom"/>
          </w:tcPr>
          <w:p>
            <w:pPr>
              <w:ind w:left="340"/>
              <w:spacing w:after="0" w:line="167" w:lineRule="exact"/>
              <w:rPr>
                <w:sz w:val="20"/>
                <w:szCs w:val="20"/>
                <w:color w:val="auto"/>
              </w:rPr>
            </w:pPr>
            <w:r>
              <w:rPr>
                <w:rFonts w:ascii="Arial" w:cs="Arial" w:eastAsia="Arial" w:hAnsi="Arial"/>
                <w:sz w:val="17"/>
                <w:szCs w:val="17"/>
                <w:color w:val="auto"/>
              </w:rPr>
              <w:t>Financial impacts associated with the minority</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340"/>
              <w:spacing w:after="0"/>
              <w:rPr>
                <w:sz w:val="20"/>
                <w:szCs w:val="20"/>
                <w:color w:val="auto"/>
              </w:rPr>
            </w:pPr>
            <w:r>
              <w:rPr>
                <w:rFonts w:ascii="Arial" w:cs="Arial" w:eastAsia="Arial" w:hAnsi="Arial"/>
                <w:sz w:val="17"/>
                <w:szCs w:val="17"/>
                <w:color w:val="auto"/>
              </w:rPr>
              <w:t>investments in Indicor &amp; Certinia</w:t>
            </w:r>
          </w:p>
        </w:tc>
        <w:tc>
          <w:tcPr>
            <w:tcW w:w="780" w:type="dxa"/>
            <w:vAlign w:val="bottom"/>
          </w:tcPr>
          <w:p>
            <w:pPr>
              <w:spacing w:after="0"/>
              <w:rPr>
                <w:sz w:val="19"/>
                <w:szCs w:val="19"/>
                <w:color w:val="auto"/>
              </w:rPr>
            </w:pPr>
          </w:p>
        </w:tc>
        <w:tc>
          <w:tcPr>
            <w:tcW w:w="2020" w:type="dxa"/>
            <w:vAlign w:val="bottom"/>
            <w:gridSpan w:val="2"/>
          </w:tcPr>
          <w:p>
            <w:pPr>
              <w:jc w:val="right"/>
              <w:ind w:right="2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96"/>
              <w:spacing w:after="0"/>
              <w:rPr>
                <w:sz w:val="20"/>
                <w:szCs w:val="20"/>
                <w:color w:val="auto"/>
              </w:rPr>
            </w:pPr>
            <w:r>
              <w:rPr>
                <w:rFonts w:ascii="Arial" w:cs="Arial" w:eastAsia="Arial" w:hAnsi="Arial"/>
                <w:sz w:val="17"/>
                <w:szCs w:val="17"/>
                <w:color w:val="auto"/>
              </w:rPr>
              <w:t>(165)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w w:val="95"/>
              </w:rPr>
              <w:t>(235)</w:t>
            </w: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Gain on sale of non-operating assets</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DEF1"/>
          </w:tcPr>
          <w:p>
            <w:pPr>
              <w:spacing w:after="0"/>
              <w:rPr>
                <w:sz w:val="16"/>
                <w:szCs w:val="16"/>
                <w:color w:val="auto"/>
              </w:rPr>
            </w:pP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DEF1"/>
          </w:tcPr>
          <w:p>
            <w:pPr>
              <w:jc w:val="right"/>
              <w:ind w:right="96"/>
              <w:spacing w:after="0" w:line="189" w:lineRule="exact"/>
              <w:rPr>
                <w:sz w:val="20"/>
                <w:szCs w:val="20"/>
                <w:color w:val="auto"/>
              </w:rPr>
            </w:pPr>
            <w:r>
              <w:rPr>
                <w:rFonts w:ascii="Arial" w:cs="Arial" w:eastAsia="Arial" w:hAnsi="Arial"/>
                <w:sz w:val="17"/>
                <w:szCs w:val="17"/>
                <w:color w:val="auto"/>
              </w:rPr>
              <w:t>(3)</w:t>
            </w:r>
          </w:p>
        </w:tc>
        <w:tc>
          <w:tcPr>
            <w:tcW w:w="18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340"/>
              <w:spacing w:after="0" w:line="189" w:lineRule="exact"/>
              <w:rPr>
                <w:sz w:val="20"/>
                <w:szCs w:val="20"/>
                <w:color w:val="auto"/>
              </w:rPr>
            </w:pPr>
            <w:r>
              <w:rPr>
                <w:rFonts w:ascii="Arial" w:cs="Arial" w:eastAsia="Arial" w:hAnsi="Arial"/>
                <w:sz w:val="17"/>
                <w:szCs w:val="17"/>
                <w:color w:val="auto"/>
              </w:rPr>
              <w:t>Gain on sale related to minority investment in Sedaru</w:t>
            </w:r>
          </w:p>
        </w:tc>
        <w:tc>
          <w:tcPr>
            <w:tcW w:w="780" w:type="dxa"/>
            <w:vAlign w:val="bottom"/>
          </w:tcPr>
          <w:p>
            <w:pPr>
              <w:spacing w:after="0"/>
              <w:rPr>
                <w:sz w:val="16"/>
                <w:szCs w:val="16"/>
                <w:color w:val="auto"/>
              </w:rPr>
            </w:pPr>
          </w:p>
        </w:tc>
        <w:tc>
          <w:tcPr>
            <w:tcW w:w="2020" w:type="dxa"/>
            <w:vAlign w:val="bottom"/>
            <w:gridSpan w:val="2"/>
          </w:tcPr>
          <w:p>
            <w:pPr>
              <w:jc w:val="right"/>
              <w:ind w:right="197"/>
              <w:spacing w:after="0" w:line="189" w:lineRule="exact"/>
              <w:rPr>
                <w:sz w:val="20"/>
                <w:szCs w:val="20"/>
                <w:color w:val="auto"/>
              </w:rPr>
            </w:pPr>
            <w:r>
              <w:rPr>
                <w:rFonts w:ascii="Arial" w:cs="Arial" w:eastAsia="Arial" w:hAnsi="Arial"/>
                <w:sz w:val="17"/>
                <w:szCs w:val="17"/>
                <w:color w:val="auto"/>
              </w:rPr>
              <w:t>(28)</w:t>
            </w:r>
          </w:p>
        </w:tc>
        <w:tc>
          <w:tcPr>
            <w:tcW w:w="260" w:type="dxa"/>
            <w:vAlign w:val="bottom"/>
          </w:tcPr>
          <w:p>
            <w:pPr>
              <w:spacing w:after="0"/>
              <w:rPr>
                <w:sz w:val="16"/>
                <w:szCs w:val="16"/>
                <w:color w:val="auto"/>
              </w:rPr>
            </w:pPr>
          </w:p>
        </w:tc>
        <w:tc>
          <w:tcPr>
            <w:tcW w:w="780" w:type="dxa"/>
            <w:vAlign w:val="bottom"/>
          </w:tcPr>
          <w:p>
            <w:pPr>
              <w:jc w:val="right"/>
              <w:ind w:right="256"/>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Legal settlement charge</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DEF1"/>
          </w:tcPr>
          <w:p>
            <w:pPr>
              <w:spacing w:after="0"/>
              <w:rPr>
                <w:sz w:val="16"/>
                <w:szCs w:val="16"/>
                <w:color w:val="auto"/>
              </w:rPr>
            </w:pP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45</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6"/>
        </w:trPr>
        <w:tc>
          <w:tcPr>
            <w:tcW w:w="5400" w:type="dxa"/>
            <w:vAlign w:val="bottom"/>
          </w:tcPr>
          <w:p>
            <w:pPr>
              <w:ind w:left="340"/>
              <w:spacing w:after="0" w:line="189" w:lineRule="exact"/>
              <w:rPr>
                <w:sz w:val="20"/>
                <w:szCs w:val="20"/>
                <w:color w:val="auto"/>
              </w:rPr>
            </w:pPr>
            <w:r>
              <w:rPr>
                <w:rFonts w:ascii="Arial" w:cs="Arial" w:eastAsia="Arial" w:hAnsi="Arial"/>
                <w:sz w:val="17"/>
                <w:szCs w:val="17"/>
                <w:color w:val="auto"/>
              </w:rPr>
              <w:t>Impairment related to merger of Clinisys and Sunquest</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Borders>
              <w:bottom w:val="single" w:sz="8" w:color="auto"/>
            </w:tcBorders>
          </w:tcPr>
          <w:p>
            <w:pPr>
              <w:jc w:val="right"/>
              <w:ind w:right="257"/>
              <w:spacing w:after="0" w:line="189" w:lineRule="exact"/>
              <w:rPr>
                <w:sz w:val="20"/>
                <w:szCs w:val="20"/>
                <w:color w:val="auto"/>
              </w:rPr>
            </w:pPr>
            <w:r>
              <w:rPr>
                <w:rFonts w:ascii="Arial" w:cs="Arial" w:eastAsia="Arial" w:hAnsi="Arial"/>
                <w:sz w:val="17"/>
                <w:szCs w:val="17"/>
                <w:color w:val="auto"/>
              </w:rPr>
              <w:t>94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6"/>
              <w:spacing w:after="0" w:line="189"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6"/>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EBITDA</w:t>
            </w:r>
          </w:p>
        </w:tc>
        <w:tc>
          <w:tcPr>
            <w:tcW w:w="780" w:type="dxa"/>
            <w:vAlign w:val="bottom"/>
            <w:shd w:val="clear" w:color="auto" w:fill="CCDEF1"/>
          </w:tcPr>
          <w:p>
            <w:pPr>
              <w:spacing w:after="0"/>
              <w:rPr>
                <w:sz w:val="16"/>
                <w:szCs w:val="16"/>
                <w:color w:val="auto"/>
              </w:rPr>
            </w:pPr>
          </w:p>
        </w:tc>
        <w:tc>
          <w:tcPr>
            <w:tcW w:w="1140" w:type="dxa"/>
            <w:vAlign w:val="bottom"/>
            <w:shd w:val="clear" w:color="auto" w:fill="CCDEF1"/>
          </w:tcPr>
          <w:p>
            <w:pPr>
              <w:spacing w:after="0"/>
              <w:rPr>
                <w:sz w:val="16"/>
                <w:szCs w:val="16"/>
                <w:color w:val="auto"/>
              </w:rPr>
            </w:pPr>
          </w:p>
        </w:tc>
        <w:tc>
          <w:tcPr>
            <w:tcW w:w="880" w:type="dxa"/>
            <w:vAlign w:val="bottom"/>
            <w:tcBorders>
              <w:bottom w:val="single" w:sz="8" w:color="auto"/>
            </w:tcBorders>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w w:val="99"/>
              </w:rPr>
              <w:t>$1,944</w:t>
            </w:r>
          </w:p>
        </w:tc>
        <w:tc>
          <w:tcPr>
            <w:tcW w:w="260" w:type="dxa"/>
            <w:vAlign w:val="bottom"/>
            <w:tcBorders>
              <w:bottom w:val="single" w:sz="8" w:color="auto"/>
            </w:tcBorders>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w w:val="98"/>
              </w:rPr>
              <w:t>2,170</w:t>
            </w:r>
          </w:p>
        </w:tc>
        <w:tc>
          <w:tcPr>
            <w:tcW w:w="940" w:type="dxa"/>
            <w:vAlign w:val="bottom"/>
            <w:tcBorders>
              <w:bottom w:val="single" w:sz="8" w:color="auto"/>
            </w:tcBorders>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$ 2,511</w:t>
            </w:r>
          </w:p>
        </w:tc>
        <w:tc>
          <w:tcPr>
            <w:tcW w:w="620" w:type="dxa"/>
            <w:vAlign w:val="bottom"/>
            <w:tcBorders>
              <w:bottom w:val="single" w:sz="8" w:color="auto"/>
            </w:tcBorders>
            <w:gridSpan w:val="4"/>
            <w:shd w:val="clear" w:color="auto" w:fill="CCDEF1"/>
          </w:tcPr>
          <w:p>
            <w:pPr>
              <w:jc w:val="right"/>
              <w:spacing w:after="0" w:line="189" w:lineRule="exact"/>
              <w:rPr>
                <w:sz w:val="20"/>
                <w:szCs w:val="20"/>
                <w:color w:val="auto"/>
              </w:rPr>
            </w:pPr>
            <w:r>
              <w:rPr>
                <w:rFonts w:ascii="Arial" w:cs="Arial" w:eastAsia="Arial" w:hAnsi="Arial"/>
                <w:sz w:val="17"/>
                <w:szCs w:val="17"/>
                <w:color w:val="auto"/>
              </w:rPr>
              <w:t>$2,832</w:t>
            </w:r>
          </w:p>
        </w:tc>
        <w:tc>
          <w:tcPr>
            <w:tcW w:w="2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   % of adjusted revenue</w:t>
            </w: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40.2%</w:t>
            </w:r>
          </w:p>
        </w:tc>
        <w:tc>
          <w:tcPr>
            <w:tcW w:w="26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Arial" w:cs="Arial" w:eastAsia="Arial" w:hAnsi="Arial"/>
                <w:sz w:val="17"/>
                <w:szCs w:val="17"/>
                <w:color w:val="auto"/>
              </w:rPr>
              <w:t>40.4%</w:t>
            </w:r>
          </w:p>
        </w:tc>
        <w:tc>
          <w:tcPr>
            <w:tcW w:w="940" w:type="dxa"/>
            <w:vAlign w:val="bottom"/>
          </w:tcPr>
          <w:p>
            <w:pPr>
              <w:jc w:val="right"/>
              <w:spacing w:after="0"/>
              <w:rPr>
                <w:sz w:val="20"/>
                <w:szCs w:val="20"/>
                <w:color w:val="auto"/>
              </w:rPr>
            </w:pPr>
            <w:r>
              <w:rPr>
                <w:rFonts w:ascii="Arial" w:cs="Arial" w:eastAsia="Arial" w:hAnsi="Arial"/>
                <w:sz w:val="17"/>
                <w:szCs w:val="17"/>
                <w:color w:val="auto"/>
              </w:rPr>
              <w:t>40.6%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w w:val="95"/>
              </w:rPr>
              <w:t>40.2%</w:t>
            </w:r>
          </w:p>
        </w:tc>
        <w:tc>
          <w:tcPr>
            <w:tcW w:w="0" w:type="dxa"/>
            <w:vAlign w:val="bottom"/>
          </w:tcPr>
          <w:p>
            <w:pPr>
              <w:spacing w:after="0"/>
              <w:rPr>
                <w:sz w:val="1"/>
                <w:szCs w:val="1"/>
                <w:color w:val="auto"/>
              </w:rPr>
            </w:pPr>
          </w:p>
        </w:tc>
      </w:tr>
      <w:tr>
        <w:trPr>
          <w:trHeight w:val="388"/>
        </w:trPr>
        <w:tc>
          <w:tcPr>
            <w:tcW w:w="5400" w:type="dxa"/>
            <w:vAlign w:val="bottom"/>
          </w:tcPr>
          <w:p>
            <w:pPr>
              <w:spacing w:after="0"/>
              <w:rPr>
                <w:sz w:val="20"/>
                <w:szCs w:val="20"/>
                <w:color w:val="auto"/>
              </w:rPr>
            </w:pPr>
            <w:r>
              <w:rPr>
                <w:rFonts w:ascii="Arial" w:cs="Arial" w:eastAsia="Arial" w:hAnsi="Arial"/>
                <w:sz w:val="17"/>
                <w:szCs w:val="17"/>
                <w:color w:val="auto"/>
              </w:rPr>
              <w:t>Table 2: Adjusted cash flow reconciliation ($M)</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w w:val="96"/>
              </w:rPr>
              <w:t>2024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Operating cash flow</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$1,656</w:t>
            </w:r>
          </w:p>
        </w:tc>
        <w:tc>
          <w:tcPr>
            <w:tcW w:w="260" w:type="dxa"/>
            <w:vAlign w:val="bottom"/>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607</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$2,037</w:t>
            </w:r>
          </w:p>
        </w:tc>
        <w:tc>
          <w:tcPr>
            <w:tcW w:w="840" w:type="dxa"/>
            <w:vAlign w:val="bottom"/>
            <w:gridSpan w:val="5"/>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196"/>
        </w:trPr>
        <w:tc>
          <w:tcPr>
            <w:tcW w:w="5400" w:type="dxa"/>
            <w:vAlign w:val="bottom"/>
          </w:tcPr>
          <w:p>
            <w:pPr>
              <w:ind w:left="340"/>
              <w:spacing w:after="0" w:line="189" w:lineRule="exact"/>
              <w:rPr>
                <w:sz w:val="20"/>
                <w:szCs w:val="20"/>
                <w:color w:val="auto"/>
              </w:rPr>
            </w:pPr>
            <w:r>
              <w:rPr>
                <w:rFonts w:ascii="Arial" w:cs="Arial" w:eastAsia="Arial" w:hAnsi="Arial"/>
                <w:sz w:val="17"/>
                <w:szCs w:val="17"/>
                <w:color w:val="auto"/>
              </w:rPr>
              <w:t>Taxes paid in period related to divestitures</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Borders>
              <w:bottom w:val="single" w:sz="8" w:color="auto"/>
            </w:tcBorders>
          </w:tcPr>
          <w:p>
            <w:pPr>
              <w:jc w:val="right"/>
              <w:ind w:right="257"/>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6"/>
              <w:spacing w:after="0" w:line="189" w:lineRule="exact"/>
              <w:rPr>
                <w:sz w:val="20"/>
                <w:szCs w:val="20"/>
                <w:color w:val="auto"/>
              </w:rPr>
            </w:pPr>
            <w:r>
              <w:rPr>
                <w:rFonts w:ascii="Arial" w:cs="Arial" w:eastAsia="Arial" w:hAnsi="Arial"/>
                <w:sz w:val="17"/>
                <w:szCs w:val="17"/>
                <w:color w:val="auto"/>
              </w:rPr>
              <w:t>954</w:t>
            </w:r>
          </w:p>
        </w:tc>
        <w:tc>
          <w:tcPr>
            <w:tcW w:w="940" w:type="dxa"/>
            <w:vAlign w:val="bottom"/>
            <w:tcBorders>
              <w:bottom w:val="single" w:sz="8" w:color="auto"/>
            </w:tcBorders>
          </w:tcPr>
          <w:p>
            <w:pPr>
              <w:jc w:val="right"/>
              <w:ind w:right="156"/>
              <w:spacing w:after="0" w:line="189" w:lineRule="exact"/>
              <w:rPr>
                <w:sz w:val="20"/>
                <w:szCs w:val="20"/>
                <w:color w:val="auto"/>
              </w:rPr>
            </w:pPr>
            <w:r>
              <w:rPr>
                <w:rFonts w:ascii="Arial" w:cs="Arial" w:eastAsia="Arial" w:hAnsi="Arial"/>
                <w:sz w:val="17"/>
                <w:szCs w:val="17"/>
                <w:color w:val="auto"/>
              </w:rPr>
              <w:t>32</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257"/>
              <w:spacing w:after="0" w:line="189" w:lineRule="exact"/>
              <w:rPr>
                <w:sz w:val="20"/>
                <w:szCs w:val="20"/>
                <w:color w:val="auto"/>
              </w:rPr>
            </w:pPr>
            <w:r>
              <w:rPr>
                <w:rFonts w:ascii="Arial" w:cs="Arial" w:eastAsia="Arial" w:hAnsi="Arial"/>
                <w:sz w:val="17"/>
                <w:szCs w:val="17"/>
                <w:color w:val="auto"/>
              </w:rPr>
              <w:t>$1,656</w:t>
            </w:r>
          </w:p>
        </w:tc>
        <w:tc>
          <w:tcPr>
            <w:tcW w:w="260" w:type="dxa"/>
            <w:vAlign w:val="bottom"/>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w w:val="98"/>
              </w:rPr>
              <w:t>1,560</w:t>
            </w:r>
          </w:p>
        </w:tc>
        <w:tc>
          <w:tcPr>
            <w:tcW w:w="940" w:type="dxa"/>
            <w:vAlign w:val="bottom"/>
            <w:shd w:val="clear" w:color="auto" w:fill="CCDEF1"/>
          </w:tcPr>
          <w:p>
            <w:pPr>
              <w:jc w:val="right"/>
              <w:ind w:right="156"/>
              <w:spacing w:after="0" w:line="189" w:lineRule="exact"/>
              <w:rPr>
                <w:sz w:val="20"/>
                <w:szCs w:val="20"/>
                <w:color w:val="auto"/>
              </w:rPr>
            </w:pPr>
            <w:r>
              <w:rPr>
                <w:rFonts w:ascii="Arial" w:cs="Arial" w:eastAsia="Arial" w:hAnsi="Arial"/>
                <w:sz w:val="17"/>
                <w:szCs w:val="17"/>
                <w:color w:val="auto"/>
              </w:rPr>
              <w:t>$2,070</w:t>
            </w:r>
          </w:p>
        </w:tc>
        <w:tc>
          <w:tcPr>
            <w:tcW w:w="840" w:type="dxa"/>
            <w:vAlign w:val="bottom"/>
            <w:gridSpan w:val="5"/>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189"/>
        </w:trPr>
        <w:tc>
          <w:tcPr>
            <w:tcW w:w="5400" w:type="dxa"/>
            <w:vAlign w:val="bottom"/>
          </w:tcPr>
          <w:p>
            <w:pPr>
              <w:ind w:left="340"/>
              <w:spacing w:after="0" w:line="189" w:lineRule="exact"/>
              <w:rPr>
                <w:sz w:val="20"/>
                <w:szCs w:val="20"/>
                <w:color w:val="auto"/>
              </w:rPr>
            </w:pPr>
            <w:r>
              <w:rPr>
                <w:rFonts w:ascii="Arial" w:cs="Arial" w:eastAsia="Arial" w:hAnsi="Arial"/>
                <w:sz w:val="17"/>
                <w:szCs w:val="17"/>
                <w:color w:val="auto"/>
              </w:rPr>
              <w:t>Capital expenditures</w:t>
            </w:r>
          </w:p>
        </w:tc>
        <w:tc>
          <w:tcPr>
            <w:tcW w:w="780" w:type="dxa"/>
            <w:vAlign w:val="bottom"/>
          </w:tcPr>
          <w:p>
            <w:pPr>
              <w:spacing w:after="0"/>
              <w:rPr>
                <w:sz w:val="16"/>
                <w:szCs w:val="16"/>
                <w:color w:val="auto"/>
              </w:rPr>
            </w:pPr>
          </w:p>
        </w:tc>
        <w:tc>
          <w:tcPr>
            <w:tcW w:w="2020" w:type="dxa"/>
            <w:vAlign w:val="bottom"/>
            <w:gridSpan w:val="2"/>
          </w:tcPr>
          <w:p>
            <w:pPr>
              <w:jc w:val="right"/>
              <w:ind w:right="197"/>
              <w:spacing w:after="0" w:line="189" w:lineRule="exact"/>
              <w:rPr>
                <w:sz w:val="20"/>
                <w:szCs w:val="20"/>
                <w:color w:val="auto"/>
              </w:rPr>
            </w:pPr>
            <w:r>
              <w:rPr>
                <w:rFonts w:ascii="Arial" w:cs="Arial" w:eastAsia="Arial" w:hAnsi="Arial"/>
                <w:sz w:val="17"/>
                <w:szCs w:val="17"/>
                <w:color w:val="auto"/>
              </w:rPr>
              <w:t>(28)</w:t>
            </w:r>
          </w:p>
        </w:tc>
        <w:tc>
          <w:tcPr>
            <w:tcW w:w="260" w:type="dxa"/>
            <w:vAlign w:val="bottom"/>
          </w:tcPr>
          <w:p>
            <w:pPr>
              <w:spacing w:after="0"/>
              <w:rPr>
                <w:sz w:val="16"/>
                <w:szCs w:val="16"/>
                <w:color w:val="auto"/>
              </w:rPr>
            </w:pPr>
          </w:p>
        </w:tc>
        <w:tc>
          <w:tcPr>
            <w:tcW w:w="780" w:type="dxa"/>
            <w:vAlign w:val="bottom"/>
          </w:tcPr>
          <w:p>
            <w:pPr>
              <w:jc w:val="right"/>
              <w:ind w:right="196"/>
              <w:spacing w:after="0" w:line="189" w:lineRule="exact"/>
              <w:rPr>
                <w:sz w:val="20"/>
                <w:szCs w:val="20"/>
                <w:color w:val="auto"/>
              </w:rPr>
            </w:pPr>
            <w:r>
              <w:rPr>
                <w:rFonts w:ascii="Arial" w:cs="Arial" w:eastAsia="Arial" w:hAnsi="Arial"/>
                <w:sz w:val="17"/>
                <w:szCs w:val="17"/>
                <w:color w:val="auto"/>
              </w:rPr>
              <w:t>(40)</w:t>
            </w:r>
          </w:p>
        </w:tc>
        <w:tc>
          <w:tcPr>
            <w:tcW w:w="940" w:type="dxa"/>
            <w:vAlign w:val="bottom"/>
          </w:tcPr>
          <w:p>
            <w:pPr>
              <w:jc w:val="right"/>
              <w:ind w:right="96"/>
              <w:spacing w:after="0" w:line="189" w:lineRule="exact"/>
              <w:rPr>
                <w:sz w:val="20"/>
                <w:szCs w:val="20"/>
                <w:color w:val="auto"/>
              </w:rPr>
            </w:pPr>
            <w:r>
              <w:rPr>
                <w:rFonts w:ascii="Arial" w:cs="Arial" w:eastAsia="Arial" w:hAnsi="Arial"/>
                <w:sz w:val="17"/>
                <w:szCs w:val="17"/>
                <w:color w:val="auto"/>
              </w:rPr>
              <w:t>(68)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540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780" w:type="dxa"/>
            <w:vAlign w:val="bottom"/>
            <w:shd w:val="clear" w:color="auto" w:fill="CCDEF1"/>
          </w:tcPr>
          <w:p>
            <w:pPr>
              <w:spacing w:after="0"/>
              <w:rPr>
                <w:sz w:val="16"/>
                <w:szCs w:val="16"/>
                <w:color w:val="auto"/>
              </w:rPr>
            </w:pPr>
          </w:p>
        </w:tc>
        <w:tc>
          <w:tcPr>
            <w:tcW w:w="2020" w:type="dxa"/>
            <w:vAlign w:val="bottom"/>
            <w:gridSpan w:val="2"/>
            <w:shd w:val="clear" w:color="auto" w:fill="CCDEF1"/>
          </w:tcPr>
          <w:p>
            <w:pPr>
              <w:jc w:val="right"/>
              <w:ind w:right="197"/>
              <w:spacing w:after="0" w:line="189" w:lineRule="exact"/>
              <w:rPr>
                <w:sz w:val="20"/>
                <w:szCs w:val="20"/>
                <w:color w:val="auto"/>
              </w:rPr>
            </w:pPr>
            <w:r>
              <w:rPr>
                <w:rFonts w:ascii="Arial" w:cs="Arial" w:eastAsia="Arial" w:hAnsi="Arial"/>
                <w:sz w:val="17"/>
                <w:szCs w:val="17"/>
                <w:color w:val="auto"/>
              </w:rPr>
              <w:t>(30)</w:t>
            </w:r>
          </w:p>
        </w:tc>
        <w:tc>
          <w:tcPr>
            <w:tcW w:w="260" w:type="dxa"/>
            <w:vAlign w:val="bottom"/>
            <w:shd w:val="clear" w:color="auto" w:fill="CCDEF1"/>
          </w:tcPr>
          <w:p>
            <w:pPr>
              <w:spacing w:after="0"/>
              <w:rPr>
                <w:sz w:val="16"/>
                <w:szCs w:val="16"/>
                <w:color w:val="auto"/>
              </w:rPr>
            </w:pPr>
          </w:p>
        </w:tc>
        <w:tc>
          <w:tcPr>
            <w:tcW w:w="780" w:type="dxa"/>
            <w:vAlign w:val="bottom"/>
            <w:shd w:val="clear" w:color="auto" w:fill="CCDEF1"/>
          </w:tcPr>
          <w:p>
            <w:pPr>
              <w:jc w:val="right"/>
              <w:ind w:right="196"/>
              <w:spacing w:after="0" w:line="189" w:lineRule="exact"/>
              <w:rPr>
                <w:sz w:val="20"/>
                <w:szCs w:val="20"/>
                <w:color w:val="auto"/>
              </w:rPr>
            </w:pPr>
            <w:r>
              <w:rPr>
                <w:rFonts w:ascii="Arial" w:cs="Arial" w:eastAsia="Arial" w:hAnsi="Arial"/>
                <w:sz w:val="17"/>
                <w:szCs w:val="17"/>
                <w:color w:val="auto"/>
              </w:rPr>
              <w:t>(30)</w:t>
            </w:r>
          </w:p>
        </w:tc>
        <w:tc>
          <w:tcPr>
            <w:tcW w:w="940" w:type="dxa"/>
            <w:vAlign w:val="bottom"/>
            <w:shd w:val="clear" w:color="auto" w:fill="CCDEF1"/>
          </w:tcPr>
          <w:p>
            <w:pPr>
              <w:jc w:val="right"/>
              <w:ind w:right="96"/>
              <w:spacing w:after="0" w:line="189" w:lineRule="exact"/>
              <w:rPr>
                <w:sz w:val="20"/>
                <w:szCs w:val="20"/>
                <w:color w:val="auto"/>
              </w:rPr>
            </w:pPr>
            <w:r>
              <w:rPr>
                <w:rFonts w:ascii="Arial" w:cs="Arial" w:eastAsia="Arial" w:hAnsi="Arial"/>
                <w:sz w:val="17"/>
                <w:szCs w:val="17"/>
                <w:color w:val="auto"/>
              </w:rPr>
              <w:t>(40)</w:t>
            </w:r>
          </w:p>
        </w:tc>
        <w:tc>
          <w:tcPr>
            <w:tcW w:w="18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16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color w:val="auto"/>
                <w:w w:val="99"/>
              </w:rPr>
              <w:t>$1,598</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color w:val="auto"/>
                <w:w w:val="98"/>
              </w:rPr>
              <w:t>1,490</w:t>
            </w:r>
          </w:p>
        </w:tc>
        <w:tc>
          <w:tcPr>
            <w:tcW w:w="9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$1,962</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$2,282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6"/>
                <w:szCs w:val="16"/>
                <w:b w:val="1"/>
                <w:bCs w:val="1"/>
                <w:color w:val="005CB9"/>
              </w:rPr>
              <w:t xml:space="preserve">  </w:t>
            </w:r>
          </w:p>
        </w:tc>
        <w:tc>
          <w:tcPr>
            <w:tcW w:w="4180" w:type="dxa"/>
            <w:vAlign w:val="bottom"/>
            <w:gridSpan w:val="6"/>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2025 Proxy Statement</w:t>
            </w:r>
          </w:p>
        </w:tc>
        <w:tc>
          <w:tcPr>
            <w:tcW w:w="100" w:type="dxa"/>
            <w:vAlign w:val="bottom"/>
            <w:vMerge w:val="restart"/>
          </w:tcPr>
          <w:p>
            <w:pPr>
              <w:ind w:left="40"/>
              <w:spacing w:after="0"/>
              <w:rPr>
                <w:sz w:val="20"/>
                <w:szCs w:val="20"/>
                <w:color w:val="auto"/>
              </w:rPr>
            </w:pPr>
            <w:r>
              <w:rPr>
                <w:rFonts w:ascii="Arial" w:cs="Arial" w:eastAsia="Arial" w:hAnsi="Arial"/>
                <w:sz w:val="5"/>
                <w:szCs w:val="5"/>
                <w:b w:val="1"/>
                <w:bCs w:val="1"/>
                <w:color w:val="005CB9"/>
                <w:w w:val="79"/>
              </w:rPr>
              <w:t> </w:t>
            </w:r>
          </w:p>
        </w:tc>
        <w:tc>
          <w:tcPr>
            <w:tcW w:w="12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5CB9"/>
                <w:w w:val="96"/>
              </w:rPr>
              <w:t>   A-1</w:t>
            </w: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180" w:type="dxa"/>
            <w:vAlign w:val="bottom"/>
            <w:gridSpan w:val="6"/>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right w:val="single" w:sz="8" w:color="005CB9"/>
            </w:tcBorders>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1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right w:val="single" w:sz="8" w:color="005CB9"/>
            </w:tcBorders>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4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3: 2014, 2019 and 2024 Adjusted cash flow reconciliation ($M)</w:t>
      </w: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780" w:type="dxa"/>
            <w:vAlign w:val="bottom"/>
            <w:gridSpan w:val="2"/>
          </w:tcPr>
          <w:p>
            <w:pPr>
              <w:jc w:val="right"/>
              <w:ind w:right="115"/>
              <w:spacing w:after="0"/>
              <w:rPr>
                <w:sz w:val="20"/>
                <w:szCs w:val="20"/>
                <w:color w:val="auto"/>
              </w:rPr>
            </w:pPr>
            <w:r>
              <w:rPr>
                <w:rFonts w:ascii="Arial" w:cs="Arial" w:eastAsia="Arial" w:hAnsi="Arial"/>
                <w:sz w:val="14"/>
                <w:szCs w:val="14"/>
                <w:color w:val="auto"/>
              </w:rPr>
              <w:t>2014</w:t>
            </w:r>
          </w:p>
        </w:tc>
        <w:tc>
          <w:tcPr>
            <w:tcW w:w="820" w:type="dxa"/>
            <w:vAlign w:val="bottom"/>
            <w:gridSpan w:val="2"/>
          </w:tcPr>
          <w:p>
            <w:pPr>
              <w:jc w:val="right"/>
              <w:ind w:right="135"/>
              <w:spacing w:after="0"/>
              <w:rPr>
                <w:sz w:val="20"/>
                <w:szCs w:val="20"/>
                <w:color w:val="auto"/>
              </w:rPr>
            </w:pPr>
            <w:r>
              <w:rPr>
                <w:rFonts w:ascii="Arial" w:cs="Arial" w:eastAsia="Arial" w:hAnsi="Arial"/>
                <w:sz w:val="14"/>
                <w:szCs w:val="14"/>
                <w:color w:val="auto"/>
              </w:rPr>
              <w:t>2019</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w w:val="96"/>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60" w:type="dxa"/>
            <w:vAlign w:val="bottom"/>
            <w:shd w:val="clear" w:color="auto" w:fill="CCDEF1"/>
          </w:tcPr>
          <w:p>
            <w:pPr>
              <w:spacing w:after="0"/>
              <w:rPr>
                <w:sz w:val="20"/>
                <w:szCs w:val="20"/>
                <w:color w:val="auto"/>
              </w:rPr>
            </w:pPr>
            <w:r>
              <w:rPr>
                <w:rFonts w:ascii="Arial" w:cs="Arial" w:eastAsia="Arial" w:hAnsi="Arial"/>
                <w:sz w:val="17"/>
                <w:szCs w:val="17"/>
                <w:color w:val="auto"/>
              </w:rPr>
              <w:t>Operating cash flow</w:t>
            </w:r>
          </w:p>
        </w:tc>
        <w:tc>
          <w:tcPr>
            <w:tcW w:w="780" w:type="dxa"/>
            <w:vAlign w:val="bottom"/>
            <w:gridSpan w:val="2"/>
            <w:shd w:val="clear" w:color="auto" w:fill="CCDEF1"/>
          </w:tcPr>
          <w:p>
            <w:pPr>
              <w:jc w:val="right"/>
              <w:ind w:right="75"/>
              <w:spacing w:after="0"/>
              <w:rPr>
                <w:sz w:val="20"/>
                <w:szCs w:val="20"/>
                <w:color w:val="auto"/>
              </w:rPr>
            </w:pPr>
            <w:r>
              <w:rPr>
                <w:rFonts w:ascii="Arial" w:cs="Arial" w:eastAsia="Arial" w:hAnsi="Arial"/>
                <w:sz w:val="17"/>
                <w:szCs w:val="17"/>
                <w:color w:val="auto"/>
              </w:rPr>
              <w:t>$ 840</w:t>
            </w:r>
          </w:p>
        </w:tc>
        <w:tc>
          <w:tcPr>
            <w:tcW w:w="820" w:type="dxa"/>
            <w:vAlign w:val="bottom"/>
            <w:gridSpan w:val="2"/>
            <w:shd w:val="clear" w:color="auto" w:fill="CCDEF1"/>
          </w:tcPr>
          <w:p>
            <w:pPr>
              <w:jc w:val="right"/>
              <w:ind w:right="35"/>
              <w:spacing w:after="0"/>
              <w:rPr>
                <w:sz w:val="20"/>
                <w:szCs w:val="20"/>
                <w:color w:val="auto"/>
              </w:rPr>
            </w:pPr>
            <w:r>
              <w:rPr>
                <w:rFonts w:ascii="Arial" w:cs="Arial" w:eastAsia="Arial" w:hAnsi="Arial"/>
                <w:sz w:val="17"/>
                <w:szCs w:val="17"/>
                <w:color w:val="auto"/>
              </w:rPr>
              <w:t>$1,462</w:t>
            </w:r>
          </w:p>
        </w:tc>
        <w:tc>
          <w:tcPr>
            <w:tcW w:w="760" w:type="dxa"/>
            <w:vAlign w:val="bottom"/>
            <w:gridSpan w:val="4"/>
            <w:shd w:val="clear" w:color="auto" w:fill="CCDEF1"/>
          </w:tcPr>
          <w:p>
            <w:pPr>
              <w:jc w:val="right"/>
              <w:ind w:right="120"/>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Taxes paid in period related to divestitures</w:t>
            </w:r>
          </w:p>
        </w:tc>
        <w:tc>
          <w:tcPr>
            <w:tcW w:w="220" w:type="dxa"/>
            <w:vAlign w:val="bottom"/>
          </w:tcPr>
          <w:p>
            <w:pPr>
              <w:spacing w:after="0"/>
              <w:rPr>
                <w:sz w:val="21"/>
                <w:szCs w:val="21"/>
                <w:color w:val="auto"/>
              </w:rPr>
            </w:pPr>
          </w:p>
        </w:tc>
        <w:tc>
          <w:tcPr>
            <w:tcW w:w="5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5"/>
              <w:spacing w:after="0"/>
              <w:rPr>
                <w:sz w:val="20"/>
                <w:szCs w:val="20"/>
                <w:color w:val="auto"/>
              </w:rPr>
            </w:pPr>
            <w:r>
              <w:rPr>
                <w:rFonts w:ascii="Arial" w:cs="Arial" w:eastAsia="Arial" w:hAnsi="Arial"/>
                <w:sz w:val="17"/>
                <w:szCs w:val="17"/>
                <w:color w:val="auto"/>
              </w:rPr>
              <w:t>39</w:t>
            </w: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780" w:type="dxa"/>
            <w:vAlign w:val="bottom"/>
            <w:gridSpan w:val="2"/>
            <w:shd w:val="clear" w:color="auto" w:fill="CCDEF1"/>
          </w:tcPr>
          <w:p>
            <w:pPr>
              <w:jc w:val="right"/>
              <w:ind w:right="75"/>
              <w:spacing w:after="0" w:line="189" w:lineRule="exact"/>
              <w:rPr>
                <w:sz w:val="20"/>
                <w:szCs w:val="20"/>
                <w:color w:val="auto"/>
              </w:rPr>
            </w:pPr>
            <w:r>
              <w:rPr>
                <w:rFonts w:ascii="Arial" w:cs="Arial" w:eastAsia="Arial" w:hAnsi="Arial"/>
                <w:sz w:val="17"/>
                <w:szCs w:val="17"/>
                <w:color w:val="auto"/>
              </w:rPr>
              <w:t>$ 840</w:t>
            </w:r>
          </w:p>
        </w:tc>
        <w:tc>
          <w:tcPr>
            <w:tcW w:w="820" w:type="dxa"/>
            <w:vAlign w:val="bottom"/>
            <w:gridSpan w:val="2"/>
            <w:shd w:val="clear" w:color="auto" w:fill="CCDEF1"/>
          </w:tcPr>
          <w:p>
            <w:pPr>
              <w:jc w:val="right"/>
              <w:ind w:right="35"/>
              <w:spacing w:after="0" w:line="189" w:lineRule="exact"/>
              <w:rPr>
                <w:sz w:val="20"/>
                <w:szCs w:val="20"/>
                <w:color w:val="auto"/>
              </w:rPr>
            </w:pPr>
            <w:r>
              <w:rPr>
                <w:rFonts w:ascii="Arial" w:cs="Arial" w:eastAsia="Arial" w:hAnsi="Arial"/>
                <w:sz w:val="17"/>
                <w:szCs w:val="17"/>
                <w:color w:val="auto"/>
              </w:rPr>
              <w:t>$1,501</w:t>
            </w:r>
          </w:p>
        </w:tc>
        <w:tc>
          <w:tcPr>
            <w:tcW w:w="76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(38)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220" w:type="dxa"/>
            <w:vAlign w:val="bottom"/>
            <w:shd w:val="clear" w:color="auto" w:fill="CCDEF1"/>
          </w:tcPr>
          <w:p>
            <w:pPr>
              <w:spacing w:after="0"/>
              <w:rPr>
                <w:sz w:val="16"/>
                <w:szCs w:val="16"/>
                <w:color w:val="auto"/>
              </w:rPr>
            </w:pPr>
          </w:p>
        </w:tc>
        <w:tc>
          <w:tcPr>
            <w:tcW w:w="560" w:type="dxa"/>
            <w:vAlign w:val="bottom"/>
            <w:shd w:val="clear" w:color="auto" w:fill="CCDEF1"/>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820" w:type="dxa"/>
            <w:vAlign w:val="bottom"/>
            <w:gridSpan w:val="2"/>
            <w:shd w:val="clear" w:color="auto" w:fill="CCDEF1"/>
          </w:tcPr>
          <w:p>
            <w:pPr>
              <w:jc w:val="right"/>
              <w:spacing w:after="0" w:line="189" w:lineRule="exact"/>
              <w:rPr>
                <w:sz w:val="20"/>
                <w:szCs w:val="20"/>
                <w:color w:val="auto"/>
              </w:rPr>
            </w:pPr>
            <w:r>
              <w:rPr>
                <w:rFonts w:ascii="Arial" w:cs="Arial" w:eastAsia="Arial" w:hAnsi="Arial"/>
                <w:sz w:val="17"/>
                <w:szCs w:val="17"/>
                <w:color w:val="auto"/>
              </w:rPr>
              <w:t>(10)</w:t>
            </w:r>
          </w:p>
        </w:tc>
        <w:tc>
          <w:tcPr>
            <w:tcW w:w="7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780" w:type="dxa"/>
            <w:vAlign w:val="bottom"/>
            <w:gridSpan w:val="2"/>
          </w:tcPr>
          <w:p>
            <w:pPr>
              <w:jc w:val="right"/>
              <w:ind w:right="75"/>
              <w:spacing w:after="0"/>
              <w:rPr>
                <w:sz w:val="20"/>
                <w:szCs w:val="20"/>
                <w:color w:val="auto"/>
              </w:rPr>
            </w:pPr>
            <w:r>
              <w:rPr>
                <w:rFonts w:ascii="Arial" w:cs="Arial" w:eastAsia="Arial" w:hAnsi="Arial"/>
                <w:sz w:val="17"/>
                <w:szCs w:val="17"/>
                <w:color w:val="auto"/>
              </w:rPr>
              <w:t>$ 800</w:t>
            </w:r>
          </w:p>
        </w:tc>
        <w:tc>
          <w:tcPr>
            <w:tcW w:w="820" w:type="dxa"/>
            <w:vAlign w:val="bottom"/>
            <w:gridSpan w:val="2"/>
          </w:tcPr>
          <w:p>
            <w:pPr>
              <w:jc w:val="right"/>
              <w:ind w:right="35"/>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1,438</w:t>
            </w:r>
          </w:p>
        </w:tc>
        <w:tc>
          <w:tcPr>
            <w:tcW w:w="760" w:type="dxa"/>
            <w:vAlign w:val="bottom"/>
            <w:gridSpan w:val="4"/>
          </w:tcPr>
          <w:p>
            <w:pPr>
              <w:jc w:val="right"/>
              <w:ind w:right="1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2,282</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Table 4: 2024 Adjusted net earnings reconciliation ($M)</w:t>
            </w: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6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395"/>
              <w:spacing w:after="0"/>
              <w:rPr>
                <w:sz w:val="20"/>
                <w:szCs w:val="20"/>
                <w:color w:val="auto"/>
              </w:rPr>
            </w:pPr>
            <w:r>
              <w:rPr>
                <w:rFonts w:ascii="Arial" w:cs="Arial" w:eastAsia="Arial" w:hAnsi="Arial"/>
                <w:sz w:val="14"/>
                <w:szCs w:val="14"/>
                <w:color w:val="auto"/>
              </w:rPr>
              <w:t>2023</w:t>
            </w:r>
          </w:p>
        </w:tc>
        <w:tc>
          <w:tcPr>
            <w:tcW w:w="540" w:type="dxa"/>
            <w:vAlign w:val="bottom"/>
            <w:gridSpan w:val="2"/>
          </w:tcPr>
          <w:p>
            <w:pPr>
              <w:jc w:val="right"/>
              <w:ind w:right="61"/>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60" w:type="dxa"/>
            <w:vAlign w:val="bottom"/>
            <w:shd w:val="clear" w:color="auto" w:fill="CCDEF1"/>
          </w:tcPr>
          <w:p>
            <w:pPr>
              <w:spacing w:after="0"/>
              <w:rPr>
                <w:sz w:val="20"/>
                <w:szCs w:val="20"/>
                <w:color w:val="auto"/>
              </w:rPr>
            </w:pPr>
            <w:r>
              <w:rPr>
                <w:rFonts w:ascii="Arial" w:cs="Arial" w:eastAsia="Arial" w:hAnsi="Arial"/>
                <w:sz w:val="17"/>
                <w:szCs w:val="17"/>
                <w:color w:val="auto"/>
              </w:rPr>
              <w:t>GAAP net earnings</w:t>
            </w:r>
          </w:p>
        </w:tc>
        <w:tc>
          <w:tcPr>
            <w:tcW w:w="220" w:type="dxa"/>
            <w:vAlign w:val="bottom"/>
            <w:shd w:val="clear" w:color="auto" w:fill="CCDEF1"/>
          </w:tcPr>
          <w:p>
            <w:pPr>
              <w:spacing w:after="0"/>
              <w:rPr>
                <w:sz w:val="20"/>
                <w:szCs w:val="20"/>
                <w:color w:val="auto"/>
              </w:rPr>
            </w:pPr>
          </w:p>
        </w:tc>
        <w:tc>
          <w:tcPr>
            <w:tcW w:w="560" w:type="dxa"/>
            <w:vAlign w:val="bottom"/>
            <w:shd w:val="clear" w:color="auto" w:fill="CCDEF1"/>
          </w:tcPr>
          <w:p>
            <w:pPr>
              <w:spacing w:after="0"/>
              <w:rPr>
                <w:sz w:val="20"/>
                <w:szCs w:val="20"/>
                <w:color w:val="auto"/>
              </w:rPr>
            </w:pPr>
          </w:p>
        </w:tc>
        <w:tc>
          <w:tcPr>
            <w:tcW w:w="820" w:type="dxa"/>
            <w:vAlign w:val="bottom"/>
            <w:gridSpan w:val="2"/>
            <w:shd w:val="clear" w:color="auto" w:fill="CCDEF1"/>
          </w:tcPr>
          <w:p>
            <w:pPr>
              <w:jc w:val="right"/>
              <w:ind w:right="155"/>
              <w:spacing w:after="0"/>
              <w:rPr>
                <w:sz w:val="20"/>
                <w:szCs w:val="20"/>
                <w:color w:val="auto"/>
              </w:rPr>
            </w:pPr>
            <w:r>
              <w:rPr>
                <w:rFonts w:ascii="Arial" w:cs="Arial" w:eastAsia="Arial" w:hAnsi="Arial"/>
                <w:sz w:val="17"/>
                <w:szCs w:val="17"/>
                <w:color w:val="auto"/>
                <w:w w:val="98"/>
              </w:rPr>
              <w:t>$ 1,368</w:t>
            </w:r>
          </w:p>
        </w:tc>
        <w:tc>
          <w:tcPr>
            <w:tcW w:w="760" w:type="dxa"/>
            <w:vAlign w:val="bottom"/>
            <w:gridSpan w:val="4"/>
            <w:shd w:val="clear" w:color="auto" w:fill="CCDEF1"/>
          </w:tcPr>
          <w:p>
            <w:pPr>
              <w:jc w:val="right"/>
              <w:ind w:right="120"/>
              <w:spacing w:after="0"/>
              <w:rPr>
                <w:sz w:val="20"/>
                <w:szCs w:val="20"/>
                <w:color w:val="auto"/>
              </w:rPr>
            </w:pPr>
            <w:r>
              <w:rPr>
                <w:rFonts w:ascii="Arial" w:cs="Arial" w:eastAsia="Arial" w:hAnsi="Arial"/>
                <w:sz w:val="17"/>
                <w:szCs w:val="17"/>
                <w:color w:val="auto"/>
              </w:rPr>
              <w:t>$ 1,549</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Restructuring-related expenses associated with the Syntellis (’23) and Transact (’24) acquisitions</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jc w:val="right"/>
              <w:ind w:right="155"/>
              <w:spacing w:after="0" w:line="189" w:lineRule="exact"/>
              <w:rPr>
                <w:sz w:val="20"/>
                <w:szCs w:val="20"/>
                <w:color w:val="auto"/>
              </w:rPr>
            </w:pPr>
            <w:r>
              <w:rPr>
                <w:rFonts w:ascii="Arial" w:cs="Arial" w:eastAsia="Arial" w:hAnsi="Arial"/>
                <w:sz w:val="17"/>
                <w:szCs w:val="17"/>
                <w:color w:val="auto"/>
              </w:rPr>
              <w:t>7</w:t>
            </w:r>
          </w:p>
        </w:tc>
        <w:tc>
          <w:tcPr>
            <w:tcW w:w="7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22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820" w:type="dxa"/>
            <w:vAlign w:val="bottom"/>
            <w:gridSpan w:val="2"/>
            <w:shd w:val="clear" w:color="auto" w:fill="CCDEF1"/>
          </w:tcPr>
          <w:p>
            <w:pPr>
              <w:jc w:val="right"/>
              <w:ind w:right="155"/>
              <w:spacing w:after="0" w:line="189" w:lineRule="exact"/>
              <w:rPr>
                <w:sz w:val="20"/>
                <w:szCs w:val="20"/>
                <w:color w:val="auto"/>
              </w:rPr>
            </w:pPr>
            <w:r>
              <w:rPr>
                <w:rFonts w:ascii="Arial" w:cs="Arial" w:eastAsia="Arial" w:hAnsi="Arial"/>
                <w:sz w:val="17"/>
                <w:szCs w:val="17"/>
                <w:color w:val="auto"/>
              </w:rPr>
              <w:t>6</w:t>
            </w:r>
          </w:p>
        </w:tc>
        <w:tc>
          <w:tcPr>
            <w:tcW w:w="76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Financial impacts associated with the minority investments in Indicor &amp; Certinia</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jc w:val="right"/>
              <w:ind w:right="95"/>
              <w:spacing w:after="0" w:line="189" w:lineRule="exact"/>
              <w:rPr>
                <w:sz w:val="20"/>
                <w:szCs w:val="20"/>
                <w:color w:val="auto"/>
              </w:rPr>
            </w:pPr>
            <w:r>
              <w:rPr>
                <w:rFonts w:ascii="Arial" w:cs="Arial" w:eastAsia="Arial" w:hAnsi="Arial"/>
                <w:sz w:val="17"/>
                <w:szCs w:val="17"/>
                <w:color w:val="auto"/>
              </w:rPr>
              <w:t>(135)</w:t>
            </w:r>
          </w:p>
        </w:tc>
        <w:tc>
          <w:tcPr>
            <w:tcW w:w="7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Gain on sale of non-operating assets</w:t>
            </w:r>
          </w:p>
        </w:tc>
        <w:tc>
          <w:tcPr>
            <w:tcW w:w="22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820" w:type="dxa"/>
            <w:vAlign w:val="bottom"/>
            <w:gridSpan w:val="2"/>
            <w:shd w:val="clear" w:color="auto" w:fill="CCDEF1"/>
          </w:tcPr>
          <w:p>
            <w:pPr>
              <w:jc w:val="right"/>
              <w:ind w:right="95"/>
              <w:spacing w:after="0" w:line="189" w:lineRule="exact"/>
              <w:rPr>
                <w:sz w:val="20"/>
                <w:szCs w:val="20"/>
                <w:color w:val="auto"/>
              </w:rPr>
            </w:pPr>
            <w:r>
              <w:rPr>
                <w:rFonts w:ascii="Arial" w:cs="Arial" w:eastAsia="Arial" w:hAnsi="Arial"/>
                <w:sz w:val="17"/>
                <w:szCs w:val="17"/>
                <w:color w:val="auto"/>
              </w:rPr>
              <w:t>(3)</w:t>
            </w:r>
          </w:p>
        </w:tc>
        <w:tc>
          <w:tcPr>
            <w:tcW w:w="76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Legal settlement charge</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Amortization of acquisition-related intangible assets</w:t>
            </w:r>
          </w:p>
        </w:tc>
        <w:tc>
          <w:tcPr>
            <w:tcW w:w="22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820" w:type="dxa"/>
            <w:vAlign w:val="bottom"/>
            <w:gridSpan w:val="2"/>
            <w:shd w:val="clear" w:color="auto" w:fill="CCDEF1"/>
          </w:tcPr>
          <w:p>
            <w:pPr>
              <w:jc w:val="right"/>
              <w:ind w:right="155"/>
              <w:spacing w:after="0" w:line="189" w:lineRule="exact"/>
              <w:rPr>
                <w:sz w:val="20"/>
                <w:szCs w:val="20"/>
                <w:color w:val="auto"/>
              </w:rPr>
            </w:pPr>
            <w:r>
              <w:rPr>
                <w:rFonts w:ascii="Arial" w:cs="Arial" w:eastAsia="Arial" w:hAnsi="Arial"/>
                <w:sz w:val="17"/>
                <w:szCs w:val="17"/>
                <w:color w:val="auto"/>
              </w:rPr>
              <w:t>552</w:t>
            </w:r>
          </w:p>
        </w:tc>
        <w:tc>
          <w:tcPr>
            <w:tcW w:w="76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196"/>
        </w:trPr>
        <w:tc>
          <w:tcPr>
            <w:tcW w:w="8660" w:type="dxa"/>
            <w:vAlign w:val="bottom"/>
          </w:tcPr>
          <w:p>
            <w:pPr>
              <w:spacing w:after="0"/>
              <w:rPr>
                <w:sz w:val="20"/>
                <w:szCs w:val="20"/>
                <w:color w:val="auto"/>
              </w:rPr>
            </w:pPr>
            <w:r>
              <w:rPr>
                <w:rFonts w:ascii="Arial" w:cs="Arial" w:eastAsia="Arial" w:hAnsi="Arial"/>
                <w:sz w:val="17"/>
                <w:szCs w:val="17"/>
                <w:color w:val="auto"/>
              </w:rPr>
              <w:t>Adjusted net earnings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95"/>
              </w:rPr>
              <w:t>$ 1,795</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$ 1,978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Table 5: 2024 Revenue reconciliation ($M)</w:t>
            </w: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6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8660" w:type="dxa"/>
            <w:vAlign w:val="bottom"/>
            <w:tcBorders>
              <w:bottom w:val="single" w:sz="8" w:color="CCDEF1"/>
            </w:tcBorders>
          </w:tcPr>
          <w:p>
            <w:pPr>
              <w:spacing w:after="0"/>
              <w:rPr>
                <w:sz w:val="24"/>
                <w:szCs w:val="24"/>
                <w:color w:val="auto"/>
              </w:rPr>
            </w:pPr>
          </w:p>
        </w:tc>
        <w:tc>
          <w:tcPr>
            <w:tcW w:w="7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182"/>
        </w:trPr>
        <w:tc>
          <w:tcPr>
            <w:tcW w:w="8660" w:type="dxa"/>
            <w:vAlign w:val="bottom"/>
            <w:shd w:val="clear" w:color="auto" w:fill="CCDEF1"/>
          </w:tcPr>
          <w:p>
            <w:pPr>
              <w:spacing w:after="0" w:line="183" w:lineRule="exact"/>
              <w:rPr>
                <w:sz w:val="20"/>
                <w:szCs w:val="20"/>
                <w:color w:val="auto"/>
              </w:rPr>
            </w:pPr>
            <w:r>
              <w:rPr>
                <w:rFonts w:ascii="Arial" w:cs="Arial" w:eastAsia="Arial" w:hAnsi="Arial"/>
                <w:sz w:val="17"/>
                <w:szCs w:val="17"/>
                <w:color w:val="auto"/>
              </w:rPr>
              <w:t>GAAP revenue</w:t>
            </w:r>
          </w:p>
        </w:tc>
        <w:tc>
          <w:tcPr>
            <w:tcW w:w="780" w:type="dxa"/>
            <w:vAlign w:val="bottom"/>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rPr>
              <w:t>$6,178</w:t>
            </w:r>
          </w:p>
        </w:tc>
        <w:tc>
          <w:tcPr>
            <w:tcW w:w="820" w:type="dxa"/>
            <w:vAlign w:val="bottom"/>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rPr>
              <w:t>$7,039</w:t>
            </w:r>
          </w:p>
        </w:tc>
        <w:tc>
          <w:tcPr>
            <w:tcW w:w="760" w:type="dxa"/>
            <w:vAlign w:val="bottom"/>
            <w:gridSpan w:val="4"/>
            <w:shd w:val="clear" w:color="auto" w:fill="CCDEF1"/>
          </w:tcPr>
          <w:p>
            <w:pPr>
              <w:jc w:val="right"/>
              <w:ind w:right="60"/>
              <w:spacing w:after="0" w:line="183"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Components of revenue growth</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Organic</w:t>
            </w:r>
          </w:p>
        </w:tc>
        <w:tc>
          <w:tcPr>
            <w:tcW w:w="22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8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Acquisitions/divestitures</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Foreign exchange</w:t>
            </w:r>
          </w:p>
        </w:tc>
        <w:tc>
          <w:tcPr>
            <w:tcW w:w="22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80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620" w:type="dxa"/>
            <w:vAlign w:val="bottom"/>
            <w:gridSpan w:val="3"/>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Revenue growth</w:t>
            </w: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w w:val="91"/>
              </w:rPr>
              <w:t>      14%</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 Numbers may not foot due to rounding.</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A-2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2025 Proxy Statement</w:t>
            </w:r>
          </w:p>
        </w:tc>
        <w:tc>
          <w:tcPr>
            <w:tcW w:w="0" w:type="dxa"/>
            <w:vAlign w:val="bottom"/>
          </w:tcPr>
          <w:p>
            <w:pPr>
              <w:spacing w:after="0"/>
              <w:rPr>
                <w:sz w:val="1"/>
                <w:szCs w:val="1"/>
                <w:color w:val="auto"/>
              </w:rPr>
            </w:pPr>
          </w:p>
        </w:tc>
      </w:tr>
      <w:tr>
        <w:trPr>
          <w:trHeight w:val="60"/>
        </w:trPr>
        <w:tc>
          <w:tcPr>
            <w:tcW w:w="28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-205105</wp:posOffset>
            </wp:positionV>
            <wp:extent cx="41973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2"/>
      <w:numFmt w:val="bullet"/>
      <w:start w:val="1"/>
    </w:lvl>
  </w:abstractNum>
  <w:abstractNum w:abstractNumId="7">
    <w:nsid w:val="2D517796"/>
    <w:multiLevelType w:val="hybridMultilevel"/>
    <w:lvl w:ilvl="0">
      <w:lvlJc w:val="left"/>
      <w:lvlText w:val="%1"/>
      <w:numFmt w:val="decimal"/>
      <w:start w:val="22"/>
    </w:lvl>
  </w:abstractNum>
  <w:abstractNum w:abstractNumId="8">
    <w:nsid w:val="580BD78F"/>
    <w:multiLevelType w:val="hybridMultilevel"/>
    <w:lvl w:ilvl="0">
      <w:lvlJc w:val="left"/>
      <w:lvlText w:val="%1"/>
      <w:numFmt w:val="decimal"/>
      <w:start w:val="26"/>
    </w:lvl>
  </w:abstractNum>
  <w:abstractNum w:abstractNumId="9">
    <w:nsid w:val="153EA438"/>
    <w:multiLevelType w:val="hybridMultilevel"/>
    <w:lvl w:ilvl="0">
      <w:lvlJc w:val="left"/>
      <w:lvlText w:val="(%1)"/>
      <w:numFmt w:val="decimal"/>
    </w:lvl>
    <w:lvl w:ilvl="1">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6"/>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¹"/>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2"/>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lvl w:ilvl="1">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lowerRoman"/>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lvl w:ilvl="1">
      <w:lvlJc w:val="left"/>
      <w:lvlText w:val="•"/>
      <w:numFmt w:val="bullet"/>
      <w:start w:val="1"/>
    </w:lvl>
  </w:abstractNum>
  <w:abstractNum w:abstractNumId="54">
    <w:nsid w:val="579BE4F1"/>
    <w:multiLevelType w:val="hybridMultilevel"/>
    <w:lvl w:ilvl="0">
      <w:lvlJc w:val="left"/>
      <w:lvlText w:val="(%1)"/>
      <w:numFmt w:val="decimal"/>
      <w:start w:val="6"/>
    </w:lvl>
    <w:lvl w:ilvl="1">
      <w:lvlJc w:val="left"/>
      <w:lvlText w:val="•"/>
      <w:numFmt w:val="bullet"/>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2"/>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lowerRoman"/>
      <w:start w:val="4"/>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upperLetter"/>
      <w:start w:val="17"/>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upperLetter"/>
      <w:start w:val="17"/>
    </w:lvl>
  </w:abstractNum>
  <w:abstractNum w:abstractNumId="66">
    <w:nsid w:val="15014ACB"/>
    <w:multiLevelType w:val="hybridMultilevel"/>
    <w:lvl w:ilvl="0">
      <w:lvlJc w:val="left"/>
      <w:lvlText w:val="%1:"/>
      <w:numFmt w:val="upperLetter"/>
      <w:start w:val="17"/>
    </w:lvl>
  </w:abstractNum>
  <w:abstractNum w:abstractNumId="67">
    <w:nsid w:val="5F5E7FD0"/>
    <w:multiLevelType w:val="hybridMultilevel"/>
    <w:lvl w:ilvl="0">
      <w:lvlJc w:val="left"/>
      <w:lvlText w:val="%1:"/>
      <w:numFmt w:val="upperLetter"/>
      <w:start w:val="17"/>
    </w:lvl>
  </w:abstractNum>
  <w:abstractNum w:abstractNumId="68">
    <w:nsid w:val="98A3148"/>
    <w:multiLevelType w:val="hybridMultilevel"/>
    <w:lvl w:ilvl="0">
      <w:lvlJc w:val="left"/>
      <w:lvlText w:val="%1:"/>
      <w:numFmt w:val="upperLetter"/>
      <w:start w:val="17"/>
    </w:lvl>
  </w:abstractNum>
  <w:abstractNum w:abstractNumId="69">
    <w:nsid w:val="799D0247"/>
    <w:multiLevelType w:val="hybridMultilevel"/>
    <w:lvl w:ilvl="0">
      <w:lvlJc w:val="left"/>
      <w:lvlText w:val="%1:"/>
      <w:numFmt w:val="upperLetter"/>
      <w:start w:val="17"/>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2025-04-25T15:18:59Z</dcterms:created>
  <dcterms:modified xsi:type="dcterms:W3CDTF">2025-04-25T15:18:59Z</dcterms:modified>
</cp:coreProperties>
</file>