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 OF THE SECURITIES EXCHANGE ACT OF 1934.</w:t>
      </w:r>
    </w:p>
    <w:p>
      <w:pPr>
        <w:spacing w:after="0" w:line="186" w:lineRule="exact"/>
        <w:rPr>
          <w:rFonts w:ascii="MS PGothic" w:cs="MS PGothic" w:eastAsia="MS PGothic" w:hAnsi="MS PGothic"/>
          <w:sz w:val="22"/>
          <w:szCs w:val="22"/>
          <w:color w:val="auto"/>
        </w:rPr>
      </w:pPr>
    </w:p>
    <w:p>
      <w:pPr>
        <w:ind w:left="6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December 31, 2020</w:t>
      </w:r>
    </w:p>
    <w:p>
      <w:pPr>
        <w:spacing w:after="0" w:line="21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35" w:lineRule="exact"/>
        <w:rPr>
          <w:sz w:val="24"/>
          <w:szCs w:val="24"/>
          <w:color w:val="auto"/>
        </w:rPr>
      </w:pPr>
    </w:p>
    <w:p>
      <w:pPr>
        <w:ind w:left="660"/>
        <w:spacing w:after="0"/>
        <w:tabs>
          <w:tab w:leader="none" w:pos="4460" w:val="left"/>
          <w:tab w:leader="none" w:pos="55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-13970</wp:posOffset>
            </wp:positionV>
            <wp:extent cx="1245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65"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22"/>
          <w:szCs w:val="22"/>
          <w:color w:val="auto"/>
        </w:rPr>
        <w:t>A. Full title of the plan and the address of the plan, if different from that of the issuer named below:</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ROPER Technologies, Inc.</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EMPLOYEE’S Retirement Savings 003 Plan</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B. Name of the issuer of the securities held pursuant to the plan and the address of its principal executive office: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Roper Technologies, Inc.</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6901 Professional Parkway</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Suite 200</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320" w:top="1440" w:right="5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Financial Statements, Supplemental Schedules and Exhibits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7320" w:type="dxa"/>
            <w:vAlign w:val="bottom"/>
          </w:tcPr>
          <w:p>
            <w:pPr>
              <w:spacing w:after="0"/>
              <w:rPr>
                <w:sz w:val="21"/>
                <w:szCs w:val="21"/>
                <w:color w:val="auto"/>
              </w:rPr>
            </w:pPr>
          </w:p>
        </w:tc>
        <w:tc>
          <w:tcPr>
            <w:tcW w:w="3880" w:type="dxa"/>
            <w:vAlign w:val="bottom"/>
          </w:tcPr>
          <w:p>
            <w:pPr>
              <w:jc w:val="right"/>
              <w:ind w:right="861"/>
              <w:spacing w:after="0"/>
              <w:rPr>
                <w:sz w:val="20"/>
                <w:szCs w:val="20"/>
                <w:color w:val="auto"/>
              </w:rPr>
            </w:pPr>
            <w:r>
              <w:rPr>
                <w:rFonts w:ascii="Arial" w:cs="Arial" w:eastAsia="Arial" w:hAnsi="Arial"/>
                <w:sz w:val="20"/>
                <w:szCs w:val="20"/>
                <w:b w:val="1"/>
                <w:bCs w:val="1"/>
                <w:color w:val="auto"/>
              </w:rPr>
              <w:t>Contents</w:t>
            </w:r>
          </w:p>
        </w:tc>
      </w:tr>
      <w:tr>
        <w:trPr>
          <w:trHeight w:val="250"/>
        </w:trPr>
        <w:tc>
          <w:tcPr>
            <w:tcW w:w="73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3880" w:type="dxa"/>
            <w:vAlign w:val="bottom"/>
          </w:tcPr>
          <w:p>
            <w:pPr>
              <w:jc w:val="right"/>
              <w:spacing w:after="0"/>
              <w:rPr>
                <w:rFonts w:ascii="Arial" w:cs="Arial" w:eastAsia="Arial" w:hAnsi="Arial"/>
                <w:sz w:val="20"/>
                <w:szCs w:val="20"/>
                <w:color w:val="0000FF"/>
              </w:rPr>
            </w:pPr>
            <w:hyperlink w:anchor="page2">
              <w:r>
                <w:rPr>
                  <w:rFonts w:ascii="Arial" w:cs="Arial" w:eastAsia="Arial" w:hAnsi="Arial"/>
                  <w:sz w:val="20"/>
                  <w:szCs w:val="20"/>
                  <w:color w:val="0000FF"/>
                </w:rPr>
                <w:t>3</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Statements of Net Assets Available for Benefits</w:t>
            </w:r>
          </w:p>
        </w:tc>
        <w:tc>
          <w:tcPr>
            <w:tcW w:w="3880" w:type="dxa"/>
            <w:vAlign w:val="bottom"/>
          </w:tcPr>
          <w:p>
            <w:pPr>
              <w:jc w:val="right"/>
              <w:spacing w:after="0"/>
              <w:rPr>
                <w:rFonts w:ascii="Arial" w:cs="Arial" w:eastAsia="Arial" w:hAnsi="Arial"/>
                <w:sz w:val="20"/>
                <w:szCs w:val="20"/>
                <w:color w:val="0000FF"/>
              </w:rPr>
            </w:pPr>
            <w:hyperlink w:anchor="page4">
              <w:r>
                <w:rPr>
                  <w:rFonts w:ascii="Arial" w:cs="Arial" w:eastAsia="Arial" w:hAnsi="Arial"/>
                  <w:sz w:val="20"/>
                  <w:szCs w:val="20"/>
                  <w:color w:val="0000FF"/>
                </w:rPr>
                <w:t>5</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Statement of Changes in Net Assets Available for Benefits</w:t>
            </w:r>
          </w:p>
        </w:tc>
        <w:tc>
          <w:tcPr>
            <w:tcW w:w="3880" w:type="dxa"/>
            <w:vAlign w:val="bottom"/>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6</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Notes to the Financial Statements</w:t>
            </w:r>
          </w:p>
        </w:tc>
        <w:tc>
          <w:tcPr>
            <w:tcW w:w="3880" w:type="dxa"/>
            <w:vAlign w:val="bottom"/>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7</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3880" w:type="dxa"/>
            <w:vAlign w:val="bottom"/>
          </w:tcPr>
          <w:p>
            <w:pPr>
              <w:jc w:val="right"/>
              <w:spacing w:after="0"/>
              <w:rPr>
                <w:rFonts w:ascii="Arial" w:cs="Arial" w:eastAsia="Arial" w:hAnsi="Arial"/>
                <w:sz w:val="20"/>
                <w:szCs w:val="20"/>
                <w:color w:val="0000FF"/>
              </w:rPr>
            </w:pPr>
            <w:hyperlink w:anchor="page10">
              <w:r>
                <w:rPr>
                  <w:rFonts w:ascii="Arial" w:cs="Arial" w:eastAsia="Arial" w:hAnsi="Arial"/>
                  <w:sz w:val="20"/>
                  <w:szCs w:val="20"/>
                  <w:color w:val="0000FF"/>
                </w:rPr>
                <w:t>7</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Signatures</w:t>
            </w:r>
          </w:p>
        </w:tc>
        <w:tc>
          <w:tcPr>
            <w:tcW w:w="3880" w:type="dxa"/>
            <w:vAlign w:val="bottom"/>
          </w:tcPr>
          <w:p>
            <w:pPr>
              <w:jc w:val="right"/>
              <w:spacing w:after="0"/>
              <w:rPr>
                <w:rFonts w:ascii="Arial" w:cs="Arial" w:eastAsia="Arial" w:hAnsi="Arial"/>
                <w:sz w:val="20"/>
                <w:szCs w:val="20"/>
                <w:color w:val="0000FF"/>
              </w:rPr>
            </w:pPr>
            <w:hyperlink w:anchor="page11">
              <w:r>
                <w:rPr>
                  <w:rFonts w:ascii="Arial" w:cs="Arial" w:eastAsia="Arial" w:hAnsi="Arial"/>
                  <w:sz w:val="20"/>
                  <w:szCs w:val="20"/>
                  <w:color w:val="0000FF"/>
                </w:rPr>
                <w:t>8</w:t>
              </w:r>
            </w:hyperlink>
          </w:p>
        </w:tc>
      </w:tr>
      <w:tr>
        <w:trPr>
          <w:trHeight w:val="513"/>
        </w:trPr>
        <w:tc>
          <w:tcPr>
            <w:tcW w:w="7320" w:type="dxa"/>
            <w:vAlign w:val="bottom"/>
          </w:tcPr>
          <w:p>
            <w:pPr>
              <w:spacing w:after="0"/>
              <w:rPr>
                <w:sz w:val="20"/>
                <w:szCs w:val="20"/>
                <w:color w:val="auto"/>
              </w:rPr>
            </w:pPr>
            <w:r>
              <w:rPr>
                <w:rFonts w:ascii="Arial" w:cs="Arial" w:eastAsia="Arial" w:hAnsi="Arial"/>
                <w:sz w:val="20"/>
                <w:szCs w:val="20"/>
                <w:color w:val="auto"/>
              </w:rPr>
              <w:t>Exhibits</w:t>
            </w:r>
          </w:p>
        </w:tc>
        <w:tc>
          <w:tcPr>
            <w:tcW w:w="3880" w:type="dxa"/>
            <w:vAlign w:val="bottom"/>
          </w:tcPr>
          <w:p>
            <w:pPr>
              <w:jc w:val="right"/>
              <w:spacing w:after="0"/>
              <w:rPr>
                <w:rFonts w:ascii="Arial" w:cs="Arial" w:eastAsia="Arial" w:hAnsi="Arial"/>
                <w:sz w:val="20"/>
                <w:szCs w:val="20"/>
                <w:color w:val="0000FF"/>
              </w:rPr>
            </w:pPr>
            <w:hyperlink w:anchor="page12">
              <w:r>
                <w:rPr>
                  <w:rFonts w:ascii="Arial" w:cs="Arial" w:eastAsia="Arial" w:hAnsi="Arial"/>
                  <w:sz w:val="20"/>
                  <w:szCs w:val="20"/>
                  <w:color w:val="0000FF"/>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the Roper Technologies, Inc. Employees’ Retirement Savings 003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audited the accompanying statements of net assets available for benefits of the Roper Technologies, Inc. Employees’ Retirement Savings 003 Plan (the Plan) as of December 31, 2020 and 2019, and the related statement of changes in net assets available for benefits for the year ended December 31, 2020, and the related notes and schedule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The supplemental information contained in Schedule of Assets (Held at End of Year)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 supplemental information is fairly stated, in all material respects, in relation to the financial statements as a whole.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Arial" w:cs="Arial" w:eastAsia="Arial" w:hAnsi="Arial"/>
          <w:sz w:val="20"/>
          <w:szCs w:val="20"/>
          <w:color w:val="auto"/>
        </w:rPr>
        <w:t>/s/ Warren Averett,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 June 11,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4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19"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Roper Technologies, Inc.</w:t>
      </w:r>
    </w:p>
    <w:p>
      <w:pPr>
        <w:spacing w:after="0" w:line="8" w:lineRule="exact"/>
        <w:rPr>
          <w:sz w:val="20"/>
          <w:szCs w:val="20"/>
          <w:color w:val="auto"/>
        </w:rPr>
      </w:pPr>
    </w:p>
    <w:p>
      <w:pPr>
        <w:ind w:right="4579"/>
        <w:spacing w:after="0" w:line="231" w:lineRule="auto"/>
        <w:rPr>
          <w:sz w:val="20"/>
          <w:szCs w:val="20"/>
          <w:color w:val="auto"/>
        </w:rPr>
      </w:pPr>
      <w:r>
        <w:rPr>
          <w:rFonts w:ascii="Arial" w:cs="Arial" w:eastAsia="Arial" w:hAnsi="Arial"/>
          <w:sz w:val="20"/>
          <w:szCs w:val="20"/>
          <w:b w:val="1"/>
          <w:bCs w:val="1"/>
          <w:color w:val="auto"/>
        </w:rPr>
        <w:t>EMPLOYEES’ RETIREMENT SAVINGS 003 PLAN STATEMENTS OF NET ASSETS AVAILABLE FOR BENEFITS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5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60" w:type="dxa"/>
            <w:vAlign w:val="bottom"/>
            <w:gridSpan w:val="2"/>
          </w:tcPr>
          <w:p>
            <w:pPr>
              <w:ind w:left="60"/>
              <w:spacing w:after="0"/>
              <w:rPr>
                <w:sz w:val="20"/>
                <w:szCs w:val="20"/>
                <w:color w:val="auto"/>
              </w:rPr>
            </w:pPr>
            <w:r>
              <w:rPr>
                <w:rFonts w:ascii="Arial" w:cs="Arial" w:eastAsia="Arial" w:hAnsi="Arial"/>
                <w:sz w:val="20"/>
                <w:szCs w:val="20"/>
                <w:b w:val="1"/>
                <w:bCs w:val="1"/>
                <w:color w:val="auto"/>
              </w:rPr>
              <w:t>December 31, 2020</w:t>
            </w:r>
          </w:p>
        </w:tc>
        <w:tc>
          <w:tcPr>
            <w:tcW w:w="180" w:type="dxa"/>
            <w:vAlign w:val="bottom"/>
          </w:tcPr>
          <w:p>
            <w:pPr>
              <w:spacing w:after="0"/>
              <w:rPr>
                <w:sz w:val="21"/>
                <w:szCs w:val="21"/>
                <w:color w:val="auto"/>
              </w:rPr>
            </w:pPr>
          </w:p>
        </w:tc>
        <w:tc>
          <w:tcPr>
            <w:tcW w:w="1900" w:type="dxa"/>
            <w:vAlign w:val="bottom"/>
          </w:tcPr>
          <w:p>
            <w:pPr>
              <w:jc w:val="right"/>
              <w:ind w:right="141"/>
              <w:spacing w:after="0"/>
              <w:rPr>
                <w:sz w:val="20"/>
                <w:szCs w:val="20"/>
                <w:color w:val="auto"/>
              </w:rPr>
            </w:pPr>
            <w:r>
              <w:rPr>
                <w:rFonts w:ascii="Arial" w:cs="Arial" w:eastAsia="Arial" w:hAnsi="Arial"/>
                <w:sz w:val="20"/>
                <w:szCs w:val="20"/>
                <w:b w:val="1"/>
                <w:bCs w:val="1"/>
                <w:color w:val="auto"/>
                <w:w w:val="91"/>
              </w:rPr>
              <w:t>December 31, 2019</w:t>
            </w:r>
          </w:p>
        </w:tc>
      </w:tr>
      <w:tr>
        <w:trPr>
          <w:trHeight w:val="223"/>
        </w:trPr>
        <w:tc>
          <w:tcPr>
            <w:tcW w:w="536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ASSETS</w:t>
            </w:r>
          </w:p>
        </w:tc>
        <w:tc>
          <w:tcPr>
            <w:tcW w:w="1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spacing w:after="0"/>
              <w:rPr>
                <w:sz w:val="19"/>
                <w:szCs w:val="19"/>
                <w:color w:val="auto"/>
              </w:rPr>
            </w:pPr>
          </w:p>
        </w:tc>
      </w:tr>
      <w:tr>
        <w:trPr>
          <w:trHeight w:val="243"/>
        </w:trPr>
        <w:tc>
          <w:tcPr>
            <w:tcW w:w="5360" w:type="dxa"/>
            <w:vAlign w:val="bottom"/>
          </w:tcPr>
          <w:p>
            <w:pPr>
              <w:ind w:left="140"/>
              <w:spacing w:after="0"/>
              <w:rPr>
                <w:sz w:val="20"/>
                <w:szCs w:val="20"/>
                <w:color w:val="auto"/>
              </w:rPr>
            </w:pPr>
            <w:r>
              <w:rPr>
                <w:rFonts w:ascii="Arial" w:cs="Arial" w:eastAsia="Arial" w:hAnsi="Arial"/>
                <w:sz w:val="20"/>
                <w:szCs w:val="20"/>
                <w:color w:val="auto"/>
              </w:rPr>
              <w:t>Investments, at fair value:</w:t>
            </w: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Mutual funds</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58,922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49,292</w:t>
            </w:r>
          </w:p>
        </w:tc>
      </w:tr>
      <w:tr>
        <w:trPr>
          <w:trHeight w:val="243"/>
        </w:trPr>
        <w:tc>
          <w:tcPr>
            <w:tcW w:w="5360" w:type="dxa"/>
            <w:vAlign w:val="bottom"/>
          </w:tcPr>
          <w:p>
            <w:pPr>
              <w:ind w:left="240"/>
              <w:spacing w:after="0"/>
              <w:rPr>
                <w:sz w:val="20"/>
                <w:szCs w:val="20"/>
                <w:color w:val="auto"/>
              </w:rPr>
            </w:pPr>
            <w:r>
              <w:rPr>
                <w:rFonts w:ascii="Arial" w:cs="Arial" w:eastAsia="Arial" w:hAnsi="Arial"/>
                <w:sz w:val="20"/>
                <w:szCs w:val="20"/>
                <w:color w:val="auto"/>
              </w:rPr>
              <w:t>Common/collective trust funds</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215,430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198,322</w:t>
            </w:r>
          </w:p>
        </w:tc>
      </w:tr>
      <w:tr>
        <w:trPr>
          <w:trHeight w:val="243"/>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Roper Technologies, Inc. common stock</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41,562</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40,170</w:t>
            </w:r>
          </w:p>
        </w:tc>
      </w:tr>
      <w:tr>
        <w:trPr>
          <w:trHeight w:val="236"/>
        </w:trPr>
        <w:tc>
          <w:tcPr>
            <w:tcW w:w="536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investments, at fair value</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315,914</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287,784</w:t>
            </w:r>
          </w:p>
        </w:tc>
      </w:tr>
      <w:tr>
        <w:trPr>
          <w:trHeight w:val="291"/>
        </w:trPr>
        <w:tc>
          <w:tcPr>
            <w:tcW w:w="5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5360" w:type="dxa"/>
            <w:vAlign w:val="bottom"/>
          </w:tcPr>
          <w:p>
            <w:pPr>
              <w:ind w:left="140"/>
              <w:spacing w:after="0"/>
              <w:rPr>
                <w:sz w:val="20"/>
                <w:szCs w:val="20"/>
                <w:color w:val="auto"/>
              </w:rPr>
            </w:pPr>
            <w:r>
              <w:rPr>
                <w:rFonts w:ascii="Arial" w:cs="Arial" w:eastAsia="Arial" w:hAnsi="Arial"/>
                <w:sz w:val="20"/>
                <w:szCs w:val="20"/>
                <w:color w:val="auto"/>
              </w:rPr>
              <w:t>Receivables:</w:t>
            </w: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43"/>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Participant contributions</w:t>
            </w: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241</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313</w:t>
            </w:r>
          </w:p>
        </w:tc>
      </w:tr>
      <w:tr>
        <w:trPr>
          <w:trHeight w:val="243"/>
        </w:trPr>
        <w:tc>
          <w:tcPr>
            <w:tcW w:w="5360" w:type="dxa"/>
            <w:vAlign w:val="bottom"/>
          </w:tcPr>
          <w:p>
            <w:pPr>
              <w:ind w:left="240"/>
              <w:spacing w:after="0"/>
              <w:rPr>
                <w:sz w:val="20"/>
                <w:szCs w:val="20"/>
                <w:color w:val="auto"/>
              </w:rPr>
            </w:pPr>
            <w:r>
              <w:rPr>
                <w:rFonts w:ascii="Arial" w:cs="Arial" w:eastAsia="Arial" w:hAnsi="Arial"/>
                <w:sz w:val="20"/>
                <w:szCs w:val="20"/>
                <w:color w:val="auto"/>
              </w:rPr>
              <w:t>Employer contributions</w:t>
            </w: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137</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20"/>
                <w:szCs w:val="20"/>
                <w:color w:val="auto"/>
              </w:rPr>
              <w:t>267</w:t>
            </w:r>
          </w:p>
        </w:tc>
      </w:tr>
      <w:tr>
        <w:trPr>
          <w:trHeight w:val="243"/>
        </w:trPr>
        <w:tc>
          <w:tcPr>
            <w:tcW w:w="536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Notes receivable from participants</w:t>
            </w: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2,695</w:t>
            </w:r>
          </w:p>
        </w:tc>
        <w:tc>
          <w:tcPr>
            <w:tcW w:w="16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2,950</w:t>
            </w:r>
          </w:p>
        </w:tc>
      </w:tr>
      <w:tr>
        <w:trPr>
          <w:trHeight w:val="237"/>
        </w:trPr>
        <w:tc>
          <w:tcPr>
            <w:tcW w:w="536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receivables</w:t>
            </w: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3,073</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3,530</w:t>
            </w:r>
          </w:p>
        </w:tc>
      </w:tr>
      <w:tr>
        <w:trPr>
          <w:trHeight w:val="291"/>
        </w:trPr>
        <w:tc>
          <w:tcPr>
            <w:tcW w:w="53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536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318,987</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89"/>
              </w:rPr>
              <w:t>$</w:t>
            </w: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291,314</w:t>
            </w:r>
          </w:p>
        </w:tc>
      </w:tr>
      <w:tr>
        <w:trPr>
          <w:trHeight w:val="21"/>
        </w:trPr>
        <w:tc>
          <w:tcPr>
            <w:tcW w:w="5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139"/>
          </w:cols>
          <w:pgMar w:left="320" w:top="1413" w:right="1440"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line="1" w:lineRule="exact"/>
        <w:rPr>
          <w:sz w:val="20"/>
          <w:szCs w:val="20"/>
          <w:color w:val="auto"/>
        </w:rPr>
      </w:pPr>
    </w:p>
    <w:p>
      <w:pPr>
        <w:ind w:right="4480"/>
        <w:spacing w:after="0" w:line="234" w:lineRule="auto"/>
        <w:rPr>
          <w:sz w:val="20"/>
          <w:szCs w:val="20"/>
          <w:color w:val="auto"/>
        </w:rPr>
      </w:pPr>
      <w:r>
        <w:rPr>
          <w:rFonts w:ascii="Arial" w:cs="Arial" w:eastAsia="Arial" w:hAnsi="Arial"/>
          <w:sz w:val="20"/>
          <w:szCs w:val="20"/>
          <w:b w:val="1"/>
          <w:bCs w:val="1"/>
          <w:color w:val="auto"/>
        </w:rPr>
        <w:t>STATEMENT OF CHANGES IN NET ASSETS AVAILABLE FOR BENEFITS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jc w:val="right"/>
              <w:ind w:right="621"/>
              <w:spacing w:after="0"/>
              <w:rPr>
                <w:sz w:val="20"/>
                <w:szCs w:val="20"/>
                <w:color w:val="auto"/>
              </w:rPr>
            </w:pPr>
            <w:r>
              <w:rPr>
                <w:rFonts w:ascii="Arial" w:cs="Arial" w:eastAsia="Arial" w:hAnsi="Arial"/>
                <w:sz w:val="20"/>
                <w:szCs w:val="20"/>
                <w:b w:val="1"/>
                <w:bCs w:val="1"/>
                <w:color w:val="auto"/>
              </w:rPr>
              <w:t>Year Ended</w:t>
            </w:r>
          </w:p>
        </w:tc>
      </w:tr>
      <w:tr>
        <w:trPr>
          <w:trHeight w:val="243"/>
        </w:trPr>
        <w:tc>
          <w:tcPr>
            <w:tcW w:w="88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w w:val="96"/>
              </w:rPr>
              <w:t>December 31, 2020</w:t>
            </w:r>
          </w:p>
        </w:tc>
      </w:tr>
      <w:tr>
        <w:trPr>
          <w:trHeight w:val="223"/>
        </w:trPr>
        <w:tc>
          <w:tcPr>
            <w:tcW w:w="88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ADDITIONS:</w:t>
            </w: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43"/>
        </w:trPr>
        <w:tc>
          <w:tcPr>
            <w:tcW w:w="8820" w:type="dxa"/>
            <w:vAlign w:val="bottom"/>
          </w:tcPr>
          <w:p>
            <w:pPr>
              <w:ind w:left="140"/>
              <w:spacing w:after="0"/>
              <w:rPr>
                <w:sz w:val="20"/>
                <w:szCs w:val="20"/>
                <w:color w:val="auto"/>
              </w:rPr>
            </w:pPr>
            <w:r>
              <w:rPr>
                <w:rFonts w:ascii="Arial" w:cs="Arial" w:eastAsia="Arial" w:hAnsi="Arial"/>
                <w:sz w:val="20"/>
                <w:szCs w:val="20"/>
                <w:color w:val="auto"/>
              </w:rPr>
              <w:t>Investment income:</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Net appreciation in fair value of investments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36,381</w:t>
            </w:r>
          </w:p>
        </w:tc>
      </w:tr>
      <w:tr>
        <w:trPr>
          <w:trHeight w:val="243"/>
        </w:trPr>
        <w:tc>
          <w:tcPr>
            <w:tcW w:w="88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Interest and dividend income</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2,296</w:t>
            </w:r>
          </w:p>
        </w:tc>
      </w:tr>
      <w:tr>
        <w:trPr>
          <w:trHeight w:val="237"/>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investment income</w:t>
            </w:r>
          </w:p>
        </w:tc>
        <w:tc>
          <w:tcPr>
            <w:tcW w:w="2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38,677</w:t>
            </w:r>
          </w:p>
        </w:tc>
      </w:tr>
      <w:tr>
        <w:trPr>
          <w:trHeight w:val="236"/>
        </w:trPr>
        <w:tc>
          <w:tcPr>
            <w:tcW w:w="8820" w:type="dxa"/>
            <w:vAlign w:val="bottom"/>
          </w:tcPr>
          <w:p>
            <w:pPr>
              <w:ind w:left="140"/>
              <w:spacing w:after="0"/>
              <w:rPr>
                <w:sz w:val="20"/>
                <w:szCs w:val="20"/>
                <w:color w:val="auto"/>
              </w:rPr>
            </w:pPr>
            <w:r>
              <w:rPr>
                <w:rFonts w:ascii="Arial" w:cs="Arial" w:eastAsia="Arial" w:hAnsi="Arial"/>
                <w:sz w:val="20"/>
                <w:szCs w:val="20"/>
                <w:color w:val="auto"/>
              </w:rPr>
              <w:t>Interest on notes receivable from participants</w:t>
            </w:r>
          </w:p>
        </w:tc>
        <w:tc>
          <w:tcPr>
            <w:tcW w:w="26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154</w:t>
            </w: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Contributions: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43"/>
        </w:trPr>
        <w:tc>
          <w:tcPr>
            <w:tcW w:w="8820" w:type="dxa"/>
            <w:vAlign w:val="bottom"/>
          </w:tcPr>
          <w:p>
            <w:pPr>
              <w:ind w:left="240"/>
              <w:spacing w:after="0"/>
              <w:rPr>
                <w:sz w:val="20"/>
                <w:szCs w:val="20"/>
                <w:color w:val="auto"/>
              </w:rPr>
            </w:pPr>
            <w:r>
              <w:rPr>
                <w:rFonts w:ascii="Arial" w:cs="Arial" w:eastAsia="Arial" w:hAnsi="Arial"/>
                <w:sz w:val="20"/>
                <w:szCs w:val="20"/>
                <w:color w:val="auto"/>
              </w:rPr>
              <w:t>Participant</w:t>
            </w: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9,087</w:t>
            </w:r>
          </w:p>
        </w:tc>
      </w:tr>
      <w:tr>
        <w:trPr>
          <w:trHeight w:val="243"/>
        </w:trPr>
        <w:tc>
          <w:tcPr>
            <w:tcW w:w="8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Employer contributions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6,531</w:t>
            </w:r>
          </w:p>
        </w:tc>
      </w:tr>
      <w:tr>
        <w:trPr>
          <w:trHeight w:val="243"/>
        </w:trPr>
        <w:tc>
          <w:tcPr>
            <w:tcW w:w="88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Rollover contributions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1,769</w:t>
            </w:r>
          </w:p>
        </w:tc>
      </w:tr>
      <w:tr>
        <w:trPr>
          <w:trHeight w:val="237"/>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contributions</w:t>
            </w:r>
          </w:p>
        </w:tc>
        <w:tc>
          <w:tcPr>
            <w:tcW w:w="2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17,387</w:t>
            </w:r>
          </w:p>
        </w:tc>
      </w:tr>
      <w:tr>
        <w:trPr>
          <w:trHeight w:val="236"/>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Total additions</w:t>
            </w: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56,218</w:t>
            </w:r>
          </w:p>
        </w:tc>
      </w:tr>
      <w:tr>
        <w:trPr>
          <w:trHeight w:val="291"/>
        </w:trPr>
        <w:tc>
          <w:tcPr>
            <w:tcW w:w="8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Benefits paid to participants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28,347</w:t>
            </w:r>
          </w:p>
        </w:tc>
      </w:tr>
      <w:tr>
        <w:trPr>
          <w:trHeight w:val="24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Administrative expenses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198</w:t>
            </w:r>
          </w:p>
        </w:tc>
      </w:tr>
      <w:tr>
        <w:trPr>
          <w:trHeight w:val="237"/>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deductions</w:t>
            </w:r>
          </w:p>
        </w:tc>
        <w:tc>
          <w:tcPr>
            <w:tcW w:w="2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28,545</w:t>
            </w:r>
          </w:p>
        </w:tc>
      </w:tr>
      <w:tr>
        <w:trPr>
          <w:trHeight w:val="290"/>
        </w:trPr>
        <w:tc>
          <w:tcPr>
            <w:tcW w:w="8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88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IN NET ASSETS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27,673</w:t>
            </w:r>
          </w:p>
        </w:tc>
      </w:tr>
      <w:tr>
        <w:trPr>
          <w:trHeight w:val="243"/>
        </w:trPr>
        <w:tc>
          <w:tcPr>
            <w:tcW w:w="88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 AT</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Beginning of year</w:t>
            </w:r>
          </w:p>
        </w:tc>
        <w:tc>
          <w:tcPr>
            <w:tcW w:w="26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291,314</w:t>
            </w:r>
          </w:p>
        </w:tc>
      </w:tr>
      <w:tr>
        <w:trPr>
          <w:trHeight w:val="237"/>
        </w:trPr>
        <w:tc>
          <w:tcPr>
            <w:tcW w:w="8820" w:type="dxa"/>
            <w:vAlign w:val="bottom"/>
          </w:tcPr>
          <w:p>
            <w:pPr>
              <w:ind w:left="140"/>
              <w:spacing w:after="0"/>
              <w:rPr>
                <w:sz w:val="20"/>
                <w:szCs w:val="20"/>
                <w:color w:val="auto"/>
              </w:rPr>
            </w:pPr>
            <w:r>
              <w:rPr>
                <w:rFonts w:ascii="Arial" w:cs="Arial" w:eastAsia="Arial" w:hAnsi="Arial"/>
                <w:sz w:val="20"/>
                <w:szCs w:val="20"/>
                <w:color w:val="auto"/>
              </w:rPr>
              <w:t>End of year</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318,987</w:t>
            </w:r>
          </w:p>
        </w:tc>
      </w:tr>
      <w:tr>
        <w:trPr>
          <w:trHeight w:val="20"/>
        </w:trPr>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003 PLAN</w:t>
      </w: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rPr>
          <w:sz w:val="20"/>
          <w:szCs w:val="20"/>
          <w:color w:val="auto"/>
        </w:rPr>
      </w:pPr>
      <w:r>
        <w:rPr>
          <w:rFonts w:ascii="Arial" w:cs="Arial" w:eastAsia="Arial" w:hAnsi="Arial"/>
          <w:sz w:val="20"/>
          <w:szCs w:val="20"/>
          <w:b w:val="1"/>
          <w:bCs w:val="1"/>
          <w:color w:val="auto"/>
        </w:rPr>
        <w:t>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following description of the Roper Technologies, Inc. Employees' Retirement Savings 003 Plan (the Plan) provides only general information. Participants should refer to the Plan agreement for a more complete description of the Plan's provisions.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Plan is a defined contribution plan covering substantially all employees of certain subsidiaries of Roper Technologies, Inc. (the Company), who are age 18 or older. Eligible employees are able to enroll immediately upon their date of hire following meeting the eligibility requirements, as defined in the Plan document. Certain participants who become employees of the Company as a result of mergers or acquisitions are given credit for their prior service for purposes of determining eligibility and vesting. The Plan is subject to the provisions of the Employee Retirement Income Security Act of 1974 (ERISA), as amended. The Company’s Investment Committee determines the appropriateness of the Plan's investment offerings and monitors investment performance, as delegated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benefit or defined contribution plans. Participants who are age 50 or older and make the maximum pre-tax contribution for the year may make an additional catch-up contribution up to a maximum dollar amount per year in accordance with the Internal Revenue Code (IRC), as amended. Participants who do not elect a contribution percentage or do not elect to opt out of the Plan are automatically enrolled for pre-tax contributions at a rate of 5% of eligible earnings with annual 1% increases in deferral rates, not to exceed a maximum of 15% of eligible earnings. Contributions are subject to certain limitations. The automatic deferral increase will occur the first day of each Plan year unless automatically enrolled within the last six months.</w:t>
      </w:r>
    </w:p>
    <w:p>
      <w:pPr>
        <w:spacing w:after="0" w:line="214"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the year ended December 31, 2020, the Company contributed 100% of the first 3% of base compensation that a participant contributed to the Plan and 50% of the next 3% of base compensation that a participant contributed to the Plan. In no case are participant deferrals in excess of 6% of compensation taken into account for matching purposes. In addition, the Company made profit-sharing contributions equal to 3% of each participant's compensation. Participants direct the investment of their contributions into various investment options offered by the Plan.</w:t>
      </w:r>
    </w:p>
    <w:p>
      <w:pPr>
        <w:spacing w:after="0" w:line="156"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Plan currently offers common/collective trust (CCT) funds, mutual funds, and Roper Technologies, Inc., common stock as investment options for participants. Participants may change their investment options daily.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Accounts</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8"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Participants are immediately vested in their contributions plus actual earnings thereon. Prior to March 1, 2021 vesting in the Company's contribution portion of their accounts was based on years of continuous service. Participants vest over a five-year period beginning with 20% after one year of service and 20% each year thereafter, and are 100% vested after five years. Participants will become fully vested if the participant attains age 65, the participant incurs a disability, or upon the death of a participant.</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March 1, 2021 the Plan was amended to allow participants immediate vesting in the Company's contribution portion of their accounts. The change was applied retroactively to prior contributions.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Participants may borrow from their accounts a minimum of $1,000 up to a maximum equal to the lesser of $50,000 or 50% of their vested account balance, for a period not to exceed five years unless the note is for the purchase of a principal residence, in which case the period is not to exceed ten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Upon termination of service due to death, disability, retirement, or separation from service, a participant will generally receive their benefits as a lump-sum amount equal to the value of the participant's vested interest in his or her account. Participants who attain age 59½ are eligible to receive in-service distributions in accordance with provisions specified in the Plan.</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Participants can elect to receive shares of the Company's common stock if their total balance exceeds $5,000. Withdrawals from the Plan may also be made upon circumstances of financial hardship in accordance with provisions specified in the Plan.</w:t>
      </w:r>
    </w:p>
    <w:p>
      <w:pPr>
        <w:sectPr>
          <w:pgSz w:w="11900" w:h="16838" w:orient="portrait"/>
          <w:cols w:equalWidth="0" w:num="1">
            <w:col w:w="11240"/>
          </w:cols>
          <w:pgMar w:left="320" w:top="1413" w:right="339" w:bottom="0" w:gutter="0" w:footer="0" w:header="0"/>
        </w:sectPr>
      </w:pPr>
    </w:p>
    <w:bookmarkStart w:id="7" w:name="page8"/>
    <w:bookmarkEnd w:id="7"/>
    <w:p>
      <w:pPr>
        <w:jc w:val="both"/>
        <w:spacing w:after="0" w:line="254" w:lineRule="auto"/>
        <w:rPr>
          <w:sz w:val="20"/>
          <w:szCs w:val="20"/>
          <w:color w:val="auto"/>
        </w:rPr>
      </w:pPr>
      <w:r>
        <w:rPr>
          <w:rFonts w:ascii="Arial" w:cs="Arial" w:eastAsia="Arial" w:hAnsi="Arial"/>
          <w:sz w:val="19"/>
          <w:szCs w:val="19"/>
          <w:color w:val="auto"/>
        </w:rPr>
        <w:t>Effective April 5, 2020, the Plan adopted the distribution provision of the Coronavirus Aid, Relief, and Economic Security (CARES) Act that was signed into law on March 27, 2020. A CARES Act distribution allows the Plan's participants to take a COVID-19 related distribution up to $100,000 from the Plan beginning on or after January 1, 2020 and before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Forfeitures of the non-vested portion of participants' accounts are used to reduce future Company contributions. Forfeiture balances were $765,894 and $364,650 as of December 31, 2020 and 2019, respectively, and forfeitures used to reduce Company contributions were approximately $545,009 for the year ended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and Risks and Uncertainties</w:t>
      </w:r>
    </w:p>
    <w:p>
      <w:pPr>
        <w:spacing w:after="0" w:line="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 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 and Income Recognition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Purchases and sales of investments are recorded on a trade-date basis. Interest income is accrued when earned. Dividend income is recorded on the ex-dividend date. Net appreciation in the fair value of investments includes both realized and unrealized gains and losses on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2020 and 2019. If a participant ceases to make note repayments and the Plan Administrator deems the participant note to be in default, the participant note balance is reduced and a benefit payment is recorded.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All expenses incurred to administer the Plan are paid through forfeitures of nonvested accounts or by the Company with the exception of recordkeeping fees, which are paid by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23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 xml:space="preserve">unobservable inputs (Level 3). The three levels of the fair value hierarchy under Financial Accounting Standards Board (FASB) Accounting Standards Codification (ASC) 820, </w:t>
      </w:r>
      <w:r>
        <w:rPr>
          <w:rFonts w:ascii="Arial" w:cs="Arial" w:eastAsia="Arial" w:hAnsi="Arial"/>
          <w:sz w:val="20"/>
          <w:szCs w:val="20"/>
          <w:i w:val="1"/>
          <w:iCs w:val="1"/>
          <w:color w:val="auto"/>
        </w:rPr>
        <w:t>Fair Value Measurement</w:t>
      </w:r>
      <w:r>
        <w:rPr>
          <w:rFonts w:ascii="Arial" w:cs="Arial" w:eastAsia="Arial" w:hAnsi="Arial"/>
          <w:sz w:val="20"/>
          <w:szCs w:val="20"/>
          <w:color w:val="auto"/>
        </w:rPr>
        <w:t>, are described as follows:</w:t>
      </w:r>
    </w:p>
    <w:p>
      <w:pPr>
        <w:spacing w:after="0" w:line="211" w:lineRule="exact"/>
        <w:rPr>
          <w:sz w:val="20"/>
          <w:szCs w:val="20"/>
          <w:color w:val="auto"/>
        </w:rPr>
      </w:pPr>
    </w:p>
    <w:p>
      <w:pPr>
        <w:ind w:left="660" w:hanging="328"/>
        <w:spacing w:after="0" w:line="23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20"/>
          <w:szCs w:val="20"/>
          <w:color w:val="auto"/>
        </w:rPr>
      </w:pPr>
    </w:p>
    <w:p>
      <w:pPr>
        <w:jc w:val="both"/>
        <w:ind w:left="6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ectPr>
          <w:pgSz w:w="11900" w:h="16838" w:orient="portrait"/>
          <w:cols w:equalWidth="0" w:num="1">
            <w:col w:w="11240"/>
          </w:cols>
          <w:pgMar w:left="320" w:top="366" w:right="339" w:bottom="164" w:gutter="0" w:footer="0" w:header="0"/>
        </w:sectPr>
      </w:pPr>
    </w:p>
    <w:bookmarkStart w:id="8" w:name="page9"/>
    <w:bookmarkEnd w:id="8"/>
    <w:p>
      <w:pPr>
        <w:spacing w:after="0" w:line="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is a description of the valuation methodologies used for assets and liabilities measured at fair value. There have been no significant changes in the methodologies used at December 31, 2020 and 2019.</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Mutual Funds </w:t>
      </w:r>
      <w:r>
        <w:rPr>
          <w:rFonts w:ascii="Arial" w:cs="Arial" w:eastAsia="Arial" w:hAnsi="Arial"/>
          <w:sz w:val="20"/>
          <w:szCs w:val="20"/>
          <w:color w:val="auto"/>
        </w:rPr>
        <w:t>– Valued based on the daily closing price as reported by the fund by obtaining quoted prices on nationally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exchanges. The mutual funds held by the Plan are deemed to be actively traded.</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Shares of Roper Technologies, Inc. Common Stock </w:t>
      </w:r>
      <w:r>
        <w:rPr>
          <w:rFonts w:ascii="Arial" w:cs="Arial" w:eastAsia="Arial" w:hAnsi="Arial"/>
          <w:sz w:val="20"/>
          <w:szCs w:val="20"/>
          <w:color w:val="auto"/>
        </w:rPr>
        <w:t>– Valued at the net asset value (NAV) of shares held by the Plan at year end by</w:t>
      </w:r>
      <w:r>
        <w:rPr>
          <w:rFonts w:ascii="Arial" w:cs="Arial" w:eastAsia="Arial" w:hAnsi="Arial"/>
          <w:sz w:val="20"/>
          <w:szCs w:val="20"/>
          <w:i w:val="1"/>
          <w:iCs w:val="1"/>
          <w:color w:val="auto"/>
        </w:rPr>
        <w:t xml:space="preserve"> </w:t>
      </w:r>
      <w:r>
        <w:rPr>
          <w:rFonts w:ascii="Arial" w:cs="Arial" w:eastAsia="Arial" w:hAnsi="Arial"/>
          <w:sz w:val="20"/>
          <w:szCs w:val="20"/>
          <w:color w:val="auto"/>
        </w:rPr>
        <w:t>obtaining quoted prices on nationally recognized securities exchanges.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CCTs – </w:t>
      </w:r>
      <w:r>
        <w:rPr>
          <w:rFonts w:ascii="Arial" w:cs="Arial" w:eastAsia="Arial" w:hAnsi="Arial"/>
          <w:sz w:val="18"/>
          <w:szCs w:val="18"/>
          <w:color w:val="auto"/>
        </w:rPr>
        <w:t>Valued at the NAV provided by the fund's trustee as a practical expedient to estimate fair value. The NAV is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2020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Level 1</w:t>
            </w: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6"/>
        </w:trPr>
        <w:tc>
          <w:tcPr>
            <w:tcW w:w="6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00" w:type="dxa"/>
            <w:vAlign w:val="bottom"/>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58,922</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58,922</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41,562</w:t>
            </w: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41,562</w:t>
            </w:r>
          </w:p>
        </w:tc>
        <w:tc>
          <w:tcPr>
            <w:tcW w:w="0" w:type="dxa"/>
            <w:vAlign w:val="bottom"/>
          </w:tcPr>
          <w:p>
            <w:pPr>
              <w:spacing w:after="0"/>
              <w:rPr>
                <w:sz w:val="1"/>
                <w:szCs w:val="1"/>
                <w:color w:val="auto"/>
              </w:rPr>
            </w:pPr>
          </w:p>
        </w:tc>
      </w:tr>
      <w:tr>
        <w:trPr>
          <w:trHeight w:val="261"/>
        </w:trPr>
        <w:tc>
          <w:tcPr>
            <w:tcW w:w="6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100,484</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100,484</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CCTs*</w:t>
            </w:r>
          </w:p>
        </w:tc>
        <w:tc>
          <w:tcPr>
            <w:tcW w:w="1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215,430</w:t>
            </w:r>
          </w:p>
        </w:tc>
        <w:tc>
          <w:tcPr>
            <w:tcW w:w="0" w:type="dxa"/>
            <w:vAlign w:val="bottom"/>
          </w:tcPr>
          <w:p>
            <w:pPr>
              <w:spacing w:after="0"/>
              <w:rPr>
                <w:sz w:val="1"/>
                <w:szCs w:val="1"/>
                <w:color w:val="auto"/>
              </w:rPr>
            </w:pPr>
          </w:p>
        </w:tc>
      </w:tr>
      <w:tr>
        <w:trPr>
          <w:trHeight w:val="237"/>
        </w:trPr>
        <w:tc>
          <w:tcPr>
            <w:tcW w:w="622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315,914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2019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bottom w:val="single" w:sz="8" w:color="CCEEFF"/>
            </w:tcBorders>
          </w:tcPr>
          <w:p>
            <w:pPr>
              <w:spacing w:after="0"/>
              <w:rPr>
                <w:sz w:val="21"/>
                <w:szCs w:val="21"/>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b w:val="1"/>
                <w:bCs w:val="1"/>
                <w:color w:val="auto"/>
              </w:rPr>
              <w:t>Level 1</w:t>
            </w:r>
          </w:p>
        </w:tc>
        <w:tc>
          <w:tcPr>
            <w:tcW w:w="76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40" w:type="dxa"/>
            <w:vAlign w:val="bottom"/>
            <w:shd w:val="clear" w:color="auto" w:fill="CCEEFF"/>
          </w:tcPr>
          <w:p>
            <w:pPr>
              <w:jc w:val="right"/>
              <w:ind w:right="1421"/>
              <w:spacing w:after="0"/>
              <w:rPr>
                <w:sz w:val="20"/>
                <w:szCs w:val="20"/>
                <w:color w:val="auto"/>
              </w:rPr>
            </w:pPr>
            <w:r>
              <w:rPr>
                <w:rFonts w:ascii="Arial" w:cs="Arial" w:eastAsia="Arial" w:hAnsi="Arial"/>
                <w:sz w:val="20"/>
                <w:szCs w:val="20"/>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49,292</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49,292</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40,170</w:t>
            </w: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40,170</w:t>
            </w:r>
          </w:p>
        </w:tc>
        <w:tc>
          <w:tcPr>
            <w:tcW w:w="0" w:type="dxa"/>
            <w:vAlign w:val="bottom"/>
          </w:tcPr>
          <w:p>
            <w:pPr>
              <w:spacing w:after="0"/>
              <w:rPr>
                <w:sz w:val="1"/>
                <w:szCs w:val="1"/>
                <w:color w:val="auto"/>
              </w:rPr>
            </w:pPr>
          </w:p>
        </w:tc>
      </w:tr>
      <w:tr>
        <w:trPr>
          <w:trHeight w:val="261"/>
        </w:trPr>
        <w:tc>
          <w:tcPr>
            <w:tcW w:w="6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assets in the fair value hierarchy</w:t>
            </w:r>
          </w:p>
        </w:tc>
        <w:tc>
          <w:tcPr>
            <w:tcW w:w="1640" w:type="dxa"/>
            <w:vAlign w:val="bottom"/>
            <w:tcBorders>
              <w:bottom w:val="single" w:sz="8" w:color="auto"/>
            </w:tcBorders>
            <w:shd w:val="clear" w:color="auto" w:fill="CCEEFF"/>
          </w:tcPr>
          <w:p>
            <w:pPr>
              <w:jc w:val="right"/>
              <w:ind w:right="1421"/>
              <w:spacing w:after="0"/>
              <w:rPr>
                <w:sz w:val="20"/>
                <w:szCs w:val="20"/>
                <w:color w:val="auto"/>
              </w:rPr>
            </w:pPr>
            <w:r>
              <w:rPr>
                <w:rFonts w:ascii="Arial" w:cs="Arial" w:eastAsia="Arial" w:hAnsi="Arial"/>
                <w:sz w:val="20"/>
                <w:szCs w:val="20"/>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89,462</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89,462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16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CCTs*</w:t>
            </w:r>
          </w:p>
        </w:tc>
        <w:tc>
          <w:tcPr>
            <w:tcW w:w="16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198,322</w:t>
            </w:r>
          </w:p>
        </w:tc>
        <w:tc>
          <w:tcPr>
            <w:tcW w:w="0" w:type="dxa"/>
            <w:vAlign w:val="bottom"/>
          </w:tcPr>
          <w:p>
            <w:pPr>
              <w:spacing w:after="0"/>
              <w:rPr>
                <w:sz w:val="1"/>
                <w:szCs w:val="1"/>
                <w:color w:val="auto"/>
              </w:rPr>
            </w:pPr>
          </w:p>
        </w:tc>
      </w:tr>
      <w:tr>
        <w:trPr>
          <w:trHeight w:val="236"/>
        </w:trPr>
        <w:tc>
          <w:tcPr>
            <w:tcW w:w="622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287,784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accordance with FASB ASC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1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There were no significant transfers between Level 1 and Level 2 investments or into or out of Level 3 investments during the years ended December 31, 2020 and 2019.</w:t>
      </w:r>
    </w:p>
    <w:p>
      <w:pPr>
        <w:sectPr>
          <w:pgSz w:w="11900" w:h="16873"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tables summarize investments measured at fair value based on NAV per share as of December 31, 2020 and 2019 (in thousands):</w:t>
      </w:r>
    </w:p>
    <w:p>
      <w:pPr>
        <w:sectPr>
          <w:pgSz w:w="11900" w:h="16873" w:orient="portrait"/>
          <w:cols w:equalWidth="0" w:num="1">
            <w:col w:w="11240"/>
          </w:cols>
          <w:pgMar w:left="320" w:top="121" w:right="339"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Redemption</w:t>
            </w:r>
          </w:p>
        </w:tc>
        <w:tc>
          <w:tcPr>
            <w:tcW w:w="1800" w:type="dxa"/>
            <w:vAlign w:val="bottom"/>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Frequency</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Redemption</w:t>
            </w:r>
          </w:p>
        </w:tc>
      </w:t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20"/>
                <w:szCs w:val="20"/>
                <w:b w:val="1"/>
                <w:bCs w:val="1"/>
                <w:color w:val="auto"/>
              </w:rPr>
              <w:t>Unfunded</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(if currently</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Notice</w:t>
            </w:r>
          </w:p>
        </w:tc>
      </w:tr>
      <w:tr>
        <w:trPr>
          <w:trHeight w:val="252"/>
        </w:trPr>
        <w:tc>
          <w:tcPr>
            <w:tcW w:w="270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 2020</w:t>
            </w:r>
          </w:p>
        </w:tc>
        <w:tc>
          <w:tcPr>
            <w:tcW w:w="1200" w:type="dxa"/>
            <w:vAlign w:val="bottom"/>
          </w:tcPr>
          <w:p>
            <w:pPr>
              <w:ind w:left="20"/>
              <w:spacing w:after="0"/>
              <w:rPr>
                <w:sz w:val="20"/>
                <w:szCs w:val="20"/>
                <w:color w:val="auto"/>
              </w:rPr>
            </w:pPr>
            <w:r>
              <w:rPr>
                <w:rFonts w:ascii="Arial" w:cs="Arial" w:eastAsia="Arial" w:hAnsi="Arial"/>
                <w:sz w:val="20"/>
                <w:szCs w:val="20"/>
                <w:b w:val="1"/>
                <w:bCs w:val="1"/>
                <w:color w:val="auto"/>
              </w:rPr>
              <w:t>Fair Value</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Commitments</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eligible)</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Period</w:t>
            </w:r>
          </w:p>
        </w:tc>
      </w:tr>
      <w:tr>
        <w:trPr>
          <w:trHeight w:val="237"/>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215,430</w:t>
            </w:r>
          </w:p>
        </w:tc>
        <w:tc>
          <w:tcPr>
            <w:tcW w:w="18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8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513"/>
        </w:trPr>
        <w:tc>
          <w:tcPr>
            <w:tcW w:w="2700" w:type="dxa"/>
            <w:vAlign w:val="bottom"/>
            <w:gridSpan w:val="2"/>
          </w:tcPr>
          <w:p>
            <w:pPr>
              <w:ind w:left="20"/>
              <w:spacing w:after="0"/>
              <w:rPr>
                <w:sz w:val="20"/>
                <w:szCs w:val="20"/>
                <w:color w:val="auto"/>
              </w:rPr>
            </w:pPr>
            <w:r>
              <w:rPr>
                <w:rFonts w:ascii="Arial" w:cs="Arial" w:eastAsia="Arial" w:hAnsi="Arial"/>
                <w:sz w:val="20"/>
                <w:szCs w:val="20"/>
                <w:b w:val="1"/>
                <w:bCs w:val="1"/>
                <w:color w:val="auto"/>
              </w:rPr>
              <w:t>December 31, 2019</w:t>
            </w: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6"/>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198,322</w:t>
            </w:r>
          </w:p>
        </w:tc>
        <w:tc>
          <w:tcPr>
            <w:tcW w:w="180" w:type="dxa"/>
            <w:vAlign w:val="bottom"/>
            <w:tcBorders>
              <w:top w:val="single" w:sz="8" w:color="CCEEFF"/>
            </w:tcBorders>
            <w:shd w:val="clear" w:color="auto" w:fill="CCEEFF"/>
          </w:tcPr>
          <w:p>
            <w:pPr>
              <w:spacing w:after="0"/>
              <w:rPr>
                <w:sz w:val="20"/>
                <w:szCs w:val="20"/>
                <w:color w:val="auto"/>
              </w:rPr>
            </w:pPr>
          </w:p>
        </w:tc>
        <w:tc>
          <w:tcPr>
            <w:tcW w:w="24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RELATED PARTY TRANSACTIONS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Plan investments include shares of mutual funds and CCT funds managed by the trustee. The Plan also paid fees for recordkeeping service and accounting service which are included in the statement of changes in net assets for the year ended December 31, 2020 withing administrative expenses. These transactions qualify as party-in-interest, and are exempt from the prohibited transactions rule.</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PLAN TERMINATION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their employer contributions.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TAX STATUS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underlying non-standardized prototype plan has received an opinion letter from the Internal Revenue Service (IRS) dated May 28, 2014, stating that the form of the Plan is qualified under Section 401(a) of the IRC, and therefore, the related trust is tax-exempt. The Plan Administrator has determined that it is eligible to and has chosen to rely on the current IRS non-standardized prototype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SUBSEQUENT EVENTS</w:t>
      </w:r>
    </w:p>
    <w:p>
      <w:pPr>
        <w:spacing w:after="0" w:line="23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Management has evaluated subsequent events through June 11, 2021 which is the date the financial statements were available to be issued, and have determined that there is are no subsequent events that require disclosure.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INFORMATION</w:t>
      </w:r>
    </w:p>
    <w:p>
      <w:pPr>
        <w:sectPr>
          <w:pgSz w:w="11900" w:h="16838" w:orient="portrait"/>
          <w:cols w:equalWidth="0" w:num="1">
            <w:col w:w="11240"/>
          </w:cols>
          <w:pgMar w:left="320" w:top="15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003 PLAN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003</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ASSETS (HELD AT END OF YEAR)</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(b)</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Description of investment including</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Identity of issuer, borrower</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maturity date, rate of interest,</w:t>
            </w:r>
          </w:p>
        </w:tc>
        <w:tc>
          <w:tcPr>
            <w:tcW w:w="0" w:type="dxa"/>
            <w:vAlign w:val="bottom"/>
          </w:tcPr>
          <w:p>
            <w:pPr>
              <w:spacing w:after="0"/>
              <w:rPr>
                <w:sz w:val="1"/>
                <w:szCs w:val="1"/>
                <w:color w:val="auto"/>
              </w:rPr>
            </w:pPr>
          </w:p>
        </w:tc>
      </w:tr>
      <w:tr>
        <w:trPr>
          <w:trHeight w:val="252"/>
        </w:trPr>
        <w:tc>
          <w:tcPr>
            <w:tcW w:w="740" w:type="dxa"/>
            <w:vAlign w:val="bottom"/>
            <w:gridSpan w:val="2"/>
          </w:tcPr>
          <w:p>
            <w:pPr>
              <w:ind w:left="20"/>
              <w:spacing w:after="0"/>
              <w:rPr>
                <w:sz w:val="20"/>
                <w:szCs w:val="20"/>
                <w:color w:val="auto"/>
              </w:rPr>
            </w:pPr>
            <w:r>
              <w:rPr>
                <w:rFonts w:ascii="Arial" w:cs="Arial" w:eastAsia="Arial" w:hAnsi="Arial"/>
                <w:sz w:val="20"/>
                <w:szCs w:val="20"/>
                <w:b w:val="1"/>
                <w:bCs w:val="1"/>
                <w:color w:val="auto"/>
              </w:rPr>
              <w:t>(a)</w:t>
            </w: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 or similar parties</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collateral, par, or maturity value</w:t>
            </w:r>
          </w:p>
        </w:tc>
        <w:tc>
          <w:tcPr>
            <w:tcW w:w="0" w:type="dxa"/>
            <w:vAlign w:val="bottom"/>
          </w:tcPr>
          <w:p>
            <w:pPr>
              <w:spacing w:after="0"/>
              <w:rPr>
                <w:sz w:val="1"/>
                <w:szCs w:val="1"/>
                <w:color w:val="auto"/>
              </w:rPr>
            </w:pPr>
          </w:p>
        </w:tc>
      </w:tr>
      <w:tr>
        <w:trPr>
          <w:trHeight w:val="233"/>
        </w:trPr>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Mutual Funds</w:t>
            </w:r>
          </w:p>
        </w:tc>
        <w:tc>
          <w:tcPr>
            <w:tcW w:w="180" w:type="dxa"/>
            <w:vAlign w:val="bottom"/>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Cash Reserve Federal MM Fund</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Developed Markets Index Fund</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Institutional 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Emerging Markets Stock Index Fund:</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Inst'l 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5"/>
              </w:rPr>
              <w:t>Vanguard Institutional Index Fund Instl Plus Shares</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6"/>
              </w:rPr>
              <w:t>Vanguard Mid-Cap Index Fund Institutional Shares</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Small-Cap Index Fund Institutional</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6"/>
              </w:rPr>
              <w:t>Vanguard Total Bond Market Index Fund: Inst'l Shr</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w w:val="94"/>
              </w:rPr>
              <w:t>Vanguard Total International Bond Index Fund Instit</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50"/>
        </w:trPr>
        <w:tc>
          <w:tcPr>
            <w:tcW w:w="5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Shr</w:t>
            </w:r>
          </w:p>
        </w:tc>
        <w:tc>
          <w:tcPr>
            <w:tcW w:w="4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Total mutual funds</w:t>
            </w: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2"/>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Common/Collective Trust Funds</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Retirement Savings Trust III</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2015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2020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2025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2030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2035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2040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2045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2050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2055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2060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2065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50"/>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Income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Total Common/collective trust funds</w:t>
            </w: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Roper Common Stock</w:t>
            </w:r>
          </w:p>
        </w:tc>
        <w:tc>
          <w:tcPr>
            <w:tcW w:w="4360" w:type="dxa"/>
            <w:vAlign w:val="bottom"/>
          </w:tcPr>
          <w:p>
            <w:pPr>
              <w:ind w:left="20"/>
              <w:spacing w:after="0"/>
              <w:rPr>
                <w:sz w:val="20"/>
                <w:szCs w:val="20"/>
                <w:color w:val="auto"/>
              </w:rPr>
            </w:pPr>
            <w:r>
              <w:rPr>
                <w:rFonts w:ascii="Arial" w:cs="Arial" w:eastAsia="Arial" w:hAnsi="Arial"/>
                <w:sz w:val="20"/>
                <w:szCs w:val="20"/>
                <w:color w:val="auto"/>
              </w:rPr>
              <w:t>Common stock</w:t>
            </w:r>
          </w:p>
        </w:tc>
        <w:tc>
          <w:tcPr>
            <w:tcW w:w="0" w:type="dxa"/>
            <w:vAlign w:val="bottom"/>
          </w:tcPr>
          <w:p>
            <w:pPr>
              <w:spacing w:after="0"/>
              <w:rPr>
                <w:sz w:val="1"/>
                <w:szCs w:val="1"/>
                <w:color w:val="auto"/>
              </w:rPr>
            </w:pPr>
          </w:p>
        </w:tc>
      </w:tr>
      <w:tr>
        <w:trPr>
          <w:trHeight w:val="250"/>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Notes receivable from participants</w:t>
            </w:r>
          </w:p>
        </w:tc>
        <w:tc>
          <w:tcPr>
            <w:tcW w:w="4360" w:type="dxa"/>
            <w:vAlign w:val="bottom"/>
          </w:tcPr>
          <w:p>
            <w:pPr>
              <w:ind w:left="20"/>
              <w:spacing w:after="0"/>
              <w:rPr>
                <w:sz w:val="20"/>
                <w:szCs w:val="20"/>
                <w:color w:val="auto"/>
              </w:rPr>
            </w:pPr>
            <w:r>
              <w:rPr>
                <w:rFonts w:ascii="Arial" w:cs="Arial" w:eastAsia="Arial" w:hAnsi="Arial"/>
                <w:sz w:val="20"/>
                <w:szCs w:val="20"/>
                <w:color w:val="auto"/>
              </w:rPr>
              <w:t>Interest rates ranging from 4.25% to 6.25%</w:t>
            </w:r>
          </w:p>
        </w:tc>
        <w:tc>
          <w:tcPr>
            <w:tcW w:w="0" w:type="dxa"/>
            <w:vAlign w:val="bottom"/>
          </w:tcPr>
          <w:p>
            <w:pPr>
              <w:spacing w:after="0"/>
              <w:rPr>
                <w:sz w:val="1"/>
                <w:szCs w:val="1"/>
                <w:color w:val="auto"/>
              </w:rPr>
            </w:pPr>
          </w:p>
        </w:tc>
      </w:tr>
      <w:tr>
        <w:trPr>
          <w:trHeight w:val="52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*Indicates party-in-interest</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-5016500</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-4587875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-4159250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-3730625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-2976245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-2667635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-2359025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-2050415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-1741805</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-1433195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-490220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-3302000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(e)</w:t>
      </w:r>
    </w:p>
    <w:p>
      <w:pPr>
        <w:spacing w:after="0" w:line="2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Current</w:t>
      </w:r>
    </w:p>
    <w:p>
      <w:pPr>
        <w:spacing w:after="0" w:line="1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42" w:lineRule="exact"/>
        <w:rPr>
          <w:sz w:val="20"/>
          <w:szCs w:val="20"/>
          <w:color w:val="auto"/>
        </w:rPr>
      </w:pPr>
    </w:p>
    <w:p>
      <w:pPr>
        <w:ind w:left="842" w:hanging="842"/>
        <w:spacing w:after="0"/>
        <w:tabs>
          <w:tab w:leader="none" w:pos="842" w:val="left"/>
        </w:tabs>
        <w:numPr>
          <w:ilvl w:val="0"/>
          <w:numId w:val="4"/>
        </w:numPr>
        <w:rPr>
          <w:rFonts w:ascii="Arial" w:cs="Arial" w:eastAsia="Arial" w:hAnsi="Arial"/>
          <w:sz w:val="16"/>
          <w:szCs w:val="16"/>
          <w:color w:val="auto"/>
        </w:rPr>
      </w:pPr>
      <w:r>
        <w:rPr>
          <w:rFonts w:ascii="Arial" w:cs="Arial" w:eastAsia="Arial" w:hAnsi="Arial"/>
          <w:sz w:val="16"/>
          <w:szCs w:val="16"/>
          <w:color w:val="auto"/>
        </w:rPr>
        <w:t>765,893</w:t>
      </w:r>
    </w:p>
    <w:p>
      <w:pPr>
        <w:spacing w:after="0" w:line="248" w:lineRule="exact"/>
        <w:rPr>
          <w:sz w:val="20"/>
          <w:szCs w:val="20"/>
          <w:color w:val="auto"/>
        </w:rPr>
      </w:pPr>
    </w:p>
    <w:p>
      <w:pPr>
        <w:ind w:left="702"/>
        <w:spacing w:after="0"/>
        <w:rPr>
          <w:sz w:val="20"/>
          <w:szCs w:val="20"/>
          <w:color w:val="auto"/>
        </w:rPr>
      </w:pPr>
      <w:r>
        <w:rPr>
          <w:rFonts w:ascii="Arial" w:cs="Arial" w:eastAsia="Arial" w:hAnsi="Arial"/>
          <w:sz w:val="16"/>
          <w:szCs w:val="16"/>
          <w:color w:val="auto"/>
        </w:rPr>
        <w:t>7,082,910</w:t>
      </w:r>
    </w:p>
    <w:p>
      <w:pPr>
        <w:spacing w:after="0" w:line="248" w:lineRule="exact"/>
        <w:rPr>
          <w:sz w:val="20"/>
          <w:szCs w:val="20"/>
          <w:color w:val="auto"/>
        </w:rPr>
      </w:pPr>
    </w:p>
    <w:p>
      <w:pPr>
        <w:ind w:left="702"/>
        <w:spacing w:after="0"/>
        <w:rPr>
          <w:sz w:val="20"/>
          <w:szCs w:val="20"/>
          <w:color w:val="auto"/>
        </w:rPr>
      </w:pPr>
      <w:r>
        <w:rPr>
          <w:rFonts w:ascii="Arial" w:cs="Arial" w:eastAsia="Arial" w:hAnsi="Arial"/>
          <w:sz w:val="16"/>
          <w:szCs w:val="16"/>
          <w:color w:val="auto"/>
        </w:rPr>
        <w:t>3,536,352</w:t>
      </w:r>
    </w:p>
    <w:p>
      <w:pPr>
        <w:spacing w:after="0" w:line="6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23,562,240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9,352,432</w:t>
      </w:r>
    </w:p>
    <w:p>
      <w:pPr>
        <w:spacing w:after="0" w:line="195" w:lineRule="exact"/>
        <w:rPr>
          <w:sz w:val="20"/>
          <w:szCs w:val="20"/>
          <w:color w:val="auto"/>
        </w:rPr>
      </w:pPr>
    </w:p>
    <w:p>
      <w:pPr>
        <w:ind w:left="702"/>
        <w:spacing w:after="0"/>
        <w:rPr>
          <w:sz w:val="20"/>
          <w:szCs w:val="20"/>
          <w:color w:val="auto"/>
        </w:rPr>
      </w:pPr>
      <w:r>
        <w:rPr>
          <w:rFonts w:ascii="Arial" w:cs="Arial" w:eastAsia="Arial" w:hAnsi="Arial"/>
          <w:sz w:val="16"/>
          <w:szCs w:val="16"/>
          <w:color w:val="auto"/>
        </w:rPr>
        <w:t>4,173,046</w:t>
      </w:r>
    </w:p>
    <w:p>
      <w:pPr>
        <w:spacing w:after="0" w:line="66" w:lineRule="exact"/>
        <w:rPr>
          <w:sz w:val="20"/>
          <w:szCs w:val="20"/>
          <w:color w:val="auto"/>
        </w:rPr>
      </w:pPr>
    </w:p>
    <w:p>
      <w:pPr>
        <w:ind w:left="702"/>
        <w:spacing w:after="0"/>
        <w:rPr>
          <w:sz w:val="20"/>
          <w:szCs w:val="20"/>
          <w:color w:val="auto"/>
        </w:rPr>
      </w:pPr>
      <w:r>
        <w:rPr>
          <w:rFonts w:ascii="Arial" w:cs="Arial" w:eastAsia="Arial" w:hAnsi="Arial"/>
          <w:sz w:val="16"/>
          <w:szCs w:val="16"/>
          <w:color w:val="auto"/>
        </w:rPr>
        <w:t>8,899,538</w:t>
      </w:r>
    </w:p>
    <w:p>
      <w:pPr>
        <w:spacing w:after="0" w:line="241" w:lineRule="exact"/>
        <w:rPr>
          <w:sz w:val="20"/>
          <w:szCs w:val="20"/>
          <w:color w:val="auto"/>
        </w:rPr>
      </w:pPr>
    </w:p>
    <w:p>
      <w:pPr>
        <w:ind w:left="702"/>
        <w:spacing w:after="0"/>
        <w:rPr>
          <w:sz w:val="20"/>
          <w:szCs w:val="20"/>
          <w:color w:val="auto"/>
        </w:rPr>
      </w:pPr>
      <w:r>
        <w:rPr>
          <w:rFonts w:ascii="Arial" w:cs="Arial" w:eastAsia="Arial" w:hAnsi="Arial"/>
          <w:sz w:val="16"/>
          <w:szCs w:val="16"/>
          <w:color w:val="auto"/>
        </w:rPr>
        <w:t>1,550,061</w:t>
      </w:r>
    </w:p>
    <w:p>
      <w:pPr>
        <w:spacing w:after="0" w:line="73" w:lineRule="exact"/>
        <w:rPr>
          <w:sz w:val="20"/>
          <w:szCs w:val="20"/>
          <w:color w:val="auto"/>
        </w:rPr>
      </w:pPr>
    </w:p>
    <w:p>
      <w:pPr>
        <w:ind w:left="602"/>
        <w:spacing w:after="0"/>
        <w:rPr>
          <w:sz w:val="20"/>
          <w:szCs w:val="20"/>
          <w:color w:val="auto"/>
        </w:rPr>
      </w:pPr>
      <w:r>
        <w:rPr>
          <w:rFonts w:ascii="Arial" w:cs="Arial" w:eastAsia="Arial" w:hAnsi="Arial"/>
          <w:sz w:val="16"/>
          <w:szCs w:val="16"/>
          <w:color w:val="auto"/>
        </w:rPr>
        <w:t>58,922,472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36,771,017</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5,324,753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17,348,229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45,260,494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32,027,655</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28,829,224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17,680,708</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15,677,363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7,360,519</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4,406,161</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1,545,398</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804,557</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2,393,611</w:t>
      </w:r>
    </w:p>
    <w:p>
      <w:pPr>
        <w:spacing w:after="0" w:line="19" w:lineRule="exact"/>
        <w:rPr>
          <w:sz w:val="20"/>
          <w:szCs w:val="20"/>
          <w:color w:val="auto"/>
        </w:rPr>
      </w:pPr>
    </w:p>
    <w:p>
      <w:pPr>
        <w:ind w:left="502"/>
        <w:spacing w:after="0"/>
        <w:rPr>
          <w:sz w:val="20"/>
          <w:szCs w:val="20"/>
          <w:color w:val="auto"/>
        </w:rPr>
      </w:pPr>
      <w:r>
        <w:rPr>
          <w:rFonts w:ascii="Arial" w:cs="Arial" w:eastAsia="Arial" w:hAnsi="Arial"/>
          <w:sz w:val="16"/>
          <w:szCs w:val="16"/>
          <w:color w:val="auto"/>
        </w:rPr>
        <w:t>215,429,689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53" w:lineRule="exact"/>
        <w:rPr>
          <w:sz w:val="20"/>
          <w:szCs w:val="20"/>
          <w:color w:val="auto"/>
        </w:rPr>
      </w:pPr>
    </w:p>
    <w:p>
      <w:pPr>
        <w:ind w:left="602"/>
        <w:spacing w:after="0"/>
        <w:rPr>
          <w:sz w:val="20"/>
          <w:szCs w:val="20"/>
          <w:color w:val="auto"/>
        </w:rPr>
      </w:pPr>
      <w:r>
        <w:rPr>
          <w:rFonts w:ascii="Arial" w:cs="Arial" w:eastAsia="Arial" w:hAnsi="Arial"/>
          <w:sz w:val="16"/>
          <w:szCs w:val="16"/>
          <w:color w:val="auto"/>
        </w:rPr>
        <w:t>41,562,232</w:t>
      </w:r>
    </w:p>
    <w:p>
      <w:pPr>
        <w:spacing w:after="0" w:line="66" w:lineRule="exact"/>
        <w:rPr>
          <w:sz w:val="20"/>
          <w:szCs w:val="20"/>
          <w:color w:val="auto"/>
        </w:rPr>
      </w:pPr>
    </w:p>
    <w:p>
      <w:pPr>
        <w:ind w:left="702"/>
        <w:spacing w:after="0"/>
        <w:rPr>
          <w:sz w:val="20"/>
          <w:szCs w:val="20"/>
          <w:color w:val="auto"/>
        </w:rPr>
      </w:pPr>
      <w:r>
        <w:rPr>
          <w:rFonts w:ascii="Arial" w:cs="Arial" w:eastAsia="Arial" w:hAnsi="Arial"/>
          <w:sz w:val="16"/>
          <w:szCs w:val="16"/>
          <w:color w:val="auto"/>
        </w:rPr>
        <w:t>2,694,774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003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5" w:lineRule="exact"/>
        <w:rPr>
          <w:sz w:val="20"/>
          <w:szCs w:val="20"/>
          <w:color w:val="auto"/>
        </w:rPr>
      </w:pPr>
    </w:p>
    <w:p>
      <w:pPr>
        <w:ind w:left="502" w:hanging="502"/>
        <w:spacing w:after="0"/>
        <w:tabs>
          <w:tab w:leader="none" w:pos="502" w:val="left"/>
        </w:tabs>
        <w:numPr>
          <w:ilvl w:val="0"/>
          <w:numId w:val="5"/>
        </w:numPr>
        <w:rPr>
          <w:rFonts w:ascii="Arial" w:cs="Arial" w:eastAsia="Arial" w:hAnsi="Arial"/>
          <w:sz w:val="16"/>
          <w:szCs w:val="16"/>
          <w:color w:val="auto"/>
        </w:rPr>
      </w:pPr>
      <w:r>
        <w:rPr>
          <w:rFonts w:ascii="Arial" w:cs="Arial" w:eastAsia="Arial" w:hAnsi="Arial"/>
          <w:sz w:val="16"/>
          <w:szCs w:val="16"/>
          <w:color w:val="auto"/>
        </w:rPr>
        <w:t>318,609,167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65405</wp:posOffset>
            </wp:positionV>
            <wp:extent cx="10033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ectPr>
          <w:pgSz w:w="11900" w:h="16838" w:orient="portrait"/>
          <w:cols w:equalWidth="0" w:num="2">
            <w:col w:w="9480" w:space="198"/>
            <w:col w:w="1482"/>
          </w:cols>
          <w:pgMar w:left="320" w:top="157" w:right="419" w:bottom="1440" w:gutter="0" w:footer="0" w:header="0"/>
        </w:sectPr>
      </w:pPr>
    </w:p>
    <w:bookmarkStart w:id="11" w:name="page12"/>
    <w:bookmarkEnd w:id="11"/>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ROPER Technologies, Inc.</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EMPLOYEE’S retirement savings 003 plan</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(Registrant)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Jason Conley</w:t>
            </w:r>
          </w:p>
        </w:tc>
        <w:tc>
          <w:tcPr>
            <w:tcW w:w="2260" w:type="dxa"/>
            <w:vAlign w:val="bottom"/>
          </w:tcPr>
          <w:p>
            <w:pPr>
              <w:ind w:left="700"/>
              <w:spacing w:after="0"/>
              <w:rPr>
                <w:sz w:val="20"/>
                <w:szCs w:val="20"/>
                <w:color w:val="auto"/>
              </w:rPr>
            </w:pPr>
            <w:r>
              <w:rPr>
                <w:rFonts w:ascii="Arial" w:cs="Arial" w:eastAsia="Arial" w:hAnsi="Arial"/>
                <w:sz w:val="20"/>
                <w:szCs w:val="20"/>
                <w:color w:val="auto"/>
                <w:w w:val="85"/>
              </w:rPr>
              <w:t>Date: June 11, 2021</w:t>
            </w:r>
          </w:p>
        </w:tc>
      </w:tr>
      <w:tr>
        <w:trPr>
          <w:trHeight w:val="244"/>
        </w:trPr>
        <w:tc>
          <w:tcPr>
            <w:tcW w:w="60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Jason Conley, Vice President and Controller</w:t>
            </w:r>
          </w:p>
        </w:tc>
        <w:tc>
          <w:tcPr>
            <w:tcW w:w="2260" w:type="dxa"/>
            <w:vAlign w:val="bottom"/>
          </w:tcPr>
          <w:p>
            <w:pPr>
              <w:spacing w:after="0"/>
              <w:rPr>
                <w:sz w:val="21"/>
                <w:szCs w:val="21"/>
                <w:color w:val="auto"/>
              </w:rPr>
            </w:pPr>
          </w:p>
        </w:tc>
      </w:tr>
    </w:tbl>
    <w:p>
      <w:pPr>
        <w:sectPr>
          <w:pgSz w:w="11900" w:h="16838" w:orient="portrait"/>
          <w:cols w:equalWidth="0" w:num="1">
            <w:col w:w="9039"/>
          </w:cols>
          <w:pgMar w:left="1420" w:top="1440"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2"/>
          </w:tcPr>
          <w:p>
            <w:pPr>
              <w:ind w:left="2420"/>
              <w:spacing w:after="0"/>
              <w:rPr>
                <w:sz w:val="20"/>
                <w:szCs w:val="20"/>
                <w:color w:val="auto"/>
              </w:rPr>
            </w:pPr>
            <w:r>
              <w:rPr>
                <w:rFonts w:ascii="Arial" w:cs="Arial" w:eastAsia="Arial" w:hAnsi="Arial"/>
                <w:sz w:val="20"/>
                <w:szCs w:val="20"/>
                <w:b w:val="1"/>
                <w:bCs w:val="1"/>
                <w:color w:val="auto"/>
              </w:rPr>
              <w:t>Exhibit Index</w:t>
            </w:r>
          </w:p>
        </w:tc>
      </w:tr>
      <w:tr>
        <w:trPr>
          <w:trHeight w:val="266"/>
        </w:trPr>
        <w:tc>
          <w:tcPr>
            <w:tcW w:w="260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20" w:type="dxa"/>
            <w:vAlign w:val="bottom"/>
          </w:tcPr>
          <w:p>
            <w:pPr>
              <w:spacing w:after="0"/>
              <w:rPr>
                <w:sz w:val="23"/>
                <w:szCs w:val="23"/>
                <w:color w:val="auto"/>
              </w:rPr>
            </w:pPr>
          </w:p>
        </w:tc>
        <w:tc>
          <w:tcPr>
            <w:tcW w:w="8180" w:type="dxa"/>
            <w:vAlign w:val="bottom"/>
            <w:gridSpan w:val="2"/>
          </w:tcPr>
          <w:p>
            <w:pPr>
              <w:spacing w:after="0"/>
              <w:rPr>
                <w:sz w:val="20"/>
                <w:szCs w:val="20"/>
                <w:color w:val="auto"/>
              </w:rPr>
            </w:pPr>
            <w:r>
              <w:rPr>
                <w:rFonts w:ascii="Arial" w:cs="Arial" w:eastAsia="Arial" w:hAnsi="Arial"/>
                <w:sz w:val="20"/>
                <w:szCs w:val="20"/>
                <w:b w:val="1"/>
                <w:bCs w:val="1"/>
                <w:color w:val="auto"/>
              </w:rPr>
              <w:t>Description of Index</w:t>
            </w:r>
          </w:p>
        </w:tc>
      </w:tr>
      <w:tr>
        <w:trPr>
          <w:trHeight w:val="196"/>
        </w:trPr>
        <w:tc>
          <w:tcPr>
            <w:tcW w:w="22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20"/>
                <w:szCs w:val="20"/>
                <w:color w:val="auto"/>
              </w:rPr>
              <w:t>23.1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180" w:type="dxa"/>
            <w:vAlign w:val="bottom"/>
            <w:tcBorders>
              <w:top w:val="single" w:sz="8" w:color="auto"/>
            </w:tcBorders>
            <w:gridSpan w:val="2"/>
          </w:tcPr>
          <w:p>
            <w:pPr>
              <w:spacing w:after="0" w:line="196" w:lineRule="exact"/>
              <w:rPr>
                <w:rFonts w:ascii="Arial" w:cs="Arial" w:eastAsia="Arial" w:hAnsi="Arial"/>
                <w:sz w:val="20"/>
                <w:szCs w:val="20"/>
                <w:color w:val="0000FF"/>
              </w:rPr>
            </w:pPr>
            <w:hyperlink w:anchor="page14">
              <w:r>
                <w:rPr>
                  <w:rFonts w:ascii="Arial" w:cs="Arial" w:eastAsia="Arial" w:hAnsi="Arial"/>
                  <w:sz w:val="20"/>
                  <w:szCs w:val="20"/>
                  <w:color w:val="0000FF"/>
                </w:rPr>
                <w:t>Consent of Warren Averett, LLC</w:t>
              </w:r>
            </w:hyperlink>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ectPr>
          <w:pgSz w:w="11900" w:h="16838" w:orient="portrait"/>
          <w:cols w:equalWidth="0" w:num="1">
            <w:col w:w="10800"/>
          </w:cols>
          <w:pgMar w:left="320" w:top="1413" w:right="7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Registration Statement No. 333-35672 on Form S-8 of our report dated June 11, 2021, appearing in this Annual Report on Form 11-K of the Roper Technologies, Inc. Employees’ Retirement Savings 003 Plan for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 Warren Averett,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w:t>
      </w:r>
    </w:p>
    <w:p>
      <w:pPr>
        <w:spacing w:after="0"/>
        <w:rPr>
          <w:sz w:val="20"/>
          <w:szCs w:val="20"/>
          <w:color w:val="auto"/>
        </w:rPr>
      </w:pPr>
      <w:r>
        <w:rPr>
          <w:rFonts w:ascii="Arial" w:cs="Arial" w:eastAsia="Arial" w:hAnsi="Arial"/>
          <w:sz w:val="22"/>
          <w:szCs w:val="22"/>
          <w:color w:val="auto"/>
        </w:rPr>
        <w:t>June 11,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2021-06-11T07:48:47Z</dcterms:created>
  <dcterms:modified xsi:type="dcterms:W3CDTF">2021-06-11T07:48:47Z</dcterms:modified>
</cp:coreProperties>
</file>