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TO SECTION 13 OR 15(D)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14"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October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89535</wp:posOffset>
            </wp:positionV>
            <wp:extent cx="4364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DATE OF REPORT (DATE OF EARLIEST EVENT REPORTED)</w:t>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ROPER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95885</wp:posOffset>
            </wp:positionV>
            <wp:extent cx="4364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32"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(EXACT NAME OF REGISTRANT AS SPECIFIED IN ITS CHARTER)</w:t>
      </w:r>
    </w:p>
    <w:p>
      <w:pPr>
        <w:spacing w:after="0" w:line="22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80010</wp:posOffset>
            </wp:positionV>
            <wp:extent cx="4364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(STATE OR OTHER JURISDICTION OF INCORPORATION)</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Pr>
          <w:p>
            <w:pPr>
              <w:jc w:val="center"/>
              <w:ind w:right="1152"/>
              <w:spacing w:after="0"/>
              <w:rPr>
                <w:sz w:val="20"/>
                <w:szCs w:val="20"/>
                <w:color w:val="auto"/>
              </w:rPr>
            </w:pPr>
            <w:r>
              <w:rPr>
                <w:rFonts w:ascii="Arial" w:cs="Arial" w:eastAsia="Arial" w:hAnsi="Arial"/>
                <w:sz w:val="22"/>
                <w:szCs w:val="22"/>
                <w:b w:val="1"/>
                <w:bCs w:val="1"/>
                <w:color w:val="auto"/>
                <w:w w:val="89"/>
              </w:rPr>
              <w:t>1-12273</w:t>
            </w:r>
          </w:p>
        </w:tc>
        <w:tc>
          <w:tcPr>
            <w:tcW w:w="3980" w:type="dxa"/>
            <w:vAlign w:val="bottom"/>
          </w:tcPr>
          <w:p>
            <w:pPr>
              <w:jc w:val="right"/>
              <w:ind w:right="1292"/>
              <w:spacing w:after="0"/>
              <w:rPr>
                <w:sz w:val="20"/>
                <w:szCs w:val="20"/>
                <w:color w:val="auto"/>
              </w:rPr>
            </w:pPr>
            <w:r>
              <w:rPr>
                <w:rFonts w:ascii="Arial" w:cs="Arial" w:eastAsia="Arial" w:hAnsi="Arial"/>
                <w:sz w:val="22"/>
                <w:szCs w:val="22"/>
                <w:b w:val="1"/>
                <w:bCs w:val="1"/>
                <w:color w:val="auto"/>
              </w:rPr>
              <w:t>51-0263969</w:t>
            </w:r>
          </w:p>
        </w:tc>
      </w:tr>
      <w:tr>
        <w:trPr>
          <w:trHeight w:val="275"/>
        </w:trPr>
        <w:tc>
          <w:tcPr>
            <w:tcW w:w="6060" w:type="dxa"/>
            <w:vAlign w:val="bottom"/>
          </w:tcPr>
          <w:p>
            <w:pPr>
              <w:jc w:val="center"/>
              <w:ind w:right="1132"/>
              <w:spacing w:after="0"/>
              <w:rPr>
                <w:sz w:val="20"/>
                <w:szCs w:val="20"/>
                <w:color w:val="auto"/>
              </w:rPr>
            </w:pPr>
            <w:r>
              <w:rPr>
                <w:rFonts w:ascii="Arial" w:cs="Arial" w:eastAsia="Arial" w:hAnsi="Arial"/>
                <w:sz w:val="22"/>
                <w:szCs w:val="22"/>
                <w:color w:val="auto"/>
                <w:w w:val="96"/>
              </w:rPr>
              <w:t>(COMMISSION FILE NUMBER)</w:t>
            </w:r>
          </w:p>
        </w:tc>
        <w:tc>
          <w:tcPr>
            <w:tcW w:w="3980" w:type="dxa"/>
            <w:vAlign w:val="bottom"/>
          </w:tcPr>
          <w:p>
            <w:pPr>
              <w:jc w:val="center"/>
              <w:ind w:left="12"/>
              <w:spacing w:after="0"/>
              <w:rPr>
                <w:sz w:val="20"/>
                <w:szCs w:val="20"/>
                <w:color w:val="auto"/>
              </w:rPr>
            </w:pPr>
            <w:r>
              <w:rPr>
                <w:rFonts w:ascii="Arial" w:cs="Arial" w:eastAsia="Arial" w:hAnsi="Arial"/>
                <w:sz w:val="22"/>
                <w:szCs w:val="22"/>
                <w:color w:val="auto"/>
                <w:w w:val="95"/>
              </w:rPr>
              <w:t>(IRS EMPLOYER IDENTIFICATION NO.)</w:t>
            </w:r>
          </w:p>
        </w:tc>
      </w:tr>
      <w:tr>
        <w:trPr>
          <w:trHeight w:val="449"/>
        </w:trPr>
        <w:tc>
          <w:tcPr>
            <w:tcW w:w="6060" w:type="dxa"/>
            <w:vAlign w:val="bottom"/>
          </w:tcPr>
          <w:p>
            <w:pPr>
              <w:jc w:val="center"/>
              <w:ind w:right="1152"/>
              <w:spacing w:after="0"/>
              <w:rPr>
                <w:sz w:val="20"/>
                <w:szCs w:val="20"/>
                <w:color w:val="auto"/>
              </w:rPr>
            </w:pPr>
            <w:r>
              <w:rPr>
                <w:rFonts w:ascii="Arial" w:cs="Arial" w:eastAsia="Arial" w:hAnsi="Arial"/>
                <w:sz w:val="22"/>
                <w:szCs w:val="22"/>
                <w:b w:val="1"/>
                <w:bCs w:val="1"/>
                <w:color w:val="auto"/>
                <w:w w:val="94"/>
              </w:rPr>
              <w:t>6901 PROFESSIONAL PKWY. EAST, SUITE 200,</w:t>
            </w:r>
          </w:p>
        </w:tc>
        <w:tc>
          <w:tcPr>
            <w:tcW w:w="3980" w:type="dxa"/>
            <w:vAlign w:val="bottom"/>
          </w:tcPr>
          <w:p>
            <w:pPr>
              <w:spacing w:after="0"/>
              <w:rPr>
                <w:sz w:val="24"/>
                <w:szCs w:val="24"/>
                <w:color w:val="auto"/>
              </w:rPr>
            </w:pPr>
          </w:p>
        </w:tc>
      </w:tr>
      <w:tr>
        <w:trPr>
          <w:trHeight w:val="249"/>
        </w:trPr>
        <w:tc>
          <w:tcPr>
            <w:tcW w:w="6060" w:type="dxa"/>
            <w:vAlign w:val="bottom"/>
          </w:tcPr>
          <w:p>
            <w:pPr>
              <w:jc w:val="center"/>
              <w:ind w:right="1132"/>
              <w:spacing w:after="0" w:line="249" w:lineRule="exact"/>
              <w:rPr>
                <w:sz w:val="20"/>
                <w:szCs w:val="20"/>
                <w:color w:val="auto"/>
              </w:rPr>
            </w:pPr>
            <w:r>
              <w:rPr>
                <w:rFonts w:ascii="Arial" w:cs="Arial" w:eastAsia="Arial" w:hAnsi="Arial"/>
                <w:sz w:val="22"/>
                <w:szCs w:val="22"/>
                <w:b w:val="1"/>
                <w:bCs w:val="1"/>
                <w:color w:val="auto"/>
                <w:w w:val="96"/>
              </w:rPr>
              <w:t>SARASOTA, FLORIDA</w:t>
            </w:r>
          </w:p>
        </w:tc>
        <w:tc>
          <w:tcPr>
            <w:tcW w:w="3980" w:type="dxa"/>
            <w:vAlign w:val="bottom"/>
          </w:tcPr>
          <w:p>
            <w:pPr>
              <w:jc w:val="right"/>
              <w:ind w:right="1552"/>
              <w:spacing w:after="0" w:line="249" w:lineRule="exact"/>
              <w:rPr>
                <w:sz w:val="20"/>
                <w:szCs w:val="20"/>
                <w:color w:val="auto"/>
              </w:rPr>
            </w:pPr>
            <w:r>
              <w:rPr>
                <w:rFonts w:ascii="Arial" w:cs="Arial" w:eastAsia="Arial" w:hAnsi="Arial"/>
                <w:sz w:val="22"/>
                <w:szCs w:val="22"/>
                <w:b w:val="1"/>
                <w:bCs w:val="1"/>
                <w:color w:val="auto"/>
              </w:rPr>
              <w:t>34240</w:t>
            </w:r>
          </w:p>
        </w:tc>
      </w:tr>
      <w:tr>
        <w:trPr>
          <w:trHeight w:val="275"/>
        </w:trPr>
        <w:tc>
          <w:tcPr>
            <w:tcW w:w="6060" w:type="dxa"/>
            <w:vAlign w:val="bottom"/>
          </w:tcPr>
          <w:p>
            <w:pPr>
              <w:jc w:val="center"/>
              <w:ind w:right="1152"/>
              <w:spacing w:after="0"/>
              <w:rPr>
                <w:sz w:val="20"/>
                <w:szCs w:val="20"/>
                <w:color w:val="auto"/>
              </w:rPr>
            </w:pPr>
            <w:r>
              <w:rPr>
                <w:rFonts w:ascii="Arial" w:cs="Arial" w:eastAsia="Arial" w:hAnsi="Arial"/>
                <w:sz w:val="22"/>
                <w:szCs w:val="22"/>
                <w:color w:val="auto"/>
                <w:w w:val="93"/>
              </w:rPr>
              <w:t>(ADDRESS OF PRINCIPAL EXECUTIVE OFFICES)</w:t>
            </w:r>
          </w:p>
        </w:tc>
        <w:tc>
          <w:tcPr>
            <w:tcW w:w="3980" w:type="dxa"/>
            <w:vAlign w:val="bottom"/>
          </w:tcPr>
          <w:p>
            <w:pPr>
              <w:jc w:val="center"/>
              <w:ind w:left="12"/>
              <w:spacing w:after="0"/>
              <w:rPr>
                <w:sz w:val="20"/>
                <w:szCs w:val="20"/>
                <w:color w:val="auto"/>
              </w:rPr>
            </w:pPr>
            <w:r>
              <w:rPr>
                <w:rFonts w:ascii="Arial" w:cs="Arial" w:eastAsia="Arial" w:hAnsi="Arial"/>
                <w:sz w:val="22"/>
                <w:szCs w:val="22"/>
                <w:color w:val="auto"/>
                <w:w w:val="92"/>
              </w:rPr>
              <w:t>(ZIP CODE)</w:t>
            </w:r>
          </w:p>
        </w:tc>
      </w:tr>
      <w:tr>
        <w:trPr>
          <w:trHeight w:val="486"/>
        </w:trPr>
        <w:tc>
          <w:tcPr>
            <w:tcW w:w="6060" w:type="dxa"/>
            <w:vAlign w:val="bottom"/>
          </w:tcPr>
          <w:p>
            <w:pPr>
              <w:jc w:val="right"/>
              <w:ind w:right="32"/>
              <w:spacing w:after="0"/>
              <w:rPr>
                <w:sz w:val="20"/>
                <w:szCs w:val="20"/>
                <w:color w:val="auto"/>
              </w:rPr>
            </w:pPr>
            <w:r>
              <w:rPr>
                <w:rFonts w:ascii="Arial" w:cs="Arial" w:eastAsia="Arial" w:hAnsi="Arial"/>
                <w:sz w:val="22"/>
                <w:szCs w:val="22"/>
                <w:b w:val="1"/>
                <w:bCs w:val="1"/>
                <w:color w:val="auto"/>
              </w:rPr>
              <w:t>(941) 556-2601</w:t>
            </w:r>
          </w:p>
        </w:tc>
        <w:tc>
          <w:tcPr>
            <w:tcW w:w="39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62230</wp:posOffset>
            </wp:positionV>
            <wp:extent cx="4364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17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230505</wp:posOffset>
            </wp:positionV>
            <wp:extent cx="4364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(FORMER NAME OR ADDRESS, IF CHANGED SINCE LAST REPORT)</w:t>
      </w:r>
    </w:p>
    <w:p>
      <w:pPr>
        <w:spacing w:after="0" w:line="233" w:lineRule="exact"/>
        <w:rPr>
          <w:sz w:val="24"/>
          <w:szCs w:val="24"/>
          <w:color w:val="auto"/>
        </w:rPr>
      </w:pPr>
    </w:p>
    <w:p>
      <w:pPr>
        <w:ind w:lef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320" w:hanging="124"/>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 pursuant to Rule 425 under the Securities Act (17 CFR 230.425)</w:t>
      </w:r>
    </w:p>
    <w:p>
      <w:pPr>
        <w:spacing w:after="0" w:line="8" w:lineRule="exact"/>
        <w:rPr>
          <w:rFonts w:ascii="Arial" w:cs="Arial" w:eastAsia="Arial" w:hAnsi="Arial"/>
          <w:sz w:val="22"/>
          <w:szCs w:val="22"/>
          <w:color w:val="auto"/>
        </w:rPr>
      </w:pPr>
    </w:p>
    <w:p>
      <w:pPr>
        <w:ind w:left="320" w:hanging="124"/>
        <w:spacing w:after="0" w:line="230" w:lineRule="auto"/>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ind w:left="320" w:hanging="124"/>
        <w:spacing w:after="0"/>
        <w:tabs>
          <w:tab w:leader="none" w:pos="320"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Pre-commencement communications pursuant to Rule 14d-2(b) under the Exchange Act (17 CFR 240.14d-2(b))</w:t>
      </w:r>
    </w:p>
    <w:p>
      <w:pPr>
        <w:spacing w:after="0" w:line="24" w:lineRule="exact"/>
        <w:rPr>
          <w:rFonts w:ascii="Arial" w:cs="Arial" w:eastAsia="Arial" w:hAnsi="Arial"/>
          <w:sz w:val="19"/>
          <w:szCs w:val="19"/>
          <w:color w:val="auto"/>
        </w:rPr>
      </w:pPr>
    </w:p>
    <w:p>
      <w:pPr>
        <w:ind w:left="320" w:hanging="124"/>
        <w:spacing w:after="0"/>
        <w:tabs>
          <w:tab w:leader="none" w:pos="320"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Pre-commencement communications pursuant to Rule 13e-4(c) under the Exchange Act (17 CFR 240.13e-4(c))</w:t>
      </w:r>
    </w:p>
    <w:p>
      <w:pPr>
        <w:sectPr>
          <w:pgSz w:w="11900" w:h="16838" w:orient="portrait"/>
          <w:cols w:equalWidth="0" w:num="1">
            <w:col w:w="10360"/>
          </w:cols>
          <w:pgMar w:left="700" w:top="220" w:right="8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Item 2.02. Results of Operations and Financial Condition.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On October 26, 2015, Roper Technologies, Inc. (the "Company") issued a press release containing information about the Company's results of operations for the quarter ended September 30, 2015. A copy of the press release is furnished as </w:t>
      </w:r>
      <w:r>
        <w:rPr>
          <w:rFonts w:ascii="Arial" w:cs="Arial" w:eastAsia="Arial" w:hAnsi="Arial"/>
          <w:sz w:val="22"/>
          <w:szCs w:val="22"/>
          <w:u w:val="single" w:color="auto"/>
          <w:color w:val="auto"/>
        </w:rPr>
        <w:t>Exhibit 99.1</w:t>
      </w:r>
      <w:r>
        <w:rPr>
          <w:rFonts w:ascii="Arial" w:cs="Arial" w:eastAsia="Arial" w:hAnsi="Arial"/>
          <w:sz w:val="22"/>
          <w:szCs w:val="22"/>
          <w:color w:val="auto"/>
        </w:rPr>
        <w:t>. In the press release, the Company uses several non-GAAP financial measures: non-GAAP Revenue, non-GAAP Gross Margin, non-GAAP Operating Margin, non-GAAP Net Income, non-GAAP Diluted Earnings per Share, EBITDA and Free Cash Flow.</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Business combination accounting rules required Roper to account for the fair value of deferred revenue assumed in connection with the 2014 acquisitions of Foodlink and Strategic Healthcare Programs and the 2015 acquisitions of Data Innovations, SoftWriters, Strata Decision Technology and On Center Software. The fair value is based on the assumed cost of having a third-party provide the relevant support services rather than the contracted amount under the contracts. Because the fair value is less than the contracted amount, Roper's GAAP revenues for the one year period subsequent to the acquisitions will not reflect the full amount of revenue that would have otherwise been recorded by the acquired companies had they remained independent companies. The Adjusted Revenue measure is intended to reflect the full amount that would have recognized as revenue, absent the fair value adjustment.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Business combination accounting rules require Roper to increase the carrying value of inventory acquired to fair value at the date of purchase (inventory step-up). Roper's GAAP gross profit for the two quarters subsequent to the acquisition of Innovative Product Achievements ("IPA") in the third quarter of 2014 did not reflect the full amount of gross profit that would have otherwise been recorded by IPA had they remained an independent company. Roper's GAAP gross profit for the four months subsequent to the acquisition of RF IDeas in the third quarter of 2015 will not reflect the full amount of gross profit that would have otherwise been recorded by RF IDeas had they remained an independent company. The Adjusted Gross Profit measure is intended to reflect the full amount that would have been recognized by these companies, absent the fair value adjustment.</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non-GAAP Revenue, non-GAAP Gross Margin, non-GAAP Operating Margin, non-GAAP Net Income and non-GAAP Diluted Earnings per Share reflect these fair value adjustments. The Company believes these non-GAAP measures are useful to investors as a measure of the ongoing performance of its business.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EBITDA as shown in the press release is defined as net earnings plus (a) interest expense, (b) income taxes and (c) depreciation and amortization. The Company believes EBITDA is an important indicator of operational performance of the Company's business because it provides a link between profitability and operating cash flow. EBITDA as calculated by the Company is not necessarily comparable to similarly titled measures reported by other companies. In addition, EBITDA: (a) does not represent net income or cash flows from operations as defined by GAAP; (b) is not necessarily indicative of cash available to fund the Company's cash flow needs; and (c) should not be considered as an alternative to net earnings, operating income, cash flows from operating activities or the Company's other financial information determined under GAAP. The Company believes that the line on the Company's consolidated statement of operations entitled net earnings is the most directly comparable GAAP measure to EBITDA.</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Free Cash Flow is defined as "Cash Provided by Operating Activities" ("Operating Cash Flow") as stated in Roper's Consolidated Statements of Cash Flows, reduced by capital expenditures. The Company believes that Free Cash Flow is useful to investors as a basis for comparing its performance with other companies. Roper's measure of Free Cash Flow may not be comparable to similar measures used by other companies.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33"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Exhibits</w:t>
      </w:r>
      <w:r>
        <w:rPr>
          <w:rFonts w:ascii="Arial" w:cs="Arial" w:eastAsia="Arial" w:hAnsi="Arial"/>
          <w:sz w:val="22"/>
          <w:szCs w:val="22"/>
          <w:color w:val="auto"/>
        </w:rPr>
        <w:t>.</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99.1 Press Release of the Company dated October 26, 2015.</w:t>
      </w:r>
    </w:p>
    <w:p>
      <w:pPr>
        <w:sectPr>
          <w:pgSz w:w="11900" w:h="16838" w:orient="portrait"/>
          <w:cols w:equalWidth="0" w:num="1">
            <w:col w:w="11420"/>
          </w:cols>
          <w:pgMar w:left="240" w:top="11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u w:val="single" w:color="auto"/>
          <w:color w:val="auto"/>
        </w:rPr>
        <w:t>Signatures</w:t>
      </w:r>
    </w:p>
    <w:p>
      <w:pPr>
        <w:spacing w:after="0" w:line="14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Roper Technologies, Inc.</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(Registrant)</w:t>
      </w:r>
    </w:p>
    <w:p>
      <w:pPr>
        <w:sectPr>
          <w:pgSz w:w="11900" w:h="16838" w:orient="portrait"/>
          <w:cols w:equalWidth="0" w:num="1">
            <w:col w:w="11160"/>
          </w:cols>
          <w:pgMar w:left="240" w:top="747" w:right="499" w:bottom="1440" w:gutter="0" w:footer="0" w:header="0"/>
        </w:sect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BY:/s/ John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284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22"/>
          <w:szCs w:val="22"/>
          <w:color w:val="auto"/>
        </w:rPr>
        <w:t>John Humphrey,</w:t>
      </w:r>
    </w:p>
    <w:p>
      <w:pPr>
        <w:ind w:left="840"/>
        <w:spacing w:after="0"/>
        <w:rPr>
          <w:sz w:val="20"/>
          <w:szCs w:val="20"/>
          <w:color w:val="auto"/>
        </w:rPr>
      </w:pPr>
      <w:r>
        <w:rPr>
          <w:rFonts w:ascii="Arial" w:cs="Arial" w:eastAsia="Arial" w:hAnsi="Arial"/>
          <w:sz w:val="19"/>
          <w:szCs w:val="19"/>
          <w:color w:val="auto"/>
        </w:rPr>
        <w:t>Executive Vice President and Chief Financial</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Date: October 26, 2015</w:t>
      </w:r>
    </w:p>
    <w:p>
      <w:pPr>
        <w:sectPr>
          <w:pgSz w:w="11900" w:h="16838" w:orient="portrait"/>
          <w:cols w:equalWidth="0" w:num="2">
            <w:col w:w="4860" w:space="720"/>
            <w:col w:w="5580"/>
          </w:cols>
          <w:pgMar w:left="240" w:top="747" w:right="4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660" w:type="dxa"/>
            <w:vAlign w:val="bottom"/>
          </w:tcPr>
          <w:p>
            <w:pPr>
              <w:ind w:left="2120"/>
              <w:spacing w:after="0"/>
              <w:rPr>
                <w:sz w:val="20"/>
                <w:szCs w:val="20"/>
                <w:color w:val="auto"/>
              </w:rPr>
            </w:pPr>
            <w:r>
              <w:rPr>
                <w:rFonts w:ascii="Arial" w:cs="Arial" w:eastAsia="Arial" w:hAnsi="Arial"/>
                <w:sz w:val="22"/>
                <w:szCs w:val="22"/>
                <w:b w:val="1"/>
                <w:bCs w:val="1"/>
                <w:color w:val="auto"/>
              </w:rPr>
              <w:t>EXHIBIT INDEX</w:t>
            </w:r>
          </w:p>
        </w:tc>
      </w:tr>
      <w:tr>
        <w:trPr>
          <w:trHeight w:val="281"/>
        </w:trPr>
        <w:tc>
          <w:tcPr>
            <w:tcW w:w="1080" w:type="dxa"/>
            <w:vAlign w:val="bottom"/>
          </w:tcPr>
          <w:p>
            <w:pPr>
              <w:spacing w:after="0"/>
              <w:rPr>
                <w:sz w:val="20"/>
                <w:szCs w:val="20"/>
                <w:color w:val="auto"/>
              </w:rPr>
            </w:pPr>
            <w:r>
              <w:rPr>
                <w:rFonts w:ascii="Arial" w:cs="Arial" w:eastAsia="Arial" w:hAnsi="Arial"/>
                <w:sz w:val="22"/>
                <w:szCs w:val="22"/>
                <w:b w:val="1"/>
                <w:bCs w:val="1"/>
                <w:color w:val="auto"/>
                <w:w w:val="92"/>
              </w:rPr>
              <w:t>Exhibit No.</w:t>
            </w:r>
          </w:p>
        </w:tc>
        <w:tc>
          <w:tcPr>
            <w:tcW w:w="16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22"/>
                <w:szCs w:val="22"/>
                <w:b w:val="1"/>
                <w:bCs w:val="1"/>
                <w:color w:val="auto"/>
              </w:rPr>
              <w:t>Description</w:t>
            </w:r>
          </w:p>
        </w:tc>
      </w:tr>
      <w:tr>
        <w:trPr>
          <w:trHeight w:val="98"/>
        </w:trPr>
        <w:tc>
          <w:tcPr>
            <w:tcW w:w="1080" w:type="dxa"/>
            <w:vAlign w:val="bottom"/>
            <w:tcBorders>
              <w:bottom w:val="single" w:sz="8" w:color="808080"/>
            </w:tcBorders>
          </w:tcPr>
          <w:p>
            <w:pPr>
              <w:spacing w:after="0"/>
              <w:rPr>
                <w:sz w:val="8"/>
                <w:szCs w:val="8"/>
                <w:color w:val="auto"/>
              </w:rPr>
            </w:pPr>
          </w:p>
        </w:tc>
        <w:tc>
          <w:tcPr>
            <w:tcW w:w="1680" w:type="dxa"/>
            <w:vAlign w:val="bottom"/>
          </w:tcPr>
          <w:p>
            <w:pPr>
              <w:spacing w:after="0"/>
              <w:rPr>
                <w:sz w:val="8"/>
                <w:szCs w:val="8"/>
                <w:color w:val="auto"/>
              </w:rPr>
            </w:pPr>
          </w:p>
        </w:tc>
        <w:tc>
          <w:tcPr>
            <w:tcW w:w="8660" w:type="dxa"/>
            <w:vAlign w:val="bottom"/>
            <w:tcBorders>
              <w:bottom w:val="single" w:sz="8" w:color="808080"/>
            </w:tcBorders>
          </w:tcPr>
          <w:p>
            <w:pPr>
              <w:spacing w:after="0"/>
              <w:rPr>
                <w:sz w:val="8"/>
                <w:szCs w:val="8"/>
                <w:color w:val="auto"/>
              </w:rPr>
            </w:pPr>
          </w:p>
        </w:tc>
      </w:tr>
      <w:tr>
        <w:trPr>
          <w:trHeight w:val="355"/>
        </w:trPr>
        <w:tc>
          <w:tcPr>
            <w:tcW w:w="1080" w:type="dxa"/>
            <w:vAlign w:val="bottom"/>
          </w:tcPr>
          <w:p>
            <w:pPr>
              <w:spacing w:after="0"/>
              <w:rPr>
                <w:sz w:val="20"/>
                <w:szCs w:val="20"/>
                <w:color w:val="auto"/>
              </w:rPr>
            </w:pPr>
            <w:r>
              <w:rPr>
                <w:rFonts w:ascii="Arial" w:cs="Arial" w:eastAsia="Arial" w:hAnsi="Arial"/>
                <w:sz w:val="22"/>
                <w:szCs w:val="22"/>
                <w:color w:val="auto"/>
              </w:rPr>
              <w:t>99.1</w:t>
            </w:r>
          </w:p>
        </w:tc>
        <w:tc>
          <w:tcPr>
            <w:tcW w:w="16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22"/>
                <w:szCs w:val="22"/>
                <w:color w:val="auto"/>
              </w:rPr>
              <w:t>Press Release of the Company dated October 26, 2015</w:t>
            </w:r>
          </w:p>
        </w:tc>
      </w:tr>
    </w:tbl>
    <w:p>
      <w:pPr>
        <w:sectPr>
          <w:pgSz w:w="11900" w:h="16838" w:orient="portrait"/>
          <w:cols w:equalWidth="0" w:num="1">
            <w:col w:w="11420"/>
          </w:cols>
          <w:pgMar w:left="240" w:top="102"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36" w:lineRule="auto"/>
        <w:rPr>
          <w:sz w:val="20"/>
          <w:szCs w:val="20"/>
          <w:color w:val="auto"/>
        </w:rPr>
      </w:pPr>
      <w:r>
        <w:rPr>
          <w:rFonts w:ascii="Arial" w:cs="Arial" w:eastAsia="Arial" w:hAnsi="Arial"/>
          <w:sz w:val="20"/>
          <w:szCs w:val="20"/>
          <w:color w:val="auto"/>
        </w:rPr>
        <w:t>Investor Relations</w:t>
      </w:r>
    </w:p>
    <w:p>
      <w:pPr>
        <w:spacing w:after="0" w:line="225" w:lineRule="auto"/>
        <w:rPr>
          <w:sz w:val="20"/>
          <w:szCs w:val="20"/>
          <w:color w:val="auto"/>
        </w:rPr>
      </w:pPr>
      <w:r>
        <w:rPr>
          <w:rFonts w:ascii="Arial" w:cs="Arial" w:eastAsia="Arial" w:hAnsi="Arial"/>
          <w:sz w:val="20"/>
          <w:szCs w:val="20"/>
          <w:color w:val="auto"/>
        </w:rPr>
        <w:t>941-556-2601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investor-relations@ropertech.com</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Roper Technologies, Inc.</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Roper Technologies Announces Record Third Quarter Results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DEPS of $1.58; Adjusted DEPS of $1.61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Free Cash Flow Increased 15% to $632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Sarasota, Florida, October 26, 2015 ... Roper Technologies, Inc. (NYSE: ROP) </w:t>
      </w:r>
      <w:r>
        <w:rPr>
          <w:rFonts w:ascii="Arial" w:cs="Arial" w:eastAsia="Arial" w:hAnsi="Arial"/>
          <w:sz w:val="16"/>
          <w:szCs w:val="16"/>
          <w:color w:val="auto"/>
        </w:rPr>
        <w:t>reported financial results for the third quarter ended September 30, 2015.</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Roper reports results, including revenue, gross margin, operating margin, net income and diluted earnings per share, on a GAAP and adjusted basis. Adjusted measures are reconciled to the corresponding GAAP measures at the end of this release.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quarter GAAP diluted earnings per share (DEPS) were $1.58, a 3% increase over the prior year, and adjusted DEPS were $1.61, a 4% increase. GAAP revenue was $884 million and adjusted revenue increased to $886 million. GAAP operating profit increased 2% to $250 million, representing 28.3% of revenue. Adjusted operating profit increased to $255 million and adjusted operating margin increased 80 basis points to 28.7%. Orders increased to $894 million and enterprise book-to-bill was 1.01x for the quarter.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GAAP gross margin increased 110 basis points over the prior year to 60.4% and adjusted gross margin increased to 60.7%, a 130 basis point gain. Operating cash flow increased to $227 million, or 25.6% of adjusted revenue, and free cash flow increased to $220 million. Year to date free cash flow increased to $632 million, 15% higher than the prior year.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executed very well in the quarter despite continued headwinds in some energy markets and foreign currency translation," said Brian Jellison, Roper's Chairman, President and CEO. "Margin performance continued to be exceptional across the enterprise. EBITDA margins increased to a record 34.4% in the quarter. Our medical, software and toll and traffic businesses continued to grow organically."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21, 2015, Roper completed the acquisition of Aderant Holdings, Inc. and on October 2, 2015, Roper completed the sale of ABEL Pumps LP to Hillenbrand, Inc.</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now deployed over $1.7 billion in acquisitions in 2015. We continue to execute on our disciplined acquisition strategy focused on companies with leadership positions in niche markets with high recurring revenue, strong cash returns and excellent management teams," said Mr. Jellison.</w:t>
      </w:r>
    </w:p>
    <w:p>
      <w:pPr>
        <w:spacing w:after="0" w:line="1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Roper also announced that it has signed a definitive agreement to acquire CliniSys Group Ltd., a leading European provider of laboratory information management systems, for £170 million. CliniSys expands Roper's suite of diagnostic-related software. Roper expects the acquisition to be completed in the first quarter of 2016, following the completion of customary merger control review.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Outlook and Guidance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Roper is updating its full year adjusted diluted earnings per share guidance to $6.69 – $6.75, from its previous range of $6.61 - $6.75, and establishing fourth quarter adjusted diluted earnings per share guidance of $1.83 - $1.89. The company's guidance excludes the impact of any future acquisitions or divestitures.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Non-GAAP Financial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company supplements its consolidated financial statements presented on a GAAP basis with certain non-GAAP financial information to provide investors with greater insight, increase transparency and allow for a more comprehensive understanding of the information used by management in its financial and operational decision-making. Reconciliation of non-GAAP measures to their most directly comparable GAAP measures are included in the accompanying financial schedules or tables.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258445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Table 1: Q3 Revenue Growth Detail</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Q3 GAAP Revenue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Add: Purchase Accounting Adjustment to Acquired</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Deferred Revenue (FoodLink, SHP, Strata, SoftWriters,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Data Innovations, On Center)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Q3 2015</w:t>
            </w: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Q3 2014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w:t>
            </w:r>
          </w:p>
        </w:tc>
      </w:tr>
      <w:tr>
        <w:trPr>
          <w:trHeight w:val="230"/>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$884M</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$884M</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76" w:lineRule="exact"/>
        <w:rPr>
          <w:sz w:val="20"/>
          <w:szCs w:val="20"/>
          <w:color w:val="auto"/>
        </w:rPr>
      </w:pPr>
    </w:p>
    <w:p>
      <w:pPr>
        <w:ind w:left="2180" w:hanging="1129"/>
        <w:spacing w:after="0"/>
        <w:tabs>
          <w:tab w:leader="none" w:pos="2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4408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41" w:lineRule="exact"/>
        <w:rPr>
          <w:sz w:val="20"/>
          <w:szCs w:val="20"/>
          <w:color w:val="auto"/>
        </w:rPr>
      </w:pPr>
    </w:p>
    <w:p>
      <w:pPr>
        <w:sectPr>
          <w:pgSz w:w="11900" w:h="16870" w:orient="portrait"/>
          <w:cols w:equalWidth="0" w:num="2">
            <w:col w:w="4260" w:space="320"/>
            <w:col w:w="5639"/>
          </w:cols>
          <w:pgMar w:left="240" w:top="611" w:right="1440" w:bottom="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Q3 Adjusted Revenue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$886M</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$885M</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8"/>
                <w:szCs w:val="18"/>
                <w:color w:val="auto"/>
              </w:rPr>
              <w:t>Components of Adjusted Revenue Growth</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8"/>
                <w:szCs w:val="18"/>
                <w:color w:val="auto"/>
              </w:rPr>
              <w:t>Organic</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8"/>
                <w:szCs w:val="18"/>
                <w:color w:val="auto"/>
              </w:rPr>
              <w:t>Acquisitions / Divestitures</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660"/>
              <w:spacing w:after="0"/>
              <w:rPr>
                <w:sz w:val="20"/>
                <w:szCs w:val="20"/>
                <w:color w:val="auto"/>
              </w:rPr>
            </w:pPr>
            <w:r>
              <w:rPr>
                <w:rFonts w:ascii="Arial" w:cs="Arial" w:eastAsia="Arial" w:hAnsi="Arial"/>
                <w:sz w:val="18"/>
                <w:szCs w:val="18"/>
                <w:color w:val="auto"/>
              </w:rPr>
              <w:t>Foreign Exchange</w:t>
            </w:r>
          </w:p>
        </w:tc>
        <w:tc>
          <w:tcPr>
            <w:tcW w:w="7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line="196" w:lineRule="exact"/>
              <w:rPr>
                <w:sz w:val="20"/>
                <w:szCs w:val="20"/>
                <w:color w:val="auto"/>
              </w:rPr>
            </w:pPr>
            <w:r>
              <w:rPr>
                <w:rFonts w:ascii="Arial" w:cs="Arial" w:eastAsia="Arial" w:hAnsi="Arial"/>
                <w:sz w:val="18"/>
                <w:szCs w:val="18"/>
                <w:color w:val="auto"/>
              </w:rPr>
              <w:t>Total Growth</w:t>
            </w:r>
          </w:p>
        </w:tc>
        <w:tc>
          <w:tcPr>
            <w:tcW w:w="7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8"/>
                <w:szCs w:val="18"/>
                <w:color w:val="auto"/>
                <w:w w:val="99"/>
              </w:rPr>
              <w:t>Table 2: Reconciliation of GAAP DEPS to Adjusted DEPS</w:t>
            </w:r>
          </w:p>
        </w:tc>
        <w:tc>
          <w:tcPr>
            <w:tcW w:w="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Q3 2015</w:t>
            </w: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Q3 2014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GAAP Diluted Earnings Per Share (DEPS)</w:t>
            </w:r>
          </w:p>
        </w:tc>
        <w:tc>
          <w:tcPr>
            <w:tcW w:w="13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$1.58</w:t>
            </w:r>
          </w:p>
        </w:tc>
        <w:tc>
          <w:tcPr>
            <w:tcW w:w="98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Add: Purchase Accounting Adjustment to Acquired</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w w:val="97"/>
              </w:rPr>
              <w:t>Deferred Revenue (FoodLink, SHP, Strata, SoftWriters,</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Data Innovations, On Center), net of tax @35%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80" w:type="dxa"/>
            <w:vAlign w:val="bottom"/>
          </w:tcPr>
          <w:p>
            <w:pPr>
              <w:ind w:left="260"/>
              <w:spacing w:after="0"/>
              <w:rPr>
                <w:sz w:val="20"/>
                <w:szCs w:val="20"/>
                <w:color w:val="auto"/>
              </w:rPr>
            </w:pPr>
            <w:r>
              <w:rPr>
                <w:rFonts w:ascii="Arial" w:cs="Arial" w:eastAsia="Arial" w:hAnsi="Arial"/>
                <w:sz w:val="18"/>
                <w:szCs w:val="18"/>
                <w:color w:val="auto"/>
                <w:w w:val="94"/>
              </w:rPr>
              <w:t>Add: Acquisition-Related Inventory Step-up Charge (IPA,</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RF IDeas), net of tax @35%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60"/>
              <w:spacing w:after="0"/>
              <w:rPr>
                <w:sz w:val="20"/>
                <w:szCs w:val="20"/>
                <w:color w:val="auto"/>
              </w:rPr>
            </w:pPr>
            <w:r>
              <w:rPr>
                <w:rFonts w:ascii="Arial" w:cs="Arial" w:eastAsia="Arial" w:hAnsi="Arial"/>
                <w:sz w:val="18"/>
                <w:szCs w:val="18"/>
                <w:color w:val="auto"/>
              </w:rPr>
              <w:t>Rounding</w:t>
            </w: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$0.01</w:t>
            </w: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rPr>
              <w:t>$1.61</w:t>
            </w: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8"/>
                <w:szCs w:val="18"/>
                <w:color w:val="auto"/>
              </w:rPr>
              <w:t>Table 3: Free Cash Flow Reconciliation</w:t>
            </w: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80" w:type="dxa"/>
            <w:vAlign w:val="bottom"/>
            <w:vMerge w:val="continue"/>
          </w:tcPr>
          <w:p>
            <w:pPr>
              <w:spacing w:after="0"/>
              <w:rPr>
                <w:sz w:val="24"/>
                <w:szCs w:val="2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YTD 2015</w:t>
            </w:r>
          </w:p>
        </w:tc>
        <w:tc>
          <w:tcPr>
            <w:tcW w:w="980" w:type="dxa"/>
            <w:vAlign w:val="bottom"/>
            <w:gridSpan w:val="3"/>
            <w:vMerge w:val="restart"/>
          </w:tcPr>
          <w:p>
            <w:pPr>
              <w:ind w:left="180"/>
              <w:spacing w:after="0"/>
              <w:rPr>
                <w:sz w:val="20"/>
                <w:szCs w:val="20"/>
                <w:color w:val="auto"/>
              </w:rPr>
            </w:pPr>
            <w:r>
              <w:rPr>
                <w:rFonts w:ascii="Arial" w:cs="Arial" w:eastAsia="Arial" w:hAnsi="Arial"/>
                <w:sz w:val="18"/>
                <w:szCs w:val="18"/>
                <w:color w:val="auto"/>
                <w:w w:val="96"/>
              </w:rPr>
              <w:t>YTD 2014</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980" w:type="dxa"/>
            <w:vAlign w:val="bottom"/>
            <w:tcBorders>
              <w:bottom w:val="single" w:sz="8" w:color="auto"/>
            </w:tcBorders>
            <w:gridSpan w:val="3"/>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Operating Cash Flow</w:t>
            </w:r>
          </w:p>
        </w:tc>
        <w:tc>
          <w:tcPr>
            <w:tcW w:w="13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$660M</w:t>
            </w:r>
          </w:p>
        </w:tc>
        <w:tc>
          <w:tcPr>
            <w:tcW w:w="98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$579M</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580" w:type="dxa"/>
            <w:vAlign w:val="bottom"/>
          </w:tcPr>
          <w:p>
            <w:pPr>
              <w:ind w:left="260"/>
              <w:spacing w:after="0"/>
              <w:rPr>
                <w:sz w:val="20"/>
                <w:szCs w:val="20"/>
                <w:color w:val="auto"/>
              </w:rPr>
            </w:pPr>
            <w:r>
              <w:rPr>
                <w:rFonts w:ascii="Arial" w:cs="Arial" w:eastAsia="Arial" w:hAnsi="Arial"/>
                <w:sz w:val="18"/>
                <w:szCs w:val="18"/>
                <w:color w:val="auto"/>
              </w:rPr>
              <w:t>Less: Capital Expenditures</w:t>
            </w: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line="196" w:lineRule="exact"/>
              <w:rPr>
                <w:sz w:val="20"/>
                <w:szCs w:val="20"/>
                <w:color w:val="auto"/>
              </w:rPr>
            </w:pPr>
            <w:r>
              <w:rPr>
                <w:rFonts w:ascii="Arial" w:cs="Arial" w:eastAsia="Arial" w:hAnsi="Arial"/>
                <w:sz w:val="18"/>
                <w:szCs w:val="18"/>
                <w:color w:val="auto"/>
              </w:rPr>
              <w:t>Free Cash Flow</w:t>
            </w:r>
          </w:p>
        </w:tc>
        <w:tc>
          <w:tcPr>
            <w:tcW w:w="1320" w:type="dxa"/>
            <w:vAlign w:val="bottom"/>
            <w:tcBorders>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rPr>
              <w:t>$632M</w:t>
            </w: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$549M</w:t>
            </w:r>
          </w:p>
        </w:tc>
        <w:tc>
          <w:tcPr>
            <w:tcW w:w="20" w:type="dxa"/>
            <w:vAlign w:val="bottom"/>
          </w:tcPr>
          <w:p>
            <w:pPr>
              <w:spacing w:after="0"/>
              <w:rPr>
                <w:sz w:val="18"/>
                <w:szCs w:val="18"/>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5900" w:type="dxa"/>
            <w:vAlign w:val="bottom"/>
            <w:gridSpan w:val="3"/>
          </w:tcPr>
          <w:p>
            <w:pPr>
              <w:spacing w:after="0"/>
              <w:rPr>
                <w:sz w:val="20"/>
                <w:szCs w:val="20"/>
                <w:color w:val="auto"/>
              </w:rPr>
            </w:pPr>
            <w:r>
              <w:rPr>
                <w:rFonts w:ascii="Arial" w:cs="Arial" w:eastAsia="Arial" w:hAnsi="Arial"/>
                <w:sz w:val="18"/>
                <w:szCs w:val="18"/>
                <w:color w:val="auto"/>
              </w:rPr>
              <w:t>Table 4: Adjusted Revenue and Adjusted Gross Margin Reconciliation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2015</w:t>
            </w: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 bps</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Q3 GAAP Revenue</w:t>
            </w:r>
          </w:p>
        </w:tc>
        <w:tc>
          <w:tcPr>
            <w:tcW w:w="13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$883.9M</w:t>
            </w:r>
          </w:p>
        </w:tc>
        <w:tc>
          <w:tcPr>
            <w:tcW w:w="98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$884.1M</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Add: Purchase Accounting Adjustment to Acquired</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w w:val="97"/>
              </w:rPr>
              <w:t>Deferred Revenue (FoodLink, SHP, Strata, SoftWriters,</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Data Innovations, On Center)</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60"/>
              <w:spacing w:after="0"/>
              <w:rPr>
                <w:sz w:val="20"/>
                <w:szCs w:val="20"/>
                <w:color w:val="auto"/>
              </w:rPr>
            </w:pPr>
            <w:r>
              <w:rPr>
                <w:rFonts w:ascii="Arial" w:cs="Arial" w:eastAsia="Arial" w:hAnsi="Arial"/>
                <w:sz w:val="18"/>
                <w:szCs w:val="18"/>
                <w:color w:val="auto"/>
              </w:rPr>
              <w:t>Rounding</w:t>
            </w: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Q3 Adjusted Revenue (A)</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$886.1M</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$885.1M</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580" w:type="dxa"/>
            <w:vAlign w:val="bottom"/>
          </w:tcPr>
          <w:p>
            <w:pPr>
              <w:spacing w:after="0"/>
              <w:rPr>
                <w:sz w:val="20"/>
                <w:szCs w:val="20"/>
                <w:color w:val="auto"/>
              </w:rPr>
            </w:pPr>
            <w:r>
              <w:rPr>
                <w:rFonts w:ascii="Arial" w:cs="Arial" w:eastAsia="Arial" w:hAnsi="Arial"/>
                <w:sz w:val="18"/>
                <w:szCs w:val="18"/>
                <w:color w:val="auto"/>
              </w:rPr>
              <w:t>Q3 GAAP Gross Profit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$533.5M</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$524.0M</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Add: Purchase Accounting Adjustment to Acquired</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w w:val="97"/>
              </w:rPr>
              <w:t>Deferred Revenue (FoodLink, SHP, Strata, SoftWriters,</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Data Innovations, On Center)</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w w:val="94"/>
              </w:rPr>
              <w:t>Add: Acquisition-Related Inventory Step-up Charge (IPA,</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RF IDeas)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Rounding</w:t>
            </w: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Adjusted Gross Profit (B)</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$537.7M</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$525.4M</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GAAP Gross Margin</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59.3%</w:t>
            </w:r>
          </w:p>
        </w:tc>
        <w:tc>
          <w:tcPr>
            <w:tcW w:w="1100" w:type="dxa"/>
            <w:vAlign w:val="bottom"/>
          </w:tcPr>
          <w:p>
            <w:pPr>
              <w:jc w:val="right"/>
              <w:spacing w:after="0"/>
              <w:rPr>
                <w:sz w:val="20"/>
                <w:szCs w:val="20"/>
                <w:color w:val="auto"/>
              </w:rPr>
            </w:pPr>
            <w:r>
              <w:rPr>
                <w:rFonts w:ascii="Arial" w:cs="Arial" w:eastAsia="Arial" w:hAnsi="Arial"/>
                <w:sz w:val="18"/>
                <w:szCs w:val="18"/>
                <w:color w:val="auto"/>
              </w:rPr>
              <w:t>+110 bps</w:t>
            </w: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Adjusted Gross Margin (B) / (A)</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60.7%</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59.4%</w:t>
            </w:r>
          </w:p>
        </w:tc>
        <w:tc>
          <w:tcPr>
            <w:tcW w:w="1100" w:type="dxa"/>
            <w:vAlign w:val="bottom"/>
          </w:tcPr>
          <w:p>
            <w:pPr>
              <w:jc w:val="right"/>
              <w:spacing w:after="0"/>
              <w:rPr>
                <w:sz w:val="20"/>
                <w:szCs w:val="20"/>
                <w:color w:val="auto"/>
              </w:rPr>
            </w:pPr>
            <w:r>
              <w:rPr>
                <w:rFonts w:ascii="Arial" w:cs="Arial" w:eastAsia="Arial" w:hAnsi="Arial"/>
                <w:sz w:val="18"/>
                <w:szCs w:val="18"/>
                <w:color w:val="auto"/>
              </w:rPr>
              <w:t>+130 bps</w:t>
            </w:r>
          </w:p>
        </w:tc>
        <w:tc>
          <w:tcPr>
            <w:tcW w:w="0" w:type="dxa"/>
            <w:vAlign w:val="bottom"/>
          </w:tcPr>
          <w:p>
            <w:pPr>
              <w:spacing w:after="0"/>
              <w:rPr>
                <w:sz w:val="1"/>
                <w:szCs w:val="1"/>
                <w:color w:val="auto"/>
              </w:rPr>
            </w:pPr>
          </w:p>
        </w:tc>
      </w:tr>
      <w:tr>
        <w:trPr>
          <w:trHeight w:val="648"/>
        </w:trPr>
        <w:tc>
          <w:tcPr>
            <w:tcW w:w="5900" w:type="dxa"/>
            <w:vAlign w:val="bottom"/>
            <w:gridSpan w:val="3"/>
          </w:tcPr>
          <w:p>
            <w:pPr>
              <w:spacing w:after="0"/>
              <w:rPr>
                <w:sz w:val="20"/>
                <w:szCs w:val="20"/>
                <w:color w:val="auto"/>
              </w:rPr>
            </w:pPr>
            <w:r>
              <w:rPr>
                <w:rFonts w:ascii="Arial" w:cs="Arial" w:eastAsia="Arial" w:hAnsi="Arial"/>
                <w:sz w:val="18"/>
                <w:szCs w:val="18"/>
                <w:color w:val="auto"/>
                <w:w w:val="99"/>
              </w:rPr>
              <w:t>Table 5: Adjusted Revenue and Adjusted Operating Margin Reconciliation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2015</w:t>
            </w: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 bps</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Q3 GAAP Revenue</w:t>
            </w:r>
          </w:p>
        </w:tc>
        <w:tc>
          <w:tcPr>
            <w:tcW w:w="13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$883.9M</w:t>
            </w:r>
          </w:p>
        </w:tc>
        <w:tc>
          <w:tcPr>
            <w:tcW w:w="98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$884.1M</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Add: Purchase Accounting Adjustment to Acquired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w w:val="97"/>
              </w:rPr>
              <w:t>Deferred Revenue (FoodLink, SHP, Strata, SoftWriters,</w:t>
            </w: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70" w:orient="portrait"/>
          <w:cols w:equalWidth="0" w:num="1">
            <w:col w:w="10219"/>
          </w:cols>
          <w:pgMar w:left="240" w:top="61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Data Innovations, On Center)</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Rounding</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Q3 Adjusted Revenue (A)</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$886.1M</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$885.1M</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4"/>
        </w:trPr>
        <w:tc>
          <w:tcPr>
            <w:tcW w:w="4880" w:type="dxa"/>
            <w:vAlign w:val="bottom"/>
            <w:gridSpan w:val="2"/>
          </w:tcPr>
          <w:p>
            <w:pPr>
              <w:spacing w:after="0"/>
              <w:rPr>
                <w:sz w:val="20"/>
                <w:szCs w:val="20"/>
                <w:color w:val="auto"/>
              </w:rPr>
            </w:pPr>
            <w:r>
              <w:rPr>
                <w:rFonts w:ascii="Arial" w:cs="Arial" w:eastAsia="Arial" w:hAnsi="Arial"/>
                <w:sz w:val="18"/>
                <w:szCs w:val="18"/>
                <w:color w:val="auto"/>
              </w:rPr>
              <w:t>Q3 GAAP Operating Profit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$250.4M</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$245.7M</w:t>
            </w:r>
          </w:p>
        </w:tc>
        <w:tc>
          <w:tcPr>
            <w:tcW w:w="840" w:type="dxa"/>
            <w:vAlign w:val="bottom"/>
          </w:tcPr>
          <w:p>
            <w:pPr>
              <w:spacing w:after="0"/>
              <w:rPr>
                <w:sz w:val="24"/>
                <w:szCs w:val="24"/>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Purchase Accounting Adjustment to Acquired</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Deferred Revenue (FoodLink, SHP, Strata, SoftWriters,</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Data Innovations, On Center)</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Acquisition-Related Inventory Step-up Charge (IPA,</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RF IDeas)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Rounding</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Adjusted Operating Profit (B)</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$254.5M</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$247.0M</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4"/>
        </w:trPr>
        <w:tc>
          <w:tcPr>
            <w:tcW w:w="4880" w:type="dxa"/>
            <w:vAlign w:val="bottom"/>
            <w:gridSpan w:val="2"/>
          </w:tcPr>
          <w:p>
            <w:pPr>
              <w:spacing w:after="0"/>
              <w:rPr>
                <w:sz w:val="20"/>
                <w:szCs w:val="20"/>
                <w:color w:val="auto"/>
              </w:rPr>
            </w:pPr>
            <w:r>
              <w:rPr>
                <w:rFonts w:ascii="Arial" w:cs="Arial" w:eastAsia="Arial" w:hAnsi="Arial"/>
                <w:sz w:val="18"/>
                <w:szCs w:val="18"/>
                <w:color w:val="auto"/>
              </w:rPr>
              <w:t>GAAP Operating Margin</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28.3%</w:t>
            </w:r>
          </w:p>
        </w:tc>
        <w:tc>
          <w:tcPr>
            <w:tcW w:w="900" w:type="dxa"/>
            <w:vAlign w:val="bottom"/>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 bps</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Adjusted Operating Margin (B) / (A)</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28.7%</w:t>
            </w: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 bps</w:t>
            </w:r>
          </w:p>
        </w:tc>
      </w:tr>
      <w:tr>
        <w:trPr>
          <w:trHeight w:val="648"/>
        </w:trPr>
        <w:tc>
          <w:tcPr>
            <w:tcW w:w="4880" w:type="dxa"/>
            <w:vAlign w:val="bottom"/>
            <w:gridSpan w:val="2"/>
          </w:tcPr>
          <w:p>
            <w:pPr>
              <w:spacing w:after="0"/>
              <w:rPr>
                <w:sz w:val="20"/>
                <w:szCs w:val="20"/>
                <w:color w:val="auto"/>
              </w:rPr>
            </w:pPr>
            <w:r>
              <w:rPr>
                <w:rFonts w:ascii="Arial" w:cs="Arial" w:eastAsia="Arial" w:hAnsi="Arial"/>
                <w:sz w:val="18"/>
                <w:szCs w:val="18"/>
                <w:color w:val="auto"/>
                <w:w w:val="97"/>
              </w:rPr>
              <w:t>Table 6: Adjusted Revenue and EBITDA Margin Reconciliation</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9"/>
        </w:trPr>
        <w:tc>
          <w:tcPr>
            <w:tcW w:w="4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 bps</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Q3 GAAP Revenue</w:t>
            </w:r>
          </w:p>
        </w:tc>
        <w:tc>
          <w:tcPr>
            <w:tcW w:w="300" w:type="dxa"/>
            <w:vAlign w:val="bottom"/>
          </w:tcPr>
          <w:p>
            <w:pPr>
              <w:spacing w:after="0"/>
              <w:rPr>
                <w:sz w:val="17"/>
                <w:szCs w:val="17"/>
                <w:color w:val="auto"/>
              </w:rPr>
            </w:pPr>
          </w:p>
        </w:tc>
        <w:tc>
          <w:tcPr>
            <w:tcW w:w="10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$883.9M</w:t>
            </w:r>
          </w:p>
        </w:tc>
        <w:tc>
          <w:tcPr>
            <w:tcW w:w="11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$884.1M</w:t>
            </w:r>
          </w:p>
        </w:tc>
        <w:tc>
          <w:tcPr>
            <w:tcW w:w="840" w:type="dxa"/>
            <w:vAlign w:val="bottom"/>
          </w:tcPr>
          <w:p>
            <w:pPr>
              <w:spacing w:after="0"/>
              <w:rPr>
                <w:sz w:val="17"/>
                <w:szCs w:val="17"/>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Purchase Accounting Adjustment to Acquired</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Deferred Revenue (FoodLink, SHP, Strata, SoftWriters,</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Data Innovations, On Center)</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Rounding</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Q3 Adjusted Revenue (A)</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$886.1M</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$885.1M</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4"/>
        </w:trPr>
        <w:tc>
          <w:tcPr>
            <w:tcW w:w="4880" w:type="dxa"/>
            <w:vAlign w:val="bottom"/>
            <w:gridSpan w:val="2"/>
          </w:tcPr>
          <w:p>
            <w:pPr>
              <w:spacing w:after="0"/>
              <w:rPr>
                <w:sz w:val="20"/>
                <w:szCs w:val="20"/>
                <w:color w:val="auto"/>
              </w:rPr>
            </w:pPr>
            <w:r>
              <w:rPr>
                <w:rFonts w:ascii="Arial" w:cs="Arial" w:eastAsia="Arial" w:hAnsi="Arial"/>
                <w:sz w:val="18"/>
                <w:szCs w:val="18"/>
                <w:color w:val="auto"/>
              </w:rPr>
              <w:t>Q3 GAAP Net Earnings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$160.4M</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$155.5M</w:t>
            </w:r>
          </w:p>
        </w:tc>
        <w:tc>
          <w:tcPr>
            <w:tcW w:w="840" w:type="dxa"/>
            <w:vAlign w:val="bottom"/>
          </w:tcPr>
          <w:p>
            <w:pPr>
              <w:spacing w:after="0"/>
              <w:rPr>
                <w:sz w:val="24"/>
                <w:szCs w:val="24"/>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Interest Expense</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Taxes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69.8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70.7</w:t>
            </w: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Depreciation</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Amortization</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41.0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39.7</w:t>
            </w: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Purchase Accounting Adjustment to Acquired</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Deferred Revenue (FoodLink, SHP, Strata, SoftWriters,</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Data Innovations)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Add: Acquisition-Related Inventory Step-up Charge (IPA,</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880" w:type="dxa"/>
            <w:vAlign w:val="bottom"/>
            <w:gridSpan w:val="2"/>
          </w:tcPr>
          <w:p>
            <w:pPr>
              <w:ind w:left="260"/>
              <w:spacing w:after="0"/>
              <w:rPr>
                <w:sz w:val="20"/>
                <w:szCs w:val="20"/>
                <w:color w:val="auto"/>
              </w:rPr>
            </w:pPr>
            <w:r>
              <w:rPr>
                <w:rFonts w:ascii="Arial" w:cs="Arial" w:eastAsia="Arial" w:hAnsi="Arial"/>
                <w:sz w:val="18"/>
                <w:szCs w:val="18"/>
                <w:color w:val="auto"/>
              </w:rPr>
              <w:t>RF IDeas)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EBITDA (B)</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$304.8M</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$297.6M</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8"/>
        </w:trPr>
        <w:tc>
          <w:tcPr>
            <w:tcW w:w="4880" w:type="dxa"/>
            <w:vAlign w:val="bottom"/>
            <w:gridSpan w:val="2"/>
          </w:tcPr>
          <w:p>
            <w:pPr>
              <w:spacing w:after="0"/>
              <w:rPr>
                <w:sz w:val="20"/>
                <w:szCs w:val="20"/>
                <w:color w:val="auto"/>
              </w:rPr>
            </w:pPr>
            <w:r>
              <w:rPr>
                <w:rFonts w:ascii="Arial" w:cs="Arial" w:eastAsia="Arial" w:hAnsi="Arial"/>
                <w:sz w:val="18"/>
                <w:szCs w:val="18"/>
                <w:color w:val="auto"/>
              </w:rPr>
              <w:t>EBITDA Margin (B) / (A)</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34.4%</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 bps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 to be Held at 8:30 AM (ET) Today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conference call to discuss these results has been scheduled for 8:30 AM ET on Monday, October 26, 2015. The call can be accessed via webcast or by dialing +1 888-468-2440 (US/Canada) or +1 719-457-1512, using confirmation code 363379. Webcast information and conference call materials will be made available in the Investors section of Roper's website (www.ropertech.com) prior to the start of the call. The webcast can also be accessed directly by using the following URL https://www.webcaster4.com/Webcast/Page/866/11027. Telephonic replays will be available for up to two weeks by calling +1 719-457-0820 and using the access code 363379.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Roper Technologies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Roper Technologies is a constituent of the S&amp;P 500, Fortune 1000, and the Russell 1000 indices. Roper designs and develops software (both software-as-a-service and licensed), and engineered products and solutions for healthcare, transportation, food, energy, water, education and other niche markets worldwide. Additional information about Roper is available on the company's website at www.ropertech.com.</w:t>
      </w: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The information provided in this press release contains forward-looking statements within the meaning of the federal securities laws. These forward-looking statements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our ability to integrate acquisitions and realize expected synergies. We also face other general risks, including our ability to realize cost savings from our operating initiatives, general economic conditions, unfavorable changes in foreign exchange rates, difficulties associated with exports, risks associated with our international operations, difficulties in making and integrating acquisitions, risks associated with newly acquired businesses, increased product liability and insurance costs, increased warranty exposure, future competition, changes in the supply of, or price for, parts and components, environmental compliance costs and liabilities, risks and cost associated with asbestos related litigation and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420"/>
          </w:cols>
          <w:pgMar w:left="240" w:top="125" w:right="239" w:bottom="0" w:gutter="0" w:footer="0" w:header="0"/>
          <w:type w:val="continuous"/>
        </w:sectPr>
      </w:pPr>
    </w:p>
    <w:bookmarkStart w:id="7" w:name="page8"/>
    <w:bookmarkEnd w:id="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Roper Technologies, Inc.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560" w:type="dxa"/>
            <w:vAlign w:val="bottom"/>
            <w:gridSpan w:val="4"/>
          </w:tcPr>
          <w:p>
            <w:pPr>
              <w:ind w:left="218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tcPr>
          <w:p>
            <w:pPr>
              <w:spacing w:after="0"/>
              <w:rPr>
                <w:sz w:val="21"/>
                <w:szCs w:val="21"/>
                <w:color w:val="auto"/>
              </w:rPr>
            </w:pPr>
          </w:p>
        </w:tc>
        <w:tc>
          <w:tcPr>
            <w:tcW w:w="260" w:type="dxa"/>
            <w:vAlign w:val="bottom"/>
            <w:tcBorders>
              <w:bottom w:val="single" w:sz="8" w:color="646464"/>
            </w:tcBorders>
          </w:tcPr>
          <w:p>
            <w:pPr>
              <w:spacing w:after="0"/>
              <w:rPr>
                <w:sz w:val="21"/>
                <w:szCs w:val="21"/>
                <w:color w:val="auto"/>
              </w:rPr>
            </w:pPr>
          </w:p>
        </w:tc>
        <w:tc>
          <w:tcPr>
            <w:tcW w:w="980" w:type="dxa"/>
            <w:vAlign w:val="bottom"/>
            <w:tcBorders>
              <w:bottom w:val="single" w:sz="8" w:color="646464"/>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646464"/>
            </w:tcBorders>
          </w:tcPr>
          <w:p>
            <w:pPr>
              <w:spacing w:after="0"/>
              <w:rPr>
                <w:sz w:val="21"/>
                <w:szCs w:val="21"/>
                <w:color w:val="auto"/>
              </w:rPr>
            </w:pPr>
          </w:p>
        </w:tc>
        <w:tc>
          <w:tcPr>
            <w:tcW w:w="94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700,578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Unbilled receivable</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taxes</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Assets held for sale</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2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1,647,879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105,280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ASSETS: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Other intangible assets, net</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2,246,710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taxes</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Other assets</w:t>
            </w:r>
          </w:p>
        </w:tc>
        <w:tc>
          <w:tcPr>
            <w:tcW w:w="2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assets</w:t>
            </w:r>
          </w:p>
        </w:tc>
        <w:tc>
          <w:tcPr>
            <w:tcW w:w="2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7,679,840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6,789,953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4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9,432,999</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LIABILITIES: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4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142,261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Accrued compensation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revenue</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Other accrued liabilities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taxes</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Current portion of long-term debt</w:t>
            </w:r>
          </w:p>
        </w:tc>
        <w:tc>
          <w:tcPr>
            <w:tcW w:w="2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2,792,067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2,203,031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taxes</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735,826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Other liabilities</w:t>
            </w:r>
          </w:p>
        </w:tc>
        <w:tc>
          <w:tcPr>
            <w:tcW w:w="2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4,304,094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Common stock</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Retained earnings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3,932,195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3,520,201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earnings</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(177,472)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Treasury stock</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5,128,905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4,755,360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4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9,432,999</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5"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Roper Technologies, Inc. and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Earnings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 except per share data)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20" w:type="dxa"/>
            <w:vAlign w:val="bottom"/>
            <w:tcBorders>
              <w:top w:val="single" w:sz="8" w:color="646464"/>
              <w:bottom w:val="single" w:sz="8" w:color="646464"/>
            </w:tcBorders>
          </w:tcPr>
          <w:p>
            <w:pPr>
              <w:spacing w:after="0"/>
              <w:rPr>
                <w:sz w:val="19"/>
                <w:szCs w:val="19"/>
                <w:color w:val="auto"/>
              </w:rPr>
            </w:pPr>
          </w:p>
        </w:tc>
        <w:tc>
          <w:tcPr>
            <w:tcW w:w="920" w:type="dxa"/>
            <w:vAlign w:val="bottom"/>
            <w:tcBorders>
              <w:top w:val="single" w:sz="8" w:color="646464"/>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646464"/>
            </w:tcBorders>
          </w:tcPr>
          <w:p>
            <w:pPr>
              <w:spacing w:after="0"/>
              <w:rPr>
                <w:sz w:val="19"/>
                <w:szCs w:val="19"/>
                <w:color w:val="auto"/>
              </w:rPr>
            </w:pPr>
          </w:p>
        </w:tc>
        <w:tc>
          <w:tcPr>
            <w:tcW w:w="220" w:type="dxa"/>
            <w:vAlign w:val="bottom"/>
            <w:tcBorders>
              <w:top w:val="single" w:sz="8" w:color="646464"/>
              <w:bottom w:val="single" w:sz="8" w:color="646464"/>
            </w:tcBorders>
          </w:tcPr>
          <w:p>
            <w:pPr>
              <w:spacing w:after="0"/>
              <w:rPr>
                <w:sz w:val="19"/>
                <w:szCs w:val="19"/>
                <w:color w:val="auto"/>
              </w:rPr>
            </w:pPr>
          </w:p>
        </w:tc>
        <w:tc>
          <w:tcPr>
            <w:tcW w:w="900" w:type="dxa"/>
            <w:vAlign w:val="bottom"/>
            <w:tcBorders>
              <w:top w:val="single" w:sz="8" w:color="646464"/>
              <w:bottom w:val="single" w:sz="8" w:color="646464"/>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646464"/>
              <w:bottom w:val="single" w:sz="8" w:color="646464"/>
            </w:tcBorders>
          </w:tcPr>
          <w:p>
            <w:pPr>
              <w:spacing w:after="0"/>
              <w:rPr>
                <w:sz w:val="19"/>
                <w:szCs w:val="19"/>
                <w:color w:val="auto"/>
              </w:rPr>
            </w:pPr>
          </w:p>
        </w:tc>
        <w:tc>
          <w:tcPr>
            <w:tcW w:w="900" w:type="dxa"/>
            <w:vAlign w:val="bottom"/>
            <w:tcBorders>
              <w:top w:val="single" w:sz="8" w:color="646464"/>
              <w:bottom w:val="single" w:sz="8" w:color="646464"/>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646464"/>
            </w:tcBorders>
          </w:tcPr>
          <w:p>
            <w:pPr>
              <w:spacing w:after="0"/>
              <w:rPr>
                <w:sz w:val="19"/>
                <w:szCs w:val="19"/>
                <w:color w:val="auto"/>
              </w:rPr>
            </w:pPr>
          </w:p>
        </w:tc>
        <w:tc>
          <w:tcPr>
            <w:tcW w:w="220" w:type="dxa"/>
            <w:vAlign w:val="bottom"/>
            <w:tcBorders>
              <w:top w:val="single" w:sz="8" w:color="646464"/>
              <w:bottom w:val="single" w:sz="8" w:color="646464"/>
            </w:tcBorders>
          </w:tcPr>
          <w:p>
            <w:pPr>
              <w:spacing w:after="0"/>
              <w:rPr>
                <w:sz w:val="19"/>
                <w:szCs w:val="19"/>
                <w:color w:val="auto"/>
              </w:rPr>
            </w:pPr>
          </w:p>
        </w:tc>
        <w:tc>
          <w:tcPr>
            <w:tcW w:w="920" w:type="dxa"/>
            <w:vAlign w:val="bottom"/>
            <w:tcBorders>
              <w:top w:val="single" w:sz="8" w:color="646464"/>
              <w:bottom w:val="single" w:sz="8" w:color="646464"/>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884,122</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2,638,755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2,603,349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350,450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1,053,200</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1,067,191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533,483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524,040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1,585,555</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1,536,158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283,112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278,382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836,314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250,371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245,658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749,241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60,382</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before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230,253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226,197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686,911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70,687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199,441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160,417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155,510</w:t>
            </w:r>
          </w:p>
        </w:tc>
        <w:tc>
          <w:tcPr>
            <w:tcW w:w="6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487,470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Earnings per share: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Diluted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 average common and common</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equivalent shares outstanding:</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100,681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100,545</w:t>
            </w: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99,837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101,607</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101,512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50"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Roper Technologies, Inc.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w:t>
      </w:r>
    </w:p>
    <w:p>
      <w:pPr>
        <w:spacing w:after="0" w:line="200" w:lineRule="exact"/>
        <w:rPr>
          <w:sz w:val="20"/>
          <w:szCs w:val="20"/>
          <w:color w:val="auto"/>
        </w:rPr>
      </w:pPr>
    </w:p>
    <w:p>
      <w:pPr>
        <w:spacing w:after="0" w:line="26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3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6350</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jc w:val="both"/>
        <w:ind w:left="9180"/>
        <w:spacing w:after="0"/>
        <w:tabs>
          <w:tab w:leader="none" w:pos="105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20320</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Non-cash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Receivables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net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Business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Principal debt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Revolver borrowings/(payments),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Excess tax benefit from share-based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stock-based compensation,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Premium on convertible debt 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net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provided by/(used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tabs>
          <w:tab w:leader="none" w:pos="480" w:val="left"/>
          <w:tab w:leader="none" w:pos="1340" w:val="left"/>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487,470</w:t>
        <w:tab/>
        <w:t>$</w:t>
      </w:r>
      <w:r>
        <w:rPr>
          <w:sz w:val="20"/>
          <w:szCs w:val="20"/>
          <w:color w:val="auto"/>
        </w:rPr>
        <w:tab/>
      </w:r>
      <w:r>
        <w:rPr>
          <w:rFonts w:ascii="Arial" w:cs="Arial" w:eastAsia="Arial" w:hAnsi="Arial"/>
          <w:sz w:val="18"/>
          <w:szCs w:val="18"/>
          <w:color w:val="auto"/>
        </w:rPr>
        <w:t>460,097</w:t>
      </w:r>
    </w:p>
    <w:p>
      <w:pPr>
        <w:spacing w:after="0" w:line="225"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18"/>
          <w:szCs w:val="18"/>
          <w:color w:val="auto"/>
        </w:rPr>
        <w:t>28,454</w:t>
      </w:r>
      <w:r>
        <w:rPr>
          <w:sz w:val="20"/>
          <w:szCs w:val="20"/>
          <w:color w:val="auto"/>
        </w:rPr>
        <w:tab/>
      </w:r>
      <w:r>
        <w:rPr>
          <w:rFonts w:ascii="Arial" w:cs="Arial" w:eastAsia="Arial" w:hAnsi="Arial"/>
          <w:sz w:val="18"/>
          <w:szCs w:val="18"/>
          <w:color w:val="auto"/>
        </w:rPr>
        <w:t>30,442</w:t>
      </w:r>
    </w:p>
    <w:p>
      <w:pPr>
        <w:spacing w:after="0" w:line="9" w:lineRule="exact"/>
        <w:rPr>
          <w:sz w:val="20"/>
          <w:szCs w:val="20"/>
          <w:color w:val="auto"/>
        </w:rPr>
      </w:pPr>
    </w:p>
    <w:p>
      <w:pPr>
        <w:ind w:left="500"/>
        <w:spacing w:after="0"/>
        <w:tabs>
          <w:tab w:leader="none" w:pos="1820" w:val="left"/>
        </w:tabs>
        <w:rPr>
          <w:sz w:val="20"/>
          <w:szCs w:val="20"/>
          <w:color w:val="auto"/>
        </w:rPr>
      </w:pPr>
      <w:r>
        <w:rPr>
          <w:rFonts w:ascii="Arial" w:cs="Arial" w:eastAsia="Arial" w:hAnsi="Arial"/>
          <w:sz w:val="18"/>
          <w:szCs w:val="18"/>
          <w:color w:val="auto"/>
        </w:rPr>
        <w:t>119,766</w:t>
      </w:r>
      <w:r>
        <w:rPr>
          <w:sz w:val="20"/>
          <w:szCs w:val="20"/>
          <w:color w:val="auto"/>
        </w:rPr>
        <w:tab/>
      </w:r>
      <w:r>
        <w:rPr>
          <w:rFonts w:ascii="Arial" w:cs="Arial" w:eastAsia="Arial" w:hAnsi="Arial"/>
          <w:sz w:val="18"/>
          <w:szCs w:val="18"/>
          <w:color w:val="auto"/>
        </w:rPr>
        <w:t>117,179</w:t>
      </w:r>
    </w:p>
    <w:p>
      <w:pPr>
        <w:spacing w:after="0" w:line="9"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18"/>
          <w:szCs w:val="18"/>
          <w:color w:val="auto"/>
        </w:rPr>
        <w:t>47,035</w:t>
      </w:r>
      <w:r>
        <w:rPr>
          <w:sz w:val="20"/>
          <w:szCs w:val="20"/>
          <w:color w:val="auto"/>
        </w:rPr>
        <w:tab/>
      </w:r>
      <w:r>
        <w:rPr>
          <w:rFonts w:ascii="Arial" w:cs="Arial" w:eastAsia="Arial" w:hAnsi="Arial"/>
          <w:sz w:val="18"/>
          <w:szCs w:val="18"/>
          <w:color w:val="auto"/>
        </w:rPr>
        <w:t>47,011</w:t>
      </w:r>
    </w:p>
    <w:p>
      <w:pPr>
        <w:spacing w:after="0" w:line="9" w:lineRule="exact"/>
        <w:rPr>
          <w:sz w:val="20"/>
          <w:szCs w:val="20"/>
          <w:color w:val="auto"/>
        </w:rPr>
      </w:pPr>
    </w:p>
    <w:p>
      <w:pPr>
        <w:jc w:val="both"/>
        <w:ind w:left="540"/>
        <w:spacing w:after="0"/>
        <w:tabs>
          <w:tab w:leader="none" w:pos="1860" w:val="left"/>
        </w:tabs>
        <w:rPr>
          <w:sz w:val="20"/>
          <w:szCs w:val="20"/>
          <w:color w:val="auto"/>
        </w:rPr>
      </w:pPr>
      <w:r>
        <w:rPr>
          <w:rFonts w:ascii="Arial" w:cs="Arial" w:eastAsia="Arial" w:hAnsi="Arial"/>
          <w:sz w:val="18"/>
          <w:szCs w:val="18"/>
          <w:color w:val="auto"/>
        </w:rPr>
        <w:t>(35,165)</w:t>
      </w:r>
      <w:r>
        <w:rPr>
          <w:sz w:val="20"/>
          <w:szCs w:val="20"/>
          <w:color w:val="auto"/>
        </w:rPr>
        <w:tab/>
      </w:r>
      <w:r>
        <w:rPr>
          <w:rFonts w:ascii="Arial" w:cs="Arial" w:eastAsia="Arial" w:hAnsi="Arial"/>
          <w:sz w:val="18"/>
          <w:szCs w:val="18"/>
          <w:color w:val="auto"/>
        </w:rPr>
        <w:t>(54,178)</w:t>
      </w:r>
    </w:p>
    <w:p>
      <w:pPr>
        <w:spacing w:after="0" w:line="225" w:lineRule="exact"/>
        <w:rPr>
          <w:sz w:val="20"/>
          <w:szCs w:val="20"/>
          <w:color w:val="auto"/>
        </w:rPr>
      </w:pPr>
    </w:p>
    <w:p>
      <w:pPr>
        <w:jc w:val="both"/>
        <w:ind w:left="600"/>
        <w:spacing w:after="0"/>
        <w:tabs>
          <w:tab w:leader="none" w:pos="1860" w:val="left"/>
        </w:tabs>
        <w:rPr>
          <w:sz w:val="20"/>
          <w:szCs w:val="20"/>
          <w:color w:val="auto"/>
        </w:rPr>
      </w:pPr>
      <w:r>
        <w:rPr>
          <w:rFonts w:ascii="Arial" w:cs="Arial" w:eastAsia="Arial" w:hAnsi="Arial"/>
          <w:sz w:val="18"/>
          <w:szCs w:val="18"/>
          <w:color w:val="auto"/>
        </w:rPr>
        <w:t>26,051</w:t>
      </w:r>
      <w:r>
        <w:rPr>
          <w:sz w:val="20"/>
          <w:szCs w:val="20"/>
          <w:color w:val="auto"/>
        </w:rPr>
        <w:tab/>
      </w:r>
      <w:r>
        <w:rPr>
          <w:rFonts w:ascii="Arial" w:cs="Arial" w:eastAsia="Arial" w:hAnsi="Arial"/>
          <w:sz w:val="18"/>
          <w:szCs w:val="18"/>
          <w:color w:val="auto"/>
        </w:rPr>
        <w:t>(21,840)</w:t>
      </w:r>
    </w:p>
    <w:p>
      <w:pPr>
        <w:spacing w:after="0" w:line="9" w:lineRule="exact"/>
        <w:rPr>
          <w:sz w:val="20"/>
          <w:szCs w:val="20"/>
          <w:color w:val="auto"/>
        </w:rPr>
      </w:pPr>
    </w:p>
    <w:p>
      <w:pPr>
        <w:jc w:val="both"/>
        <w:ind w:left="640"/>
        <w:spacing w:after="0"/>
        <w:tabs>
          <w:tab w:leader="none" w:pos="1960" w:val="left"/>
        </w:tabs>
        <w:rPr>
          <w:sz w:val="20"/>
          <w:szCs w:val="20"/>
          <w:color w:val="auto"/>
        </w:rPr>
      </w:pPr>
      <w:r>
        <w:rPr>
          <w:rFonts w:ascii="Arial" w:cs="Arial" w:eastAsia="Arial" w:hAnsi="Arial"/>
          <w:sz w:val="18"/>
          <w:szCs w:val="18"/>
          <w:color w:val="auto"/>
        </w:rPr>
        <w:t>(7,047)</w:t>
      </w:r>
      <w:r>
        <w:rPr>
          <w:sz w:val="20"/>
          <w:szCs w:val="20"/>
          <w:color w:val="auto"/>
        </w:rPr>
        <w:tab/>
      </w:r>
      <w:r>
        <w:rPr>
          <w:rFonts w:ascii="Arial" w:cs="Arial" w:eastAsia="Arial" w:hAnsi="Arial"/>
          <w:sz w:val="18"/>
          <w:szCs w:val="18"/>
          <w:color w:val="auto"/>
        </w:rPr>
        <w:t>(8,833)</w:t>
      </w:r>
    </w:p>
    <w:p>
      <w:pPr>
        <w:spacing w:after="0" w:line="9" w:lineRule="exact"/>
        <w:rPr>
          <w:sz w:val="20"/>
          <w:szCs w:val="20"/>
          <w:color w:val="auto"/>
        </w:rPr>
      </w:pPr>
    </w:p>
    <w:p>
      <w:pPr>
        <w:jc w:val="both"/>
        <w:ind w:left="640"/>
        <w:spacing w:after="0"/>
        <w:tabs>
          <w:tab w:leader="none" w:pos="1960" w:val="left"/>
        </w:tabs>
        <w:rPr>
          <w:sz w:val="20"/>
          <w:szCs w:val="20"/>
          <w:color w:val="auto"/>
        </w:rPr>
      </w:pPr>
      <w:r>
        <w:rPr>
          <w:rFonts w:ascii="Arial" w:cs="Arial" w:eastAsia="Arial" w:hAnsi="Arial"/>
          <w:sz w:val="18"/>
          <w:szCs w:val="18"/>
          <w:color w:val="auto"/>
        </w:rPr>
        <w:t>(2,085)</w:t>
      </w:r>
      <w:r>
        <w:rPr>
          <w:sz w:val="20"/>
          <w:szCs w:val="20"/>
          <w:color w:val="auto"/>
        </w:rPr>
        <w:tab/>
      </w:r>
      <w:r>
        <w:rPr>
          <w:rFonts w:ascii="Arial" w:cs="Arial" w:eastAsia="Arial" w:hAnsi="Arial"/>
          <w:sz w:val="18"/>
          <w:szCs w:val="18"/>
          <w:color w:val="auto"/>
        </w:rPr>
        <w:t>(4,969)</w:t>
      </w:r>
    </w:p>
    <w:p>
      <w:pPr>
        <w:spacing w:after="0" w:line="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(6,603)</w:t>
      </w:r>
      <w:r>
        <w:rPr>
          <w:sz w:val="20"/>
          <w:szCs w:val="20"/>
          <w:color w:val="auto"/>
        </w:rPr>
        <w:tab/>
      </w:r>
      <w:r>
        <w:rPr>
          <w:rFonts w:ascii="Arial" w:cs="Arial" w:eastAsia="Arial" w:hAnsi="Arial"/>
          <w:sz w:val="18"/>
          <w:szCs w:val="18"/>
          <w:color w:val="auto"/>
        </w:rPr>
        <w:t>15,311</w:t>
      </w:r>
    </w:p>
    <w:p>
      <w:pPr>
        <w:spacing w:after="0" w:line="9" w:lineRule="exact"/>
        <w:rPr>
          <w:sz w:val="20"/>
          <w:szCs w:val="20"/>
          <w:color w:val="auto"/>
        </w:rPr>
      </w:pPr>
    </w:p>
    <w:p>
      <w:pPr>
        <w:jc w:val="both"/>
        <w:ind w:left="700"/>
        <w:spacing w:after="0"/>
        <w:tabs>
          <w:tab w:leader="none" w:pos="2120" w:val="left"/>
        </w:tabs>
        <w:rPr>
          <w:sz w:val="20"/>
          <w:szCs w:val="20"/>
          <w:color w:val="auto"/>
        </w:rPr>
      </w:pPr>
      <w:r>
        <w:rPr>
          <w:rFonts w:ascii="Arial" w:cs="Arial" w:eastAsia="Arial" w:hAnsi="Arial"/>
          <w:sz w:val="18"/>
          <w:szCs w:val="18"/>
          <w:color w:val="auto"/>
        </w:rPr>
        <w:t>1,691</w:t>
      </w:r>
      <w:r>
        <w:rPr>
          <w:sz w:val="20"/>
          <w:szCs w:val="20"/>
          <w:color w:val="auto"/>
        </w:rPr>
        <w:tab/>
      </w:r>
      <w:r>
        <w:rPr>
          <w:rFonts w:ascii="Arial" w:cs="Arial" w:eastAsia="Arial" w:hAnsi="Arial"/>
          <w:sz w:val="18"/>
          <w:szCs w:val="18"/>
          <w:color w:val="auto"/>
        </w:rPr>
        <w:t>(988)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5862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1820" w:val="left"/>
        </w:tabs>
        <w:rPr>
          <w:sz w:val="20"/>
          <w:szCs w:val="20"/>
          <w:color w:val="auto"/>
        </w:rPr>
      </w:pPr>
      <w:r>
        <w:rPr>
          <w:rFonts w:ascii="Arial" w:cs="Arial" w:eastAsia="Arial" w:hAnsi="Arial"/>
          <w:sz w:val="18"/>
          <w:szCs w:val="18"/>
          <w:color w:val="auto"/>
        </w:rPr>
        <w:t>659,567</w:t>
      </w:r>
      <w:r>
        <w:rPr>
          <w:sz w:val="20"/>
          <w:szCs w:val="20"/>
          <w:color w:val="auto"/>
        </w:rPr>
        <w:tab/>
      </w:r>
      <w:r>
        <w:rPr>
          <w:rFonts w:ascii="Arial" w:cs="Arial" w:eastAsia="Arial" w:hAnsi="Arial"/>
          <w:sz w:val="18"/>
          <w:szCs w:val="18"/>
          <w:color w:val="auto"/>
        </w:rPr>
        <w:t>579,232</w:t>
      </w:r>
    </w:p>
    <w:p>
      <w:pPr>
        <w:spacing w:after="0" w:line="225" w:lineRule="exact"/>
        <w:rPr>
          <w:sz w:val="20"/>
          <w:szCs w:val="20"/>
          <w:color w:val="auto"/>
        </w:rPr>
      </w:pPr>
    </w:p>
    <w:p>
      <w:pPr>
        <w:jc w:val="both"/>
        <w:ind w:left="280"/>
        <w:spacing w:after="0"/>
        <w:tabs>
          <w:tab w:leader="none" w:pos="1760" w:val="left"/>
        </w:tabs>
        <w:rPr>
          <w:sz w:val="20"/>
          <w:szCs w:val="20"/>
          <w:color w:val="auto"/>
        </w:rPr>
      </w:pPr>
      <w:r>
        <w:rPr>
          <w:rFonts w:ascii="Arial" w:cs="Arial" w:eastAsia="Arial" w:hAnsi="Arial"/>
          <w:sz w:val="18"/>
          <w:szCs w:val="18"/>
          <w:color w:val="auto"/>
        </w:rPr>
        <w:t>(1,024,779)</w:t>
      </w:r>
      <w:r>
        <w:rPr>
          <w:sz w:val="20"/>
          <w:szCs w:val="20"/>
          <w:color w:val="auto"/>
        </w:rPr>
        <w:tab/>
      </w:r>
      <w:r>
        <w:rPr>
          <w:rFonts w:ascii="Arial" w:cs="Arial" w:eastAsia="Arial" w:hAnsi="Arial"/>
          <w:sz w:val="18"/>
          <w:szCs w:val="18"/>
          <w:color w:val="auto"/>
        </w:rPr>
        <w:t>(305,254)</w:t>
      </w:r>
    </w:p>
    <w:p>
      <w:pPr>
        <w:spacing w:after="0" w:line="9" w:lineRule="exact"/>
        <w:rPr>
          <w:sz w:val="20"/>
          <w:szCs w:val="20"/>
          <w:color w:val="auto"/>
        </w:rPr>
      </w:pPr>
    </w:p>
    <w:p>
      <w:pPr>
        <w:jc w:val="both"/>
        <w:ind w:left="540"/>
        <w:spacing w:after="0"/>
        <w:tabs>
          <w:tab w:leader="none" w:pos="1860" w:val="left"/>
        </w:tabs>
        <w:rPr>
          <w:sz w:val="20"/>
          <w:szCs w:val="20"/>
          <w:color w:val="auto"/>
        </w:rPr>
      </w:pPr>
      <w:r>
        <w:rPr>
          <w:rFonts w:ascii="Arial" w:cs="Arial" w:eastAsia="Arial" w:hAnsi="Arial"/>
          <w:sz w:val="18"/>
          <w:szCs w:val="18"/>
          <w:color w:val="auto"/>
        </w:rPr>
        <w:t>(27,503)</w:t>
      </w:r>
      <w:r>
        <w:rPr>
          <w:sz w:val="20"/>
          <w:szCs w:val="20"/>
          <w:color w:val="auto"/>
        </w:rPr>
        <w:tab/>
      </w:r>
      <w:r>
        <w:rPr>
          <w:rFonts w:ascii="Arial" w:cs="Arial" w:eastAsia="Arial" w:hAnsi="Arial"/>
          <w:sz w:val="18"/>
          <w:szCs w:val="18"/>
          <w:color w:val="auto"/>
        </w:rPr>
        <w:t>(29,835)</w:t>
      </w:r>
    </w:p>
    <w:p>
      <w:pPr>
        <w:spacing w:after="0" w:line="9" w:lineRule="exact"/>
        <w:rPr>
          <w:sz w:val="20"/>
          <w:szCs w:val="20"/>
          <w:color w:val="auto"/>
        </w:rPr>
      </w:pPr>
    </w:p>
    <w:p>
      <w:pPr>
        <w:jc w:val="both"/>
        <w:ind w:left="640"/>
        <w:spacing w:after="0"/>
        <w:tabs>
          <w:tab w:leader="none" w:pos="1960" w:val="left"/>
        </w:tabs>
        <w:rPr>
          <w:sz w:val="20"/>
          <w:szCs w:val="20"/>
          <w:color w:val="auto"/>
        </w:rPr>
      </w:pPr>
      <w:r>
        <w:rPr>
          <w:rFonts w:ascii="Arial" w:cs="Arial" w:eastAsia="Arial" w:hAnsi="Arial"/>
          <w:sz w:val="18"/>
          <w:szCs w:val="18"/>
          <w:color w:val="auto"/>
        </w:rPr>
        <w:t>(4,369)</w:t>
      </w:r>
      <w:r>
        <w:rPr>
          <w:sz w:val="20"/>
          <w:szCs w:val="20"/>
          <w:color w:val="auto"/>
        </w:rPr>
        <w:tab/>
      </w:r>
      <w:r>
        <w:rPr>
          <w:rFonts w:ascii="Arial" w:cs="Arial" w:eastAsia="Arial" w:hAnsi="Arial"/>
          <w:sz w:val="18"/>
          <w:szCs w:val="18"/>
          <w:color w:val="auto"/>
        </w:rPr>
        <w:t>(5,304)</w:t>
      </w:r>
    </w:p>
    <w:p>
      <w:pPr>
        <w:spacing w:after="0" w:line="36" w:lineRule="exact"/>
        <w:rPr>
          <w:sz w:val="20"/>
          <w:szCs w:val="20"/>
          <w:color w:val="auto"/>
        </w:rPr>
      </w:pPr>
    </w:p>
    <w:p>
      <w:pPr>
        <w:jc w:val="both"/>
        <w:ind w:left="280"/>
        <w:spacing w:after="0"/>
        <w:tabs>
          <w:tab w:leader="none" w:pos="1760" w:val="left"/>
        </w:tabs>
        <w:rPr>
          <w:sz w:val="20"/>
          <w:szCs w:val="20"/>
          <w:color w:val="auto"/>
        </w:rPr>
      </w:pPr>
      <w:r>
        <w:rPr>
          <w:rFonts w:ascii="Arial" w:cs="Arial" w:eastAsia="Arial" w:hAnsi="Arial"/>
          <w:sz w:val="18"/>
          <w:szCs w:val="18"/>
          <w:color w:val="auto"/>
        </w:rPr>
        <w:t>(1,056,651)</w:t>
      </w:r>
      <w:r>
        <w:rPr>
          <w:sz w:val="20"/>
          <w:szCs w:val="20"/>
          <w:color w:val="auto"/>
        </w:rPr>
        <w:tab/>
      </w:r>
      <w:r>
        <w:rPr>
          <w:rFonts w:ascii="Arial" w:cs="Arial" w:eastAsia="Arial" w:hAnsi="Arial"/>
          <w:sz w:val="18"/>
          <w:szCs w:val="18"/>
          <w:color w:val="auto"/>
        </w:rPr>
        <w:t>(340,393)</w:t>
      </w:r>
    </w:p>
    <w:p>
      <w:pPr>
        <w:spacing w:after="0" w:line="225" w:lineRule="exact"/>
        <w:rPr>
          <w:sz w:val="20"/>
          <w:szCs w:val="20"/>
          <w:color w:val="auto"/>
        </w:rPr>
      </w:pPr>
    </w:p>
    <w:p>
      <w:pPr>
        <w:jc w:val="both"/>
        <w:ind w:left="640"/>
        <w:spacing w:after="0"/>
        <w:tabs>
          <w:tab w:leader="none" w:pos="2120" w:val="left"/>
        </w:tabs>
        <w:rPr>
          <w:sz w:val="20"/>
          <w:szCs w:val="20"/>
          <w:color w:val="auto"/>
        </w:rPr>
      </w:pPr>
      <w:r>
        <w:rPr>
          <w:rFonts w:ascii="Arial" w:cs="Arial" w:eastAsia="Arial" w:hAnsi="Arial"/>
          <w:sz w:val="18"/>
          <w:szCs w:val="18"/>
          <w:color w:val="auto"/>
        </w:rPr>
        <w:t>(4,006)</w:t>
      </w:r>
      <w:r>
        <w:rPr>
          <w:sz w:val="20"/>
          <w:szCs w:val="20"/>
          <w:color w:val="auto"/>
        </w:rPr>
        <w:tab/>
      </w:r>
      <w:r>
        <w:rPr>
          <w:rFonts w:ascii="Arial" w:cs="Arial" w:eastAsia="Arial" w:hAnsi="Arial"/>
          <w:sz w:val="18"/>
          <w:szCs w:val="18"/>
          <w:color w:val="auto"/>
        </w:rPr>
        <w:t>(561)</w:t>
      </w:r>
    </w:p>
    <w:p>
      <w:pPr>
        <w:spacing w:after="0" w:line="9" w:lineRule="exact"/>
        <w:rPr>
          <w:sz w:val="20"/>
          <w:szCs w:val="20"/>
          <w:color w:val="auto"/>
        </w:rPr>
      </w:pPr>
    </w:p>
    <w:p>
      <w:pPr>
        <w:jc w:val="both"/>
        <w:ind w:left="500"/>
        <w:spacing w:after="0"/>
        <w:tabs>
          <w:tab w:leader="none" w:pos="1860" w:val="left"/>
        </w:tabs>
        <w:rPr>
          <w:sz w:val="20"/>
          <w:szCs w:val="20"/>
          <w:color w:val="auto"/>
        </w:rPr>
      </w:pPr>
      <w:r>
        <w:rPr>
          <w:rFonts w:ascii="Arial" w:cs="Arial" w:eastAsia="Arial" w:hAnsi="Arial"/>
          <w:sz w:val="18"/>
          <w:szCs w:val="18"/>
          <w:color w:val="auto"/>
        </w:rPr>
        <w:t>590,000</w:t>
      </w:r>
      <w:r>
        <w:rPr>
          <w:sz w:val="20"/>
          <w:szCs w:val="20"/>
          <w:color w:val="auto"/>
        </w:rPr>
        <w:tab/>
      </w:r>
      <w:r>
        <w:rPr>
          <w:rFonts w:ascii="Arial" w:cs="Arial" w:eastAsia="Arial" w:hAnsi="Arial"/>
          <w:sz w:val="18"/>
          <w:szCs w:val="18"/>
          <w:color w:val="auto"/>
        </w:rPr>
        <w:t>(95,000)</w:t>
      </w:r>
    </w:p>
    <w:p>
      <w:pPr>
        <w:spacing w:after="0" w:line="9" w:lineRule="exact"/>
        <w:rPr>
          <w:sz w:val="20"/>
          <w:szCs w:val="20"/>
          <w:color w:val="auto"/>
        </w:rPr>
      </w:pPr>
    </w:p>
    <w:p>
      <w:pPr>
        <w:jc w:val="both"/>
        <w:ind w:left="540"/>
        <w:spacing w:after="0"/>
        <w:tabs>
          <w:tab w:leader="none" w:pos="1860" w:val="left"/>
        </w:tabs>
        <w:rPr>
          <w:sz w:val="20"/>
          <w:szCs w:val="20"/>
          <w:color w:val="auto"/>
        </w:rPr>
      </w:pPr>
      <w:r>
        <w:rPr>
          <w:rFonts w:ascii="Arial" w:cs="Arial" w:eastAsia="Arial" w:hAnsi="Arial"/>
          <w:sz w:val="18"/>
          <w:szCs w:val="18"/>
          <w:color w:val="auto"/>
        </w:rPr>
        <w:t>(75,210)</w:t>
      </w:r>
      <w:r>
        <w:rPr>
          <w:sz w:val="20"/>
          <w:szCs w:val="20"/>
          <w:color w:val="auto"/>
        </w:rPr>
        <w:tab/>
      </w:r>
      <w:r>
        <w:rPr>
          <w:rFonts w:ascii="Arial" w:cs="Arial" w:eastAsia="Arial" w:hAnsi="Arial"/>
          <w:sz w:val="18"/>
          <w:szCs w:val="18"/>
          <w:color w:val="auto"/>
        </w:rPr>
        <w:t>(59,827)</w:t>
      </w:r>
    </w:p>
    <w:p>
      <w:pPr>
        <w:spacing w:after="0" w:line="9"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18"/>
          <w:szCs w:val="18"/>
          <w:color w:val="auto"/>
        </w:rPr>
        <w:t>11,593</w:t>
      </w:r>
      <w:r>
        <w:rPr>
          <w:sz w:val="20"/>
          <w:szCs w:val="20"/>
          <w:color w:val="auto"/>
        </w:rPr>
        <w:tab/>
      </w:r>
      <w:r>
        <w:rPr>
          <w:rFonts w:ascii="Arial" w:cs="Arial" w:eastAsia="Arial" w:hAnsi="Arial"/>
          <w:sz w:val="18"/>
          <w:szCs w:val="18"/>
          <w:color w:val="auto"/>
        </w:rPr>
        <w:t>14,892</w:t>
      </w:r>
    </w:p>
    <w:p>
      <w:pPr>
        <w:spacing w:after="0" w:line="9"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18"/>
          <w:szCs w:val="18"/>
          <w:color w:val="auto"/>
        </w:rPr>
        <w:t>19,237</w:t>
      </w:r>
      <w:r>
        <w:rPr>
          <w:sz w:val="20"/>
          <w:szCs w:val="20"/>
          <w:color w:val="auto"/>
        </w:rPr>
        <w:tab/>
      </w:r>
      <w:r>
        <w:rPr>
          <w:rFonts w:ascii="Arial" w:cs="Arial" w:eastAsia="Arial" w:hAnsi="Arial"/>
          <w:sz w:val="18"/>
          <w:szCs w:val="18"/>
          <w:color w:val="auto"/>
        </w:rPr>
        <w:t>26,424</w:t>
      </w:r>
    </w:p>
    <w:p>
      <w:pPr>
        <w:spacing w:after="0" w:line="9" w:lineRule="exact"/>
        <w:rPr>
          <w:sz w:val="20"/>
          <w:szCs w:val="20"/>
          <w:color w:val="auto"/>
        </w:rPr>
      </w:pPr>
    </w:p>
    <w:p>
      <w:pPr>
        <w:jc w:val="both"/>
        <w:ind w:left="540"/>
        <w:spacing w:after="0"/>
        <w:tabs>
          <w:tab w:leader="none" w:pos="1960" w:val="left"/>
        </w:tabs>
        <w:rPr>
          <w:sz w:val="20"/>
          <w:szCs w:val="20"/>
          <w:color w:val="auto"/>
        </w:rPr>
      </w:pPr>
      <w:r>
        <w:rPr>
          <w:rFonts w:ascii="Arial" w:cs="Arial" w:eastAsia="Arial" w:hAnsi="Arial"/>
          <w:sz w:val="18"/>
          <w:szCs w:val="18"/>
          <w:color w:val="auto"/>
        </w:rPr>
        <w:t>(13,126)</w:t>
      </w:r>
      <w:r>
        <w:rPr>
          <w:sz w:val="20"/>
          <w:szCs w:val="20"/>
          <w:color w:val="auto"/>
        </w:rPr>
        <w:tab/>
      </w:r>
      <w:r>
        <w:rPr>
          <w:rFonts w:ascii="Arial" w:cs="Arial" w:eastAsia="Arial" w:hAnsi="Arial"/>
          <w:sz w:val="18"/>
          <w:szCs w:val="18"/>
          <w:color w:val="auto"/>
        </w:rPr>
        <w:t>(1,518)</w:t>
      </w:r>
    </w:p>
    <w:p>
      <w:pPr>
        <w:spacing w:after="0" w:line="9" w:lineRule="exact"/>
        <w:rPr>
          <w:sz w:val="20"/>
          <w:szCs w:val="20"/>
          <w:color w:val="auto"/>
        </w:rPr>
      </w:pPr>
    </w:p>
    <w:p>
      <w:pPr>
        <w:ind w:left="2040" w:hanging="1199"/>
        <w:spacing w:after="0"/>
        <w:tabs>
          <w:tab w:leader="none" w:pos="2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2,118</w:t>
      </w:r>
    </w:p>
    <w:p>
      <w:pPr>
        <w:spacing w:after="0" w:line="36"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529,332(113,472)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5862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5" w:lineRule="exact"/>
        <w:rPr>
          <w:sz w:val="20"/>
          <w:szCs w:val="20"/>
          <w:color w:val="auto"/>
        </w:rPr>
      </w:pPr>
    </w:p>
    <w:p>
      <w:pPr>
        <w:jc w:val="both"/>
        <w:ind w:left="540"/>
        <w:spacing w:after="0"/>
        <w:tabs>
          <w:tab w:leader="none" w:pos="1860" w:val="left"/>
        </w:tabs>
        <w:rPr>
          <w:sz w:val="20"/>
          <w:szCs w:val="20"/>
          <w:color w:val="auto"/>
        </w:rPr>
      </w:pPr>
      <w:r>
        <w:rPr>
          <w:rFonts w:ascii="Arial" w:cs="Arial" w:eastAsia="Arial" w:hAnsi="Arial"/>
          <w:sz w:val="18"/>
          <w:szCs w:val="18"/>
          <w:color w:val="auto"/>
        </w:rPr>
        <w:t>(42,100)</w:t>
      </w:r>
      <w:r>
        <w:rPr>
          <w:sz w:val="20"/>
          <w:szCs w:val="20"/>
          <w:color w:val="auto"/>
        </w:rPr>
        <w:tab/>
      </w:r>
      <w:r>
        <w:rPr>
          <w:rFonts w:ascii="Arial" w:cs="Arial" w:eastAsia="Arial" w:hAnsi="Arial"/>
          <w:sz w:val="18"/>
          <w:szCs w:val="18"/>
          <w:color w:val="auto"/>
        </w:rPr>
        <w:t>(20,975)</w:t>
      </w:r>
    </w:p>
    <w:p>
      <w:pPr>
        <w:spacing w:after="0" w:line="200" w:lineRule="exact"/>
        <w:rPr>
          <w:sz w:val="20"/>
          <w:szCs w:val="20"/>
          <w:color w:val="auto"/>
        </w:rPr>
      </w:pPr>
    </w:p>
    <w:p>
      <w:pPr>
        <w:sectPr>
          <w:pgSz w:w="11900" w:h="16838" w:orient="portrait"/>
          <w:cols w:equalWidth="0" w:num="2">
            <w:col w:w="8100" w:space="720"/>
            <w:col w:w="2600"/>
          </w:cols>
          <w:pgMar w:left="240" w:top="106"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equivalents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equivalents, beginning of period</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equivalents,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700,578</w:t>
            </w: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564,112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6"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Roper Technologies, Inc.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Segment Financial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 and percents of net sales)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Borders>
              <w:bottom w:val="single" w:sz="8" w:color="646464"/>
            </w:tcBorders>
          </w:tcPr>
          <w:p>
            <w:pPr>
              <w:spacing w:after="0"/>
              <w:rPr>
                <w:sz w:val="20"/>
                <w:szCs w:val="20"/>
                <w:color w:val="auto"/>
              </w:rPr>
            </w:pPr>
          </w:p>
        </w:tc>
        <w:tc>
          <w:tcPr>
            <w:tcW w:w="3280" w:type="dxa"/>
            <w:vAlign w:val="bottom"/>
            <w:tcBorders>
              <w:bottom w:val="single" w:sz="8" w:color="646464"/>
            </w:tcBorders>
            <w:gridSpan w:val="7"/>
          </w:tcPr>
          <w:p>
            <w:pPr>
              <w:jc w:val="right"/>
              <w:ind w:right="40"/>
              <w:spacing w:after="0"/>
              <w:rPr>
                <w:sz w:val="20"/>
                <w:szCs w:val="20"/>
                <w:color w:val="auto"/>
              </w:rPr>
            </w:pPr>
            <w:r>
              <w:rPr>
                <w:rFonts w:ascii="Arial" w:cs="Arial" w:eastAsia="Arial" w:hAnsi="Arial"/>
                <w:sz w:val="16"/>
                <w:szCs w:val="16"/>
                <w:b w:val="1"/>
                <w:bCs w:val="1"/>
                <w:color w:val="auto"/>
              </w:rPr>
              <w:t>Three months ended September 30,</w:t>
            </w:r>
          </w:p>
        </w:tc>
        <w:tc>
          <w:tcPr>
            <w:tcW w:w="640" w:type="dxa"/>
            <w:vAlign w:val="bottom"/>
            <w:tcBorders>
              <w:bottom w:val="single" w:sz="8" w:color="646464"/>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646464"/>
            </w:tcBorders>
          </w:tcPr>
          <w:p>
            <w:pPr>
              <w:spacing w:after="0"/>
              <w:rPr>
                <w:sz w:val="20"/>
                <w:szCs w:val="20"/>
                <w:color w:val="auto"/>
              </w:rPr>
            </w:pPr>
          </w:p>
        </w:tc>
        <w:tc>
          <w:tcPr>
            <w:tcW w:w="3340" w:type="dxa"/>
            <w:vAlign w:val="bottom"/>
            <w:tcBorders>
              <w:bottom w:val="single" w:sz="8" w:color="646464"/>
            </w:tcBorders>
            <w:gridSpan w:val="7"/>
          </w:tcPr>
          <w:p>
            <w:pPr>
              <w:jc w:val="right"/>
              <w:ind w:right="140"/>
              <w:spacing w:after="0"/>
              <w:rPr>
                <w:sz w:val="20"/>
                <w:szCs w:val="20"/>
                <w:color w:val="auto"/>
              </w:rPr>
            </w:pPr>
            <w:r>
              <w:rPr>
                <w:rFonts w:ascii="Arial" w:cs="Arial" w:eastAsia="Arial" w:hAnsi="Arial"/>
                <w:sz w:val="16"/>
                <w:szCs w:val="16"/>
                <w:b w:val="1"/>
                <w:bCs w:val="1"/>
                <w:color w:val="auto"/>
              </w:rPr>
              <w:t>Nine months ended September 30,</w:t>
            </w:r>
          </w:p>
        </w:tc>
        <w:tc>
          <w:tcPr>
            <w:tcW w:w="660" w:type="dxa"/>
            <w:vAlign w:val="bottom"/>
            <w:tcBorders>
              <w:bottom w:val="single" w:sz="8" w:color="646464"/>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bottom w:val="single" w:sz="8" w:color="646464"/>
            </w:tcBorders>
          </w:tcPr>
          <w:p>
            <w:pPr>
              <w:spacing w:after="0"/>
              <w:rPr>
                <w:sz w:val="18"/>
                <w:szCs w:val="18"/>
                <w:color w:val="auto"/>
              </w:rPr>
            </w:pPr>
          </w:p>
        </w:tc>
        <w:tc>
          <w:tcPr>
            <w:tcW w:w="1120" w:type="dxa"/>
            <w:vAlign w:val="bottom"/>
            <w:tcBorders>
              <w:bottom w:val="single" w:sz="8" w:color="646464"/>
            </w:tcBorders>
            <w:gridSpan w:val="2"/>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646464"/>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646464"/>
            </w:tcBorders>
          </w:tcPr>
          <w:p>
            <w:pPr>
              <w:spacing w:after="0"/>
              <w:rPr>
                <w:sz w:val="18"/>
                <w:szCs w:val="18"/>
                <w:color w:val="auto"/>
              </w:rPr>
            </w:pPr>
          </w:p>
        </w:tc>
        <w:tc>
          <w:tcPr>
            <w:tcW w:w="1120" w:type="dxa"/>
            <w:vAlign w:val="bottom"/>
            <w:tcBorders>
              <w:bottom w:val="single" w:sz="8" w:color="646464"/>
            </w:tcBorders>
            <w:gridSpan w:val="2"/>
          </w:tcPr>
          <w:p>
            <w:pPr>
              <w:jc w:val="right"/>
              <w:ind w:right="180"/>
              <w:spacing w:after="0"/>
              <w:rPr>
                <w:sz w:val="20"/>
                <w:szCs w:val="20"/>
                <w:color w:val="auto"/>
              </w:rPr>
            </w:pPr>
            <w:r>
              <w:rPr>
                <w:rFonts w:ascii="Arial" w:cs="Arial" w:eastAsia="Arial" w:hAnsi="Arial"/>
                <w:sz w:val="16"/>
                <w:szCs w:val="16"/>
                <w:b w:val="1"/>
                <w:bCs w:val="1"/>
                <w:color w:val="auto"/>
              </w:rPr>
              <w:t>2014</w:t>
            </w:r>
          </w:p>
        </w:tc>
        <w:tc>
          <w:tcPr>
            <w:tcW w:w="640" w:type="dxa"/>
            <w:vAlign w:val="bottom"/>
            <w:tcBorders>
              <w:bottom w:val="single" w:sz="8" w:color="646464"/>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646464"/>
            </w:tcBorders>
          </w:tcPr>
          <w:p>
            <w:pPr>
              <w:spacing w:after="0"/>
              <w:rPr>
                <w:sz w:val="18"/>
                <w:szCs w:val="18"/>
                <w:color w:val="auto"/>
              </w:rPr>
            </w:pPr>
          </w:p>
        </w:tc>
        <w:tc>
          <w:tcPr>
            <w:tcW w:w="1120" w:type="dxa"/>
            <w:vAlign w:val="bottom"/>
            <w:tcBorders>
              <w:bottom w:val="single" w:sz="8" w:color="646464"/>
            </w:tcBorders>
            <w:gridSpan w:val="2"/>
          </w:tcPr>
          <w:p>
            <w:pPr>
              <w:jc w:val="right"/>
              <w:ind w:right="180"/>
              <w:spacing w:after="0"/>
              <w:rPr>
                <w:sz w:val="20"/>
                <w:szCs w:val="20"/>
                <w:color w:val="auto"/>
              </w:rPr>
            </w:pPr>
            <w:r>
              <w:rPr>
                <w:rFonts w:ascii="Arial" w:cs="Arial" w:eastAsia="Arial" w:hAnsi="Arial"/>
                <w:sz w:val="16"/>
                <w:szCs w:val="16"/>
                <w:b w:val="1"/>
                <w:bCs w:val="1"/>
                <w:color w:val="auto"/>
              </w:rPr>
              <w:t>2015</w:t>
            </w:r>
          </w:p>
        </w:tc>
        <w:tc>
          <w:tcPr>
            <w:tcW w:w="640" w:type="dxa"/>
            <w:vAlign w:val="bottom"/>
            <w:tcBorders>
              <w:bottom w:val="single" w:sz="8" w:color="646464"/>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646464"/>
            </w:tcBorders>
          </w:tcPr>
          <w:p>
            <w:pPr>
              <w:spacing w:after="0"/>
              <w:rPr>
                <w:sz w:val="18"/>
                <w:szCs w:val="18"/>
                <w:color w:val="auto"/>
              </w:rPr>
            </w:pPr>
          </w:p>
        </w:tc>
        <w:tc>
          <w:tcPr>
            <w:tcW w:w="1140" w:type="dxa"/>
            <w:vAlign w:val="bottom"/>
            <w:tcBorders>
              <w:bottom w:val="single" w:sz="8" w:color="646464"/>
            </w:tcBorders>
            <w:gridSpan w:val="2"/>
          </w:tcPr>
          <w:p>
            <w:pPr>
              <w:jc w:val="right"/>
              <w:ind w:right="180"/>
              <w:spacing w:after="0"/>
              <w:rPr>
                <w:sz w:val="20"/>
                <w:szCs w:val="20"/>
                <w:color w:val="auto"/>
              </w:rPr>
            </w:pPr>
            <w:r>
              <w:rPr>
                <w:rFonts w:ascii="Arial" w:cs="Arial" w:eastAsia="Arial" w:hAnsi="Arial"/>
                <w:sz w:val="16"/>
                <w:szCs w:val="16"/>
                <w:b w:val="1"/>
                <w:bCs w:val="1"/>
                <w:color w:val="auto"/>
              </w:rPr>
              <w:t>2014</w:t>
            </w:r>
          </w:p>
        </w:tc>
        <w:tc>
          <w:tcPr>
            <w:tcW w:w="660" w:type="dxa"/>
            <w:vAlign w:val="bottom"/>
            <w:tcBorders>
              <w:bottom w:val="single" w:sz="8" w:color="646464"/>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Amount</w:t>
            </w: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Amount</w:t>
            </w: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top w:val="single" w:sz="8" w:color="646464"/>
            </w:tcBorders>
          </w:tcPr>
          <w:p>
            <w:pPr>
              <w:spacing w:after="0"/>
              <w:rPr>
                <w:sz w:val="17"/>
                <w:szCs w:val="17"/>
                <w:color w:val="auto"/>
              </w:rPr>
            </w:pPr>
          </w:p>
        </w:tc>
        <w:tc>
          <w:tcPr>
            <w:tcW w:w="860" w:type="dxa"/>
            <w:vAlign w:val="bottom"/>
            <w:tcBorders>
              <w:top w:val="single" w:sz="8" w:color="646464"/>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646464"/>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646464"/>
            </w:tcBorders>
          </w:tcPr>
          <w:p>
            <w:pPr>
              <w:spacing w:after="0"/>
              <w:rPr>
                <w:sz w:val="17"/>
                <w:szCs w:val="17"/>
                <w:color w:val="auto"/>
              </w:rPr>
            </w:pPr>
          </w:p>
        </w:tc>
        <w:tc>
          <w:tcPr>
            <w:tcW w:w="880" w:type="dxa"/>
            <w:vAlign w:val="bottom"/>
            <w:tcBorders>
              <w:top w:val="single" w:sz="8" w:color="646464"/>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646464"/>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646464"/>
            </w:tcBorders>
          </w:tcPr>
          <w:p>
            <w:pPr>
              <w:spacing w:after="0"/>
              <w:rPr>
                <w:sz w:val="17"/>
                <w:szCs w:val="17"/>
                <w:color w:val="auto"/>
              </w:rPr>
            </w:pPr>
          </w:p>
        </w:tc>
        <w:tc>
          <w:tcPr>
            <w:tcW w:w="880" w:type="dxa"/>
            <w:vAlign w:val="bottom"/>
            <w:tcBorders>
              <w:top w:val="single" w:sz="8" w:color="646464"/>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646464"/>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646464"/>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Medical &amp; Scientific Imaging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299,621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268,809</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893,583</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793,899</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RF Technology</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253,556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238,860</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752,068</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710,143</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Industrial Technology</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186,147</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205,688</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563,342</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607,503</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Energy Systems &amp; Controls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144,609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170,765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429,762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491,804</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883,933</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884,122</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2,638,755</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2,603,349</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7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Medical &amp; Scientific Imaging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222,655</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193,132</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660,971</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572,738</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RF Technology</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133,692</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52.7%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127,663</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53.4%</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397,874</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52.9%</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375,901</w:t>
            </w:r>
          </w:p>
        </w:tc>
        <w:tc>
          <w:tcPr>
            <w:tcW w:w="2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Industrial Technology</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92,245</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104,012</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281,052</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306,464</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Energy Systems &amp; Controls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84,891</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58.7%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99,233</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58.1%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245,658</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57.2%</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281,055</w:t>
            </w:r>
          </w:p>
        </w:tc>
        <w:tc>
          <w:tcPr>
            <w:tcW w:w="2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533,483</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524,040</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1,585,555</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1,536,158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Medical &amp; Scientific Imaging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108,399</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91,227</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325,439</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275,379</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RF Technology</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74,604</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29.4%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69,351</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29.0%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228,521</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30.4%</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203,183</w:t>
            </w:r>
          </w:p>
        </w:tc>
        <w:tc>
          <w:tcPr>
            <w:tcW w:w="2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Industrial Technology</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52,298</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62,046</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30.2%</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162,383</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178,540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Energy Systems &amp; Controls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42,300</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29.3%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49,033</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28.7%</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110,424</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25.7%</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130,844</w:t>
            </w:r>
          </w:p>
        </w:tc>
        <w:tc>
          <w:tcPr>
            <w:tcW w:w="2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277,601</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271,657</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826,767</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787,946</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b w:val="1"/>
                <w:bCs w:val="1"/>
                <w:color w:val="auto"/>
              </w:rPr>
              <w:t>Net Orders: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Medical &amp; Scientific Imaging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317,743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270,881</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900,176</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799,021</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RF Technology</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245,694</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243,363</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751,143</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713,536</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Industrial Technology</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184,846</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205,945</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555,431</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611,074</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Energy Systems &amp; Controls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145,478</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173,172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416,803</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490,106</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893,761</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893,361</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2,623,553</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2,613,737</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3960" w:firstLine="8"/>
        <w:spacing w:after="0" w:line="253" w:lineRule="auto"/>
        <w:tabs>
          <w:tab w:leader="none" w:pos="108"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profit is before unallocated corporate general and administrative expenses. These expenses were $27,230 and $25,999 for the three months ended September 30, 2015 and 2014, respectively and $77,526 and $72,222 for the nine months ended September 30,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sectPr>
      <w:pgSz w:w="11900" w:h="16838" w:orient="portrait"/>
      <w:cols w:equalWidth="0" w:num="1">
        <w:col w:w="11420"/>
      </w:cols>
      <w:pgMar w:left="240" w:top="1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decimal"/>
      <w:start w:val="84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2020-01-24T22:35:45Z</dcterms:created>
  <dcterms:modified xsi:type="dcterms:W3CDTF">2020-01-24T22:35:45Z</dcterms:modified>
</cp:coreProperties>
</file>