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UNITED STATES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AND EXCHANGE COMMISSION</w:t>
      </w:r>
    </w:p>
    <w:p>
      <w:pPr>
        <w:spacing w:after="0" w:line="20"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179"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FORM 11-K</w:t>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ind w:left="640" w:hanging="614"/>
        <w:spacing w:after="0"/>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color w:val="auto"/>
        </w:rPr>
        <w:t>ANNUAL REPORT PURSUANT TO SECTION 15(d) OF THE SECURITIES EXCHANGE ACT OF 1934.</w:t>
      </w:r>
    </w:p>
    <w:p>
      <w:pPr>
        <w:spacing w:after="0" w:line="186" w:lineRule="exact"/>
        <w:rPr>
          <w:rFonts w:ascii="MS PGothic" w:cs="MS PGothic" w:eastAsia="MS PGothic" w:hAnsi="MS PGothic"/>
          <w:sz w:val="22"/>
          <w:szCs w:val="22"/>
          <w:color w:val="auto"/>
        </w:rPr>
      </w:pPr>
    </w:p>
    <w:p>
      <w:pPr>
        <w:ind w:left="660"/>
        <w:spacing w:after="0"/>
        <w:rPr>
          <w:rFonts w:ascii="MS PGothic" w:cs="MS PGothic" w:eastAsia="MS PGothic" w:hAnsi="MS PGothic"/>
          <w:sz w:val="22"/>
          <w:szCs w:val="22"/>
          <w:color w:val="auto"/>
        </w:rPr>
      </w:pPr>
      <w:r>
        <w:rPr>
          <w:rFonts w:ascii="Arial" w:cs="Arial" w:eastAsia="Arial" w:hAnsi="Arial"/>
          <w:sz w:val="22"/>
          <w:szCs w:val="22"/>
          <w:b w:val="1"/>
          <w:bCs w:val="1"/>
          <w:color w:val="auto"/>
        </w:rPr>
        <w:t>For the fiscal year ended December 31, 2020</w:t>
      </w:r>
    </w:p>
    <w:p>
      <w:pPr>
        <w:spacing w:after="0" w:line="212" w:lineRule="exact"/>
        <w:rPr>
          <w:sz w:val="24"/>
          <w:szCs w:val="24"/>
          <w:color w:val="auto"/>
        </w:rPr>
      </w:pPr>
    </w:p>
    <w:p>
      <w:pPr>
        <w:ind w:left="640" w:hanging="614"/>
        <w:spacing w:after="0"/>
        <w:tabs>
          <w:tab w:leader="none" w:pos="640" w:val="left"/>
        </w:tabs>
        <w:numPr>
          <w:ilvl w:val="0"/>
          <w:numId w:val="2"/>
        </w:numPr>
        <w:rPr>
          <w:rFonts w:ascii="MS PGothic" w:cs="MS PGothic" w:eastAsia="MS PGothic" w:hAnsi="MS PGothic"/>
          <w:sz w:val="19"/>
          <w:szCs w:val="19"/>
          <w:color w:val="auto"/>
        </w:rPr>
      </w:pPr>
      <w:r>
        <w:rPr>
          <w:rFonts w:ascii="Arial" w:cs="Arial" w:eastAsia="Arial" w:hAnsi="Arial"/>
          <w:sz w:val="19"/>
          <w:szCs w:val="19"/>
          <w:color w:val="auto"/>
        </w:rPr>
        <w:t>TRANSITION REPORT PURSUANT TO SECTION 13 OR 15(d) OF THE SECURITIES EXCHANGE ACT OF 1934</w:t>
      </w:r>
    </w:p>
    <w:p>
      <w:pPr>
        <w:spacing w:after="0" w:line="235" w:lineRule="exact"/>
        <w:rPr>
          <w:sz w:val="24"/>
          <w:szCs w:val="24"/>
          <w:color w:val="auto"/>
        </w:rPr>
      </w:pPr>
    </w:p>
    <w:p>
      <w:pPr>
        <w:ind w:left="660"/>
        <w:spacing w:after="0"/>
        <w:tabs>
          <w:tab w:leader="none" w:pos="4460" w:val="left"/>
          <w:tab w:leader="none" w:pos="55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22"/>
          <w:szCs w:val="22"/>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2258060</wp:posOffset>
            </wp:positionH>
            <wp:positionV relativeFrom="paragraph">
              <wp:posOffset>-13970</wp:posOffset>
            </wp:positionV>
            <wp:extent cx="12458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165" w:lineRule="exact"/>
        <w:rPr>
          <w:sz w:val="24"/>
          <w:szCs w:val="24"/>
          <w:color w:val="auto"/>
        </w:rPr>
      </w:pPr>
    </w:p>
    <w:p>
      <w:pPr>
        <w:ind w:left="4380"/>
        <w:spacing w:after="0"/>
        <w:rPr>
          <w:sz w:val="20"/>
          <w:szCs w:val="20"/>
          <w:color w:val="auto"/>
        </w:rPr>
      </w:pPr>
      <w:r>
        <w:rPr>
          <w:rFonts w:ascii="Arial" w:cs="Arial" w:eastAsia="Arial" w:hAnsi="Arial"/>
          <w:sz w:val="22"/>
          <w:szCs w:val="22"/>
          <w:color w:val="auto"/>
        </w:rPr>
        <w:t>Commission File Number  1-12273</w:t>
      </w: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Arial" w:cs="Arial" w:eastAsia="Arial" w:hAnsi="Arial"/>
          <w:sz w:val="22"/>
          <w:szCs w:val="22"/>
          <w:color w:val="auto"/>
        </w:rPr>
        <w:t>A. Full title of the plan and the address of the plan, if different from that of the issuer named below:</w:t>
      </w:r>
    </w:p>
    <w:p>
      <w:pPr>
        <w:spacing w:after="0" w:line="227"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ROPER Technologies, Inc.</w:t>
      </w:r>
    </w:p>
    <w:p>
      <w:pPr>
        <w:spacing w:after="0" w:line="1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EMPLOYEE’S Retirement Savings 004 Plan</w:t>
      </w:r>
    </w:p>
    <w:p>
      <w:pPr>
        <w:spacing w:after="0" w:line="229" w:lineRule="exact"/>
        <w:rPr>
          <w:sz w:val="24"/>
          <w:szCs w:val="24"/>
          <w:color w:val="auto"/>
        </w:rPr>
      </w:pPr>
    </w:p>
    <w:p>
      <w:pPr>
        <w:spacing w:after="0"/>
        <w:rPr>
          <w:sz w:val="20"/>
          <w:szCs w:val="20"/>
          <w:color w:val="auto"/>
        </w:rPr>
      </w:pPr>
      <w:r>
        <w:rPr>
          <w:rFonts w:ascii="Arial" w:cs="Arial" w:eastAsia="Arial" w:hAnsi="Arial"/>
          <w:sz w:val="22"/>
          <w:szCs w:val="22"/>
          <w:color w:val="auto"/>
        </w:rPr>
        <w:t>B. Name of the issuer of the securities held pursuant to the plan and the address of its principal executive office:</w:t>
      </w:r>
    </w:p>
    <w:p>
      <w:pPr>
        <w:spacing w:after="0" w:line="21"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Roper Technologies, Inc.</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6901 Professional Parkway</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Suite 200</w:t>
      </w:r>
    </w:p>
    <w:p>
      <w:pPr>
        <w:spacing w:after="0" w:line="4"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Sarasota, FL 34240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060"/>
          </w:cols>
          <w:pgMar w:left="320" w:top="1440" w:right="51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004 PLAN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Index to Financial Statements, Supplemental Schedules and Exhibits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249"/>
        </w:trPr>
        <w:tc>
          <w:tcPr>
            <w:tcW w:w="7320" w:type="dxa"/>
            <w:vAlign w:val="bottom"/>
          </w:tcPr>
          <w:p>
            <w:pPr>
              <w:spacing w:after="0"/>
              <w:rPr>
                <w:sz w:val="21"/>
                <w:szCs w:val="21"/>
                <w:color w:val="auto"/>
              </w:rPr>
            </w:pPr>
          </w:p>
        </w:tc>
        <w:tc>
          <w:tcPr>
            <w:tcW w:w="3880" w:type="dxa"/>
            <w:vAlign w:val="bottom"/>
          </w:tcPr>
          <w:p>
            <w:pPr>
              <w:jc w:val="right"/>
              <w:ind w:right="861"/>
              <w:spacing w:after="0"/>
              <w:rPr>
                <w:sz w:val="20"/>
                <w:szCs w:val="20"/>
                <w:color w:val="auto"/>
              </w:rPr>
            </w:pPr>
            <w:r>
              <w:rPr>
                <w:rFonts w:ascii="Arial" w:cs="Arial" w:eastAsia="Arial" w:hAnsi="Arial"/>
                <w:sz w:val="20"/>
                <w:szCs w:val="20"/>
                <w:b w:val="1"/>
                <w:bCs w:val="1"/>
                <w:color w:val="auto"/>
              </w:rPr>
              <w:t>Contents</w:t>
            </w:r>
          </w:p>
        </w:tc>
      </w:tr>
      <w:tr>
        <w:trPr>
          <w:trHeight w:val="250"/>
        </w:trPr>
        <w:tc>
          <w:tcPr>
            <w:tcW w:w="7320" w:type="dxa"/>
            <w:vAlign w:val="bottom"/>
          </w:tcPr>
          <w:p>
            <w:pPr>
              <w:spacing w:after="0"/>
              <w:rPr>
                <w:sz w:val="20"/>
                <w:szCs w:val="20"/>
                <w:color w:val="auto"/>
              </w:rPr>
            </w:pPr>
            <w:r>
              <w:rPr>
                <w:rFonts w:ascii="Arial" w:cs="Arial" w:eastAsia="Arial" w:hAnsi="Arial"/>
                <w:sz w:val="20"/>
                <w:szCs w:val="20"/>
                <w:color w:val="auto"/>
              </w:rPr>
              <w:t>Report of Independent Registered Public Accounting Firm</w:t>
            </w:r>
          </w:p>
        </w:tc>
        <w:tc>
          <w:tcPr>
            <w:tcW w:w="3880" w:type="dxa"/>
            <w:vAlign w:val="bottom"/>
          </w:tcPr>
          <w:p>
            <w:pPr>
              <w:jc w:val="right"/>
              <w:spacing w:after="0"/>
              <w:rPr>
                <w:rFonts w:ascii="Arial" w:cs="Arial" w:eastAsia="Arial" w:hAnsi="Arial"/>
                <w:sz w:val="20"/>
                <w:szCs w:val="20"/>
                <w:color w:val="0000FF"/>
              </w:rPr>
            </w:pPr>
            <w:hyperlink w:anchor="page2">
              <w:r>
                <w:rPr>
                  <w:rFonts w:ascii="Arial" w:cs="Arial" w:eastAsia="Arial" w:hAnsi="Arial"/>
                  <w:sz w:val="20"/>
                  <w:szCs w:val="20"/>
                  <w:color w:val="0000FF"/>
                </w:rPr>
                <w:t>3</w:t>
              </w:r>
            </w:hyperlink>
          </w:p>
        </w:tc>
      </w:tr>
      <w:tr>
        <w:trPr>
          <w:trHeight w:val="499"/>
        </w:trPr>
        <w:tc>
          <w:tcPr>
            <w:tcW w:w="7320" w:type="dxa"/>
            <w:vAlign w:val="bottom"/>
          </w:tcPr>
          <w:p>
            <w:pPr>
              <w:spacing w:after="0"/>
              <w:rPr>
                <w:sz w:val="20"/>
                <w:szCs w:val="20"/>
                <w:color w:val="auto"/>
              </w:rPr>
            </w:pPr>
            <w:r>
              <w:rPr>
                <w:rFonts w:ascii="Arial" w:cs="Arial" w:eastAsia="Arial" w:hAnsi="Arial"/>
                <w:sz w:val="20"/>
                <w:szCs w:val="20"/>
                <w:color w:val="auto"/>
              </w:rPr>
              <w:t>Statements of Net Assets Available for Benefits</w:t>
            </w:r>
          </w:p>
        </w:tc>
        <w:tc>
          <w:tcPr>
            <w:tcW w:w="3880" w:type="dxa"/>
            <w:vAlign w:val="bottom"/>
          </w:tcPr>
          <w:p>
            <w:pPr>
              <w:jc w:val="right"/>
              <w:spacing w:after="0"/>
              <w:rPr>
                <w:rFonts w:ascii="Arial" w:cs="Arial" w:eastAsia="Arial" w:hAnsi="Arial"/>
                <w:sz w:val="20"/>
                <w:szCs w:val="20"/>
                <w:color w:val="0000FF"/>
              </w:rPr>
            </w:pPr>
            <w:hyperlink w:anchor="page4">
              <w:r>
                <w:rPr>
                  <w:rFonts w:ascii="Arial" w:cs="Arial" w:eastAsia="Arial" w:hAnsi="Arial"/>
                  <w:sz w:val="20"/>
                  <w:szCs w:val="20"/>
                  <w:color w:val="0000FF"/>
                </w:rPr>
                <w:t>5</w:t>
              </w:r>
            </w:hyperlink>
          </w:p>
        </w:tc>
      </w:tr>
      <w:tr>
        <w:trPr>
          <w:trHeight w:val="499"/>
        </w:trPr>
        <w:tc>
          <w:tcPr>
            <w:tcW w:w="7320" w:type="dxa"/>
            <w:vAlign w:val="bottom"/>
          </w:tcPr>
          <w:p>
            <w:pPr>
              <w:spacing w:after="0"/>
              <w:rPr>
                <w:sz w:val="20"/>
                <w:szCs w:val="20"/>
                <w:color w:val="auto"/>
              </w:rPr>
            </w:pPr>
            <w:r>
              <w:rPr>
                <w:rFonts w:ascii="Arial" w:cs="Arial" w:eastAsia="Arial" w:hAnsi="Arial"/>
                <w:sz w:val="20"/>
                <w:szCs w:val="20"/>
                <w:color w:val="auto"/>
              </w:rPr>
              <w:t>Statement of Changes in Net Assets Available for Benefits</w:t>
            </w:r>
          </w:p>
        </w:tc>
        <w:tc>
          <w:tcPr>
            <w:tcW w:w="3880" w:type="dxa"/>
            <w:vAlign w:val="bottom"/>
          </w:tcPr>
          <w:p>
            <w:pPr>
              <w:jc w:val="right"/>
              <w:spacing w:after="0"/>
              <w:rPr>
                <w:rFonts w:ascii="Arial" w:cs="Arial" w:eastAsia="Arial" w:hAnsi="Arial"/>
                <w:sz w:val="20"/>
                <w:szCs w:val="20"/>
                <w:color w:val="0000FF"/>
              </w:rPr>
            </w:pPr>
            <w:hyperlink w:anchor="page5">
              <w:r>
                <w:rPr>
                  <w:rFonts w:ascii="Arial" w:cs="Arial" w:eastAsia="Arial" w:hAnsi="Arial"/>
                  <w:sz w:val="20"/>
                  <w:szCs w:val="20"/>
                  <w:color w:val="0000FF"/>
                </w:rPr>
                <w:t>6</w:t>
              </w:r>
            </w:hyperlink>
          </w:p>
        </w:tc>
      </w:tr>
      <w:tr>
        <w:trPr>
          <w:trHeight w:val="500"/>
        </w:trPr>
        <w:tc>
          <w:tcPr>
            <w:tcW w:w="7320" w:type="dxa"/>
            <w:vAlign w:val="bottom"/>
          </w:tcPr>
          <w:p>
            <w:pPr>
              <w:spacing w:after="0"/>
              <w:rPr>
                <w:sz w:val="20"/>
                <w:szCs w:val="20"/>
                <w:color w:val="auto"/>
              </w:rPr>
            </w:pPr>
            <w:r>
              <w:rPr>
                <w:rFonts w:ascii="Arial" w:cs="Arial" w:eastAsia="Arial" w:hAnsi="Arial"/>
                <w:sz w:val="20"/>
                <w:szCs w:val="20"/>
                <w:color w:val="auto"/>
              </w:rPr>
              <w:t>Notes to the Financial Statements</w:t>
            </w:r>
          </w:p>
        </w:tc>
        <w:tc>
          <w:tcPr>
            <w:tcW w:w="3880" w:type="dxa"/>
            <w:vAlign w:val="bottom"/>
          </w:tcPr>
          <w:p>
            <w:pPr>
              <w:jc w:val="right"/>
              <w:spacing w:after="0"/>
              <w:rPr>
                <w:rFonts w:ascii="Arial" w:cs="Arial" w:eastAsia="Arial" w:hAnsi="Arial"/>
                <w:sz w:val="20"/>
                <w:szCs w:val="20"/>
                <w:color w:val="0000FF"/>
              </w:rPr>
            </w:pPr>
            <w:hyperlink w:anchor="page6">
              <w:r>
                <w:rPr>
                  <w:rFonts w:ascii="Arial" w:cs="Arial" w:eastAsia="Arial" w:hAnsi="Arial"/>
                  <w:sz w:val="20"/>
                  <w:szCs w:val="20"/>
                  <w:color w:val="0000FF"/>
                </w:rPr>
                <w:t>7</w:t>
              </w:r>
            </w:hyperlink>
          </w:p>
        </w:tc>
      </w:tr>
      <w:tr>
        <w:trPr>
          <w:trHeight w:val="499"/>
        </w:trPr>
        <w:tc>
          <w:tcPr>
            <w:tcW w:w="7320" w:type="dxa"/>
            <w:vAlign w:val="bottom"/>
          </w:tcPr>
          <w:p>
            <w:pPr>
              <w:spacing w:after="0"/>
              <w:rPr>
                <w:sz w:val="20"/>
                <w:szCs w:val="20"/>
                <w:color w:val="auto"/>
              </w:rPr>
            </w:pPr>
            <w:r>
              <w:rPr>
                <w:rFonts w:ascii="Arial" w:cs="Arial" w:eastAsia="Arial" w:hAnsi="Arial"/>
                <w:sz w:val="20"/>
                <w:szCs w:val="20"/>
                <w:color w:val="auto"/>
              </w:rPr>
              <w:t>Schedule H, Line 4(i) – Schedule of Assets (Held at End of Year)</w:t>
            </w:r>
          </w:p>
        </w:tc>
        <w:tc>
          <w:tcPr>
            <w:tcW w:w="3880" w:type="dxa"/>
            <w:vAlign w:val="bottom"/>
          </w:tcPr>
          <w:p>
            <w:pPr>
              <w:jc w:val="right"/>
              <w:spacing w:after="0"/>
              <w:rPr>
                <w:rFonts w:ascii="Arial" w:cs="Arial" w:eastAsia="Arial" w:hAnsi="Arial"/>
                <w:sz w:val="20"/>
                <w:szCs w:val="20"/>
                <w:color w:val="0000FF"/>
              </w:rPr>
            </w:pPr>
            <w:hyperlink w:anchor="page10">
              <w:r>
                <w:rPr>
                  <w:rFonts w:ascii="Arial" w:cs="Arial" w:eastAsia="Arial" w:hAnsi="Arial"/>
                  <w:sz w:val="20"/>
                  <w:szCs w:val="20"/>
                  <w:color w:val="0000FF"/>
                </w:rPr>
                <w:t>7</w:t>
              </w:r>
            </w:hyperlink>
          </w:p>
        </w:tc>
      </w:tr>
      <w:tr>
        <w:trPr>
          <w:trHeight w:val="500"/>
        </w:trPr>
        <w:tc>
          <w:tcPr>
            <w:tcW w:w="7320" w:type="dxa"/>
            <w:vAlign w:val="bottom"/>
          </w:tcPr>
          <w:p>
            <w:pPr>
              <w:spacing w:after="0"/>
              <w:rPr>
                <w:sz w:val="20"/>
                <w:szCs w:val="20"/>
                <w:color w:val="auto"/>
              </w:rPr>
            </w:pPr>
            <w:r>
              <w:rPr>
                <w:rFonts w:ascii="Arial" w:cs="Arial" w:eastAsia="Arial" w:hAnsi="Arial"/>
                <w:sz w:val="20"/>
                <w:szCs w:val="20"/>
                <w:color w:val="auto"/>
              </w:rPr>
              <w:t>Signatures</w:t>
            </w:r>
          </w:p>
        </w:tc>
        <w:tc>
          <w:tcPr>
            <w:tcW w:w="3880" w:type="dxa"/>
            <w:vAlign w:val="bottom"/>
          </w:tcPr>
          <w:p>
            <w:pPr>
              <w:jc w:val="right"/>
              <w:spacing w:after="0"/>
              <w:rPr>
                <w:rFonts w:ascii="Arial" w:cs="Arial" w:eastAsia="Arial" w:hAnsi="Arial"/>
                <w:sz w:val="20"/>
                <w:szCs w:val="20"/>
                <w:color w:val="0000FF"/>
              </w:rPr>
            </w:pPr>
            <w:hyperlink w:anchor="page11">
              <w:r>
                <w:rPr>
                  <w:rFonts w:ascii="Arial" w:cs="Arial" w:eastAsia="Arial" w:hAnsi="Arial"/>
                  <w:sz w:val="20"/>
                  <w:szCs w:val="20"/>
                  <w:color w:val="0000FF"/>
                </w:rPr>
                <w:t>8</w:t>
              </w:r>
            </w:hyperlink>
          </w:p>
        </w:tc>
      </w:tr>
      <w:tr>
        <w:trPr>
          <w:trHeight w:val="499"/>
        </w:trPr>
        <w:tc>
          <w:tcPr>
            <w:tcW w:w="7320" w:type="dxa"/>
            <w:vAlign w:val="bottom"/>
          </w:tcPr>
          <w:p>
            <w:pPr>
              <w:spacing w:after="0"/>
              <w:rPr>
                <w:sz w:val="20"/>
                <w:szCs w:val="20"/>
                <w:color w:val="auto"/>
              </w:rPr>
            </w:pPr>
            <w:r>
              <w:rPr>
                <w:rFonts w:ascii="Arial" w:cs="Arial" w:eastAsia="Arial" w:hAnsi="Arial"/>
                <w:sz w:val="20"/>
                <w:szCs w:val="20"/>
                <w:color w:val="auto"/>
              </w:rPr>
              <w:t>Exhibits</w:t>
            </w:r>
          </w:p>
        </w:tc>
        <w:tc>
          <w:tcPr>
            <w:tcW w:w="3880" w:type="dxa"/>
            <w:vAlign w:val="bottom"/>
          </w:tcPr>
          <w:p>
            <w:pPr>
              <w:jc w:val="right"/>
              <w:spacing w:after="0"/>
              <w:rPr>
                <w:rFonts w:ascii="Arial" w:cs="Arial" w:eastAsia="Arial" w:hAnsi="Arial"/>
                <w:sz w:val="20"/>
                <w:szCs w:val="20"/>
                <w:color w:val="0000FF"/>
              </w:rPr>
            </w:pPr>
            <w:hyperlink w:anchor="page12">
              <w:r>
                <w:rPr>
                  <w:rFonts w:ascii="Arial" w:cs="Arial" w:eastAsia="Arial" w:hAnsi="Arial"/>
                  <w:sz w:val="20"/>
                  <w:szCs w:val="20"/>
                  <w:color w:val="0000FF"/>
                </w:rPr>
                <w:t>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1413"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To the Plan Administrator and Plan Participants of the Roper Technologies, Inc. Employees’ Retirement Savings 004 Plan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Financial Statements</w:t>
      </w:r>
    </w:p>
    <w:p>
      <w:pPr>
        <w:spacing w:after="0" w:line="235" w:lineRule="exact"/>
        <w:rPr>
          <w:sz w:val="20"/>
          <w:szCs w:val="20"/>
          <w:color w:val="auto"/>
        </w:rPr>
      </w:pPr>
    </w:p>
    <w:p>
      <w:pPr>
        <w:jc w:val="both"/>
        <w:spacing w:after="0" w:line="244" w:lineRule="auto"/>
        <w:rPr>
          <w:sz w:val="20"/>
          <w:szCs w:val="20"/>
          <w:color w:val="auto"/>
        </w:rPr>
      </w:pPr>
      <w:r>
        <w:rPr>
          <w:rFonts w:ascii="Arial" w:cs="Arial" w:eastAsia="Arial" w:hAnsi="Arial"/>
          <w:sz w:val="19"/>
          <w:szCs w:val="19"/>
          <w:color w:val="auto"/>
        </w:rPr>
        <w:t>We have audited the accompanying statements of net assets available for benefits of the Roper Technologies, Inc. Employees’ Retirement Savings 004 Plan (the Plan) as of December 31, 2020 and 2019, and the related statement of changes in net assets available for benefits for the year ended December 31, 2020, and the related notes and schedule (collectively referred to as the financial statements). In our opinion, the financial statements present fairly, in all material respects, the net assets available for benefits of the Plan as of December 31, 2020 and 2019, and the changes in net assets available for benefits for the year ended December 31, 2020, in conformity with accounting principles generally accepted in the United States of America.</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235" w:lineRule="exact"/>
        <w:rPr>
          <w:sz w:val="20"/>
          <w:szCs w:val="20"/>
          <w:color w:val="auto"/>
        </w:rPr>
      </w:pPr>
    </w:p>
    <w:p>
      <w:pPr>
        <w:jc w:val="both"/>
        <w:spacing w:after="0" w:line="248" w:lineRule="auto"/>
        <w:rPr>
          <w:sz w:val="20"/>
          <w:szCs w:val="20"/>
          <w:color w:val="auto"/>
        </w:rPr>
      </w:pPr>
      <w:r>
        <w:rPr>
          <w:rFonts w:ascii="Arial" w:cs="Arial" w:eastAsia="Arial" w:hAnsi="Arial"/>
          <w:sz w:val="19"/>
          <w:szCs w:val="19"/>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Plan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Plan’s internal control over financial reporting. Accordingly, we express no such opinion.</w:t>
      </w:r>
    </w:p>
    <w:p>
      <w:pPr>
        <w:spacing w:after="0" w:line="189" w:lineRule="exact"/>
        <w:rPr>
          <w:sz w:val="20"/>
          <w:szCs w:val="20"/>
          <w:color w:val="auto"/>
        </w:rPr>
      </w:pPr>
    </w:p>
    <w:p>
      <w:pPr>
        <w:jc w:val="both"/>
        <w:spacing w:after="0" w:line="232" w:lineRule="auto"/>
        <w:rPr>
          <w:sz w:val="20"/>
          <w:szCs w:val="20"/>
          <w:color w:val="auto"/>
        </w:rPr>
      </w:pPr>
      <w:r>
        <w:rPr>
          <w:rFonts w:ascii="Arial" w:cs="Arial" w:eastAsia="Arial" w:hAnsi="Arial"/>
          <w:sz w:val="20"/>
          <w:szCs w:val="20"/>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Supplemental Information</w:t>
      </w:r>
    </w:p>
    <w:p>
      <w:pPr>
        <w:spacing w:after="0" w:line="235" w:lineRule="exact"/>
        <w:rPr>
          <w:sz w:val="20"/>
          <w:szCs w:val="20"/>
          <w:color w:val="auto"/>
        </w:rPr>
      </w:pPr>
    </w:p>
    <w:p>
      <w:pPr>
        <w:jc w:val="both"/>
        <w:spacing w:after="0" w:line="243" w:lineRule="auto"/>
        <w:rPr>
          <w:sz w:val="20"/>
          <w:szCs w:val="20"/>
          <w:color w:val="auto"/>
        </w:rPr>
      </w:pPr>
      <w:r>
        <w:rPr>
          <w:rFonts w:ascii="Arial" w:cs="Arial" w:eastAsia="Arial" w:hAnsi="Arial"/>
          <w:sz w:val="19"/>
          <w:szCs w:val="19"/>
          <w:color w:val="auto"/>
        </w:rPr>
        <w:t>The supplemental Schedule of Assets (Held at End of Year) has been subjected to audit procedures performed in conjunction with the audit of the Plan's financial statements. The supplemental information is the responsibility of the Plan's management. Our audit procedures included determining whether the supplemental information reconciles to the financial statements or the underlying accounting and other records, as applicable, and performing procedures to test the completeness and accuracy of the information presented in the supplemental information. In forming our opinion on the supplemental information, we evaluated whether the supplemental information, including its form and content, is presented in conformity with the Department of Labor's Rules and Regulations for Reporting and Disclosure under the Employee Retirement Income Security Act of 1974. In our opinion, the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supplemental information is fairly stated, in all material respects, in relation to the financial statements as a whole.</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color w:val="auto"/>
        </w:rPr>
        <w:t>/s/ Warren Averett, LLC</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We have served as the Company’s auditor since 2018.</w:t>
      </w:r>
    </w:p>
    <w:p>
      <w:pPr>
        <w:spacing w:after="0" w:line="2" w:lineRule="exact"/>
        <w:rPr>
          <w:sz w:val="20"/>
          <w:szCs w:val="20"/>
          <w:color w:val="auto"/>
        </w:rPr>
      </w:pPr>
    </w:p>
    <w:p>
      <w:pPr>
        <w:spacing w:after="0"/>
        <w:rPr>
          <w:sz w:val="20"/>
          <w:szCs w:val="20"/>
          <w:color w:val="auto"/>
        </w:rPr>
      </w:pPr>
      <w:r>
        <w:rPr>
          <w:rFonts w:ascii="Arial" w:cs="Arial" w:eastAsia="Arial" w:hAnsi="Arial"/>
          <w:sz w:val="20"/>
          <w:szCs w:val="20"/>
          <w:color w:val="auto"/>
        </w:rPr>
        <w:t>Atlanta, Georgia June 11, 2021</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139"/>
          </w:cols>
          <w:pgMar w:left="320" w:top="1419" w:right="1440"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004 PLAN</w:t>
      </w:r>
    </w:p>
    <w:p>
      <w:pPr>
        <w:spacing w:after="0" w:line="226" w:lineRule="auto"/>
        <w:rPr>
          <w:sz w:val="20"/>
          <w:szCs w:val="20"/>
          <w:color w:val="auto"/>
        </w:rPr>
      </w:pPr>
      <w:r>
        <w:rPr>
          <w:rFonts w:ascii="Arial" w:cs="Arial" w:eastAsia="Arial" w:hAnsi="Arial"/>
          <w:sz w:val="20"/>
          <w:szCs w:val="20"/>
          <w:b w:val="1"/>
          <w:bCs w:val="1"/>
          <w:color w:val="auto"/>
        </w:rPr>
        <w:t>STATEMENTS OF NET ASSETS AVAILABLE FOR BENEFITS</w:t>
      </w:r>
    </w:p>
    <w:p>
      <w:pPr>
        <w:spacing w:after="0"/>
        <w:rPr>
          <w:sz w:val="20"/>
          <w:szCs w:val="20"/>
          <w:color w:val="auto"/>
        </w:rPr>
      </w:pPr>
      <w:r>
        <w:rPr>
          <w:rFonts w:ascii="Arial" w:cs="Arial" w:eastAsia="Arial" w:hAnsi="Arial"/>
          <w:sz w:val="20"/>
          <w:szCs w:val="20"/>
          <w:b w:val="1"/>
          <w:bCs w:val="1"/>
          <w:color w:val="auto"/>
        </w:rPr>
        <w:t>(IN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320" w:type="dxa"/>
            <w:vAlign w:val="bottom"/>
            <w:gridSpan w:val="2"/>
          </w:tcPr>
          <w:p>
            <w:pPr>
              <w:ind w:left="140"/>
              <w:spacing w:after="0"/>
              <w:rPr>
                <w:sz w:val="20"/>
                <w:szCs w:val="20"/>
                <w:color w:val="auto"/>
              </w:rPr>
            </w:pPr>
            <w:r>
              <w:rPr>
                <w:rFonts w:ascii="Arial" w:cs="Arial" w:eastAsia="Arial" w:hAnsi="Arial"/>
                <w:sz w:val="20"/>
                <w:szCs w:val="20"/>
                <w:b w:val="1"/>
                <w:bCs w:val="1"/>
                <w:color w:val="auto"/>
              </w:rPr>
              <w:t>December 31, 2020</w:t>
            </w:r>
          </w:p>
        </w:tc>
        <w:tc>
          <w:tcPr>
            <w:tcW w:w="260" w:type="dxa"/>
            <w:vAlign w:val="bottom"/>
          </w:tcPr>
          <w:p>
            <w:pPr>
              <w:spacing w:after="0"/>
              <w:rPr>
                <w:sz w:val="21"/>
                <w:szCs w:val="21"/>
                <w:color w:val="auto"/>
              </w:rPr>
            </w:pPr>
          </w:p>
        </w:tc>
        <w:tc>
          <w:tcPr>
            <w:tcW w:w="2160" w:type="dxa"/>
            <w:vAlign w:val="bottom"/>
          </w:tcPr>
          <w:p>
            <w:pPr>
              <w:jc w:val="right"/>
              <w:ind w:right="301"/>
              <w:spacing w:after="0"/>
              <w:rPr>
                <w:sz w:val="20"/>
                <w:szCs w:val="20"/>
                <w:color w:val="auto"/>
              </w:rPr>
            </w:pPr>
            <w:r>
              <w:rPr>
                <w:rFonts w:ascii="Arial" w:cs="Arial" w:eastAsia="Arial" w:hAnsi="Arial"/>
                <w:sz w:val="20"/>
                <w:szCs w:val="20"/>
                <w:b w:val="1"/>
                <w:bCs w:val="1"/>
                <w:color w:val="auto"/>
                <w:w w:val="96"/>
              </w:rPr>
              <w:t>December 31, 2019</w:t>
            </w:r>
          </w:p>
        </w:tc>
      </w:tr>
      <w:tr>
        <w:trPr>
          <w:trHeight w:val="223"/>
        </w:trPr>
        <w:tc>
          <w:tcPr>
            <w:tcW w:w="6220" w:type="dxa"/>
            <w:vAlign w:val="bottom"/>
            <w:tcBorders>
              <w:top w:val="single" w:sz="8" w:color="CCEEFF"/>
            </w:tcBorders>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ASSETS</w:t>
            </w:r>
          </w:p>
        </w:tc>
        <w:tc>
          <w:tcPr>
            <w:tcW w:w="26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spacing w:after="0"/>
              <w:rPr>
                <w:sz w:val="19"/>
                <w:szCs w:val="19"/>
                <w:color w:val="auto"/>
              </w:rPr>
            </w:pPr>
          </w:p>
        </w:tc>
      </w:tr>
      <w:tr>
        <w:trPr>
          <w:trHeight w:val="243"/>
        </w:trPr>
        <w:tc>
          <w:tcPr>
            <w:tcW w:w="6220" w:type="dxa"/>
            <w:vAlign w:val="bottom"/>
          </w:tcPr>
          <w:p>
            <w:pPr>
              <w:ind w:left="140"/>
              <w:spacing w:after="0"/>
              <w:rPr>
                <w:sz w:val="20"/>
                <w:szCs w:val="20"/>
                <w:color w:val="auto"/>
              </w:rPr>
            </w:pPr>
            <w:r>
              <w:rPr>
                <w:rFonts w:ascii="Arial" w:cs="Arial" w:eastAsia="Arial" w:hAnsi="Arial"/>
                <w:sz w:val="20"/>
                <w:szCs w:val="20"/>
                <w:color w:val="auto"/>
              </w:rPr>
              <w:t>Investments, at fair value:</w:t>
            </w:r>
          </w:p>
        </w:tc>
        <w:tc>
          <w:tcPr>
            <w:tcW w:w="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6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Mutual funds</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254,108</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197,693</w:t>
            </w:r>
          </w:p>
        </w:tc>
      </w:tr>
      <w:tr>
        <w:trPr>
          <w:trHeight w:val="243"/>
        </w:trPr>
        <w:tc>
          <w:tcPr>
            <w:tcW w:w="6220" w:type="dxa"/>
            <w:vAlign w:val="bottom"/>
          </w:tcPr>
          <w:p>
            <w:pPr>
              <w:ind w:left="240"/>
              <w:spacing w:after="0"/>
              <w:rPr>
                <w:sz w:val="20"/>
                <w:szCs w:val="20"/>
                <w:color w:val="auto"/>
              </w:rPr>
            </w:pPr>
            <w:r>
              <w:rPr>
                <w:rFonts w:ascii="Arial" w:cs="Arial" w:eastAsia="Arial" w:hAnsi="Arial"/>
                <w:sz w:val="20"/>
                <w:szCs w:val="20"/>
                <w:color w:val="auto"/>
              </w:rPr>
              <w:t>Common/collective trust funds</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872,071</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671,756</w:t>
            </w:r>
          </w:p>
        </w:tc>
      </w:tr>
      <w:tr>
        <w:trPr>
          <w:trHeight w:val="243"/>
        </w:trPr>
        <w:tc>
          <w:tcPr>
            <w:tcW w:w="6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Roper Technologies, Inc. common stock</w:t>
            </w:r>
          </w:p>
        </w:tc>
        <w:tc>
          <w:tcPr>
            <w:tcW w:w="26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32,973</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27,925</w:t>
            </w:r>
          </w:p>
        </w:tc>
      </w:tr>
      <w:tr>
        <w:trPr>
          <w:trHeight w:val="236"/>
        </w:trPr>
        <w:tc>
          <w:tcPr>
            <w:tcW w:w="62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Total investments, at fair value</w:t>
            </w: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1,159,152</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897,374</w:t>
            </w:r>
          </w:p>
        </w:tc>
      </w:tr>
      <w:tr>
        <w:trPr>
          <w:trHeight w:val="291"/>
        </w:trPr>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43"/>
        </w:trPr>
        <w:tc>
          <w:tcPr>
            <w:tcW w:w="6220" w:type="dxa"/>
            <w:vAlign w:val="bottom"/>
          </w:tcPr>
          <w:p>
            <w:pPr>
              <w:ind w:left="140"/>
              <w:spacing w:after="0"/>
              <w:rPr>
                <w:sz w:val="20"/>
                <w:szCs w:val="20"/>
                <w:color w:val="auto"/>
              </w:rPr>
            </w:pPr>
            <w:r>
              <w:rPr>
                <w:rFonts w:ascii="Arial" w:cs="Arial" w:eastAsia="Arial" w:hAnsi="Arial"/>
                <w:sz w:val="20"/>
                <w:szCs w:val="20"/>
                <w:color w:val="auto"/>
              </w:rPr>
              <w:t>Receivables:</w:t>
            </w:r>
          </w:p>
        </w:tc>
        <w:tc>
          <w:tcPr>
            <w:tcW w:w="2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6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Participant contributions</w:t>
            </w:r>
          </w:p>
        </w:tc>
        <w:tc>
          <w:tcPr>
            <w:tcW w:w="260" w:type="dxa"/>
            <w:vAlign w:val="bottom"/>
            <w:shd w:val="clear" w:color="auto" w:fill="CCEEFF"/>
          </w:tcPr>
          <w:p>
            <w:pPr>
              <w:spacing w:after="0"/>
              <w:rPr>
                <w:sz w:val="21"/>
                <w:szCs w:val="21"/>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2,229</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2,097</w:t>
            </w:r>
          </w:p>
        </w:tc>
      </w:tr>
      <w:tr>
        <w:trPr>
          <w:trHeight w:val="243"/>
        </w:trPr>
        <w:tc>
          <w:tcPr>
            <w:tcW w:w="6220" w:type="dxa"/>
            <w:vAlign w:val="bottom"/>
          </w:tcPr>
          <w:p>
            <w:pPr>
              <w:ind w:left="240"/>
              <w:spacing w:after="0"/>
              <w:rPr>
                <w:sz w:val="20"/>
                <w:szCs w:val="20"/>
                <w:color w:val="auto"/>
              </w:rPr>
            </w:pPr>
            <w:r>
              <w:rPr>
                <w:rFonts w:ascii="Arial" w:cs="Arial" w:eastAsia="Arial" w:hAnsi="Arial"/>
                <w:sz w:val="20"/>
                <w:szCs w:val="20"/>
                <w:color w:val="auto"/>
              </w:rPr>
              <w:t>Employer contributions</w:t>
            </w:r>
          </w:p>
        </w:tc>
        <w:tc>
          <w:tcPr>
            <w:tcW w:w="260" w:type="dxa"/>
            <w:vAlign w:val="bottom"/>
          </w:tcPr>
          <w:p>
            <w:pPr>
              <w:spacing w:after="0"/>
              <w:rPr>
                <w:sz w:val="21"/>
                <w:szCs w:val="21"/>
                <w:color w:val="auto"/>
              </w:rPr>
            </w:pPr>
          </w:p>
        </w:tc>
        <w:tc>
          <w:tcPr>
            <w:tcW w:w="2140" w:type="dxa"/>
            <w:vAlign w:val="bottom"/>
          </w:tcPr>
          <w:p>
            <w:pPr>
              <w:jc w:val="right"/>
              <w:spacing w:after="0"/>
              <w:rPr>
                <w:sz w:val="20"/>
                <w:szCs w:val="20"/>
                <w:color w:val="auto"/>
              </w:rPr>
            </w:pPr>
            <w:r>
              <w:rPr>
                <w:rFonts w:ascii="Arial" w:cs="Arial" w:eastAsia="Arial" w:hAnsi="Arial"/>
                <w:sz w:val="20"/>
                <w:szCs w:val="20"/>
                <w:color w:val="auto"/>
              </w:rPr>
              <w:t>637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1,480</w:t>
            </w:r>
          </w:p>
        </w:tc>
      </w:tr>
      <w:tr>
        <w:trPr>
          <w:trHeight w:val="243"/>
        </w:trPr>
        <w:tc>
          <w:tcPr>
            <w:tcW w:w="62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Notes receivable from participants</w:t>
            </w:r>
          </w:p>
        </w:tc>
        <w:tc>
          <w:tcPr>
            <w:tcW w:w="260" w:type="dxa"/>
            <w:vAlign w:val="bottom"/>
            <w:tcBorders>
              <w:bottom w:val="single" w:sz="8" w:color="auto"/>
            </w:tcBorders>
            <w:shd w:val="clear" w:color="auto" w:fill="CCEEFF"/>
          </w:tcPr>
          <w:p>
            <w:pPr>
              <w:spacing w:after="0"/>
              <w:rPr>
                <w:sz w:val="21"/>
                <w:szCs w:val="21"/>
                <w:color w:val="auto"/>
              </w:rPr>
            </w:pP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9,515</w:t>
            </w:r>
          </w:p>
        </w:tc>
        <w:tc>
          <w:tcPr>
            <w:tcW w:w="1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9,335</w:t>
            </w:r>
          </w:p>
        </w:tc>
      </w:tr>
      <w:tr>
        <w:trPr>
          <w:trHeight w:val="237"/>
        </w:trPr>
        <w:tc>
          <w:tcPr>
            <w:tcW w:w="6220" w:type="dxa"/>
            <w:vAlign w:val="bottom"/>
            <w:tcBorders>
              <w:bottom w:val="single" w:sz="8" w:color="CCEEFF"/>
            </w:tcBorders>
          </w:tcPr>
          <w:p>
            <w:pPr>
              <w:ind w:left="360"/>
              <w:spacing w:after="0"/>
              <w:rPr>
                <w:sz w:val="20"/>
                <w:szCs w:val="20"/>
                <w:color w:val="auto"/>
              </w:rPr>
            </w:pPr>
            <w:r>
              <w:rPr>
                <w:rFonts w:ascii="Arial" w:cs="Arial" w:eastAsia="Arial" w:hAnsi="Arial"/>
                <w:sz w:val="20"/>
                <w:szCs w:val="20"/>
                <w:color w:val="auto"/>
              </w:rPr>
              <w:t>Total receivables</w:t>
            </w:r>
          </w:p>
        </w:tc>
        <w:tc>
          <w:tcPr>
            <w:tcW w:w="26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12,381</w:t>
            </w:r>
          </w:p>
        </w:tc>
        <w:tc>
          <w:tcPr>
            <w:tcW w:w="1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12,912</w:t>
            </w:r>
          </w:p>
        </w:tc>
      </w:tr>
      <w:tr>
        <w:trPr>
          <w:trHeight w:val="291"/>
        </w:trPr>
        <w:tc>
          <w:tcPr>
            <w:tcW w:w="62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43"/>
        </w:trPr>
        <w:tc>
          <w:tcPr>
            <w:tcW w:w="622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1,171,533</w:t>
            </w:r>
          </w:p>
        </w:tc>
        <w:tc>
          <w:tcPr>
            <w:tcW w:w="180" w:type="dxa"/>
            <w:vAlign w:val="bottom"/>
          </w:tcPr>
          <w:p>
            <w:pPr>
              <w:spacing w:after="0"/>
              <w:rPr>
                <w:sz w:val="21"/>
                <w:szCs w:val="21"/>
                <w:color w:val="auto"/>
              </w:rPr>
            </w:pP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910,286</w:t>
            </w:r>
          </w:p>
        </w:tc>
      </w:tr>
      <w:tr>
        <w:trPr>
          <w:trHeight w:val="21"/>
        </w:trPr>
        <w:tc>
          <w:tcPr>
            <w:tcW w:w="6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20"/>
          </w:cols>
          <w:pgMar w:left="320" w:top="1413" w:right="35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004 PLAN</w:t>
      </w:r>
    </w:p>
    <w:p>
      <w:pPr>
        <w:spacing w:after="0" w:line="1" w:lineRule="exact"/>
        <w:rPr>
          <w:sz w:val="20"/>
          <w:szCs w:val="20"/>
          <w:color w:val="auto"/>
        </w:rPr>
      </w:pPr>
    </w:p>
    <w:p>
      <w:pPr>
        <w:ind w:right="4480"/>
        <w:spacing w:after="0" w:line="234" w:lineRule="auto"/>
        <w:rPr>
          <w:sz w:val="20"/>
          <w:szCs w:val="20"/>
          <w:color w:val="auto"/>
        </w:rPr>
      </w:pPr>
      <w:r>
        <w:rPr>
          <w:rFonts w:ascii="Arial" w:cs="Arial" w:eastAsia="Arial" w:hAnsi="Arial"/>
          <w:sz w:val="20"/>
          <w:szCs w:val="20"/>
          <w:b w:val="1"/>
          <w:bCs w:val="1"/>
          <w:color w:val="auto"/>
        </w:rPr>
        <w:t>STATEMENT OF CHANGES IN NET ASSETS AVAILABLE FOR BENEFITS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60" w:type="dxa"/>
            <w:vAlign w:val="bottom"/>
          </w:tcPr>
          <w:p>
            <w:pPr>
              <w:jc w:val="right"/>
              <w:ind w:right="621"/>
              <w:spacing w:after="0"/>
              <w:rPr>
                <w:sz w:val="20"/>
                <w:szCs w:val="20"/>
                <w:color w:val="auto"/>
              </w:rPr>
            </w:pPr>
            <w:r>
              <w:rPr>
                <w:rFonts w:ascii="Arial" w:cs="Arial" w:eastAsia="Arial" w:hAnsi="Arial"/>
                <w:sz w:val="20"/>
                <w:szCs w:val="20"/>
                <w:b w:val="1"/>
                <w:bCs w:val="1"/>
                <w:color w:val="auto"/>
              </w:rPr>
              <w:t>Year Ended</w:t>
            </w:r>
          </w:p>
        </w:tc>
      </w:tr>
      <w:tr>
        <w:trPr>
          <w:trHeight w:val="243"/>
        </w:trPr>
        <w:tc>
          <w:tcPr>
            <w:tcW w:w="88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301"/>
              <w:spacing w:after="0"/>
              <w:rPr>
                <w:sz w:val="20"/>
                <w:szCs w:val="20"/>
                <w:color w:val="auto"/>
              </w:rPr>
            </w:pPr>
            <w:r>
              <w:rPr>
                <w:rFonts w:ascii="Arial" w:cs="Arial" w:eastAsia="Arial" w:hAnsi="Arial"/>
                <w:sz w:val="20"/>
                <w:szCs w:val="20"/>
                <w:b w:val="1"/>
                <w:bCs w:val="1"/>
                <w:color w:val="auto"/>
                <w:w w:val="96"/>
              </w:rPr>
              <w:t>December 31, 2020</w:t>
            </w:r>
          </w:p>
        </w:tc>
      </w:tr>
      <w:tr>
        <w:trPr>
          <w:trHeight w:val="223"/>
        </w:trPr>
        <w:tc>
          <w:tcPr>
            <w:tcW w:w="8820" w:type="dxa"/>
            <w:vAlign w:val="bottom"/>
            <w:shd w:val="clear" w:color="auto" w:fill="CCEEFF"/>
          </w:tcPr>
          <w:p>
            <w:pPr>
              <w:ind w:left="20"/>
              <w:spacing w:after="0" w:line="223" w:lineRule="exact"/>
              <w:rPr>
                <w:sz w:val="20"/>
                <w:szCs w:val="20"/>
                <w:color w:val="auto"/>
              </w:rPr>
            </w:pPr>
            <w:r>
              <w:rPr>
                <w:rFonts w:ascii="Arial" w:cs="Arial" w:eastAsia="Arial" w:hAnsi="Arial"/>
                <w:sz w:val="20"/>
                <w:szCs w:val="20"/>
                <w:b w:val="1"/>
                <w:bCs w:val="1"/>
                <w:color w:val="auto"/>
              </w:rPr>
              <w:t>ADDITIONS:</w:t>
            </w:r>
          </w:p>
        </w:tc>
        <w:tc>
          <w:tcPr>
            <w:tcW w:w="26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43"/>
        </w:trPr>
        <w:tc>
          <w:tcPr>
            <w:tcW w:w="8820" w:type="dxa"/>
            <w:vAlign w:val="bottom"/>
          </w:tcPr>
          <w:p>
            <w:pPr>
              <w:ind w:left="140"/>
              <w:spacing w:after="0"/>
              <w:rPr>
                <w:sz w:val="20"/>
                <w:szCs w:val="20"/>
                <w:color w:val="auto"/>
              </w:rPr>
            </w:pPr>
            <w:r>
              <w:rPr>
                <w:rFonts w:ascii="Arial" w:cs="Arial" w:eastAsia="Arial" w:hAnsi="Arial"/>
                <w:sz w:val="20"/>
                <w:szCs w:val="20"/>
                <w:color w:val="auto"/>
              </w:rPr>
              <w:t>Investment income:</w:t>
            </w: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8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Net appreciation in fair value of investments</w:t>
            </w:r>
          </w:p>
        </w:tc>
        <w:tc>
          <w:tcPr>
            <w:tcW w:w="260" w:type="dxa"/>
            <w:vAlign w:val="bottom"/>
            <w:shd w:val="clear" w:color="auto" w:fill="CCEEFF"/>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137,065</w:t>
            </w:r>
          </w:p>
        </w:tc>
      </w:tr>
      <w:tr>
        <w:trPr>
          <w:trHeight w:val="243"/>
        </w:trPr>
        <w:tc>
          <w:tcPr>
            <w:tcW w:w="88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Interest and dividend income</w:t>
            </w: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6,223</w:t>
            </w:r>
          </w:p>
        </w:tc>
      </w:tr>
      <w:tr>
        <w:trPr>
          <w:trHeight w:val="237"/>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investment income</w:t>
            </w:r>
          </w:p>
        </w:tc>
        <w:tc>
          <w:tcPr>
            <w:tcW w:w="260" w:type="dxa"/>
            <w:vAlign w:val="bottom"/>
            <w:shd w:val="clear" w:color="auto" w:fill="CCEEFF"/>
          </w:tcPr>
          <w:p>
            <w:pPr>
              <w:spacing w:after="0"/>
              <w:rPr>
                <w:sz w:val="20"/>
                <w:szCs w:val="20"/>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143,288</w:t>
            </w:r>
          </w:p>
        </w:tc>
      </w:tr>
      <w:tr>
        <w:trPr>
          <w:trHeight w:val="243"/>
        </w:trPr>
        <w:tc>
          <w:tcPr>
            <w:tcW w:w="8820" w:type="dxa"/>
            <w:vAlign w:val="bottom"/>
          </w:tcPr>
          <w:p>
            <w:pPr>
              <w:ind w:left="140"/>
              <w:spacing w:after="0"/>
              <w:rPr>
                <w:sz w:val="20"/>
                <w:szCs w:val="20"/>
                <w:color w:val="auto"/>
              </w:rPr>
            </w:pPr>
            <w:r>
              <w:rPr>
                <w:rFonts w:ascii="Arial" w:cs="Arial" w:eastAsia="Arial" w:hAnsi="Arial"/>
                <w:sz w:val="20"/>
                <w:szCs w:val="20"/>
                <w:color w:val="auto"/>
              </w:rPr>
              <w:t>Interest on notes receivable from participants</w:t>
            </w:r>
          </w:p>
        </w:tc>
        <w:tc>
          <w:tcPr>
            <w:tcW w:w="2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483</w:t>
            </w:r>
          </w:p>
        </w:tc>
      </w:tr>
      <w:tr>
        <w:trPr>
          <w:trHeight w:val="243"/>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Contributions:</w:t>
            </w:r>
          </w:p>
        </w:tc>
        <w:tc>
          <w:tcPr>
            <w:tcW w:w="260" w:type="dxa"/>
            <w:vAlign w:val="bottom"/>
            <w:shd w:val="clear" w:color="auto" w:fill="CCEEFF"/>
          </w:tcPr>
          <w:p>
            <w:pPr>
              <w:spacing w:after="0"/>
              <w:rPr>
                <w:sz w:val="21"/>
                <w:szCs w:val="21"/>
                <w:color w:val="auto"/>
              </w:rPr>
            </w:pPr>
          </w:p>
        </w:tc>
        <w:tc>
          <w:tcPr>
            <w:tcW w:w="2160" w:type="dxa"/>
            <w:vAlign w:val="bottom"/>
            <w:shd w:val="clear" w:color="auto" w:fill="CCEEFF"/>
          </w:tcPr>
          <w:p>
            <w:pPr>
              <w:spacing w:after="0"/>
              <w:rPr>
                <w:sz w:val="21"/>
                <w:szCs w:val="21"/>
                <w:color w:val="auto"/>
              </w:rPr>
            </w:pPr>
          </w:p>
        </w:tc>
      </w:tr>
      <w:tr>
        <w:trPr>
          <w:trHeight w:val="243"/>
        </w:trPr>
        <w:tc>
          <w:tcPr>
            <w:tcW w:w="8820" w:type="dxa"/>
            <w:vAlign w:val="bottom"/>
          </w:tcPr>
          <w:p>
            <w:pPr>
              <w:ind w:left="240"/>
              <w:spacing w:after="0"/>
              <w:rPr>
                <w:sz w:val="20"/>
                <w:szCs w:val="20"/>
                <w:color w:val="auto"/>
              </w:rPr>
            </w:pPr>
            <w:r>
              <w:rPr>
                <w:rFonts w:ascii="Arial" w:cs="Arial" w:eastAsia="Arial" w:hAnsi="Arial"/>
                <w:sz w:val="20"/>
                <w:szCs w:val="20"/>
                <w:color w:val="auto"/>
              </w:rPr>
              <w:t>Participant</w:t>
            </w:r>
          </w:p>
        </w:tc>
        <w:tc>
          <w:tcPr>
            <w:tcW w:w="260" w:type="dxa"/>
            <w:vAlign w:val="bottom"/>
          </w:tcPr>
          <w:p>
            <w:pPr>
              <w:spacing w:after="0"/>
              <w:rPr>
                <w:sz w:val="21"/>
                <w:szCs w:val="21"/>
                <w:color w:val="auto"/>
              </w:rPr>
            </w:pPr>
          </w:p>
        </w:tc>
        <w:tc>
          <w:tcPr>
            <w:tcW w:w="2160" w:type="dxa"/>
            <w:vAlign w:val="bottom"/>
          </w:tcPr>
          <w:p>
            <w:pPr>
              <w:jc w:val="right"/>
              <w:spacing w:after="0"/>
              <w:rPr>
                <w:sz w:val="20"/>
                <w:szCs w:val="20"/>
                <w:color w:val="auto"/>
              </w:rPr>
            </w:pPr>
            <w:r>
              <w:rPr>
                <w:rFonts w:ascii="Arial" w:cs="Arial" w:eastAsia="Arial" w:hAnsi="Arial"/>
                <w:sz w:val="20"/>
                <w:szCs w:val="20"/>
                <w:color w:val="auto"/>
              </w:rPr>
              <w:t>78,592</w:t>
            </w:r>
          </w:p>
        </w:tc>
      </w:tr>
      <w:tr>
        <w:trPr>
          <w:trHeight w:val="243"/>
        </w:trPr>
        <w:tc>
          <w:tcPr>
            <w:tcW w:w="8820" w:type="dxa"/>
            <w:vAlign w:val="bottom"/>
            <w:shd w:val="clear" w:color="auto" w:fill="CCEEFF"/>
          </w:tcPr>
          <w:p>
            <w:pPr>
              <w:ind w:left="240"/>
              <w:spacing w:after="0"/>
              <w:rPr>
                <w:sz w:val="20"/>
                <w:szCs w:val="20"/>
                <w:color w:val="auto"/>
              </w:rPr>
            </w:pPr>
            <w:r>
              <w:rPr>
                <w:rFonts w:ascii="Arial" w:cs="Arial" w:eastAsia="Arial" w:hAnsi="Arial"/>
                <w:sz w:val="20"/>
                <w:szCs w:val="20"/>
                <w:color w:val="auto"/>
              </w:rPr>
              <w:t>Employer contributions</w:t>
            </w:r>
          </w:p>
        </w:tc>
        <w:tc>
          <w:tcPr>
            <w:tcW w:w="26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20,057</w:t>
            </w:r>
          </w:p>
        </w:tc>
      </w:tr>
      <w:tr>
        <w:trPr>
          <w:trHeight w:val="243"/>
        </w:trPr>
        <w:tc>
          <w:tcPr>
            <w:tcW w:w="8820" w:type="dxa"/>
            <w:vAlign w:val="bottom"/>
            <w:tcBorders>
              <w:bottom w:val="single" w:sz="8" w:color="CCEEFF"/>
            </w:tcBorders>
          </w:tcPr>
          <w:p>
            <w:pPr>
              <w:ind w:left="240"/>
              <w:spacing w:after="0"/>
              <w:rPr>
                <w:sz w:val="20"/>
                <w:szCs w:val="20"/>
                <w:color w:val="auto"/>
              </w:rPr>
            </w:pPr>
            <w:r>
              <w:rPr>
                <w:rFonts w:ascii="Arial" w:cs="Arial" w:eastAsia="Arial" w:hAnsi="Arial"/>
                <w:sz w:val="20"/>
                <w:szCs w:val="20"/>
                <w:color w:val="auto"/>
              </w:rPr>
              <w:t>Rollover contributions</w:t>
            </w: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91,878</w:t>
            </w:r>
          </w:p>
        </w:tc>
      </w:tr>
      <w:tr>
        <w:trPr>
          <w:trHeight w:val="236"/>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contributions</w:t>
            </w:r>
          </w:p>
        </w:tc>
        <w:tc>
          <w:tcPr>
            <w:tcW w:w="26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190,527</w:t>
            </w:r>
          </w:p>
        </w:tc>
      </w:tr>
      <w:tr>
        <w:trPr>
          <w:trHeight w:val="237"/>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Total additions</w:t>
            </w:r>
          </w:p>
        </w:tc>
        <w:tc>
          <w:tcPr>
            <w:tcW w:w="2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334,298</w:t>
            </w:r>
          </w:p>
        </w:tc>
      </w:tr>
      <w:tr>
        <w:trPr>
          <w:trHeight w:val="291"/>
        </w:trPr>
        <w:tc>
          <w:tcPr>
            <w:tcW w:w="88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2160" w:type="dxa"/>
            <w:vAlign w:val="bottom"/>
            <w:shd w:val="clear" w:color="auto" w:fill="CCEEFF"/>
          </w:tcPr>
          <w:p>
            <w:pPr>
              <w:spacing w:after="0"/>
              <w:rPr>
                <w:sz w:val="24"/>
                <w:szCs w:val="24"/>
                <w:color w:val="auto"/>
              </w:rPr>
            </w:pPr>
          </w:p>
        </w:tc>
      </w:tr>
      <w:tr>
        <w:trPr>
          <w:trHeight w:val="243"/>
        </w:trPr>
        <w:tc>
          <w:tcPr>
            <w:tcW w:w="8820" w:type="dxa"/>
            <w:vAlign w:val="bottom"/>
          </w:tcPr>
          <w:p>
            <w:pPr>
              <w:ind w:left="20"/>
              <w:spacing w:after="0"/>
              <w:rPr>
                <w:sz w:val="20"/>
                <w:szCs w:val="20"/>
                <w:color w:val="auto"/>
              </w:rPr>
            </w:pPr>
            <w:r>
              <w:rPr>
                <w:rFonts w:ascii="Arial" w:cs="Arial" w:eastAsia="Arial" w:hAnsi="Arial"/>
                <w:sz w:val="20"/>
                <w:szCs w:val="20"/>
                <w:b w:val="1"/>
                <w:bCs w:val="1"/>
                <w:color w:val="auto"/>
              </w:rPr>
              <w:t>DEDUCTIONS:</w:t>
            </w: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Benefits paid to participants</w:t>
            </w:r>
          </w:p>
        </w:tc>
        <w:tc>
          <w:tcPr>
            <w:tcW w:w="26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72,217</w:t>
            </w:r>
          </w:p>
        </w:tc>
      </w:tr>
      <w:tr>
        <w:trPr>
          <w:trHeight w:val="243"/>
        </w:trPr>
        <w:tc>
          <w:tcPr>
            <w:tcW w:w="8820" w:type="dxa"/>
            <w:vAlign w:val="bottom"/>
            <w:tcBorders>
              <w:bottom w:val="single" w:sz="8" w:color="CCEEFF"/>
            </w:tcBorders>
          </w:tcPr>
          <w:p>
            <w:pPr>
              <w:ind w:left="140"/>
              <w:spacing w:after="0"/>
              <w:rPr>
                <w:sz w:val="20"/>
                <w:szCs w:val="20"/>
                <w:color w:val="auto"/>
              </w:rPr>
            </w:pPr>
            <w:r>
              <w:rPr>
                <w:rFonts w:ascii="Arial" w:cs="Arial" w:eastAsia="Arial" w:hAnsi="Arial"/>
                <w:sz w:val="20"/>
                <w:szCs w:val="20"/>
                <w:color w:val="auto"/>
              </w:rPr>
              <w:t>Administrative expenses</w:t>
            </w:r>
          </w:p>
        </w:tc>
        <w:tc>
          <w:tcPr>
            <w:tcW w:w="26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832</w:t>
            </w:r>
          </w:p>
        </w:tc>
      </w:tr>
      <w:tr>
        <w:trPr>
          <w:trHeight w:val="236"/>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Total deductions</w:t>
            </w:r>
          </w:p>
        </w:tc>
        <w:tc>
          <w:tcPr>
            <w:tcW w:w="260" w:type="dxa"/>
            <w:vAlign w:val="bottom"/>
            <w:tcBorders>
              <w:bottom w:val="single" w:sz="8" w:color="auto"/>
            </w:tcBorders>
            <w:shd w:val="clear" w:color="auto" w:fill="CCEEFF"/>
          </w:tcPr>
          <w:p>
            <w:pPr>
              <w:spacing w:after="0"/>
              <w:rPr>
                <w:sz w:val="20"/>
                <w:szCs w:val="20"/>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73,049</w:t>
            </w:r>
          </w:p>
        </w:tc>
      </w:tr>
      <w:tr>
        <w:trPr>
          <w:trHeight w:val="291"/>
        </w:trPr>
        <w:tc>
          <w:tcPr>
            <w:tcW w:w="8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243"/>
        </w:trPr>
        <w:tc>
          <w:tcPr>
            <w:tcW w:w="882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NET INCREASE IN NET ASSETS</w:t>
            </w:r>
          </w:p>
        </w:tc>
        <w:tc>
          <w:tcPr>
            <w:tcW w:w="260" w:type="dxa"/>
            <w:vAlign w:val="bottom"/>
            <w:shd w:val="clear" w:color="auto" w:fill="CCEEFF"/>
          </w:tcPr>
          <w:p>
            <w:pPr>
              <w:spacing w:after="0"/>
              <w:rPr>
                <w:sz w:val="21"/>
                <w:szCs w:val="21"/>
                <w:color w:val="auto"/>
              </w:rPr>
            </w:pPr>
          </w:p>
        </w:tc>
        <w:tc>
          <w:tcPr>
            <w:tcW w:w="21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261,247</w:t>
            </w:r>
          </w:p>
        </w:tc>
      </w:tr>
      <w:tr>
        <w:trPr>
          <w:trHeight w:val="243"/>
        </w:trPr>
        <w:tc>
          <w:tcPr>
            <w:tcW w:w="8820" w:type="dxa"/>
            <w:vAlign w:val="bottom"/>
          </w:tcPr>
          <w:p>
            <w:pPr>
              <w:ind w:left="20"/>
              <w:spacing w:after="0"/>
              <w:rPr>
                <w:sz w:val="20"/>
                <w:szCs w:val="20"/>
                <w:color w:val="auto"/>
              </w:rPr>
            </w:pPr>
            <w:r>
              <w:rPr>
                <w:rFonts w:ascii="Arial" w:cs="Arial" w:eastAsia="Arial" w:hAnsi="Arial"/>
                <w:sz w:val="20"/>
                <w:szCs w:val="20"/>
                <w:b w:val="1"/>
                <w:bCs w:val="1"/>
                <w:color w:val="auto"/>
              </w:rPr>
              <w:t>NET ASSETS AVAILABLE FOR BENEFITS AT</w:t>
            </w:r>
          </w:p>
        </w:tc>
        <w:tc>
          <w:tcPr>
            <w:tcW w:w="260" w:type="dxa"/>
            <w:vAlign w:val="bottom"/>
          </w:tcPr>
          <w:p>
            <w:pPr>
              <w:spacing w:after="0"/>
              <w:rPr>
                <w:sz w:val="21"/>
                <w:szCs w:val="21"/>
                <w:color w:val="auto"/>
              </w:rPr>
            </w:pPr>
          </w:p>
        </w:tc>
        <w:tc>
          <w:tcPr>
            <w:tcW w:w="2160" w:type="dxa"/>
            <w:vAlign w:val="bottom"/>
          </w:tcPr>
          <w:p>
            <w:pPr>
              <w:spacing w:after="0"/>
              <w:rPr>
                <w:sz w:val="21"/>
                <w:szCs w:val="21"/>
                <w:color w:val="auto"/>
              </w:rPr>
            </w:pPr>
          </w:p>
        </w:tc>
      </w:tr>
      <w:tr>
        <w:trPr>
          <w:trHeight w:val="243"/>
        </w:trPr>
        <w:tc>
          <w:tcPr>
            <w:tcW w:w="88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Beginning of year</w:t>
            </w:r>
          </w:p>
        </w:tc>
        <w:tc>
          <w:tcPr>
            <w:tcW w:w="260" w:type="dxa"/>
            <w:vAlign w:val="bottom"/>
            <w:tcBorders>
              <w:bottom w:val="single" w:sz="8" w:color="auto"/>
            </w:tcBorders>
            <w:shd w:val="clear" w:color="auto" w:fill="CCEEFF"/>
          </w:tcPr>
          <w:p>
            <w:pPr>
              <w:spacing w:after="0"/>
              <w:rPr>
                <w:sz w:val="21"/>
                <w:szCs w:val="21"/>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910,286</w:t>
            </w:r>
          </w:p>
        </w:tc>
      </w:tr>
      <w:tr>
        <w:trPr>
          <w:trHeight w:val="237"/>
        </w:trPr>
        <w:tc>
          <w:tcPr>
            <w:tcW w:w="8820" w:type="dxa"/>
            <w:vAlign w:val="bottom"/>
          </w:tcPr>
          <w:p>
            <w:pPr>
              <w:ind w:left="140"/>
              <w:spacing w:after="0"/>
              <w:rPr>
                <w:sz w:val="20"/>
                <w:szCs w:val="20"/>
                <w:color w:val="auto"/>
              </w:rPr>
            </w:pPr>
            <w:r>
              <w:rPr>
                <w:rFonts w:ascii="Arial" w:cs="Arial" w:eastAsia="Arial" w:hAnsi="Arial"/>
                <w:sz w:val="20"/>
                <w:szCs w:val="20"/>
                <w:color w:val="auto"/>
              </w:rPr>
              <w:t>End of year</w:t>
            </w:r>
          </w:p>
        </w:tc>
        <w:tc>
          <w:tcPr>
            <w:tcW w:w="260" w:type="dxa"/>
            <w:vAlign w:val="bottom"/>
            <w:tcBorders>
              <w:bottom w:val="single" w:sz="8" w:color="auto"/>
            </w:tcBorders>
          </w:tcPr>
          <w:p>
            <w:pPr>
              <w:jc w:val="right"/>
              <w:ind w:right="41"/>
              <w:spacing w:after="0"/>
              <w:rPr>
                <w:sz w:val="20"/>
                <w:szCs w:val="20"/>
                <w:color w:val="auto"/>
              </w:rPr>
            </w:pPr>
            <w:r>
              <w:rPr>
                <w:rFonts w:ascii="Arial" w:cs="Arial" w:eastAsia="Arial" w:hAnsi="Arial"/>
                <w:sz w:val="20"/>
                <w:szCs w:val="20"/>
                <w:color w:val="auto"/>
                <w:w w:val="8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1,171,533</w:t>
            </w:r>
          </w:p>
        </w:tc>
      </w:tr>
      <w:tr>
        <w:trPr>
          <w:trHeight w:val="20"/>
        </w:trPr>
        <w:tc>
          <w:tcPr>
            <w:tcW w:w="8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13"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Roper Technologies, Inc.</w:t>
      </w:r>
    </w:p>
    <w:p>
      <w:pPr>
        <w:spacing w:after="0" w:line="233" w:lineRule="auto"/>
        <w:rPr>
          <w:sz w:val="20"/>
          <w:szCs w:val="20"/>
          <w:color w:val="auto"/>
        </w:rPr>
      </w:pPr>
      <w:r>
        <w:rPr>
          <w:rFonts w:ascii="Arial" w:cs="Arial" w:eastAsia="Arial" w:hAnsi="Arial"/>
          <w:sz w:val="20"/>
          <w:szCs w:val="20"/>
          <w:b w:val="1"/>
          <w:bCs w:val="1"/>
          <w:color w:val="auto"/>
        </w:rPr>
        <w:t>EMPLOYEES’ RETIREMENT SAVINGS 004 PLAN</w:t>
      </w:r>
    </w:p>
    <w:p>
      <w:pPr>
        <w:spacing w:after="0"/>
        <w:rPr>
          <w:sz w:val="20"/>
          <w:szCs w:val="20"/>
          <w:color w:val="auto"/>
        </w:rPr>
      </w:pPr>
      <w:r>
        <w:rPr>
          <w:rFonts w:ascii="Arial" w:cs="Arial" w:eastAsia="Arial" w:hAnsi="Arial"/>
          <w:sz w:val="20"/>
          <w:szCs w:val="20"/>
          <w:b w:val="1"/>
          <w:bCs w:val="1"/>
          <w:color w:val="auto"/>
        </w:rPr>
        <w:t>Notes to Financial Statements</w:t>
      </w:r>
    </w:p>
    <w:p>
      <w:pPr>
        <w:spacing w:after="0"/>
        <w:rPr>
          <w:sz w:val="20"/>
          <w:szCs w:val="20"/>
          <w:color w:val="auto"/>
        </w:rPr>
      </w:pPr>
      <w:r>
        <w:rPr>
          <w:rFonts w:ascii="Arial" w:cs="Arial" w:eastAsia="Arial" w:hAnsi="Arial"/>
          <w:sz w:val="20"/>
          <w:szCs w:val="20"/>
          <w:b w:val="1"/>
          <w:bCs w:val="1"/>
          <w:color w:val="auto"/>
        </w:rPr>
        <w:t>December 31, 2020 and 2019</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PLAN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following description of the Roper Technologies, Inc. Employees' Retirement Savings 004 Plan (the Plan) provides only general information. Participants should refer to the Plan agreement for a more complete description of the Plan's provisions.</w:t>
      </w:r>
    </w:p>
    <w:p>
      <w:pPr>
        <w:spacing w:after="0" w:line="211"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Plan is a defined contribution plan covering substantially all employees of certain subsidiaries of Roper Technologies, Inc. (the Company), who are age 18 or older. Eligible employees are able to enroll immediately upon their date of hire following meeting the eligibility requirements, as defined in the Plan document. Certain participants who become employees of the Company as a result of mergers or acquisitions are given credit for their prior service for purposes of determining eligibility and vesting. The Plan is subject to the provisions of the Employee Retirement Income Security Act of 1974 (ERISA), as amended. The Company’s Investment Committee determines the appropriateness of the Plan's investment offerings and monitors investment performance, as delegated by the Company's Board of Directors.</w:t>
      </w:r>
    </w:p>
    <w:p>
      <w:pPr>
        <w:spacing w:after="0" w:line="194"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On September 3, 2020 Roper Acquired Vertafore, Inc. (“Vertafore”). Vertafore employees were permitted to rollover their defined savings accounts to the Employee’s Retirement Savings 004 Plan. These rollovers are included within the statement of changes in net assets within the rollover line item for the year ended December 31, 2020.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Administration</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The Company serves as the Plan Administrator. The Plan Administrator has the responsibility to administer the Plan for the exclusive benefit of the participants and their beneficiaries. These duties include, but are not limited to, establishing procedures, maintaining records, interpreting provisions of the Plan, and making determinations regarding questions which may affect eligibility for benefits.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Contributions</w:t>
      </w:r>
    </w:p>
    <w:p>
      <w:pPr>
        <w:spacing w:after="0" w:line="8"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Each year, participants may contribute up to 50% of their eligible compensation in the form of (i) pre-tax contributions, (ii) after-tax contributions, or (iii) a combination of pre-tax and after-tax contributions. Participants may also contribute amounts representing distributions from other qualified defined benefit or defined contribution plans. Participants who are age 50 or older and make the maximum pre-tax contribution for the year may make an additional catch-up contribution up to a maximum dollar amount per year in accordance with the Internal Revenue Code (IRC), as amended. Participants who do not elect a contribution percentage or do not elect to opt out of the Plan are automatically enrolled for pre-tax contributions at a rate of 5% of eligible earnings with annual 1% increases in deferral rates, not to exceed a maximum of 15% of eligible earnings. Contributions are subject to certain limitations. The automatic deferral increase will occur the first day of each Plan year unless automatically enrolled within the last six months.</w:t>
      </w:r>
    </w:p>
    <w:p>
      <w:pPr>
        <w:spacing w:after="0" w:line="214" w:lineRule="exact"/>
        <w:rPr>
          <w:sz w:val="20"/>
          <w:szCs w:val="20"/>
          <w:color w:val="auto"/>
        </w:rPr>
      </w:pPr>
    </w:p>
    <w:p>
      <w:pPr>
        <w:jc w:val="both"/>
        <w:spacing w:after="0" w:line="241" w:lineRule="auto"/>
        <w:rPr>
          <w:sz w:val="20"/>
          <w:szCs w:val="20"/>
          <w:color w:val="auto"/>
        </w:rPr>
      </w:pPr>
      <w:r>
        <w:rPr>
          <w:rFonts w:ascii="Arial" w:cs="Arial" w:eastAsia="Arial" w:hAnsi="Arial"/>
          <w:sz w:val="19"/>
          <w:szCs w:val="19"/>
          <w:color w:val="auto"/>
        </w:rPr>
        <w:t>For the year ended December 31, 2020, the Company contributed a match of between 50% and 100% of the first 4% to 8% of base compensation that a participant contributed to the Plan never to exceed a total match of 5%, depending on which subsidiary the participant was employed by. In no case are participant deferrals, in excess of 8% of compensation, taken into account for matching purposes. Participants direct the investment of their contributions into various investment options offered by the Plan.</w:t>
      </w:r>
    </w:p>
    <w:p>
      <w:pPr>
        <w:spacing w:after="0" w:line="2" w:lineRule="exact"/>
        <w:rPr>
          <w:sz w:val="20"/>
          <w:szCs w:val="20"/>
          <w:color w:val="auto"/>
        </w:rPr>
      </w:pPr>
    </w:p>
    <w:p>
      <w:pPr>
        <w:jc w:val="both"/>
        <w:ind w:right="20"/>
        <w:spacing w:after="0" w:line="234" w:lineRule="auto"/>
        <w:rPr>
          <w:sz w:val="20"/>
          <w:szCs w:val="20"/>
          <w:color w:val="auto"/>
        </w:rPr>
      </w:pPr>
      <w:r>
        <w:rPr>
          <w:rFonts w:ascii="Arial" w:cs="Arial" w:eastAsia="Arial" w:hAnsi="Arial"/>
          <w:sz w:val="20"/>
          <w:szCs w:val="20"/>
          <w:color w:val="auto"/>
        </w:rPr>
        <w:t>The Plan currently offers common/collective trust (CCT) funds, mutual funds, and Roper Technologies, Inc., common stock as investment options for participants. Participants may change their investment options daily.</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 Accounts</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19"/>
          <w:szCs w:val="19"/>
          <w:color w:val="auto"/>
        </w:rPr>
        <w:t>Each participant's account is credited with the participant's contributions, an allocation of the Company's contributions, and Plan earnings, and an allocation of administrative expenses. Allocations are based on participant earnings or account balances, as defined. The benefit to which a participant is entitled is the benefit that can be provided from the participant's vested account.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Vesting</w:t>
      </w:r>
    </w:p>
    <w:p>
      <w:pPr>
        <w:spacing w:after="0" w:line="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Participants are immediately vested in their contributions plus actual earnings thereon. Prior to the plan amendment on March 1, 2021 vesting in the Company's contribution portion of their accounts is based on years of continuous service. Participants vest over a five-year period beginning with 20% after one year of service and 20% each year thereafter, and are 100% vested after five years. Participants will become fully vested if the participant attains age 65, the participant incurs a disability, or upon the death of a participant.</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Effective March 1, 2021 the Plan was amended to allow participants immediate vesting in the Company's contribution portion of their accounts. The change was applied retroactively to prior contributions.</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Receivable from Participants</w:t>
      </w:r>
    </w:p>
    <w:p>
      <w:pPr>
        <w:spacing w:after="0" w:line="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Participants may borrow from their accounts a minimum of $1,000 up to a maximum equal to the lesser of $50,000 or 50% of their vested account balance, for a period not to exceed five years unless the note is for the purchase of a principal residence, in which case the period is not to exceed ten years. The notes are secured by the balance in the participant's account and bear interest at rates which are commensurate with local prevailing rates as determined by the Plan Administrator. Principal and interest are paid ratably through payroll deductions.</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Benefits</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Upon termination of service due to death, disability, retirement, or separation from service, a participant will generally receive their benefits as a lump-sum amount equal to the value of the participant's vested interest in his or her account. Participants who attain age 59½ are eligible to receive in-service distributions in accordance with provisions specified in the Plan.</w:t>
      </w:r>
    </w:p>
    <w:p>
      <w:pPr>
        <w:sectPr>
          <w:pgSz w:w="11900" w:h="16838" w:orient="portrait"/>
          <w:cols w:equalWidth="0" w:num="1">
            <w:col w:w="11240"/>
          </w:cols>
          <w:pgMar w:left="320" w:top="1413" w:right="339" w:bottom="0" w:gutter="0" w:footer="0" w:header="0"/>
        </w:sectPr>
      </w:pPr>
    </w:p>
    <w:bookmarkStart w:id="7" w:name="page8"/>
    <w:bookmarkEnd w:id="7"/>
    <w:p>
      <w:pPr>
        <w:jc w:val="both"/>
        <w:ind w:right="20"/>
        <w:spacing w:after="0" w:line="247" w:lineRule="auto"/>
        <w:rPr>
          <w:sz w:val="20"/>
          <w:szCs w:val="20"/>
          <w:color w:val="auto"/>
        </w:rPr>
      </w:pPr>
      <w:r>
        <w:rPr>
          <w:rFonts w:ascii="Arial" w:cs="Arial" w:eastAsia="Arial" w:hAnsi="Arial"/>
          <w:sz w:val="20"/>
          <w:szCs w:val="20"/>
          <w:color w:val="auto"/>
        </w:rPr>
        <w:t>Participants can elect to receive shares of the Company's common stock if their total balance exceeds $5,000. Withdrawals from the Plan may also be made upon circumstances of financial hardship in accordance with provisions specified in the Plan.</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Effective April 5, 2020, the Plan adopted the distribution provision of the Coronavirus Aid, Relief, and Economic Security (CARES) Act that was signed into law on March 27, 2020. A CARES Act distribution allows the Plan's participants to take a COVID-19 related distribution up to $100,000 from the Plan beginning on or after January 1, 2020 and before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Forfeitures</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Forfeitures of the non-vested portion of participants' accounts are used to reduce future Company contributions. Forfeiture balances were $222,410 and $479,637 as of December 31, 2020 and 2019, respectively, and forfeitures used to reduce Company contributions were approximately $1,963,995 for the year ended December 31, 2020.</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Expenses</w:t>
      </w:r>
    </w:p>
    <w:p>
      <w:pPr>
        <w:spacing w:after="0" w:line="8" w:lineRule="exact"/>
        <w:rPr>
          <w:sz w:val="20"/>
          <w:szCs w:val="20"/>
          <w:color w:val="auto"/>
        </w:rPr>
      </w:pPr>
    </w:p>
    <w:p>
      <w:pPr>
        <w:jc w:val="both"/>
        <w:spacing w:after="0" w:line="230" w:lineRule="auto"/>
        <w:rPr>
          <w:sz w:val="20"/>
          <w:szCs w:val="20"/>
          <w:color w:val="auto"/>
        </w:rPr>
      </w:pPr>
      <w:r>
        <w:rPr>
          <w:rFonts w:ascii="Arial" w:cs="Arial" w:eastAsia="Arial" w:hAnsi="Arial"/>
          <w:sz w:val="20"/>
          <w:szCs w:val="20"/>
          <w:color w:val="auto"/>
        </w:rPr>
        <w:t>Certain expenses of maintaining the Plan are paid directly by the Company and are excluded from these financial statements. The Company reserves the right to elect to pay, or have the Plan pay, administrative costs in the future. Fees related to the administration of notes receivable from participants are charged directly to the participant's account and are included in administrative expenses. Investment related expenses are included in net appreciation of fair value of investments.</w:t>
      </w:r>
    </w:p>
    <w:p>
      <w:pPr>
        <w:spacing w:after="0" w:line="209"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Management fees and other operating expenses charged to the Plan for investments are deducted from income earned on a daily basis and are not separately reflected. Consequently, management fees and operating expenses are reflected as a reduction of investment return for such investments.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of Accounting</w:t>
      </w:r>
    </w:p>
    <w:p>
      <w:pPr>
        <w:spacing w:after="0" w:line="8"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financial statements of the Plan are prepared under the accrual method of accounting in accordance with accounting principles generally accepted in the United States of America (U.S. GAAP).</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Estimates and Risks and Uncertainties</w:t>
      </w:r>
    </w:p>
    <w:p>
      <w:pPr>
        <w:spacing w:after="0" w:line="8" w:lineRule="exact"/>
        <w:rPr>
          <w:sz w:val="20"/>
          <w:szCs w:val="20"/>
          <w:color w:val="auto"/>
        </w:rPr>
      </w:pPr>
    </w:p>
    <w:p>
      <w:pPr>
        <w:jc w:val="both"/>
        <w:spacing w:after="0" w:line="228" w:lineRule="auto"/>
        <w:rPr>
          <w:sz w:val="20"/>
          <w:szCs w:val="20"/>
          <w:color w:val="auto"/>
        </w:rPr>
      </w:pPr>
      <w:r>
        <w:rPr>
          <w:rFonts w:ascii="Arial" w:cs="Arial" w:eastAsia="Arial" w:hAnsi="Arial"/>
          <w:sz w:val="20"/>
          <w:szCs w:val="20"/>
          <w:color w:val="auto"/>
        </w:rPr>
        <w:t>The preparation of financial statements in conformity with U.S. GAAP requires Plan management to make estimates and assumptions that affect the reported amounts of assets, liabilities, and changes therein and disclosure of contingent assets and liabilities. Actual results could differ from those estimates. The Plan utilizes various investment instruments. Investment securities, in general, are exposed to various risks, such as interest rate, credit, and overall market volatility. Due to the level of risk associated with certain investment securities, it is reasonably possible that changes in the values of investment securities will occur in the near term and that such changes could materially affect the amounts reported in the financial statements.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Investment Valuation and Income Recognition</w:t>
      </w:r>
    </w:p>
    <w:p>
      <w:pPr>
        <w:spacing w:after="0" w:line="8"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Investments are reported at fair value. Fair value is the price that would be received to sell an asset or paid to transfer a liability in an orderly transaction between market participants at the measurement date. The Company reviews the Plan's valuation policies utilizing information provided by the investment advisers and Vanguard Fiduciary Trust Company (the trustee).</w:t>
      </w:r>
    </w:p>
    <w:p>
      <w:pPr>
        <w:spacing w:after="0" w:line="211" w:lineRule="exact"/>
        <w:rPr>
          <w:sz w:val="20"/>
          <w:szCs w:val="20"/>
          <w:color w:val="auto"/>
        </w:rPr>
      </w:pPr>
    </w:p>
    <w:p>
      <w:pPr>
        <w:jc w:val="both"/>
        <w:ind w:right="20"/>
        <w:spacing w:after="0" w:line="368" w:lineRule="auto"/>
        <w:rPr>
          <w:sz w:val="20"/>
          <w:szCs w:val="20"/>
          <w:color w:val="auto"/>
        </w:rPr>
      </w:pPr>
      <w:r>
        <w:rPr>
          <w:rFonts w:ascii="Arial" w:cs="Arial" w:eastAsia="Arial" w:hAnsi="Arial"/>
          <w:sz w:val="16"/>
          <w:szCs w:val="16"/>
          <w:color w:val="auto"/>
        </w:rPr>
        <w:t>Purchases and sales of investments are recorded on a trade-date basis. Interest income is accrued when earned. Dividend income is recorded on the ex-dividend date. Net appreciation in fair value of investments includes both realized and unrealized gains and losses on investment.</w:t>
      </w:r>
    </w:p>
    <w:p>
      <w:pPr>
        <w:spacing w:after="0" w:line="1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Payment of Benefits</w:t>
      </w:r>
    </w:p>
    <w:p>
      <w:pPr>
        <w:spacing w:after="0" w:line="8" w:lineRule="exact"/>
        <w:rPr>
          <w:sz w:val="20"/>
          <w:szCs w:val="20"/>
          <w:color w:val="auto"/>
        </w:rPr>
      </w:pPr>
    </w:p>
    <w:p>
      <w:pPr>
        <w:spacing w:after="0"/>
        <w:rPr>
          <w:sz w:val="20"/>
          <w:szCs w:val="20"/>
          <w:color w:val="auto"/>
        </w:rPr>
      </w:pPr>
      <w:r>
        <w:rPr>
          <w:rFonts w:ascii="Arial" w:cs="Arial" w:eastAsia="Arial" w:hAnsi="Arial"/>
          <w:sz w:val="20"/>
          <w:szCs w:val="20"/>
          <w:color w:val="auto"/>
        </w:rPr>
        <w:t>Benefits are recorded when paid.</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Notes Receivable from Participants</w:t>
      </w:r>
    </w:p>
    <w:p>
      <w:pPr>
        <w:spacing w:after="0" w:line="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Notes receivable from participants are measured at their unpaid principal balance plus any accrued but unpaid interest. Interest income is recorded on the accrual basis. Related fees are recorded as administrative expenses and are expensed when they are incurred. No allowance for credit losses has been recorded as of December 31, 2020 and 2019. If a participant ceases to make note repayments and the Plan Administrator deems the participant note to be in default, the participant note balance is reduced and a benefit payment is recorded.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Administrative Expenses</w:t>
      </w:r>
    </w:p>
    <w:p>
      <w:pPr>
        <w:spacing w:after="0" w:line="8" w:lineRule="exact"/>
        <w:rPr>
          <w:sz w:val="20"/>
          <w:szCs w:val="20"/>
          <w:color w:val="auto"/>
        </w:rPr>
      </w:pPr>
    </w:p>
    <w:p>
      <w:pPr>
        <w:jc w:val="both"/>
        <w:ind w:right="20"/>
        <w:spacing w:after="0" w:line="225" w:lineRule="auto"/>
        <w:rPr>
          <w:sz w:val="20"/>
          <w:szCs w:val="20"/>
          <w:color w:val="auto"/>
        </w:rPr>
      </w:pPr>
      <w:r>
        <w:rPr>
          <w:rFonts w:ascii="Arial" w:cs="Arial" w:eastAsia="Arial" w:hAnsi="Arial"/>
          <w:sz w:val="20"/>
          <w:szCs w:val="20"/>
          <w:color w:val="auto"/>
        </w:rPr>
        <w:t>All expenses incurred to administer the Plan are paid through forfeitures of nonvested accounts or by the Company with the exception of recordkeeping fees, which are paid by the Plan.</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FAIR VALUE MEASUREMENTS</w:t>
      </w:r>
    </w:p>
    <w:p>
      <w:pPr>
        <w:spacing w:after="0" w:line="213"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The framework for measuring fair value provides a fair value hierarchy that prioritizes the inputs to valuation techniques used to measure fair value. The hierarchy gives the highest priority to unadjusted quoted prices in active markets for identical assets or liabilities (Level 1) and the lowest priority to unobservable inputs (Level 3). The three levels of the fair value hierarchy under Financial Accounting Standards Board (FASB) Accounting Standards Codification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are described as follows:</w:t>
      </w:r>
    </w:p>
    <w:p>
      <w:pPr>
        <w:spacing w:after="0" w:line="186" w:lineRule="exact"/>
        <w:rPr>
          <w:sz w:val="20"/>
          <w:szCs w:val="20"/>
          <w:color w:val="auto"/>
        </w:rPr>
      </w:pPr>
    </w:p>
    <w:p>
      <w:pPr>
        <w:ind w:left="660" w:hanging="328"/>
        <w:spacing w:after="0" w:line="233"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Level 1 – Inputs to the valuation methodology are unadjusted quoted prices for identical assets or liabilities in active markets that the Plan has the ability to access.</w:t>
      </w:r>
    </w:p>
    <w:p>
      <w:pPr>
        <w:spacing w:after="0" w:line="1" w:lineRule="exact"/>
        <w:rPr>
          <w:rFonts w:ascii="Arial" w:cs="Arial" w:eastAsia="Arial" w:hAnsi="Arial"/>
          <w:sz w:val="20"/>
          <w:szCs w:val="20"/>
          <w:color w:val="auto"/>
        </w:rPr>
      </w:pPr>
    </w:p>
    <w:p>
      <w:pPr>
        <w:jc w:val="both"/>
        <w:ind w:left="660" w:hanging="328"/>
        <w:spacing w:after="0" w:line="225" w:lineRule="auto"/>
        <w:tabs>
          <w:tab w:leader="none" w:pos="648" w:val="left"/>
        </w:tabs>
        <w:numPr>
          <w:ilvl w:val="0"/>
          <w:numId w:val="3"/>
        </w:numPr>
        <w:rPr>
          <w:rFonts w:ascii="Arial" w:cs="Arial" w:eastAsia="Arial" w:hAnsi="Arial"/>
          <w:sz w:val="20"/>
          <w:szCs w:val="20"/>
          <w:color w:val="auto"/>
        </w:rPr>
      </w:pPr>
      <w:r>
        <w:rPr>
          <w:rFonts w:ascii="Arial" w:cs="Arial" w:eastAsia="Arial" w:hAnsi="Arial"/>
          <w:sz w:val="20"/>
          <w:szCs w:val="20"/>
          <w:color w:val="auto"/>
        </w:rPr>
        <w:t>Level 2 – Inputs to the valuation methodology include: Quoted prices for similar assets or liabilities in active markets; quoted prices for identical or similar assets or liabilities in inactive markets; inputs other than quoted prices that are observable for the asset or liability; inputs that are derived principally from or corroborated by observable market data by correlation or other means. If the asset or liability has a specified (contractual) term, the Level 2 input must be observable for substantially the full term of the asset or liability.</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Level 3 – Inputs to the valuation methodology are unobservable and significant to the fair value measurement.</w:t>
      </w:r>
    </w:p>
    <w:p>
      <w:pPr>
        <w:sectPr>
          <w:pgSz w:w="11900" w:h="16838" w:orient="portrait"/>
          <w:cols w:equalWidth="0" w:num="1">
            <w:col w:w="11240"/>
          </w:cols>
          <w:pgMar w:left="320" w:top="121" w:right="339" w:bottom="164" w:gutter="0" w:footer="0" w:header="0"/>
        </w:sectPr>
      </w:pPr>
    </w:p>
    <w:bookmarkStart w:id="8" w:name="page9"/>
    <w:bookmarkEnd w:id="8"/>
    <w:p>
      <w:pPr>
        <w:jc w:val="both"/>
        <w:spacing w:after="0" w:line="237" w:lineRule="auto"/>
        <w:rPr>
          <w:sz w:val="20"/>
          <w:szCs w:val="20"/>
          <w:color w:val="auto"/>
        </w:rPr>
      </w:pPr>
      <w:r>
        <w:rPr>
          <w:rFonts w:ascii="Arial" w:cs="Arial" w:eastAsia="Arial" w:hAnsi="Arial"/>
          <w:sz w:val="20"/>
          <w:szCs w:val="20"/>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21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The following is a description of the valuation methodologies used for assets and liabilities measured at fair value. There have been no significant changes in the methodologies used at December 31, 2020 and 2019.</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Mutual Funds </w:t>
      </w:r>
      <w:r>
        <w:rPr>
          <w:rFonts w:ascii="Arial" w:cs="Arial" w:eastAsia="Arial" w:hAnsi="Arial"/>
          <w:sz w:val="20"/>
          <w:szCs w:val="20"/>
          <w:color w:val="auto"/>
        </w:rPr>
        <w:t>– Valued based on the daily closing price as reported by the fund by obtaining quoted prices on nationally recognized</w:t>
      </w:r>
      <w:r>
        <w:rPr>
          <w:rFonts w:ascii="Arial" w:cs="Arial" w:eastAsia="Arial" w:hAnsi="Arial"/>
          <w:sz w:val="20"/>
          <w:szCs w:val="20"/>
          <w:i w:val="1"/>
          <w:iCs w:val="1"/>
          <w:color w:val="auto"/>
        </w:rPr>
        <w:t xml:space="preserve"> </w:t>
      </w:r>
      <w:r>
        <w:rPr>
          <w:rFonts w:ascii="Arial" w:cs="Arial" w:eastAsia="Arial" w:hAnsi="Arial"/>
          <w:sz w:val="20"/>
          <w:szCs w:val="20"/>
          <w:color w:val="auto"/>
        </w:rPr>
        <w:t>securities exchanges. The mutual funds held by the Plan are deemed to be actively traded.</w:t>
      </w:r>
    </w:p>
    <w:p>
      <w:pPr>
        <w:spacing w:after="0" w:line="204"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0"/>
          <w:szCs w:val="20"/>
          <w:i w:val="1"/>
          <w:iCs w:val="1"/>
          <w:color w:val="auto"/>
        </w:rPr>
        <w:t xml:space="preserve">Shares of Roper Technologies, Inc. Common Stock </w:t>
      </w:r>
      <w:r>
        <w:rPr>
          <w:rFonts w:ascii="Arial" w:cs="Arial" w:eastAsia="Arial" w:hAnsi="Arial"/>
          <w:sz w:val="20"/>
          <w:szCs w:val="20"/>
          <w:color w:val="auto"/>
        </w:rPr>
        <w:t>– Valued at the net asset value (NAV) of shares held by the Plan at year end by</w:t>
      </w:r>
      <w:r>
        <w:rPr>
          <w:rFonts w:ascii="Arial" w:cs="Arial" w:eastAsia="Arial" w:hAnsi="Arial"/>
          <w:sz w:val="20"/>
          <w:szCs w:val="20"/>
          <w:i w:val="1"/>
          <w:iCs w:val="1"/>
          <w:color w:val="auto"/>
        </w:rPr>
        <w:t xml:space="preserve"> </w:t>
      </w:r>
      <w:r>
        <w:rPr>
          <w:rFonts w:ascii="Arial" w:cs="Arial" w:eastAsia="Arial" w:hAnsi="Arial"/>
          <w:sz w:val="20"/>
          <w:szCs w:val="20"/>
          <w:color w:val="auto"/>
        </w:rPr>
        <w:t>obtaining quoted prices on nationally recognized securities exchanges.</w:t>
      </w:r>
    </w:p>
    <w:p>
      <w:pPr>
        <w:spacing w:after="0" w:line="20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i w:val="1"/>
          <w:iCs w:val="1"/>
          <w:color w:val="auto"/>
        </w:rPr>
        <w:t xml:space="preserve">CCTs – </w:t>
      </w:r>
      <w:r>
        <w:rPr>
          <w:rFonts w:ascii="Arial" w:cs="Arial" w:eastAsia="Arial" w:hAnsi="Arial"/>
          <w:sz w:val="18"/>
          <w:szCs w:val="18"/>
          <w:color w:val="auto"/>
        </w:rPr>
        <w:t>Valued at the NAV provided by the fund's trustee as a practical expedient to estimate fair value. The NAV is based on the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investments held by the fund less its liabilities. This practical expedient would not be used when it is determined to be probable that the fund will sell the investment for an amount different than the reported NAV. Participant transactions (purchases and sales) may occur daily. If the Plan initiates a full redemption of the collective trust, the investment advisor reserves the right to temporarily delay withdrawal from the trust in order to ensure that securities liquidations will be carried out in an orderly business manner.</w:t>
      </w:r>
    </w:p>
    <w:p>
      <w:pPr>
        <w:spacing w:after="0" w:line="18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auto"/>
        </w:rPr>
        <w:t>The methodologies described above may produce a fair value calculation that may not be indicative of net realizable value or reflective of future fair values. Furthermore, while the Plan believes its valuation methods are appropriate and consistent with other market participants, the use of different methodologies or assumptions to determine the fair value of certain financial instruments could result in a different fair value measurement at the reporting date.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by level, within the fair value hierarchy, the Plan's assets at fair value as of December 31, 2020 (in thousands):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Level 1</w:t>
            </w:r>
          </w:p>
        </w:tc>
        <w:tc>
          <w:tcPr>
            <w:tcW w:w="8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7"/>
        </w:trPr>
        <w:tc>
          <w:tcPr>
            <w:tcW w:w="6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Mutual funds</w:t>
            </w:r>
          </w:p>
        </w:tc>
        <w:tc>
          <w:tcPr>
            <w:tcW w:w="1600" w:type="dxa"/>
            <w:vAlign w:val="bottom"/>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254,108</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254,108</w:t>
            </w:r>
          </w:p>
        </w:tc>
        <w:tc>
          <w:tcPr>
            <w:tcW w:w="0" w:type="dxa"/>
            <w:vAlign w:val="bottom"/>
          </w:tcPr>
          <w:p>
            <w:pPr>
              <w:spacing w:after="0"/>
              <w:rPr>
                <w:sz w:val="1"/>
                <w:szCs w:val="1"/>
                <w:color w:val="auto"/>
              </w:rPr>
            </w:pPr>
          </w:p>
        </w:tc>
      </w:tr>
      <w:tr>
        <w:trPr>
          <w:trHeight w:val="24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Roper Technologies, Inc. common stock fund</w:t>
            </w:r>
          </w:p>
        </w:tc>
        <w:tc>
          <w:tcPr>
            <w:tcW w:w="1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32,973</w:t>
            </w: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32,973</w:t>
            </w:r>
          </w:p>
        </w:tc>
        <w:tc>
          <w:tcPr>
            <w:tcW w:w="0" w:type="dxa"/>
            <w:vAlign w:val="bottom"/>
          </w:tcPr>
          <w:p>
            <w:pPr>
              <w:spacing w:after="0"/>
              <w:rPr>
                <w:sz w:val="1"/>
                <w:szCs w:val="1"/>
                <w:color w:val="auto"/>
              </w:rPr>
            </w:pPr>
          </w:p>
        </w:tc>
      </w:tr>
      <w:tr>
        <w:trPr>
          <w:trHeight w:val="261"/>
        </w:trPr>
        <w:tc>
          <w:tcPr>
            <w:tcW w:w="6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Total assets in the fair value hierarchy</w:t>
            </w:r>
          </w:p>
        </w:tc>
        <w:tc>
          <w:tcPr>
            <w:tcW w:w="1600" w:type="dxa"/>
            <w:vAlign w:val="bottom"/>
            <w:tcBorders>
              <w:bottom w:val="single" w:sz="8" w:color="auto"/>
            </w:tcBorders>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287,081</w:t>
            </w: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287,081</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Investments measured at NAV</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CCTs*</w:t>
            </w:r>
          </w:p>
        </w:tc>
        <w:tc>
          <w:tcPr>
            <w:tcW w:w="16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872,072</w:t>
            </w:r>
          </w:p>
        </w:tc>
        <w:tc>
          <w:tcPr>
            <w:tcW w:w="0" w:type="dxa"/>
            <w:vAlign w:val="bottom"/>
          </w:tcPr>
          <w:p>
            <w:pPr>
              <w:spacing w:after="0"/>
              <w:rPr>
                <w:sz w:val="1"/>
                <w:szCs w:val="1"/>
                <w:color w:val="auto"/>
              </w:rPr>
            </w:pPr>
          </w:p>
        </w:tc>
      </w:tr>
      <w:tr>
        <w:trPr>
          <w:trHeight w:val="237"/>
        </w:trPr>
        <w:tc>
          <w:tcPr>
            <w:tcW w:w="622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1,159,153</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 forth by level, within the fair value hierarchy, the Plan's assets at fair value as of December 31, 2019 (in thousands):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220" w:type="dxa"/>
            <w:vAlign w:val="bottom"/>
            <w:tcBorders>
              <w:bottom w:val="single" w:sz="8" w:color="CCEEFF"/>
            </w:tcBorders>
          </w:tcPr>
          <w:p>
            <w:pPr>
              <w:spacing w:after="0"/>
              <w:rPr>
                <w:sz w:val="21"/>
                <w:szCs w:val="21"/>
                <w:color w:val="auto"/>
              </w:rPr>
            </w:pPr>
          </w:p>
        </w:tc>
        <w:tc>
          <w:tcPr>
            <w:tcW w:w="1600" w:type="dxa"/>
            <w:vAlign w:val="bottom"/>
            <w:tcBorders>
              <w:bottom w:val="single" w:sz="8" w:color="auto"/>
            </w:tcBorders>
          </w:tcPr>
          <w:p>
            <w:pPr>
              <w:jc w:val="right"/>
              <w:ind w:right="1"/>
              <w:spacing w:after="0"/>
              <w:rPr>
                <w:sz w:val="20"/>
                <w:szCs w:val="20"/>
                <w:color w:val="auto"/>
              </w:rPr>
            </w:pPr>
            <w:r>
              <w:rPr>
                <w:rFonts w:ascii="Arial" w:cs="Arial" w:eastAsia="Arial" w:hAnsi="Arial"/>
                <w:sz w:val="20"/>
                <w:szCs w:val="20"/>
                <w:b w:val="1"/>
                <w:bCs w:val="1"/>
                <w:color w:val="auto"/>
              </w:rPr>
              <w:t>Level 1</w:t>
            </w:r>
          </w:p>
        </w:tc>
        <w:tc>
          <w:tcPr>
            <w:tcW w:w="8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ind w:right="901"/>
              <w:spacing w:after="0"/>
              <w:rPr>
                <w:sz w:val="20"/>
                <w:szCs w:val="20"/>
                <w:color w:val="auto"/>
              </w:rPr>
            </w:pPr>
            <w:r>
              <w:rPr>
                <w:rFonts w:ascii="Arial" w:cs="Arial" w:eastAsia="Arial" w:hAnsi="Arial"/>
                <w:sz w:val="20"/>
                <w:szCs w:val="20"/>
                <w:b w:val="1"/>
                <w:bCs w:val="1"/>
                <w:color w:val="auto"/>
              </w:rPr>
              <w:t>Total</w:t>
            </w:r>
          </w:p>
        </w:tc>
        <w:tc>
          <w:tcPr>
            <w:tcW w:w="0" w:type="dxa"/>
            <w:vAlign w:val="bottom"/>
          </w:tcPr>
          <w:p>
            <w:pPr>
              <w:spacing w:after="0"/>
              <w:rPr>
                <w:sz w:val="1"/>
                <w:szCs w:val="1"/>
                <w:color w:val="auto"/>
              </w:rPr>
            </w:pPr>
          </w:p>
        </w:tc>
      </w:tr>
      <w:tr>
        <w:trPr>
          <w:trHeight w:val="237"/>
        </w:trPr>
        <w:tc>
          <w:tcPr>
            <w:tcW w:w="6220" w:type="dxa"/>
            <w:vAlign w:val="bottom"/>
            <w:shd w:val="clear" w:color="auto" w:fill="CCEEFF"/>
          </w:tcPr>
          <w:p>
            <w:pPr>
              <w:ind w:left="20"/>
              <w:spacing w:after="0"/>
              <w:rPr>
                <w:sz w:val="20"/>
                <w:szCs w:val="20"/>
                <w:color w:val="auto"/>
              </w:rPr>
            </w:pPr>
            <w:r>
              <w:rPr>
                <w:rFonts w:ascii="Arial" w:cs="Arial" w:eastAsia="Arial" w:hAnsi="Arial"/>
                <w:sz w:val="20"/>
                <w:szCs w:val="20"/>
                <w:color w:val="auto"/>
              </w:rPr>
              <w:t>Mutual funds</w:t>
            </w:r>
          </w:p>
        </w:tc>
        <w:tc>
          <w:tcPr>
            <w:tcW w:w="1600" w:type="dxa"/>
            <w:vAlign w:val="bottom"/>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20"/>
                <w:szCs w:val="20"/>
                <w:color w:val="auto"/>
                <w:w w:val="96"/>
              </w:rPr>
              <w:t>197,693</w:t>
            </w:r>
          </w:p>
        </w:tc>
        <w:tc>
          <w:tcPr>
            <w:tcW w:w="1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shd w:val="clear" w:color="auto" w:fill="CCEEFF"/>
          </w:tcPr>
          <w:p>
            <w:pPr>
              <w:jc w:val="right"/>
              <w:spacing w:after="0"/>
              <w:rPr>
                <w:sz w:val="20"/>
                <w:szCs w:val="20"/>
                <w:color w:val="auto"/>
              </w:rPr>
            </w:pPr>
            <w:r>
              <w:rPr>
                <w:rFonts w:ascii="Arial" w:cs="Arial" w:eastAsia="Arial" w:hAnsi="Arial"/>
                <w:sz w:val="20"/>
                <w:szCs w:val="20"/>
                <w:color w:val="auto"/>
              </w:rPr>
              <w:t>197,693</w:t>
            </w:r>
          </w:p>
        </w:tc>
        <w:tc>
          <w:tcPr>
            <w:tcW w:w="0" w:type="dxa"/>
            <w:vAlign w:val="bottom"/>
          </w:tcPr>
          <w:p>
            <w:pPr>
              <w:spacing w:after="0"/>
              <w:rPr>
                <w:sz w:val="1"/>
                <w:szCs w:val="1"/>
                <w:color w:val="auto"/>
              </w:rPr>
            </w:pPr>
          </w:p>
        </w:tc>
      </w:tr>
      <w:tr>
        <w:trPr>
          <w:trHeight w:val="243"/>
        </w:trPr>
        <w:tc>
          <w:tcPr>
            <w:tcW w:w="6220" w:type="dxa"/>
            <w:vAlign w:val="bottom"/>
            <w:tcBorders>
              <w:bottom w:val="single" w:sz="8" w:color="CCEEFF"/>
            </w:tcBorders>
          </w:tcPr>
          <w:p>
            <w:pPr>
              <w:ind w:left="20"/>
              <w:spacing w:after="0"/>
              <w:rPr>
                <w:sz w:val="20"/>
                <w:szCs w:val="20"/>
                <w:color w:val="auto"/>
              </w:rPr>
            </w:pPr>
            <w:r>
              <w:rPr>
                <w:rFonts w:ascii="Arial" w:cs="Arial" w:eastAsia="Arial" w:hAnsi="Arial"/>
                <w:sz w:val="20"/>
                <w:szCs w:val="20"/>
                <w:color w:val="auto"/>
              </w:rPr>
              <w:t>Roper Technologies, Inc. common stock fund</w:t>
            </w:r>
          </w:p>
        </w:tc>
        <w:tc>
          <w:tcPr>
            <w:tcW w:w="16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27,925</w:t>
            </w:r>
          </w:p>
        </w:tc>
        <w:tc>
          <w:tcPr>
            <w:tcW w:w="1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27,925</w:t>
            </w:r>
          </w:p>
        </w:tc>
        <w:tc>
          <w:tcPr>
            <w:tcW w:w="0" w:type="dxa"/>
            <w:vAlign w:val="bottom"/>
          </w:tcPr>
          <w:p>
            <w:pPr>
              <w:spacing w:after="0"/>
              <w:rPr>
                <w:sz w:val="1"/>
                <w:szCs w:val="1"/>
                <w:color w:val="auto"/>
              </w:rPr>
            </w:pPr>
          </w:p>
        </w:tc>
      </w:tr>
      <w:tr>
        <w:trPr>
          <w:trHeight w:val="261"/>
        </w:trPr>
        <w:tc>
          <w:tcPr>
            <w:tcW w:w="6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20"/>
                <w:szCs w:val="20"/>
                <w:color w:val="auto"/>
              </w:rPr>
              <w:t>Total assets in the fair value hierarchy</w:t>
            </w:r>
          </w:p>
        </w:tc>
        <w:tc>
          <w:tcPr>
            <w:tcW w:w="1600" w:type="dxa"/>
            <w:vAlign w:val="bottom"/>
            <w:tcBorders>
              <w:bottom w:val="single" w:sz="8" w:color="auto"/>
            </w:tcBorders>
            <w:shd w:val="clear" w:color="auto" w:fill="CCEEFF"/>
          </w:tcPr>
          <w:p>
            <w:pPr>
              <w:jc w:val="right"/>
              <w:ind w:right="1381"/>
              <w:spacing w:after="0"/>
              <w:rPr>
                <w:sz w:val="20"/>
                <w:szCs w:val="20"/>
                <w:color w:val="auto"/>
              </w:rPr>
            </w:pPr>
            <w:r>
              <w:rPr>
                <w:rFonts w:ascii="Arial" w:cs="Arial" w:eastAsia="Arial" w:hAnsi="Arial"/>
                <w:sz w:val="20"/>
                <w:szCs w:val="20"/>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w w:val="96"/>
              </w:rPr>
              <w:t>225,618</w:t>
            </w:r>
          </w:p>
        </w:tc>
        <w:tc>
          <w:tcPr>
            <w:tcW w:w="18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20"/>
                <w:szCs w:val="20"/>
                <w:color w:val="auto"/>
              </w:rPr>
              <w:t>225,618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20"/>
                <w:szCs w:val="20"/>
                <w:color w:val="auto"/>
              </w:rPr>
              <w:t>Investments measured at NAV</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220" w:type="dxa"/>
            <w:vAlign w:val="bottom"/>
            <w:vMerge w:val="continue"/>
          </w:tcPr>
          <w:p>
            <w:pPr>
              <w:spacing w:after="0"/>
              <w:rPr>
                <w:sz w:val="16"/>
                <w:szCs w:val="16"/>
                <w:color w:val="auto"/>
              </w:rPr>
            </w:pPr>
          </w:p>
        </w:tc>
        <w:tc>
          <w:tcPr>
            <w:tcW w:w="16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6220" w:type="dxa"/>
            <w:vAlign w:val="bottom"/>
            <w:shd w:val="clear" w:color="auto" w:fill="CCEEFF"/>
          </w:tcPr>
          <w:p>
            <w:pPr>
              <w:ind w:left="140"/>
              <w:spacing w:after="0"/>
              <w:rPr>
                <w:sz w:val="20"/>
                <w:szCs w:val="20"/>
                <w:color w:val="auto"/>
              </w:rPr>
            </w:pPr>
            <w:r>
              <w:rPr>
                <w:rFonts w:ascii="Arial" w:cs="Arial" w:eastAsia="Arial" w:hAnsi="Arial"/>
                <w:sz w:val="20"/>
                <w:szCs w:val="20"/>
                <w:color w:val="auto"/>
              </w:rPr>
              <w:t>CCTs*</w:t>
            </w:r>
          </w:p>
        </w:tc>
        <w:tc>
          <w:tcPr>
            <w:tcW w:w="160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spacing w:after="0"/>
              <w:rPr>
                <w:sz w:val="21"/>
                <w:szCs w:val="21"/>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671,756</w:t>
            </w:r>
          </w:p>
        </w:tc>
        <w:tc>
          <w:tcPr>
            <w:tcW w:w="0" w:type="dxa"/>
            <w:vAlign w:val="bottom"/>
          </w:tcPr>
          <w:p>
            <w:pPr>
              <w:spacing w:after="0"/>
              <w:rPr>
                <w:sz w:val="1"/>
                <w:szCs w:val="1"/>
                <w:color w:val="auto"/>
              </w:rPr>
            </w:pPr>
          </w:p>
        </w:tc>
      </w:tr>
      <w:tr>
        <w:trPr>
          <w:trHeight w:val="237"/>
        </w:trPr>
        <w:tc>
          <w:tcPr>
            <w:tcW w:w="6220" w:type="dxa"/>
            <w:vAlign w:val="bottom"/>
          </w:tcPr>
          <w:p>
            <w:pPr>
              <w:ind w:left="20"/>
              <w:spacing w:after="0"/>
              <w:rPr>
                <w:sz w:val="20"/>
                <w:szCs w:val="20"/>
                <w:color w:val="auto"/>
              </w:rPr>
            </w:pPr>
            <w:r>
              <w:rPr>
                <w:rFonts w:ascii="Arial" w:cs="Arial" w:eastAsia="Arial" w:hAnsi="Arial"/>
                <w:sz w:val="20"/>
                <w:szCs w:val="20"/>
                <w:color w:val="auto"/>
              </w:rPr>
              <w:t>Investments at fair value</w:t>
            </w:r>
          </w:p>
        </w:tc>
        <w:tc>
          <w:tcPr>
            <w:tcW w:w="1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Borders>
              <w:bottom w:val="single" w:sz="8" w:color="auto"/>
            </w:tcBorders>
          </w:tcPr>
          <w:p>
            <w:pPr>
              <w:jc w:val="right"/>
              <w:ind w:right="341"/>
              <w:spacing w:after="0"/>
              <w:rPr>
                <w:sz w:val="20"/>
                <w:szCs w:val="20"/>
                <w:color w:val="auto"/>
              </w:rPr>
            </w:pPr>
            <w:r>
              <w:rPr>
                <w:rFonts w:ascii="Arial" w:cs="Arial" w:eastAsia="Arial" w:hAnsi="Arial"/>
                <w:sz w:val="20"/>
                <w:szCs w:val="20"/>
                <w:color w:val="auto"/>
                <w:w w:val="89"/>
              </w:rPr>
              <w: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897,374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0"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*In accordance with FASB ASC Subtopic 820-10, certain investments that were measured at NAV per share (or its equivalent) have not been classified in the fair value hierarchy. The fair value amounts presented in this table are intended to permit reconciliation of the fair value hierarchy to the line items presented in the statements of net assets available for benefits.</w:t>
      </w:r>
    </w:p>
    <w:p>
      <w:pPr>
        <w:spacing w:after="0" w:line="210"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There were no significant transfers between Level 1 and Level 2 investments or into or out of Level 3 investments during the years ended December 31, 2020 and 2019.</w:t>
      </w:r>
    </w:p>
    <w:p>
      <w:pPr>
        <w:sectPr>
          <w:pgSz w:w="11900" w:h="16838" w:orient="portrait"/>
          <w:cols w:equalWidth="0" w:num="1">
            <w:col w:w="11240"/>
          </w:cols>
          <w:pgMar w:left="320" w:top="121" w:right="339" w:bottom="81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following tables summarize investments measured at fair value based on NAV per share as of December 31, 2020 and 2019 (in thousands):</w:t>
      </w:r>
    </w:p>
    <w:p>
      <w:pPr>
        <w:sectPr>
          <w:pgSz w:w="11900" w:h="16838" w:orient="portrait"/>
          <w:cols w:equalWidth="0" w:num="1">
            <w:col w:w="11240"/>
          </w:cols>
          <w:pgMar w:left="320" w:top="121" w:right="339" w:bottom="816"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43"/>
        </w:trPr>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Redemption</w:t>
            </w:r>
          </w:p>
        </w:tc>
        <w:tc>
          <w:tcPr>
            <w:tcW w:w="1800" w:type="dxa"/>
            <w:vAlign w:val="bottom"/>
          </w:tcPr>
          <w:p>
            <w:pPr>
              <w:spacing w:after="0"/>
              <w:rPr>
                <w:sz w:val="21"/>
                <w:szCs w:val="21"/>
                <w:color w:val="auto"/>
              </w:rPr>
            </w:pPr>
          </w:p>
        </w:tc>
      </w:tr>
      <w:tr>
        <w:trPr>
          <w:trHeight w:val="243"/>
        </w:trPr>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Frequency</w:t>
            </w:r>
          </w:p>
        </w:tc>
        <w:tc>
          <w:tcPr>
            <w:tcW w:w="1800" w:type="dxa"/>
            <w:vAlign w:val="bottom"/>
          </w:tcPr>
          <w:p>
            <w:pPr>
              <w:ind w:left="20"/>
              <w:spacing w:after="0"/>
              <w:rPr>
                <w:sz w:val="20"/>
                <w:szCs w:val="20"/>
                <w:color w:val="auto"/>
              </w:rPr>
            </w:pPr>
            <w:r>
              <w:rPr>
                <w:rFonts w:ascii="Arial" w:cs="Arial" w:eastAsia="Arial" w:hAnsi="Arial"/>
                <w:sz w:val="20"/>
                <w:szCs w:val="20"/>
                <w:b w:val="1"/>
                <w:bCs w:val="1"/>
                <w:color w:val="auto"/>
              </w:rPr>
              <w:t>Redemption</w:t>
            </w:r>
          </w:p>
        </w:tc>
      </w:tr>
      <w:tr>
        <w:trPr>
          <w:trHeight w:val="243"/>
        </w:trPr>
        <w:tc>
          <w:tcPr>
            <w:tcW w:w="2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20"/>
                <w:szCs w:val="20"/>
                <w:b w:val="1"/>
                <w:bCs w:val="1"/>
                <w:color w:val="auto"/>
              </w:rPr>
              <w:t>Unfunded</w:t>
            </w: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(if currently</w:t>
            </w:r>
          </w:p>
        </w:tc>
        <w:tc>
          <w:tcPr>
            <w:tcW w:w="1800" w:type="dxa"/>
            <w:vAlign w:val="bottom"/>
          </w:tcPr>
          <w:p>
            <w:pPr>
              <w:ind w:left="20"/>
              <w:spacing w:after="0"/>
              <w:rPr>
                <w:sz w:val="20"/>
                <w:szCs w:val="20"/>
                <w:color w:val="auto"/>
              </w:rPr>
            </w:pPr>
            <w:r>
              <w:rPr>
                <w:rFonts w:ascii="Arial" w:cs="Arial" w:eastAsia="Arial" w:hAnsi="Arial"/>
                <w:sz w:val="20"/>
                <w:szCs w:val="20"/>
                <w:b w:val="1"/>
                <w:bCs w:val="1"/>
                <w:color w:val="auto"/>
              </w:rPr>
              <w:t>Notice</w:t>
            </w:r>
          </w:p>
        </w:tc>
      </w:tr>
      <w:tr>
        <w:trPr>
          <w:trHeight w:val="252"/>
        </w:trPr>
        <w:tc>
          <w:tcPr>
            <w:tcW w:w="2520" w:type="dxa"/>
            <w:vAlign w:val="bottom"/>
          </w:tcPr>
          <w:p>
            <w:pPr>
              <w:ind w:left="20"/>
              <w:spacing w:after="0"/>
              <w:rPr>
                <w:sz w:val="20"/>
                <w:szCs w:val="20"/>
                <w:color w:val="auto"/>
              </w:rPr>
            </w:pPr>
            <w:r>
              <w:rPr>
                <w:rFonts w:ascii="Arial" w:cs="Arial" w:eastAsia="Arial" w:hAnsi="Arial"/>
                <w:sz w:val="20"/>
                <w:szCs w:val="20"/>
                <w:b w:val="1"/>
                <w:bCs w:val="1"/>
                <w:color w:val="auto"/>
              </w:rPr>
              <w:t>December 31, 2020</w:t>
            </w:r>
          </w:p>
        </w:tc>
        <w:tc>
          <w:tcPr>
            <w:tcW w:w="180" w:type="dxa"/>
            <w:vAlign w:val="bottom"/>
          </w:tcPr>
          <w:p>
            <w:pPr>
              <w:spacing w:after="0"/>
              <w:rPr>
                <w:sz w:val="21"/>
                <w:szCs w:val="21"/>
                <w:color w:val="auto"/>
              </w:rPr>
            </w:pPr>
          </w:p>
        </w:tc>
        <w:tc>
          <w:tcPr>
            <w:tcW w:w="1200" w:type="dxa"/>
            <w:vAlign w:val="bottom"/>
          </w:tcPr>
          <w:p>
            <w:pPr>
              <w:ind w:left="20"/>
              <w:spacing w:after="0"/>
              <w:rPr>
                <w:sz w:val="20"/>
                <w:szCs w:val="20"/>
                <w:color w:val="auto"/>
              </w:rPr>
            </w:pPr>
            <w:r>
              <w:rPr>
                <w:rFonts w:ascii="Arial" w:cs="Arial" w:eastAsia="Arial" w:hAnsi="Arial"/>
                <w:sz w:val="20"/>
                <w:szCs w:val="20"/>
                <w:b w:val="1"/>
                <w:bCs w:val="1"/>
                <w:color w:val="auto"/>
              </w:rPr>
              <w:t>Fair Value</w:t>
            </w: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0" w:type="dxa"/>
            <w:vAlign w:val="bottom"/>
            <w:gridSpan w:val="2"/>
          </w:tcPr>
          <w:p>
            <w:pPr>
              <w:ind w:left="20"/>
              <w:spacing w:after="0"/>
              <w:rPr>
                <w:sz w:val="20"/>
                <w:szCs w:val="20"/>
                <w:color w:val="auto"/>
              </w:rPr>
            </w:pPr>
            <w:r>
              <w:rPr>
                <w:rFonts w:ascii="Arial" w:cs="Arial" w:eastAsia="Arial" w:hAnsi="Arial"/>
                <w:sz w:val="20"/>
                <w:szCs w:val="20"/>
                <w:b w:val="1"/>
                <w:bCs w:val="1"/>
                <w:color w:val="auto"/>
              </w:rPr>
              <w:t>Commitments</w:t>
            </w:r>
          </w:p>
        </w:tc>
        <w:tc>
          <w:tcPr>
            <w:tcW w:w="1960" w:type="dxa"/>
            <w:vAlign w:val="bottom"/>
            <w:gridSpan w:val="2"/>
          </w:tcPr>
          <w:p>
            <w:pPr>
              <w:ind w:left="20"/>
              <w:spacing w:after="0"/>
              <w:rPr>
                <w:sz w:val="20"/>
                <w:szCs w:val="20"/>
                <w:color w:val="auto"/>
              </w:rPr>
            </w:pPr>
            <w:r>
              <w:rPr>
                <w:rFonts w:ascii="Arial" w:cs="Arial" w:eastAsia="Arial" w:hAnsi="Arial"/>
                <w:sz w:val="20"/>
                <w:szCs w:val="20"/>
                <w:b w:val="1"/>
                <w:bCs w:val="1"/>
                <w:color w:val="auto"/>
              </w:rPr>
              <w:t>eligible)</w:t>
            </w:r>
          </w:p>
        </w:tc>
        <w:tc>
          <w:tcPr>
            <w:tcW w:w="1800" w:type="dxa"/>
            <w:vAlign w:val="bottom"/>
          </w:tcPr>
          <w:p>
            <w:pPr>
              <w:ind w:left="20"/>
              <w:spacing w:after="0"/>
              <w:rPr>
                <w:sz w:val="20"/>
                <w:szCs w:val="20"/>
                <w:color w:val="auto"/>
              </w:rPr>
            </w:pPr>
            <w:r>
              <w:rPr>
                <w:rFonts w:ascii="Arial" w:cs="Arial" w:eastAsia="Arial" w:hAnsi="Arial"/>
                <w:sz w:val="20"/>
                <w:szCs w:val="20"/>
                <w:b w:val="1"/>
                <w:bCs w:val="1"/>
                <w:color w:val="auto"/>
              </w:rPr>
              <w:t>Period</w:t>
            </w:r>
          </w:p>
        </w:tc>
      </w:tr>
      <w:tr>
        <w:trPr>
          <w:trHeight w:val="237"/>
        </w:trPr>
        <w:tc>
          <w:tcPr>
            <w:tcW w:w="25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CCT Funds</w:t>
            </w:r>
          </w:p>
        </w:tc>
        <w:tc>
          <w:tcPr>
            <w:tcW w:w="180" w:type="dxa"/>
            <w:vAlign w:val="bottom"/>
            <w:tcBorders>
              <w:top w:val="single" w:sz="8" w:color="CCEEFF"/>
            </w:tcBorders>
            <w:shd w:val="clear" w:color="auto" w:fill="CCEEFF"/>
          </w:tcPr>
          <w:p>
            <w:pPr>
              <w:spacing w:after="0"/>
              <w:rPr>
                <w:sz w:val="20"/>
                <w:szCs w:val="20"/>
                <w:color w:val="auto"/>
              </w:rPr>
            </w:pPr>
          </w:p>
        </w:tc>
        <w:tc>
          <w:tcPr>
            <w:tcW w:w="1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20"/>
                <w:szCs w:val="20"/>
                <w:color w:val="auto"/>
              </w:rPr>
              <w:t>872,072</w:t>
            </w:r>
          </w:p>
        </w:tc>
        <w:tc>
          <w:tcPr>
            <w:tcW w:w="180" w:type="dxa"/>
            <w:vAlign w:val="bottom"/>
            <w:tcBorders>
              <w:top w:val="single" w:sz="8" w:color="CCEEFF"/>
            </w:tcBorders>
            <w:shd w:val="clear" w:color="auto" w:fill="CCEEFF"/>
          </w:tcPr>
          <w:p>
            <w:pPr>
              <w:spacing w:after="0"/>
              <w:rPr>
                <w:sz w:val="20"/>
                <w:szCs w:val="20"/>
                <w:color w:val="auto"/>
              </w:rPr>
            </w:pPr>
          </w:p>
        </w:tc>
        <w:tc>
          <w:tcPr>
            <w:tcW w:w="2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N/A</w:t>
            </w:r>
          </w:p>
        </w:tc>
        <w:tc>
          <w:tcPr>
            <w:tcW w:w="180" w:type="dxa"/>
            <w:vAlign w:val="bottom"/>
            <w:tcBorders>
              <w:top w:val="single" w:sz="8" w:color="CCEEFF"/>
            </w:tcBorders>
            <w:shd w:val="clear" w:color="auto" w:fill="CCEEFF"/>
          </w:tcPr>
          <w:p>
            <w:pPr>
              <w:spacing w:after="0"/>
              <w:rPr>
                <w:sz w:val="20"/>
                <w:szCs w:val="20"/>
                <w:color w:val="auto"/>
              </w:rPr>
            </w:pPr>
          </w:p>
        </w:tc>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Daily</w:t>
            </w:r>
          </w:p>
        </w:tc>
        <w:tc>
          <w:tcPr>
            <w:tcW w:w="180" w:type="dxa"/>
            <w:vAlign w:val="bottom"/>
            <w:tcBorders>
              <w:top w:val="single" w:sz="8" w:color="CCEEFF"/>
            </w:tcBorders>
            <w:shd w:val="clear" w:color="auto" w:fill="CCEEFF"/>
          </w:tcPr>
          <w:p>
            <w:pPr>
              <w:spacing w:after="0"/>
              <w:rPr>
                <w:sz w:val="20"/>
                <w:szCs w:val="20"/>
                <w:color w:val="auto"/>
              </w:rPr>
            </w:pPr>
          </w:p>
        </w:tc>
        <w:tc>
          <w:tcPr>
            <w:tcW w:w="1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Daily</w:t>
            </w:r>
          </w:p>
        </w:tc>
      </w:tr>
      <w:tr>
        <w:trPr>
          <w:trHeight w:val="51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20"/>
                <w:szCs w:val="20"/>
                <w:b w:val="1"/>
                <w:bCs w:val="1"/>
                <w:color w:val="auto"/>
              </w:rPr>
              <w:t>December 31, 2019</w:t>
            </w:r>
          </w:p>
        </w:tc>
        <w:tc>
          <w:tcPr>
            <w:tcW w:w="180" w:type="dxa"/>
            <w:vAlign w:val="bottom"/>
            <w:tcBorders>
              <w:bottom w:val="single" w:sz="8" w:color="CCEEFF"/>
            </w:tcBorders>
          </w:tcPr>
          <w:p>
            <w:pPr>
              <w:spacing w:after="0"/>
              <w:rPr>
                <w:sz w:val="24"/>
                <w:szCs w:val="24"/>
                <w:color w:val="auto"/>
              </w:rPr>
            </w:pPr>
          </w:p>
        </w:tc>
        <w:tc>
          <w:tcPr>
            <w:tcW w:w="120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22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78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800" w:type="dxa"/>
            <w:vAlign w:val="bottom"/>
            <w:tcBorders>
              <w:bottom w:val="single" w:sz="8" w:color="CCEEFF"/>
            </w:tcBorders>
          </w:tcPr>
          <w:p>
            <w:pPr>
              <w:spacing w:after="0"/>
              <w:rPr>
                <w:sz w:val="24"/>
                <w:szCs w:val="24"/>
                <w:color w:val="auto"/>
              </w:rPr>
            </w:pPr>
          </w:p>
        </w:tc>
      </w:tr>
      <w:tr>
        <w:trPr>
          <w:trHeight w:val="236"/>
        </w:trPr>
        <w:tc>
          <w:tcPr>
            <w:tcW w:w="2520" w:type="dxa"/>
            <w:vAlign w:val="bottom"/>
            <w:shd w:val="clear" w:color="auto" w:fill="CCEEFF"/>
          </w:tcPr>
          <w:p>
            <w:pPr>
              <w:ind w:left="20"/>
              <w:spacing w:after="0"/>
              <w:rPr>
                <w:sz w:val="20"/>
                <w:szCs w:val="20"/>
                <w:color w:val="auto"/>
              </w:rPr>
            </w:pPr>
            <w:r>
              <w:rPr>
                <w:rFonts w:ascii="Arial" w:cs="Arial" w:eastAsia="Arial" w:hAnsi="Arial"/>
                <w:sz w:val="20"/>
                <w:szCs w:val="20"/>
                <w:color w:val="auto"/>
              </w:rPr>
              <w:t>CCT Funds</w:t>
            </w:r>
          </w:p>
        </w:tc>
        <w:tc>
          <w:tcPr>
            <w:tcW w:w="1380" w:type="dxa"/>
            <w:vAlign w:val="bottom"/>
            <w:gridSpan w:val="2"/>
            <w:shd w:val="clear" w:color="auto" w:fill="CCEEFF"/>
          </w:tcPr>
          <w:p>
            <w:pPr>
              <w:ind w:left="200"/>
              <w:spacing w:after="0"/>
              <w:rPr>
                <w:sz w:val="20"/>
                <w:szCs w:val="20"/>
                <w:color w:val="auto"/>
              </w:rPr>
            </w:pPr>
            <w:r>
              <w:rPr>
                <w:rFonts w:ascii="Arial" w:cs="Arial" w:eastAsia="Arial" w:hAnsi="Arial"/>
                <w:sz w:val="20"/>
                <w:szCs w:val="20"/>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20"/>
                <w:szCs w:val="20"/>
                <w:color w:val="auto"/>
              </w:rPr>
              <w:t>671,756</w:t>
            </w:r>
          </w:p>
        </w:tc>
        <w:tc>
          <w:tcPr>
            <w:tcW w:w="180" w:type="dxa"/>
            <w:vAlign w:val="bottom"/>
            <w:shd w:val="clear" w:color="auto" w:fill="CCEEFF"/>
          </w:tcPr>
          <w:p>
            <w:pPr>
              <w:spacing w:after="0"/>
              <w:rPr>
                <w:sz w:val="20"/>
                <w:szCs w:val="20"/>
                <w:color w:val="auto"/>
              </w:rPr>
            </w:pPr>
          </w:p>
        </w:tc>
        <w:tc>
          <w:tcPr>
            <w:tcW w:w="240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N/A</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20"/>
                <w:szCs w:val="20"/>
                <w:color w:val="auto"/>
              </w:rPr>
              <w:t>Daily</w:t>
            </w:r>
          </w:p>
        </w:tc>
        <w:tc>
          <w:tcPr>
            <w:tcW w:w="1800" w:type="dxa"/>
            <w:vAlign w:val="bottom"/>
            <w:shd w:val="clear" w:color="auto" w:fill="CCEEFF"/>
          </w:tcPr>
          <w:p>
            <w:pPr>
              <w:ind w:left="20"/>
              <w:spacing w:after="0"/>
              <w:rPr>
                <w:sz w:val="20"/>
                <w:szCs w:val="20"/>
                <w:color w:val="auto"/>
              </w:rPr>
            </w:pPr>
            <w:r>
              <w:rPr>
                <w:rFonts w:ascii="Arial" w:cs="Arial" w:eastAsia="Arial" w:hAnsi="Arial"/>
                <w:sz w:val="20"/>
                <w:szCs w:val="20"/>
                <w:color w:val="auto"/>
              </w:rPr>
              <w:t>Daily</w:t>
            </w:r>
          </w:p>
        </w:tc>
      </w:tr>
    </w:tbl>
    <w:p>
      <w:pPr>
        <w:spacing w:after="0" w:line="3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RELATED PARTY TRANSACTIONS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Plan investments include shares of mutual funds and CCT funds managed by the trustee. The Plan also paid fees for recordkeeping service and accounting service which are included in the statement of changes in net assets for the year ended December 31, 2020 withing administrative expenses. These transactions qualify as party-in-interest, and are exempt from the prohibited transactions rule.</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Plan offers Roper Technologies, Inc. common stock as an investment option for participants. The Company is the Plan sponsor as defined by the Plan; therefore, these transactions also qualify as party-in-interest transactions, and are exempt from the prohibited transactions rule.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PLAN TERMINATION</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Although it has not expressed any intent to do so, the Company has the right under the Plan to discontinue its contributions at any time and to terminate the Plan subject to the provisions of ERISA. In the event of Plan termination, participants would become 100% vested in their employer contributions.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TAX STATUS</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The underlying non-standardized prototype plan has received an opinion letter from the Internal Revenue Service (IRS) dated May 28, 2014, stating that the form of the Plan is qualified under Section 401(a) of the IRC, and therefore, the related trust is tax-exempt. The Plan Administrator has determined that it is eligible to and has chosen to rely on the current IRS non-standardized prototype plan opinion letter. Once qualified, the Plan is required to operate in conformity with the IRC to maintain its qualification. The Plan Administrator believes the Plan is in compliance with the applicable requirements of the IRC and therefore, believes that the Plan is qualified, and the related trust is tax-exempt.</w:t>
      </w:r>
    </w:p>
    <w:p>
      <w:pPr>
        <w:spacing w:after="0" w:line="211"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U.S. GAAP requires Plan management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SUBSEQUENT EVENTS</w:t>
      </w:r>
    </w:p>
    <w:p>
      <w:pPr>
        <w:spacing w:after="0" w:line="235" w:lineRule="exact"/>
        <w:rPr>
          <w:sz w:val="20"/>
          <w:szCs w:val="20"/>
          <w:color w:val="auto"/>
        </w:rPr>
      </w:pPr>
    </w:p>
    <w:p>
      <w:pPr>
        <w:jc w:val="both"/>
        <w:ind w:right="20"/>
        <w:spacing w:after="0" w:line="246" w:lineRule="auto"/>
        <w:rPr>
          <w:sz w:val="20"/>
          <w:szCs w:val="20"/>
          <w:color w:val="auto"/>
        </w:rPr>
      </w:pPr>
      <w:r>
        <w:rPr>
          <w:rFonts w:ascii="Arial" w:cs="Arial" w:eastAsia="Arial" w:hAnsi="Arial"/>
          <w:sz w:val="20"/>
          <w:szCs w:val="20"/>
          <w:color w:val="auto"/>
        </w:rPr>
        <w:t>Management has evaluated subsequent events through June 11, 2021, which is the date the financial statements were available to be issued, and have determined that there is are no subsequent events that require disclosure.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SUPPLEMENTARY INFORMATION</w:t>
      </w:r>
    </w:p>
    <w:p>
      <w:pPr>
        <w:sectPr>
          <w:pgSz w:w="11900" w:h="16838" w:orient="portrait"/>
          <w:cols w:equalWidth="0" w:num="1">
            <w:col w:w="11240"/>
          </w:cols>
          <w:pgMar w:left="320" w:top="157"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20"/>
          <w:szCs w:val="20"/>
          <w:b w:val="1"/>
          <w:bCs w:val="1"/>
          <w:color w:val="auto"/>
        </w:rPr>
        <w:t>ROPER INDUSTRIES, INC.</w:t>
      </w:r>
    </w:p>
    <w:p>
      <w:pPr>
        <w:spacing w:after="0" w:line="26"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EMPLOYEES’ RETIREMENT SAVINGS 004 PLAN</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SPONSOR’S EIN# 51-0263969</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PLAN NUMBER: 004</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H, LINE 4(i)</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SCHEDULE OF ASSETS (HELD AT END OF YEAR)</w:t>
      </w:r>
    </w:p>
    <w:p>
      <w:pPr>
        <w:spacing w:after="0" w:line="13"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December 31, 2020</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(b)</w:t>
            </w:r>
          </w:p>
        </w:tc>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Description of investment including</w:t>
            </w:r>
          </w:p>
        </w:tc>
        <w:tc>
          <w:tcPr>
            <w:tcW w:w="0" w:type="dxa"/>
            <w:vAlign w:val="bottom"/>
          </w:tcPr>
          <w:p>
            <w:pPr>
              <w:spacing w:after="0"/>
              <w:rPr>
                <w:sz w:val="1"/>
                <w:szCs w:val="1"/>
                <w:color w:val="auto"/>
              </w:rPr>
            </w:pPr>
          </w:p>
        </w:tc>
      </w:tr>
      <w:tr>
        <w:trPr>
          <w:trHeight w:val="243"/>
        </w:trPr>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Identity of issuer, borrower</w:t>
            </w:r>
          </w:p>
        </w:tc>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maturity date, rate of interest,</w:t>
            </w:r>
          </w:p>
        </w:tc>
        <w:tc>
          <w:tcPr>
            <w:tcW w:w="0" w:type="dxa"/>
            <w:vAlign w:val="bottom"/>
          </w:tcPr>
          <w:p>
            <w:pPr>
              <w:spacing w:after="0"/>
              <w:rPr>
                <w:sz w:val="1"/>
                <w:szCs w:val="1"/>
                <w:color w:val="auto"/>
              </w:rPr>
            </w:pPr>
          </w:p>
        </w:tc>
      </w:tr>
      <w:tr>
        <w:trPr>
          <w:trHeight w:val="252"/>
        </w:trPr>
        <w:tc>
          <w:tcPr>
            <w:tcW w:w="740" w:type="dxa"/>
            <w:vAlign w:val="bottom"/>
            <w:gridSpan w:val="2"/>
          </w:tcPr>
          <w:p>
            <w:pPr>
              <w:ind w:left="20"/>
              <w:spacing w:after="0"/>
              <w:rPr>
                <w:sz w:val="20"/>
                <w:szCs w:val="20"/>
                <w:color w:val="auto"/>
              </w:rPr>
            </w:pPr>
            <w:r>
              <w:rPr>
                <w:rFonts w:ascii="Arial" w:cs="Arial" w:eastAsia="Arial" w:hAnsi="Arial"/>
                <w:sz w:val="20"/>
                <w:szCs w:val="20"/>
                <w:b w:val="1"/>
                <w:bCs w:val="1"/>
                <w:color w:val="auto"/>
              </w:rPr>
              <w:t>(a)</w:t>
            </w:r>
          </w:p>
        </w:tc>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lessor, or similar parties</w:t>
            </w:r>
          </w:p>
        </w:tc>
        <w:tc>
          <w:tcPr>
            <w:tcW w:w="4360" w:type="dxa"/>
            <w:vAlign w:val="bottom"/>
          </w:tcPr>
          <w:p>
            <w:pPr>
              <w:ind w:left="20"/>
              <w:spacing w:after="0"/>
              <w:rPr>
                <w:sz w:val="20"/>
                <w:szCs w:val="20"/>
                <w:color w:val="auto"/>
              </w:rPr>
            </w:pPr>
            <w:r>
              <w:rPr>
                <w:rFonts w:ascii="Arial" w:cs="Arial" w:eastAsia="Arial" w:hAnsi="Arial"/>
                <w:sz w:val="20"/>
                <w:szCs w:val="20"/>
                <w:b w:val="1"/>
                <w:bCs w:val="1"/>
                <w:color w:val="auto"/>
              </w:rPr>
              <w:t>collateral, par, or maturity value</w:t>
            </w:r>
          </w:p>
        </w:tc>
        <w:tc>
          <w:tcPr>
            <w:tcW w:w="0" w:type="dxa"/>
            <w:vAlign w:val="bottom"/>
          </w:tcPr>
          <w:p>
            <w:pPr>
              <w:spacing w:after="0"/>
              <w:rPr>
                <w:sz w:val="1"/>
                <w:szCs w:val="1"/>
                <w:color w:val="auto"/>
              </w:rPr>
            </w:pPr>
          </w:p>
        </w:tc>
      </w:tr>
      <w:tr>
        <w:trPr>
          <w:trHeight w:val="233"/>
        </w:trPr>
        <w:tc>
          <w:tcPr>
            <w:tcW w:w="560" w:type="dxa"/>
            <w:vAlign w:val="bottom"/>
            <w:tcBorders>
              <w:top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4200" w:type="dxa"/>
            <w:vAlign w:val="bottom"/>
            <w:tcBorders>
              <w:top w:val="single" w:sz="8" w:color="auto"/>
            </w:tcBorders>
          </w:tcPr>
          <w:p>
            <w:pPr>
              <w:ind w:left="20"/>
              <w:spacing w:after="0"/>
              <w:rPr>
                <w:sz w:val="20"/>
                <w:szCs w:val="20"/>
                <w:color w:val="auto"/>
              </w:rPr>
            </w:pPr>
            <w:r>
              <w:rPr>
                <w:rFonts w:ascii="Arial" w:cs="Arial" w:eastAsia="Arial" w:hAnsi="Arial"/>
                <w:sz w:val="20"/>
                <w:szCs w:val="20"/>
                <w:b w:val="1"/>
                <w:bCs w:val="1"/>
                <w:color w:val="auto"/>
              </w:rPr>
              <w:t>Mutual Funds</w:t>
            </w:r>
          </w:p>
        </w:tc>
        <w:tc>
          <w:tcPr>
            <w:tcW w:w="180" w:type="dxa"/>
            <w:vAlign w:val="bottom"/>
          </w:tcPr>
          <w:p>
            <w:pPr>
              <w:spacing w:after="0"/>
              <w:rPr>
                <w:sz w:val="20"/>
                <w:szCs w:val="20"/>
                <w:color w:val="auto"/>
              </w:rPr>
            </w:pPr>
          </w:p>
        </w:tc>
        <w:tc>
          <w:tcPr>
            <w:tcW w:w="4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Cash Reserve Federal MM Fund</w:t>
            </w:r>
          </w:p>
        </w:tc>
        <w:tc>
          <w:tcPr>
            <w:tcW w:w="4360" w:type="dxa"/>
            <w:vAlign w:val="bottom"/>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192"/>
        </w:trPr>
        <w:tc>
          <w:tcPr>
            <w:tcW w:w="5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4380" w:type="dxa"/>
            <w:vAlign w:val="bottom"/>
            <w:gridSpan w:val="2"/>
          </w:tcPr>
          <w:p>
            <w:pPr>
              <w:ind w:left="20"/>
              <w:spacing w:after="0" w:line="192" w:lineRule="exact"/>
              <w:rPr>
                <w:sz w:val="20"/>
                <w:szCs w:val="20"/>
                <w:color w:val="auto"/>
              </w:rPr>
            </w:pPr>
            <w:r>
              <w:rPr>
                <w:rFonts w:ascii="Arial" w:cs="Arial" w:eastAsia="Arial" w:hAnsi="Arial"/>
                <w:sz w:val="20"/>
                <w:szCs w:val="20"/>
                <w:color w:val="auto"/>
              </w:rPr>
              <w:t>Vanguard Developed Markets Index Fund</w:t>
            </w:r>
          </w:p>
        </w:tc>
        <w:tc>
          <w:tcPr>
            <w:tcW w:w="4360" w:type="dxa"/>
            <w:vAlign w:val="bottom"/>
            <w:vMerge w:val="restart"/>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40"/>
        </w:trPr>
        <w:tc>
          <w:tcPr>
            <w:tcW w:w="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Institutional Shares</w:t>
            </w:r>
          </w:p>
        </w:tc>
        <w:tc>
          <w:tcPr>
            <w:tcW w:w="4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5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4380" w:type="dxa"/>
            <w:vAlign w:val="bottom"/>
            <w:gridSpan w:val="2"/>
          </w:tcPr>
          <w:p>
            <w:pPr>
              <w:ind w:left="20"/>
              <w:spacing w:after="0" w:line="192" w:lineRule="exact"/>
              <w:rPr>
                <w:sz w:val="20"/>
                <w:szCs w:val="20"/>
                <w:color w:val="auto"/>
              </w:rPr>
            </w:pPr>
            <w:r>
              <w:rPr>
                <w:rFonts w:ascii="Arial" w:cs="Arial" w:eastAsia="Arial" w:hAnsi="Arial"/>
                <w:sz w:val="20"/>
                <w:szCs w:val="20"/>
                <w:color w:val="auto"/>
              </w:rPr>
              <w:t>Vanguard Emerging Markets Stock Index Fund:</w:t>
            </w:r>
          </w:p>
        </w:tc>
        <w:tc>
          <w:tcPr>
            <w:tcW w:w="4360" w:type="dxa"/>
            <w:vAlign w:val="bottom"/>
            <w:vMerge w:val="restart"/>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40"/>
        </w:trPr>
        <w:tc>
          <w:tcPr>
            <w:tcW w:w="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Inst'l Shares</w:t>
            </w:r>
          </w:p>
        </w:tc>
        <w:tc>
          <w:tcPr>
            <w:tcW w:w="4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w w:val="95"/>
              </w:rPr>
              <w:t>Vanguard Institutional Index Fund Instl Plus Shares</w:t>
            </w:r>
          </w:p>
        </w:tc>
        <w:tc>
          <w:tcPr>
            <w:tcW w:w="4360" w:type="dxa"/>
            <w:vAlign w:val="bottom"/>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w w:val="96"/>
              </w:rPr>
              <w:t>Vanguard Mid-Cap Index Fund Institutional Shares</w:t>
            </w:r>
          </w:p>
        </w:tc>
        <w:tc>
          <w:tcPr>
            <w:tcW w:w="4360" w:type="dxa"/>
            <w:vAlign w:val="bottom"/>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192"/>
        </w:trPr>
        <w:tc>
          <w:tcPr>
            <w:tcW w:w="5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4380" w:type="dxa"/>
            <w:vAlign w:val="bottom"/>
            <w:gridSpan w:val="2"/>
          </w:tcPr>
          <w:p>
            <w:pPr>
              <w:ind w:left="20"/>
              <w:spacing w:after="0" w:line="192" w:lineRule="exact"/>
              <w:rPr>
                <w:sz w:val="20"/>
                <w:szCs w:val="20"/>
                <w:color w:val="auto"/>
              </w:rPr>
            </w:pPr>
            <w:r>
              <w:rPr>
                <w:rFonts w:ascii="Arial" w:cs="Arial" w:eastAsia="Arial" w:hAnsi="Arial"/>
                <w:sz w:val="20"/>
                <w:szCs w:val="20"/>
                <w:color w:val="auto"/>
              </w:rPr>
              <w:t>Vanguard Small-Cap Index Fund Institutional</w:t>
            </w:r>
          </w:p>
        </w:tc>
        <w:tc>
          <w:tcPr>
            <w:tcW w:w="4360" w:type="dxa"/>
            <w:vAlign w:val="bottom"/>
            <w:vMerge w:val="restart"/>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40"/>
        </w:trPr>
        <w:tc>
          <w:tcPr>
            <w:tcW w:w="5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Shares</w:t>
            </w:r>
          </w:p>
        </w:tc>
        <w:tc>
          <w:tcPr>
            <w:tcW w:w="43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w w:val="96"/>
              </w:rPr>
              <w:t>Vanguard Total Bond Market Index Fund: Inst'l Shr</w:t>
            </w:r>
          </w:p>
        </w:tc>
        <w:tc>
          <w:tcPr>
            <w:tcW w:w="4360" w:type="dxa"/>
            <w:vAlign w:val="bottom"/>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192"/>
        </w:trPr>
        <w:tc>
          <w:tcPr>
            <w:tcW w:w="560" w:type="dxa"/>
            <w:vAlign w:val="bottom"/>
            <w:vMerge w:val="restart"/>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16"/>
                <w:szCs w:val="16"/>
                <w:color w:val="auto"/>
              </w:rPr>
            </w:pPr>
          </w:p>
        </w:tc>
        <w:tc>
          <w:tcPr>
            <w:tcW w:w="4380" w:type="dxa"/>
            <w:vAlign w:val="bottom"/>
            <w:gridSpan w:val="2"/>
          </w:tcPr>
          <w:p>
            <w:pPr>
              <w:ind w:left="20"/>
              <w:spacing w:after="0" w:line="192" w:lineRule="exact"/>
              <w:rPr>
                <w:sz w:val="20"/>
                <w:szCs w:val="20"/>
                <w:color w:val="auto"/>
              </w:rPr>
            </w:pPr>
            <w:r>
              <w:rPr>
                <w:rFonts w:ascii="Arial" w:cs="Arial" w:eastAsia="Arial" w:hAnsi="Arial"/>
                <w:sz w:val="20"/>
                <w:szCs w:val="20"/>
                <w:color w:val="auto"/>
                <w:w w:val="94"/>
              </w:rPr>
              <w:t>Vanguard Total International Bond Index Fund Instit</w:t>
            </w:r>
          </w:p>
        </w:tc>
        <w:tc>
          <w:tcPr>
            <w:tcW w:w="4360" w:type="dxa"/>
            <w:vAlign w:val="bottom"/>
            <w:vMerge w:val="restart"/>
          </w:tcPr>
          <w:p>
            <w:pPr>
              <w:ind w:left="20"/>
              <w:spacing w:after="0"/>
              <w:rPr>
                <w:sz w:val="20"/>
                <w:szCs w:val="20"/>
                <w:color w:val="auto"/>
              </w:rPr>
            </w:pPr>
            <w:r>
              <w:rPr>
                <w:rFonts w:ascii="Arial" w:cs="Arial" w:eastAsia="Arial" w:hAnsi="Arial"/>
                <w:sz w:val="20"/>
                <w:szCs w:val="20"/>
                <w:color w:val="auto"/>
              </w:rPr>
              <w:t>Mutual funds</w:t>
            </w:r>
          </w:p>
        </w:tc>
        <w:tc>
          <w:tcPr>
            <w:tcW w:w="0" w:type="dxa"/>
            <w:vAlign w:val="bottom"/>
          </w:tcPr>
          <w:p>
            <w:pPr>
              <w:spacing w:after="0"/>
              <w:rPr>
                <w:sz w:val="1"/>
                <w:szCs w:val="1"/>
                <w:color w:val="auto"/>
              </w:rPr>
            </w:pPr>
          </w:p>
        </w:tc>
      </w:tr>
      <w:tr>
        <w:trPr>
          <w:trHeight w:val="250"/>
        </w:trPr>
        <w:tc>
          <w:tcPr>
            <w:tcW w:w="56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Shr</w:t>
            </w:r>
          </w:p>
        </w:tc>
        <w:tc>
          <w:tcPr>
            <w:tcW w:w="4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80" w:type="dxa"/>
            <w:vAlign w:val="bottom"/>
            <w:gridSpan w:val="2"/>
          </w:tcPr>
          <w:p>
            <w:pPr>
              <w:ind w:left="120"/>
              <w:spacing w:after="0"/>
              <w:rPr>
                <w:sz w:val="20"/>
                <w:szCs w:val="20"/>
                <w:color w:val="auto"/>
              </w:rPr>
            </w:pPr>
            <w:r>
              <w:rPr>
                <w:rFonts w:ascii="Arial" w:cs="Arial" w:eastAsia="Arial" w:hAnsi="Arial"/>
                <w:sz w:val="20"/>
                <w:szCs w:val="20"/>
                <w:color w:val="auto"/>
              </w:rPr>
              <w:t>Total mutual funds</w:t>
            </w:r>
          </w:p>
        </w:tc>
        <w:tc>
          <w:tcPr>
            <w:tcW w:w="4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4"/>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b w:val="1"/>
                <w:bCs w:val="1"/>
                <w:color w:val="auto"/>
              </w:rPr>
              <w:t>Common/Collective Trust Funds</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Retirement Savings Trust III</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2015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2020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2025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2030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2035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2040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2045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2050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2055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2060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43"/>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2065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50"/>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Vanguard Target Retirement Income Trust Plus</w:t>
            </w:r>
          </w:p>
        </w:tc>
        <w:tc>
          <w:tcPr>
            <w:tcW w:w="4360" w:type="dxa"/>
            <w:vAlign w:val="bottom"/>
          </w:tcPr>
          <w:p>
            <w:pPr>
              <w:ind w:left="20"/>
              <w:spacing w:after="0"/>
              <w:rPr>
                <w:sz w:val="20"/>
                <w:szCs w:val="20"/>
                <w:color w:val="auto"/>
              </w:rPr>
            </w:pPr>
            <w:r>
              <w:rPr>
                <w:rFonts w:ascii="Arial" w:cs="Arial" w:eastAsia="Arial" w:hAnsi="Arial"/>
                <w:sz w:val="20"/>
                <w:szCs w:val="20"/>
                <w:color w:val="auto"/>
              </w:rPr>
              <w:t>Common/Collective Trust</w:t>
            </w:r>
          </w:p>
        </w:tc>
        <w:tc>
          <w:tcPr>
            <w:tcW w:w="0" w:type="dxa"/>
            <w:vAlign w:val="bottom"/>
          </w:tcPr>
          <w:p>
            <w:pPr>
              <w:spacing w:after="0"/>
              <w:rPr>
                <w:sz w:val="1"/>
                <w:szCs w:val="1"/>
                <w:color w:val="auto"/>
              </w:rPr>
            </w:pPr>
          </w:p>
        </w:tc>
      </w:tr>
      <w:tr>
        <w:trPr>
          <w:trHeight w:val="256"/>
        </w:trPr>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380" w:type="dxa"/>
            <w:vAlign w:val="bottom"/>
            <w:gridSpan w:val="2"/>
          </w:tcPr>
          <w:p>
            <w:pPr>
              <w:ind w:left="120"/>
              <w:spacing w:after="0"/>
              <w:rPr>
                <w:sz w:val="20"/>
                <w:szCs w:val="20"/>
                <w:color w:val="auto"/>
              </w:rPr>
            </w:pPr>
            <w:r>
              <w:rPr>
                <w:rFonts w:ascii="Arial" w:cs="Arial" w:eastAsia="Arial" w:hAnsi="Arial"/>
                <w:sz w:val="20"/>
                <w:szCs w:val="20"/>
                <w:color w:val="auto"/>
              </w:rPr>
              <w:t>Total Common/collective trust funds</w:t>
            </w:r>
          </w:p>
        </w:tc>
        <w:tc>
          <w:tcPr>
            <w:tcW w:w="4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Roper Common Stock</w:t>
            </w:r>
          </w:p>
        </w:tc>
        <w:tc>
          <w:tcPr>
            <w:tcW w:w="4360" w:type="dxa"/>
            <w:vAlign w:val="bottom"/>
          </w:tcPr>
          <w:p>
            <w:pPr>
              <w:ind w:left="20"/>
              <w:spacing w:after="0"/>
              <w:rPr>
                <w:sz w:val="20"/>
                <w:szCs w:val="20"/>
                <w:color w:val="auto"/>
              </w:rPr>
            </w:pPr>
            <w:r>
              <w:rPr>
                <w:rFonts w:ascii="Arial" w:cs="Arial" w:eastAsia="Arial" w:hAnsi="Arial"/>
                <w:sz w:val="20"/>
                <w:szCs w:val="20"/>
                <w:color w:val="auto"/>
              </w:rPr>
              <w:t>Common stock</w:t>
            </w:r>
          </w:p>
        </w:tc>
        <w:tc>
          <w:tcPr>
            <w:tcW w:w="0" w:type="dxa"/>
            <w:vAlign w:val="bottom"/>
          </w:tcPr>
          <w:p>
            <w:pPr>
              <w:spacing w:after="0"/>
              <w:rPr>
                <w:sz w:val="1"/>
                <w:szCs w:val="1"/>
                <w:color w:val="auto"/>
              </w:rPr>
            </w:pPr>
          </w:p>
        </w:tc>
      </w:tr>
      <w:tr>
        <w:trPr>
          <w:trHeight w:val="250"/>
        </w:trPr>
        <w:tc>
          <w:tcPr>
            <w:tcW w:w="560" w:type="dxa"/>
            <w:vAlign w:val="bottom"/>
          </w:tcPr>
          <w:p>
            <w:pPr>
              <w:ind w:left="20"/>
              <w:spacing w:after="0"/>
              <w:rPr>
                <w:sz w:val="20"/>
                <w:szCs w:val="20"/>
                <w:color w:val="auto"/>
              </w:rPr>
            </w:pPr>
            <w:r>
              <w:rPr>
                <w:rFonts w:ascii="Arial" w:cs="Arial" w:eastAsia="Arial" w:hAnsi="Arial"/>
                <w:sz w:val="20"/>
                <w:szCs w:val="20"/>
                <w:color w:val="auto"/>
              </w:rPr>
              <w:t>*</w:t>
            </w:r>
          </w:p>
        </w:tc>
        <w:tc>
          <w:tcPr>
            <w:tcW w:w="180" w:type="dxa"/>
            <w:vAlign w:val="bottom"/>
          </w:tcPr>
          <w:p>
            <w:pPr>
              <w:spacing w:after="0"/>
              <w:rPr>
                <w:sz w:val="21"/>
                <w:szCs w:val="21"/>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Notes receivable from participants</w:t>
            </w:r>
          </w:p>
        </w:tc>
        <w:tc>
          <w:tcPr>
            <w:tcW w:w="4360" w:type="dxa"/>
            <w:vAlign w:val="bottom"/>
          </w:tcPr>
          <w:p>
            <w:pPr>
              <w:ind w:left="20"/>
              <w:spacing w:after="0"/>
              <w:rPr>
                <w:sz w:val="20"/>
                <w:szCs w:val="20"/>
                <w:color w:val="auto"/>
              </w:rPr>
            </w:pPr>
            <w:r>
              <w:rPr>
                <w:rFonts w:ascii="Arial" w:cs="Arial" w:eastAsia="Arial" w:hAnsi="Arial"/>
                <w:sz w:val="20"/>
                <w:szCs w:val="20"/>
                <w:color w:val="auto"/>
              </w:rPr>
              <w:t>Interest rates ranging from 4.25% to 6.25%</w:t>
            </w:r>
          </w:p>
        </w:tc>
        <w:tc>
          <w:tcPr>
            <w:tcW w:w="0" w:type="dxa"/>
            <w:vAlign w:val="bottom"/>
          </w:tcPr>
          <w:p>
            <w:pPr>
              <w:spacing w:after="0"/>
              <w:rPr>
                <w:sz w:val="1"/>
                <w:szCs w:val="1"/>
                <w:color w:val="auto"/>
              </w:rPr>
            </w:pPr>
          </w:p>
        </w:tc>
      </w:tr>
      <w:tr>
        <w:trPr>
          <w:trHeight w:val="527"/>
        </w:trPr>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80" w:type="dxa"/>
            <w:vAlign w:val="bottom"/>
            <w:gridSpan w:val="2"/>
          </w:tcPr>
          <w:p>
            <w:pPr>
              <w:ind w:left="20"/>
              <w:spacing w:after="0"/>
              <w:rPr>
                <w:sz w:val="20"/>
                <w:szCs w:val="20"/>
                <w:color w:val="auto"/>
              </w:rPr>
            </w:pPr>
            <w:r>
              <w:rPr>
                <w:rFonts w:ascii="Arial" w:cs="Arial" w:eastAsia="Arial" w:hAnsi="Arial"/>
                <w:sz w:val="20"/>
                <w:szCs w:val="20"/>
                <w:color w:val="auto"/>
              </w:rPr>
              <w:t>*Indicates party-in-interest</w:t>
            </w:r>
          </w:p>
        </w:tc>
        <w:tc>
          <w:tcPr>
            <w:tcW w:w="4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-4922520</wp:posOffset>
            </wp:positionV>
            <wp:extent cx="7132320" cy="1543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-4493895</wp:posOffset>
            </wp:positionV>
            <wp:extent cx="7132320" cy="274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-4065270</wp:posOffset>
            </wp:positionV>
            <wp:extent cx="713232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-3636645</wp:posOffset>
            </wp:positionV>
            <wp:extent cx="71323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-2976245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-2667635</wp:posOffset>
            </wp:positionV>
            <wp:extent cx="7132320" cy="1543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-2359025</wp:posOffset>
            </wp:positionV>
            <wp:extent cx="71323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-2050415</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-1742440</wp:posOffset>
            </wp:positionV>
            <wp:extent cx="7132320"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-1433195</wp:posOffset>
            </wp:positionV>
            <wp:extent cx="7132320" cy="1543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-1125220</wp:posOffset>
            </wp:positionV>
            <wp:extent cx="7132320" cy="1543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-490855</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-816610</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-3208020</wp:posOffset>
            </wp:positionV>
            <wp:extent cx="7132320" cy="1631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(e)</w:t>
      </w:r>
    </w:p>
    <w:p>
      <w:pPr>
        <w:spacing w:after="0" w:line="26"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Current</w:t>
      </w:r>
    </w:p>
    <w:p>
      <w:pPr>
        <w:spacing w:after="0" w:line="13" w:lineRule="exact"/>
        <w:rPr>
          <w:sz w:val="20"/>
          <w:szCs w:val="20"/>
          <w:color w:val="auto"/>
        </w:rPr>
      </w:pPr>
    </w:p>
    <w:p>
      <w:pPr>
        <w:ind w:left="2"/>
        <w:spacing w:after="0"/>
        <w:rPr>
          <w:sz w:val="20"/>
          <w:szCs w:val="20"/>
          <w:color w:val="auto"/>
        </w:rPr>
      </w:pPr>
      <w:r>
        <w:rPr>
          <w:rFonts w:ascii="Arial" w:cs="Arial" w:eastAsia="Arial" w:hAnsi="Arial"/>
          <w:sz w:val="20"/>
          <w:szCs w:val="20"/>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5715</wp:posOffset>
            </wp:positionV>
            <wp:extent cx="10033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242" w:lineRule="exact"/>
        <w:rPr>
          <w:sz w:val="20"/>
          <w:szCs w:val="20"/>
          <w:color w:val="auto"/>
        </w:rPr>
      </w:pPr>
    </w:p>
    <w:p>
      <w:pPr>
        <w:ind w:left="842" w:hanging="842"/>
        <w:spacing w:after="0"/>
        <w:tabs>
          <w:tab w:leader="none" w:pos="842" w:val="left"/>
        </w:tabs>
        <w:numPr>
          <w:ilvl w:val="0"/>
          <w:numId w:val="4"/>
        </w:numPr>
        <w:rPr>
          <w:rFonts w:ascii="Arial" w:cs="Arial" w:eastAsia="Arial" w:hAnsi="Arial"/>
          <w:sz w:val="16"/>
          <w:szCs w:val="16"/>
          <w:color w:val="auto"/>
        </w:rPr>
      </w:pPr>
      <w:r>
        <w:rPr>
          <w:rFonts w:ascii="Arial" w:cs="Arial" w:eastAsia="Arial" w:hAnsi="Arial"/>
          <w:sz w:val="16"/>
          <w:szCs w:val="16"/>
          <w:color w:val="auto"/>
        </w:rPr>
        <w:t>222,410</w:t>
      </w:r>
    </w:p>
    <w:p>
      <w:pPr>
        <w:spacing w:after="0" w:line="248" w:lineRule="exact"/>
        <w:rPr>
          <w:sz w:val="20"/>
          <w:szCs w:val="20"/>
          <w:color w:val="auto"/>
        </w:rPr>
      </w:pPr>
    </w:p>
    <w:p>
      <w:pPr>
        <w:ind w:left="602"/>
        <w:spacing w:after="0"/>
        <w:rPr>
          <w:sz w:val="20"/>
          <w:szCs w:val="20"/>
          <w:color w:val="auto"/>
        </w:rPr>
      </w:pPr>
      <w:r>
        <w:rPr>
          <w:rFonts w:ascii="Arial" w:cs="Arial" w:eastAsia="Arial" w:hAnsi="Arial"/>
          <w:sz w:val="16"/>
          <w:szCs w:val="16"/>
          <w:color w:val="auto"/>
        </w:rPr>
        <w:t>30,458,761</w:t>
      </w:r>
    </w:p>
    <w:p>
      <w:pPr>
        <w:spacing w:after="0" w:line="248" w:lineRule="exact"/>
        <w:rPr>
          <w:sz w:val="20"/>
          <w:szCs w:val="20"/>
          <w:color w:val="auto"/>
        </w:rPr>
      </w:pPr>
    </w:p>
    <w:p>
      <w:pPr>
        <w:ind w:left="602"/>
        <w:spacing w:after="0"/>
        <w:rPr>
          <w:sz w:val="20"/>
          <w:szCs w:val="20"/>
          <w:color w:val="auto"/>
        </w:rPr>
      </w:pPr>
      <w:r>
        <w:rPr>
          <w:rFonts w:ascii="Arial" w:cs="Arial" w:eastAsia="Arial" w:hAnsi="Arial"/>
          <w:sz w:val="16"/>
          <w:szCs w:val="16"/>
          <w:color w:val="auto"/>
        </w:rPr>
        <w:t>17,544,006</w:t>
      </w:r>
    </w:p>
    <w:p>
      <w:pPr>
        <w:spacing w:after="0" w:line="66" w:lineRule="exact"/>
        <w:rPr>
          <w:sz w:val="20"/>
          <w:szCs w:val="20"/>
          <w:color w:val="auto"/>
        </w:rPr>
      </w:pPr>
    </w:p>
    <w:p>
      <w:pPr>
        <w:ind w:left="602"/>
        <w:spacing w:after="0"/>
        <w:rPr>
          <w:sz w:val="20"/>
          <w:szCs w:val="20"/>
          <w:color w:val="auto"/>
        </w:rPr>
      </w:pPr>
      <w:r>
        <w:rPr>
          <w:rFonts w:ascii="Arial" w:cs="Arial" w:eastAsia="Arial" w:hAnsi="Arial"/>
          <w:sz w:val="16"/>
          <w:szCs w:val="16"/>
          <w:color w:val="auto"/>
        </w:rPr>
        <w:t>96,519,165</w:t>
      </w:r>
    </w:p>
    <w:p>
      <w:pPr>
        <w:spacing w:after="0" w:line="59" w:lineRule="exact"/>
        <w:rPr>
          <w:sz w:val="20"/>
          <w:szCs w:val="20"/>
          <w:color w:val="auto"/>
        </w:rPr>
      </w:pPr>
    </w:p>
    <w:p>
      <w:pPr>
        <w:ind w:left="602"/>
        <w:spacing w:after="0"/>
        <w:rPr>
          <w:sz w:val="20"/>
          <w:szCs w:val="20"/>
          <w:color w:val="auto"/>
        </w:rPr>
      </w:pPr>
      <w:r>
        <w:rPr>
          <w:rFonts w:ascii="Arial" w:cs="Arial" w:eastAsia="Arial" w:hAnsi="Arial"/>
          <w:sz w:val="16"/>
          <w:szCs w:val="16"/>
          <w:color w:val="auto"/>
        </w:rPr>
        <w:t>46,704,553</w:t>
      </w:r>
    </w:p>
    <w:p>
      <w:pPr>
        <w:spacing w:after="0" w:line="241" w:lineRule="exact"/>
        <w:rPr>
          <w:sz w:val="20"/>
          <w:szCs w:val="20"/>
          <w:color w:val="auto"/>
        </w:rPr>
      </w:pPr>
    </w:p>
    <w:p>
      <w:pPr>
        <w:ind w:left="602"/>
        <w:spacing w:after="0"/>
        <w:rPr>
          <w:sz w:val="20"/>
          <w:szCs w:val="20"/>
          <w:color w:val="auto"/>
        </w:rPr>
      </w:pPr>
      <w:r>
        <w:rPr>
          <w:rFonts w:ascii="Arial" w:cs="Arial" w:eastAsia="Arial" w:hAnsi="Arial"/>
          <w:sz w:val="16"/>
          <w:szCs w:val="16"/>
          <w:color w:val="auto"/>
        </w:rPr>
        <w:t>23,517,405</w:t>
      </w:r>
    </w:p>
    <w:p>
      <w:pPr>
        <w:spacing w:after="0" w:line="66" w:lineRule="exact"/>
        <w:rPr>
          <w:sz w:val="20"/>
          <w:szCs w:val="20"/>
          <w:color w:val="auto"/>
        </w:rPr>
      </w:pPr>
    </w:p>
    <w:p>
      <w:pPr>
        <w:ind w:left="602"/>
        <w:spacing w:after="0"/>
        <w:rPr>
          <w:sz w:val="20"/>
          <w:szCs w:val="20"/>
          <w:color w:val="auto"/>
        </w:rPr>
      </w:pPr>
      <w:r>
        <w:rPr>
          <w:rFonts w:ascii="Arial" w:cs="Arial" w:eastAsia="Arial" w:hAnsi="Arial"/>
          <w:sz w:val="16"/>
          <w:szCs w:val="16"/>
          <w:color w:val="auto"/>
        </w:rPr>
        <w:t>33,481,712</w:t>
      </w:r>
    </w:p>
    <w:p>
      <w:pPr>
        <w:spacing w:after="0" w:line="241" w:lineRule="exact"/>
        <w:rPr>
          <w:sz w:val="20"/>
          <w:szCs w:val="20"/>
          <w:color w:val="auto"/>
        </w:rPr>
      </w:pPr>
    </w:p>
    <w:p>
      <w:pPr>
        <w:ind w:left="702"/>
        <w:spacing w:after="0"/>
        <w:rPr>
          <w:sz w:val="20"/>
          <w:szCs w:val="20"/>
          <w:color w:val="auto"/>
        </w:rPr>
      </w:pPr>
      <w:r>
        <w:rPr>
          <w:rFonts w:ascii="Arial" w:cs="Arial" w:eastAsia="Arial" w:hAnsi="Arial"/>
          <w:sz w:val="16"/>
          <w:szCs w:val="16"/>
          <w:color w:val="auto"/>
        </w:rPr>
        <w:t>5,659,639</w:t>
      </w:r>
    </w:p>
    <w:p>
      <w:pPr>
        <w:spacing w:after="0" w:line="73" w:lineRule="exact"/>
        <w:rPr>
          <w:sz w:val="20"/>
          <w:szCs w:val="20"/>
          <w:color w:val="auto"/>
        </w:rPr>
      </w:pPr>
    </w:p>
    <w:p>
      <w:pPr>
        <w:ind w:left="502"/>
        <w:spacing w:after="0"/>
        <w:rPr>
          <w:sz w:val="20"/>
          <w:szCs w:val="20"/>
          <w:color w:val="auto"/>
        </w:rPr>
      </w:pPr>
      <w:r>
        <w:rPr>
          <w:rFonts w:ascii="Arial" w:cs="Arial" w:eastAsia="Arial" w:hAnsi="Arial"/>
          <w:sz w:val="16"/>
          <w:szCs w:val="16"/>
          <w:color w:val="auto"/>
        </w:rPr>
        <w:t>254,107,651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033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39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42,380,319</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19,777,425</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69,430,554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120,877,647</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141,083,476</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134,411,520</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114,550,443</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95,245,617</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66,248,104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41,852,507</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15,326,271</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1,865,454</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20"/>
          <w:szCs w:val="20"/>
          <w:color w:val="auto"/>
        </w:rPr>
        <w:t>9,022,558</w:t>
      </w:r>
    </w:p>
    <w:p>
      <w:pPr>
        <w:spacing w:after="0" w:line="19" w:lineRule="exact"/>
        <w:rPr>
          <w:sz w:val="20"/>
          <w:szCs w:val="20"/>
          <w:color w:val="auto"/>
        </w:rPr>
      </w:pPr>
    </w:p>
    <w:p>
      <w:pPr>
        <w:ind w:left="502"/>
        <w:spacing w:after="0"/>
        <w:rPr>
          <w:sz w:val="20"/>
          <w:szCs w:val="20"/>
          <w:color w:val="auto"/>
        </w:rPr>
      </w:pPr>
      <w:r>
        <w:rPr>
          <w:rFonts w:ascii="Arial" w:cs="Arial" w:eastAsia="Arial" w:hAnsi="Arial"/>
          <w:sz w:val="16"/>
          <w:szCs w:val="16"/>
          <w:color w:val="auto"/>
        </w:rPr>
        <w:t>872,071,895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033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53" w:lineRule="exact"/>
        <w:rPr>
          <w:sz w:val="20"/>
          <w:szCs w:val="20"/>
          <w:color w:val="auto"/>
        </w:rPr>
      </w:pPr>
    </w:p>
    <w:p>
      <w:pPr>
        <w:ind w:left="602"/>
        <w:spacing w:after="0"/>
        <w:rPr>
          <w:sz w:val="20"/>
          <w:szCs w:val="20"/>
          <w:color w:val="auto"/>
        </w:rPr>
      </w:pPr>
      <w:r>
        <w:rPr>
          <w:rFonts w:ascii="Arial" w:cs="Arial" w:eastAsia="Arial" w:hAnsi="Arial"/>
          <w:sz w:val="16"/>
          <w:szCs w:val="16"/>
          <w:color w:val="auto"/>
        </w:rPr>
        <w:t>32,973,034</w:t>
      </w:r>
    </w:p>
    <w:p>
      <w:pPr>
        <w:spacing w:after="0" w:line="66" w:lineRule="exact"/>
        <w:rPr>
          <w:sz w:val="20"/>
          <w:szCs w:val="20"/>
          <w:color w:val="auto"/>
        </w:rPr>
      </w:pPr>
    </w:p>
    <w:p>
      <w:pPr>
        <w:ind w:left="702"/>
        <w:spacing w:after="0"/>
        <w:rPr>
          <w:sz w:val="20"/>
          <w:szCs w:val="20"/>
          <w:color w:val="auto"/>
        </w:rPr>
      </w:pPr>
      <w:r>
        <w:rPr>
          <w:rFonts w:ascii="Arial" w:cs="Arial" w:eastAsia="Arial" w:hAnsi="Arial"/>
          <w:sz w:val="16"/>
          <w:szCs w:val="16"/>
          <w:color w:val="auto"/>
        </w:rPr>
        <w:t>9,515,140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34925</wp:posOffset>
            </wp:positionV>
            <wp:extent cx="10033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03300" cy="8255"/>
                    </a:xfrm>
                    <a:prstGeom prst="rect">
                      <a:avLst/>
                    </a:prstGeom>
                    <a:noFill/>
                  </pic:spPr>
                </pic:pic>
              </a:graphicData>
            </a:graphic>
          </wp:anchor>
        </w:drawing>
      </w:r>
    </w:p>
    <w:p>
      <w:pPr>
        <w:spacing w:after="0" w:line="45" w:lineRule="exact"/>
        <w:rPr>
          <w:sz w:val="20"/>
          <w:szCs w:val="20"/>
          <w:color w:val="auto"/>
        </w:rPr>
      </w:pPr>
    </w:p>
    <w:p>
      <w:pPr>
        <w:ind w:left="342" w:hanging="342"/>
        <w:spacing w:after="0"/>
        <w:tabs>
          <w:tab w:leader="none" w:pos="342" w:val="left"/>
        </w:tabs>
        <w:numPr>
          <w:ilvl w:val="0"/>
          <w:numId w:val="5"/>
        </w:numPr>
        <w:rPr>
          <w:rFonts w:ascii="Arial" w:cs="Arial" w:eastAsia="Arial" w:hAnsi="Arial"/>
          <w:sz w:val="16"/>
          <w:szCs w:val="16"/>
          <w:color w:val="auto"/>
        </w:rPr>
      </w:pPr>
      <w:r>
        <w:rPr>
          <w:rFonts w:ascii="Arial" w:cs="Arial" w:eastAsia="Arial" w:hAnsi="Arial"/>
          <w:sz w:val="16"/>
          <w:szCs w:val="16"/>
          <w:color w:val="auto"/>
        </w:rPr>
        <w:t>1,168,667,720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39370</wp:posOffset>
            </wp:positionV>
            <wp:extent cx="10033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0330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65405</wp:posOffset>
            </wp:positionV>
            <wp:extent cx="10033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ectPr>
          <w:pgSz w:w="11900" w:h="16838" w:orient="portrait"/>
          <w:cols w:equalWidth="0" w:num="2">
            <w:col w:w="9480" w:space="198"/>
            <w:col w:w="1482"/>
          </w:cols>
          <w:pgMar w:left="320" w:top="157" w:right="419" w:bottom="1440" w:gutter="0" w:footer="0" w:header="0"/>
        </w:sectPr>
      </w:pPr>
    </w:p>
    <w:bookmarkStart w:id="11" w:name="page12"/>
    <w:bookmarkEnd w:id="11"/>
    <w:p>
      <w:pPr>
        <w:spacing w:after="0" w:line="27"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ROPER Technologies, Inc.</w:t>
      </w:r>
    </w:p>
    <w:p>
      <w:pPr>
        <w:spacing w:after="0" w:line="8" w:lineRule="exact"/>
        <w:rPr>
          <w:sz w:val="20"/>
          <w:szCs w:val="20"/>
          <w:color w:val="auto"/>
        </w:rPr>
      </w:pPr>
    </w:p>
    <w:p>
      <w:pPr>
        <w:ind w:left="620"/>
        <w:spacing w:after="0"/>
        <w:rPr>
          <w:sz w:val="20"/>
          <w:szCs w:val="20"/>
          <w:color w:val="auto"/>
        </w:rPr>
      </w:pPr>
      <w:r>
        <w:rPr>
          <w:rFonts w:ascii="Arial" w:cs="Arial" w:eastAsia="Arial" w:hAnsi="Arial"/>
          <w:sz w:val="20"/>
          <w:szCs w:val="20"/>
          <w:b w:val="1"/>
          <w:bCs w:val="1"/>
          <w:color w:val="auto"/>
        </w:rPr>
        <w:t>EMPLOYEE’S retirement savings 004 plan</w:t>
      </w:r>
    </w:p>
    <w:p>
      <w:pPr>
        <w:spacing w:after="0" w:line="11" w:lineRule="exact"/>
        <w:rPr>
          <w:sz w:val="20"/>
          <w:szCs w:val="20"/>
          <w:color w:val="auto"/>
        </w:rPr>
      </w:pPr>
    </w:p>
    <w:p>
      <w:pPr>
        <w:ind w:left="620"/>
        <w:spacing w:after="0"/>
        <w:rPr>
          <w:sz w:val="20"/>
          <w:szCs w:val="20"/>
          <w:color w:val="auto"/>
        </w:rPr>
      </w:pPr>
      <w:r>
        <w:rPr>
          <w:rFonts w:ascii="Arial" w:cs="Arial" w:eastAsia="Arial" w:hAnsi="Arial"/>
          <w:sz w:val="20"/>
          <w:szCs w:val="20"/>
          <w:color w:val="auto"/>
        </w:rPr>
        <w:t>(Registrant)</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0" w:type="dxa"/>
            <w:vAlign w:val="bottom"/>
          </w:tcPr>
          <w:p>
            <w:pPr>
              <w:spacing w:after="0"/>
              <w:rPr>
                <w:sz w:val="20"/>
                <w:szCs w:val="20"/>
                <w:color w:val="auto"/>
              </w:rPr>
            </w:pPr>
            <w:r>
              <w:rPr>
                <w:rFonts w:ascii="Arial" w:cs="Arial" w:eastAsia="Arial" w:hAnsi="Arial"/>
                <w:sz w:val="20"/>
                <w:szCs w:val="20"/>
                <w:color w:val="auto"/>
              </w:rPr>
              <w:t>BY:</w:t>
            </w:r>
          </w:p>
        </w:tc>
        <w:tc>
          <w:tcPr>
            <w:tcW w:w="568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/S/ Jason Conley</w:t>
            </w:r>
          </w:p>
        </w:tc>
        <w:tc>
          <w:tcPr>
            <w:tcW w:w="2620" w:type="dxa"/>
            <w:vAlign w:val="bottom"/>
          </w:tcPr>
          <w:p>
            <w:pPr>
              <w:ind w:left="1060"/>
              <w:spacing w:after="0"/>
              <w:rPr>
                <w:sz w:val="20"/>
                <w:szCs w:val="20"/>
                <w:color w:val="auto"/>
              </w:rPr>
            </w:pPr>
            <w:r>
              <w:rPr>
                <w:rFonts w:ascii="Arial" w:cs="Arial" w:eastAsia="Arial" w:hAnsi="Arial"/>
                <w:sz w:val="20"/>
                <w:szCs w:val="20"/>
                <w:color w:val="auto"/>
                <w:w w:val="85"/>
              </w:rPr>
              <w:t>Date: June 11, 2021</w:t>
            </w:r>
          </w:p>
        </w:tc>
      </w:tr>
      <w:tr>
        <w:trPr>
          <w:trHeight w:val="244"/>
        </w:trPr>
        <w:tc>
          <w:tcPr>
            <w:tcW w:w="600" w:type="dxa"/>
            <w:vAlign w:val="bottom"/>
          </w:tcPr>
          <w:p>
            <w:pPr>
              <w:spacing w:after="0"/>
              <w:rPr>
                <w:sz w:val="21"/>
                <w:szCs w:val="21"/>
                <w:color w:val="auto"/>
              </w:rPr>
            </w:pPr>
          </w:p>
        </w:tc>
        <w:tc>
          <w:tcPr>
            <w:tcW w:w="5680" w:type="dxa"/>
            <w:vAlign w:val="bottom"/>
          </w:tcPr>
          <w:p>
            <w:pPr>
              <w:ind w:left="20"/>
              <w:spacing w:after="0"/>
              <w:rPr>
                <w:sz w:val="20"/>
                <w:szCs w:val="20"/>
                <w:color w:val="auto"/>
              </w:rPr>
            </w:pPr>
            <w:r>
              <w:rPr>
                <w:rFonts w:ascii="Arial" w:cs="Arial" w:eastAsia="Arial" w:hAnsi="Arial"/>
                <w:sz w:val="20"/>
                <w:szCs w:val="20"/>
                <w:color w:val="auto"/>
              </w:rPr>
              <w:t>Jason Conley, Vice President and Controller</w:t>
            </w:r>
          </w:p>
        </w:tc>
        <w:tc>
          <w:tcPr>
            <w:tcW w:w="2620" w:type="dxa"/>
            <w:vAlign w:val="bottom"/>
          </w:tcPr>
          <w:p>
            <w:pPr>
              <w:spacing w:after="0"/>
              <w:rPr>
                <w:sz w:val="21"/>
                <w:szCs w:val="21"/>
                <w:color w:val="auto"/>
              </w:rPr>
            </w:pPr>
          </w:p>
        </w:tc>
      </w:tr>
    </w:tbl>
    <w:p>
      <w:pPr>
        <w:sectPr>
          <w:pgSz w:w="11900" w:h="16838" w:orient="portrait"/>
          <w:cols w:equalWidth="0" w:num="1">
            <w:col w:w="9039"/>
          </w:cols>
          <w:pgMar w:left="1420" w:top="1440" w:right="1440"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2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180" w:type="dxa"/>
            <w:vAlign w:val="bottom"/>
            <w:gridSpan w:val="2"/>
          </w:tcPr>
          <w:p>
            <w:pPr>
              <w:ind w:left="2420"/>
              <w:spacing w:after="0"/>
              <w:rPr>
                <w:sz w:val="20"/>
                <w:szCs w:val="20"/>
                <w:color w:val="auto"/>
              </w:rPr>
            </w:pPr>
            <w:r>
              <w:rPr>
                <w:rFonts w:ascii="Arial" w:cs="Arial" w:eastAsia="Arial" w:hAnsi="Arial"/>
                <w:sz w:val="20"/>
                <w:szCs w:val="20"/>
                <w:b w:val="1"/>
                <w:bCs w:val="1"/>
                <w:color w:val="auto"/>
              </w:rPr>
              <w:t>Exhibit Index</w:t>
            </w:r>
          </w:p>
        </w:tc>
      </w:tr>
      <w:tr>
        <w:trPr>
          <w:trHeight w:val="266"/>
        </w:trPr>
        <w:tc>
          <w:tcPr>
            <w:tcW w:w="2600" w:type="dxa"/>
            <w:vAlign w:val="bottom"/>
            <w:gridSpan w:val="2"/>
          </w:tcPr>
          <w:p>
            <w:pPr>
              <w:ind w:left="20"/>
              <w:spacing w:after="0"/>
              <w:rPr>
                <w:sz w:val="20"/>
                <w:szCs w:val="20"/>
                <w:color w:val="auto"/>
              </w:rPr>
            </w:pPr>
            <w:r>
              <w:rPr>
                <w:rFonts w:ascii="Arial" w:cs="Arial" w:eastAsia="Arial" w:hAnsi="Arial"/>
                <w:sz w:val="20"/>
                <w:szCs w:val="20"/>
                <w:b w:val="1"/>
                <w:bCs w:val="1"/>
                <w:color w:val="auto"/>
              </w:rPr>
              <w:t>Exhibit No.</w:t>
            </w:r>
          </w:p>
        </w:tc>
        <w:tc>
          <w:tcPr>
            <w:tcW w:w="20" w:type="dxa"/>
            <w:vAlign w:val="bottom"/>
          </w:tcPr>
          <w:p>
            <w:pPr>
              <w:spacing w:after="0"/>
              <w:rPr>
                <w:sz w:val="23"/>
                <w:szCs w:val="23"/>
                <w:color w:val="auto"/>
              </w:rPr>
            </w:pPr>
          </w:p>
        </w:tc>
        <w:tc>
          <w:tcPr>
            <w:tcW w:w="8180" w:type="dxa"/>
            <w:vAlign w:val="bottom"/>
            <w:gridSpan w:val="2"/>
          </w:tcPr>
          <w:p>
            <w:pPr>
              <w:spacing w:after="0"/>
              <w:rPr>
                <w:sz w:val="20"/>
                <w:szCs w:val="20"/>
                <w:color w:val="auto"/>
              </w:rPr>
            </w:pPr>
            <w:r>
              <w:rPr>
                <w:rFonts w:ascii="Arial" w:cs="Arial" w:eastAsia="Arial" w:hAnsi="Arial"/>
                <w:sz w:val="20"/>
                <w:szCs w:val="20"/>
                <w:b w:val="1"/>
                <w:bCs w:val="1"/>
                <w:color w:val="auto"/>
              </w:rPr>
              <w:t>Description of Index</w:t>
            </w:r>
          </w:p>
        </w:tc>
      </w:tr>
      <w:tr>
        <w:trPr>
          <w:trHeight w:val="196"/>
        </w:trPr>
        <w:tc>
          <w:tcPr>
            <w:tcW w:w="2240" w:type="dxa"/>
            <w:vAlign w:val="bottom"/>
            <w:tcBorders>
              <w:top w:val="single" w:sz="8" w:color="auto"/>
            </w:tcBorders>
          </w:tcPr>
          <w:p>
            <w:pPr>
              <w:ind w:left="20"/>
              <w:spacing w:after="0" w:line="196" w:lineRule="exact"/>
              <w:rPr>
                <w:sz w:val="20"/>
                <w:szCs w:val="20"/>
                <w:color w:val="auto"/>
              </w:rPr>
            </w:pPr>
            <w:r>
              <w:rPr>
                <w:rFonts w:ascii="Arial" w:cs="Arial" w:eastAsia="Arial" w:hAnsi="Arial"/>
                <w:sz w:val="20"/>
                <w:szCs w:val="20"/>
                <w:color w:val="auto"/>
              </w:rPr>
              <w:t>23.1</w:t>
            </w:r>
          </w:p>
        </w:tc>
        <w:tc>
          <w:tcPr>
            <w:tcW w:w="36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180" w:type="dxa"/>
            <w:vAlign w:val="bottom"/>
            <w:tcBorders>
              <w:top w:val="single" w:sz="8" w:color="auto"/>
            </w:tcBorders>
            <w:gridSpan w:val="2"/>
          </w:tcPr>
          <w:p>
            <w:pPr>
              <w:spacing w:after="0" w:line="196" w:lineRule="exact"/>
              <w:rPr>
                <w:rFonts w:ascii="Arial" w:cs="Arial" w:eastAsia="Arial" w:hAnsi="Arial"/>
                <w:sz w:val="20"/>
                <w:szCs w:val="20"/>
                <w:color w:val="0000FF"/>
              </w:rPr>
            </w:pPr>
            <w:hyperlink w:anchor="page14">
              <w:r>
                <w:rPr>
                  <w:rFonts w:ascii="Arial" w:cs="Arial" w:eastAsia="Arial" w:hAnsi="Arial"/>
                  <w:sz w:val="20"/>
                  <w:szCs w:val="20"/>
                  <w:color w:val="0000FF"/>
                </w:rPr>
                <w:t>Consent of Warren Averett, LLC</w:t>
              </w:r>
            </w:hyperlink>
          </w:p>
        </w:tc>
      </w:tr>
      <w:tr>
        <w:trPr>
          <w:trHeight w:val="20"/>
        </w:trPr>
        <w:tc>
          <w:tcPr>
            <w:tcW w:w="2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r>
    </w:tbl>
    <w:p>
      <w:pPr>
        <w:sectPr>
          <w:pgSz w:w="11900" w:h="16838" w:orient="portrait"/>
          <w:cols w:equalWidth="0" w:num="1">
            <w:col w:w="10800"/>
          </w:cols>
          <w:pgMar w:left="320" w:top="1413" w:right="77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304" w:lineRule="exact"/>
        <w:rPr>
          <w:sz w:val="20"/>
          <w:szCs w:val="20"/>
          <w:color w:val="auto"/>
        </w:rPr>
      </w:pPr>
    </w:p>
    <w:p>
      <w:pPr>
        <w:jc w:val="both"/>
        <w:spacing w:after="0"/>
        <w:rPr>
          <w:sz w:val="20"/>
          <w:szCs w:val="20"/>
          <w:color w:val="auto"/>
        </w:rPr>
      </w:pPr>
      <w:r>
        <w:rPr>
          <w:rFonts w:ascii="Arial" w:cs="Arial" w:eastAsia="Arial" w:hAnsi="Arial"/>
          <w:sz w:val="18"/>
          <w:szCs w:val="18"/>
          <w:color w:val="auto"/>
        </w:rPr>
        <w:t>We consent to the incorporation by reference in Registration Statement No. 333-36897 on Form S-8 of our report dated June 11, 2021, appearing in this Annual Report on Form 11-K of the Roper Technologies, Inc. Employees’ Retirement Savings 004 Plan for the year ended December 31, 2020.</w:t>
      </w:r>
    </w:p>
    <w:p>
      <w:pPr>
        <w:spacing w:after="0" w:line="224" w:lineRule="exact"/>
        <w:rPr>
          <w:sz w:val="20"/>
          <w:szCs w:val="20"/>
          <w:color w:val="auto"/>
        </w:rPr>
      </w:pPr>
    </w:p>
    <w:p>
      <w:pPr>
        <w:spacing w:after="0"/>
        <w:rPr>
          <w:sz w:val="20"/>
          <w:szCs w:val="20"/>
          <w:color w:val="auto"/>
        </w:rPr>
      </w:pPr>
      <w:r>
        <w:rPr>
          <w:rFonts w:ascii="Arial" w:cs="Arial" w:eastAsia="Arial" w:hAnsi="Arial"/>
          <w:sz w:val="22"/>
          <w:szCs w:val="22"/>
          <w:color w:val="auto"/>
        </w:rPr>
        <w:t>/s/ Warren Averett, LLC</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Atlanta, Georgia</w:t>
      </w:r>
    </w:p>
    <w:p>
      <w:pPr>
        <w:spacing w:after="0"/>
        <w:rPr>
          <w:sz w:val="20"/>
          <w:szCs w:val="20"/>
          <w:color w:val="auto"/>
        </w:rPr>
      </w:pPr>
      <w:r>
        <w:rPr>
          <w:rFonts w:ascii="Arial" w:cs="Arial" w:eastAsia="Arial" w:hAnsi="Arial"/>
          <w:sz w:val="22"/>
          <w:szCs w:val="22"/>
          <w:color w:val="auto"/>
        </w:rPr>
        <w:t>June 11, 2021</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2021-06-11T07:49:51Z</dcterms:created>
  <dcterms:modified xsi:type="dcterms:W3CDTF">2021-06-11T07:49:51Z</dcterms:modified>
</cp:coreProperties>
</file>