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spacing w:after="0"/>
        <w:rPr>
          <w:sz w:val="20"/>
          <w:szCs w:val="20"/>
          <w:color w:val="auto"/>
        </w:rPr>
      </w:pPr>
      <w:r>
        <w:rPr>
          <w:rFonts w:ascii="Arial" w:cs="Arial" w:eastAsia="Arial" w:hAnsi="Arial"/>
          <w:sz w:val="18"/>
          <w:szCs w:val="18"/>
          <w:b w:val="1"/>
          <w:bCs w:val="1"/>
          <w:color w:val="auto"/>
        </w:rPr>
        <w:t>UNITED STATES</w:t>
      </w:r>
    </w:p>
    <w:p>
      <w:pPr>
        <w:spacing w:after="0" w:line="50"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SECURITIES AND EXCHANGE COMMISSION</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 THE</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25, 2023</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ROPER TECHNOLOGIES,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Delaware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30" w:lineRule="exact"/>
        <w:rPr>
          <w:sz w:val="24"/>
          <w:szCs w:val="24"/>
          <w:color w:val="auto"/>
        </w:rPr>
      </w:pPr>
    </w:p>
    <w:tbl>
      <w:tblPr>
        <w:tblLayout w:type="fixed"/>
        <w:tblInd w:w="140" w:type="dxa"/>
        <w:tblCellMar>
          <w:top w:w="0" w:type="dxa"/>
          <w:left w:w="0" w:type="dxa"/>
          <w:bottom w:w="0" w:type="dxa"/>
          <w:right w:w="0" w:type="dxa"/>
        </w:tblCellMar>
      </w:tblPr>
      <w:tr>
        <w:trPr>
          <w:trHeight w:val="234"/>
        </w:trPr>
        <w:tc>
          <w:tcPr>
            <w:tcW w:w="6320" w:type="dxa"/>
            <w:vAlign w:val="bottom"/>
          </w:tcPr>
          <w:p>
            <w:pPr>
              <w:jc w:val="center"/>
              <w:ind w:left="230"/>
              <w:spacing w:after="0"/>
              <w:rPr>
                <w:sz w:val="20"/>
                <w:szCs w:val="20"/>
                <w:color w:val="auto"/>
              </w:rPr>
            </w:pPr>
            <w:r>
              <w:rPr>
                <w:rFonts w:ascii="Arial" w:cs="Arial" w:eastAsia="Arial" w:hAnsi="Arial"/>
                <w:sz w:val="18"/>
                <w:szCs w:val="18"/>
                <w:b w:val="1"/>
                <w:bCs w:val="1"/>
                <w:color w:val="auto"/>
                <w:w w:val="90"/>
              </w:rPr>
              <w:t>1-12273</w:t>
            </w:r>
          </w:p>
        </w:tc>
        <w:tc>
          <w:tcPr>
            <w:tcW w:w="4660" w:type="dxa"/>
            <w:vAlign w:val="bottom"/>
          </w:tcPr>
          <w:p>
            <w:pPr>
              <w:jc w:val="right"/>
              <w:ind w:right="1530"/>
              <w:spacing w:after="0"/>
              <w:rPr>
                <w:sz w:val="20"/>
                <w:szCs w:val="20"/>
                <w:color w:val="auto"/>
              </w:rPr>
            </w:pPr>
            <w:r>
              <w:rPr>
                <w:rFonts w:ascii="Arial" w:cs="Arial" w:eastAsia="Arial" w:hAnsi="Arial"/>
                <w:sz w:val="18"/>
                <w:szCs w:val="18"/>
                <w:b w:val="1"/>
                <w:bCs w:val="1"/>
                <w:color w:val="auto"/>
              </w:rPr>
              <w:t>51-0263969</w:t>
            </w:r>
          </w:p>
        </w:tc>
      </w:tr>
      <w:tr>
        <w:trPr>
          <w:trHeight w:val="102"/>
        </w:trPr>
        <w:tc>
          <w:tcPr>
            <w:tcW w:w="6320" w:type="dxa"/>
            <w:vAlign w:val="bottom"/>
            <w:tcBorders>
              <w:bottom w:val="single" w:sz="8" w:color="auto"/>
            </w:tcBorders>
          </w:tcPr>
          <w:p>
            <w:pPr>
              <w:spacing w:after="0"/>
              <w:rPr>
                <w:sz w:val="8"/>
                <w:szCs w:val="8"/>
                <w:color w:val="auto"/>
              </w:rPr>
            </w:pPr>
          </w:p>
        </w:tc>
        <w:tc>
          <w:tcPr>
            <w:tcW w:w="4660" w:type="dxa"/>
            <w:vAlign w:val="bottom"/>
            <w:tcBorders>
              <w:bottom w:val="single" w:sz="8" w:color="auto"/>
            </w:tcBorders>
          </w:tcPr>
          <w:p>
            <w:pPr>
              <w:spacing w:after="0"/>
              <w:rPr>
                <w:sz w:val="8"/>
                <w:szCs w:val="8"/>
                <w:color w:val="auto"/>
              </w:rPr>
            </w:pPr>
          </w:p>
        </w:tc>
      </w:tr>
      <w:tr>
        <w:trPr>
          <w:trHeight w:val="324"/>
        </w:trPr>
        <w:tc>
          <w:tcPr>
            <w:tcW w:w="6320" w:type="dxa"/>
            <w:vAlign w:val="bottom"/>
          </w:tcPr>
          <w:p>
            <w:pPr>
              <w:jc w:val="center"/>
              <w:ind w:left="210"/>
              <w:spacing w:after="0"/>
              <w:rPr>
                <w:sz w:val="20"/>
                <w:szCs w:val="20"/>
                <w:color w:val="auto"/>
              </w:rPr>
            </w:pPr>
            <w:r>
              <w:rPr>
                <w:rFonts w:ascii="Arial" w:cs="Arial" w:eastAsia="Arial" w:hAnsi="Arial"/>
                <w:sz w:val="18"/>
                <w:szCs w:val="18"/>
                <w:color w:val="auto"/>
                <w:w w:val="97"/>
              </w:rPr>
              <w:t>(COMMISSION FILE NUMBER)</w:t>
            </w:r>
          </w:p>
        </w:tc>
        <w:tc>
          <w:tcPr>
            <w:tcW w:w="4660" w:type="dxa"/>
            <w:vAlign w:val="bottom"/>
          </w:tcPr>
          <w:p>
            <w:pPr>
              <w:jc w:val="center"/>
              <w:ind w:left="470"/>
              <w:spacing w:after="0"/>
              <w:rPr>
                <w:sz w:val="20"/>
                <w:szCs w:val="20"/>
                <w:color w:val="auto"/>
              </w:rPr>
            </w:pPr>
            <w:r>
              <w:rPr>
                <w:rFonts w:ascii="Arial" w:cs="Arial" w:eastAsia="Arial" w:hAnsi="Arial"/>
                <w:sz w:val="18"/>
                <w:szCs w:val="18"/>
                <w:color w:val="auto"/>
                <w:w w:val="96"/>
              </w:rPr>
              <w:t>(IRS EMPLOYER IDENTIFICATION NO.)</w:t>
            </w:r>
          </w:p>
        </w:tc>
      </w:tr>
      <w:tr>
        <w:trPr>
          <w:trHeight w:val="333"/>
        </w:trPr>
        <w:tc>
          <w:tcPr>
            <w:tcW w:w="632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6496 University Parkway</w:t>
            </w:r>
          </w:p>
        </w:tc>
        <w:tc>
          <w:tcPr>
            <w:tcW w:w="4660" w:type="dxa"/>
            <w:vAlign w:val="bottom"/>
          </w:tcPr>
          <w:p>
            <w:pPr>
              <w:spacing w:after="0"/>
              <w:rPr>
                <w:sz w:val="24"/>
                <w:szCs w:val="24"/>
                <w:color w:val="auto"/>
              </w:rPr>
            </w:pPr>
          </w:p>
        </w:tc>
      </w:tr>
      <w:tr>
        <w:trPr>
          <w:trHeight w:val="234"/>
        </w:trPr>
        <w:tc>
          <w:tcPr>
            <w:tcW w:w="6320" w:type="dxa"/>
            <w:vAlign w:val="bottom"/>
          </w:tcPr>
          <w:p>
            <w:pPr>
              <w:ind w:left="2580"/>
              <w:spacing w:after="0"/>
              <w:rPr>
                <w:sz w:val="20"/>
                <w:szCs w:val="20"/>
                <w:color w:val="auto"/>
              </w:rPr>
            </w:pPr>
            <w:r>
              <w:rPr>
                <w:rFonts w:ascii="Arial" w:cs="Arial" w:eastAsia="Arial" w:hAnsi="Arial"/>
                <w:sz w:val="18"/>
                <w:szCs w:val="18"/>
                <w:b w:val="1"/>
                <w:bCs w:val="1"/>
                <w:color w:val="auto"/>
              </w:rPr>
              <w:t>Sarasota, Florida</w:t>
            </w:r>
          </w:p>
        </w:tc>
        <w:tc>
          <w:tcPr>
            <w:tcW w:w="4660" w:type="dxa"/>
            <w:vAlign w:val="bottom"/>
          </w:tcPr>
          <w:p>
            <w:pPr>
              <w:jc w:val="right"/>
              <w:ind w:right="1730"/>
              <w:spacing w:after="0"/>
              <w:rPr>
                <w:sz w:val="20"/>
                <w:szCs w:val="20"/>
                <w:color w:val="auto"/>
              </w:rPr>
            </w:pPr>
            <w:r>
              <w:rPr>
                <w:rFonts w:ascii="Arial" w:cs="Arial" w:eastAsia="Arial" w:hAnsi="Arial"/>
                <w:sz w:val="18"/>
                <w:szCs w:val="18"/>
                <w:b w:val="1"/>
                <w:bCs w:val="1"/>
                <w:color w:val="auto"/>
              </w:rPr>
              <w:t>34240</w:t>
            </w:r>
          </w:p>
        </w:tc>
      </w:tr>
      <w:tr>
        <w:trPr>
          <w:trHeight w:val="102"/>
        </w:trPr>
        <w:tc>
          <w:tcPr>
            <w:tcW w:w="6320" w:type="dxa"/>
            <w:vAlign w:val="bottom"/>
            <w:tcBorders>
              <w:bottom w:val="single" w:sz="8" w:color="auto"/>
            </w:tcBorders>
          </w:tcPr>
          <w:p>
            <w:pPr>
              <w:spacing w:after="0"/>
              <w:rPr>
                <w:sz w:val="8"/>
                <w:szCs w:val="8"/>
                <w:color w:val="auto"/>
              </w:rPr>
            </w:pPr>
          </w:p>
        </w:tc>
        <w:tc>
          <w:tcPr>
            <w:tcW w:w="4660" w:type="dxa"/>
            <w:vAlign w:val="bottom"/>
            <w:tcBorders>
              <w:bottom w:val="single" w:sz="8" w:color="auto"/>
            </w:tcBorders>
          </w:tcPr>
          <w:p>
            <w:pPr>
              <w:spacing w:after="0"/>
              <w:rPr>
                <w:sz w:val="8"/>
                <w:szCs w:val="8"/>
                <w:color w:val="auto"/>
              </w:rPr>
            </w:pPr>
          </w:p>
        </w:tc>
      </w:tr>
      <w:tr>
        <w:trPr>
          <w:trHeight w:val="324"/>
        </w:trPr>
        <w:tc>
          <w:tcPr>
            <w:tcW w:w="6320" w:type="dxa"/>
            <w:vAlign w:val="bottom"/>
          </w:tcPr>
          <w:p>
            <w:pPr>
              <w:jc w:val="center"/>
              <w:ind w:left="210"/>
              <w:spacing w:after="0"/>
              <w:rPr>
                <w:sz w:val="20"/>
                <w:szCs w:val="20"/>
                <w:color w:val="auto"/>
              </w:rPr>
            </w:pPr>
            <w:r>
              <w:rPr>
                <w:rFonts w:ascii="Arial" w:cs="Arial" w:eastAsia="Arial" w:hAnsi="Arial"/>
                <w:sz w:val="18"/>
                <w:szCs w:val="18"/>
                <w:color w:val="auto"/>
                <w:w w:val="94"/>
              </w:rPr>
              <w:t>(ADDRESS OF PRINCIPAL EXECUTIVE OFFICES)</w:t>
            </w:r>
          </w:p>
        </w:tc>
        <w:tc>
          <w:tcPr>
            <w:tcW w:w="4660" w:type="dxa"/>
            <w:vAlign w:val="bottom"/>
          </w:tcPr>
          <w:p>
            <w:pPr>
              <w:jc w:val="center"/>
              <w:ind w:left="490"/>
              <w:spacing w:after="0"/>
              <w:rPr>
                <w:sz w:val="20"/>
                <w:szCs w:val="20"/>
                <w:color w:val="auto"/>
              </w:rPr>
            </w:pPr>
            <w:r>
              <w:rPr>
                <w:rFonts w:ascii="Arial" w:cs="Arial" w:eastAsia="Arial" w:hAnsi="Arial"/>
                <w:sz w:val="18"/>
                <w:szCs w:val="18"/>
                <w:color w:val="auto"/>
                <w:w w:val="94"/>
              </w:rPr>
              <w:t>(ZIP CODE)</w:t>
            </w:r>
          </w:p>
        </w:tc>
      </w:tr>
    </w:tbl>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(941) 556-2601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6901 Professional Parkway, 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Sarasota, Florida 34240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4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Title of Each Class</w:t>
            </w:r>
          </w:p>
        </w:tc>
        <w:tc>
          <w:tcPr>
            <w:tcW w:w="2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Trading Symbol(s)</w:t>
            </w: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24"/>
        </w:trPr>
        <w:tc>
          <w:tcPr>
            <w:tcW w:w="4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80" w:type="dxa"/>
            <w:vAlign w:val="bottom"/>
          </w:tcPr>
          <w:p>
            <w:pPr>
              <w:spacing w:after="0"/>
              <w:rPr>
                <w:sz w:val="19"/>
                <w:szCs w:val="19"/>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ROP</w:t>
            </w:r>
          </w:p>
        </w:tc>
        <w:tc>
          <w:tcPr>
            <w:tcW w:w="18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32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7"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October 25, 2023, the Company issued a press release containing information about the Company’s results of operations for the quarter ended September 30, 2023. A copy of the press release is furnished as Exhibit 99.1.</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64"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ind w:left="80"/>
              <w:spacing w:after="0"/>
              <w:rPr>
                <w:sz w:val="20"/>
                <w:szCs w:val="20"/>
                <w:color w:val="auto"/>
              </w:rPr>
            </w:pPr>
            <w:r>
              <w:rPr>
                <w:rFonts w:ascii="Arial" w:cs="Arial" w:eastAsia="Arial" w:hAnsi="Arial"/>
                <w:sz w:val="18"/>
                <w:szCs w:val="18"/>
                <w:color w:val="auto"/>
              </w:rPr>
              <w:t>99.1</w:t>
            </w:r>
          </w:p>
        </w:tc>
        <w:tc>
          <w:tcPr>
            <w:tcW w:w="39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8"/>
              </w:rPr>
              <w:t>Press Release of the Company dated October 25, 2023.</w:t>
            </w:r>
          </w:p>
        </w:tc>
        <w:tc>
          <w:tcPr>
            <w:tcW w:w="6320" w:type="dxa"/>
            <w:vAlign w:val="bottom"/>
          </w:tcPr>
          <w:p>
            <w:pPr>
              <w:spacing w:after="0"/>
              <w:rPr>
                <w:sz w:val="17"/>
                <w:szCs w:val="17"/>
                <w:color w:val="auto"/>
              </w:rPr>
            </w:pPr>
          </w:p>
        </w:tc>
      </w:tr>
      <w:tr>
        <w:trPr>
          <w:trHeight w:val="250"/>
        </w:trPr>
        <w:tc>
          <w:tcPr>
            <w:tcW w:w="940" w:type="dxa"/>
            <w:vAlign w:val="bottom"/>
          </w:tcPr>
          <w:p>
            <w:pPr>
              <w:ind w:left="80"/>
              <w:spacing w:after="0"/>
              <w:rPr>
                <w:sz w:val="20"/>
                <w:szCs w:val="20"/>
                <w:color w:val="auto"/>
              </w:rPr>
            </w:pPr>
            <w:r>
              <w:rPr>
                <w:rFonts w:ascii="Arial" w:cs="Arial" w:eastAsia="Arial" w:hAnsi="Arial"/>
                <w:sz w:val="18"/>
                <w:szCs w:val="18"/>
                <w:color w:val="auto"/>
              </w:rPr>
              <w:t>104</w:t>
            </w:r>
          </w:p>
        </w:tc>
        <w:tc>
          <w:tcPr>
            <w:tcW w:w="103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303"/>
        </w:trPr>
        <w:tc>
          <w:tcPr>
            <w:tcW w:w="94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6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u w:val="single" w:color="auto"/>
          <w:color w:val="auto"/>
        </w:rPr>
        <w:t>Signatures</w:t>
      </w:r>
    </w:p>
    <w:p>
      <w:pPr>
        <w:spacing w:after="0" w:line="30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4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Roper Technologies, Inc.</w:t>
      </w:r>
    </w:p>
    <w:p>
      <w:pPr>
        <w:spacing w:after="0" w:line="27"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(Registrant)</w:t>
      </w:r>
    </w:p>
    <w:p>
      <w:pPr>
        <w:spacing w:after="0" w:line="251" w:lineRule="exact"/>
        <w:rPr>
          <w:sz w:val="20"/>
          <w:szCs w:val="20"/>
          <w:color w:val="auto"/>
        </w:rPr>
      </w:pPr>
    </w:p>
    <w:p>
      <w:pPr>
        <w:ind w:left="1000"/>
        <w:spacing w:after="0"/>
        <w:tabs>
          <w:tab w:leader="none" w:pos="1560" w:val="left"/>
          <w:tab w:leader="none" w:pos="7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Jason P. Conley</w:t>
      </w:r>
      <w:r>
        <w:rPr>
          <w:sz w:val="20"/>
          <w:szCs w:val="20"/>
          <w:color w:val="auto"/>
        </w:rPr>
        <w:tab/>
      </w:r>
      <w:r>
        <w:rPr>
          <w:rFonts w:ascii="Arial" w:cs="Arial" w:eastAsia="Arial" w:hAnsi="Arial"/>
          <w:sz w:val="16"/>
          <w:szCs w:val="16"/>
          <w:color w:val="auto"/>
        </w:rPr>
        <w:t>Date: October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14605</wp:posOffset>
            </wp:positionV>
            <wp:extent cx="327469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4"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Jason P. Conley,</w:t>
      </w:r>
    </w:p>
    <w:p>
      <w:pPr>
        <w:ind w:left="15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00"/>
          </w:cols>
          <w:pgMar w:left="320" w:top="895"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817880</wp:posOffset>
            </wp:positionV>
            <wp:extent cx="1482725" cy="591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8272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Roper Technologies announces third quarter financial results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Increasing full year guidance</w:t>
      </w:r>
    </w:p>
    <w:p>
      <w:pPr>
        <w:spacing w:after="0" w:line="200" w:lineRule="exact"/>
        <w:rPr>
          <w:sz w:val="20"/>
          <w:szCs w:val="20"/>
          <w:color w:val="auto"/>
        </w:rPr>
      </w:pPr>
    </w:p>
    <w:p>
      <w:pPr>
        <w:spacing w:after="0" w:line="309" w:lineRule="exact"/>
        <w:rPr>
          <w:sz w:val="20"/>
          <w:szCs w:val="20"/>
          <w:color w:val="auto"/>
        </w:rPr>
      </w:pPr>
    </w:p>
    <w:p>
      <w:pPr>
        <w:spacing w:after="0" w:line="318" w:lineRule="auto"/>
        <w:rPr>
          <w:sz w:val="20"/>
          <w:szCs w:val="20"/>
          <w:color w:val="auto"/>
        </w:rPr>
      </w:pPr>
      <w:r>
        <w:rPr>
          <w:rFonts w:ascii="Arial" w:cs="Arial" w:eastAsia="Arial" w:hAnsi="Arial"/>
          <w:sz w:val="18"/>
          <w:szCs w:val="18"/>
          <w:b w:val="1"/>
          <w:bCs w:val="1"/>
          <w:color w:val="auto"/>
        </w:rPr>
        <w:t xml:space="preserve">Sarasota, Florida, October 25, 2023 ... Roper Technologies, Inc. (Nasdaq: ROP) </w:t>
      </w:r>
      <w:r>
        <w:rPr>
          <w:rFonts w:ascii="Arial" w:cs="Arial" w:eastAsia="Arial" w:hAnsi="Arial"/>
          <w:sz w:val="18"/>
          <w:szCs w:val="18"/>
          <w:color w:val="auto"/>
        </w:rPr>
        <w:t>reported financial results for the third quarter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2023. The results in this press release are presented on a continuing operations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2023 highlights</w:t>
      </w:r>
    </w:p>
    <w:p>
      <w:pPr>
        <w:spacing w:after="0" w:line="27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Revenue increased 16% to $1.56 billion; organic revenue increased 6%</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GAAP DEPS increased 24% to $3.21; adjusted DEPS increased 18% to $4.32</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GAAP net earnings were $346 million</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Adjusted EBITDA increased 18% to $652 million</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GAAP operating cash flow was $631 million; adjusted operating cash flow increased 72% to $647 million</w:t>
      </w:r>
    </w:p>
    <w:p>
      <w:pPr>
        <w:spacing w:after="0" w:line="27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"Our market-leading technology businesses continue to operate at a high level and delivered another great quarter, with 16% revenue growth and strong margin performance. Importantly, our third quarter adjusted free cash flow of $625 million brings our trailing-twelve-month free cash flow to $1.8 billion,” said Neil Hunn, Roper Technologies’ President and CEO. "We are once again increasing our full year outlook, fueled by our strong third quarter results, the continued expansion of our recurring revenue base, and the ongoing demand for our mission critical software and product solutions.”</w:t>
      </w:r>
    </w:p>
    <w:p>
      <w:pPr>
        <w:spacing w:after="0" w:line="21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deployed $2.0 billion toward vertical software acquisitions during the third quarter, highlighted by Syntellis Performance Solutions, which has been combined with our Strata Decision Technology business. We are well positioned to execute our disciplined and process-driven capital deployment methodology, with significant M&amp;A firepower and a large pipeline of attractive acquisition opportunities," concluded Mr. Hunn.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Increasing 2023 guidance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Roper now expects full year 2023 adjusted DEPS of $16.62 - $16.66, compared to previous guidance of $16.36 - $16.50.</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For the fourth quarter of 2023, the Company expects adjusted DEPS of $4.28 - $4.32.</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guidance excludes the impact of unannounced future acquisitions or divestitures.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Minority interests</w:t>
      </w:r>
    </w:p>
    <w:p>
      <w:pPr>
        <w:spacing w:after="0" w:line="276"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Following the sale of a majority stake in its industrial businesses to CD&amp;R, Roper now holds a minority interest in Indicor. The fair value of Roper’s equity investment in Indicor is updated on a quarterly basis and reported as "equity investment activity, net". Roper makes a non-GAAP adjustment for the impacts associated with this investment.</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During the quarter, Roper acquired a minority interest in Certinia, a leading provider of professional services automation software, for $125 million. The Company’s investment is accounted for under the equity method. Roper will report our proportionate share of income/(loss) associated with this investment as "equity investment activity, net." Roper will make a non-GAAP adjustment for the impacts associated with this investment beginning in the fourth quarter of 2023.</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7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Roper has completed the divestitures of TransCore, Zetec, and the majority stake in its industrial businesses (Indicor). The financial results for these businesses are reported as discontinued operations for all periods prior to the completion of their respective divestiture.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to be held at 8:00 AM (ET) today</w:t>
      </w:r>
    </w:p>
    <w:p>
      <w:pPr>
        <w:spacing w:after="0" w:line="27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 conference call to discuss these results has been scheduled for 8:00 AM ET on Wednesday, October 25, 2023. The call can be accessed via webcast or by dialing +1 844-750-4898 (US/Canada) or +1 412-317-5294, using conference code 10182514. Webcast information and conference call materials will be made available in the Investors section of Roper’s website (</w:t>
      </w:r>
      <w:r>
        <w:rPr>
          <w:rFonts w:ascii="Arial" w:cs="Arial" w:eastAsia="Arial" w:hAnsi="Arial"/>
          <w:sz w:val="18"/>
          <w:szCs w:val="18"/>
          <w:u w:val="single" w:color="auto"/>
          <w:color w:val="0000FF"/>
        </w:rPr>
        <w:t>www.ropertech.com</w:t>
      </w:r>
      <w:r>
        <w:rPr>
          <w:rFonts w:ascii="Arial" w:cs="Arial" w:eastAsia="Arial" w:hAnsi="Arial"/>
          <w:sz w:val="18"/>
          <w:szCs w:val="18"/>
          <w:color w:val="auto"/>
        </w:rPr>
        <w:t xml:space="preserve">) prior to the start of the call. The webcast can also be accessed directly by using the following URL </w:t>
      </w:r>
      <w:r>
        <w:rPr>
          <w:rFonts w:ascii="Arial" w:cs="Arial" w:eastAsia="Arial" w:hAnsi="Arial"/>
          <w:sz w:val="18"/>
          <w:szCs w:val="18"/>
          <w:u w:val="single" w:color="auto"/>
          <w:color w:val="0000FF"/>
        </w:rPr>
        <w:t>https://event.webcast</w:t>
      </w:r>
      <w:r>
        <w:rPr>
          <w:rFonts w:ascii="Arial" w:cs="Arial" w:eastAsia="Arial" w:hAnsi="Arial"/>
          <w:sz w:val="18"/>
          <w:szCs w:val="18"/>
          <w:color w:val="auto"/>
        </w:rPr>
        <w:t>. Telephonic replays will be available for up to two weeks and can be accessed by dialing +1 412-317-0088 with access code 6256403.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non-GAAP financial information</w:t>
      </w:r>
    </w:p>
    <w:p>
      <w:pPr>
        <w:spacing w:after="0" w:line="26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i w:val="1"/>
          <w:iCs w:val="1"/>
          <w:color w:val="auto"/>
        </w:rPr>
        <w:t>The Company supplements its consolidated financial statements presented on a GAAP basis with certain non-GAAP financial information to provide investors with greater insight, increase transparency and allow for a more comprehensive understanding of the information used by management in its financial and operational decision-making. Reconciliation of non-GAAP measures to their most directly comparable GAAP measures are included in the accompanying financial schedules or tables. The non-GAAP financial measures disclosed by the Company should not be considered a substitute for, or superior to, financial measures prepared in accordance with GAAP, and the financial results prepared in accordance with GAAP and reconciliations from these results should be carefully evaluated.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18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Table 1: Revenue and adjusted EBITDA reconciliation ($M)</w:t>
      </w:r>
    </w:p>
    <w:p>
      <w:pPr>
        <w:spacing w:after="0"/>
        <w:rPr>
          <w:sz w:val="20"/>
          <w:szCs w:val="20"/>
          <w:color w:val="auto"/>
        </w:rPr>
      </w:pPr>
      <w:r>
        <w:rPr>
          <w:rFonts w:ascii="Arial" w:cs="Arial" w:eastAsia="Arial" w:hAnsi="Arial"/>
          <w:sz w:val="18"/>
          <w:szCs w:val="18"/>
          <w:b w:val="1"/>
          <w:bCs w:val="1"/>
          <w:color w:val="auto"/>
        </w:rPr>
        <w:t>(from continuing operations)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Q3 2022</w:t>
            </w:r>
          </w:p>
        </w:tc>
        <w:tc>
          <w:tcPr>
            <w:tcW w:w="200" w:type="dxa"/>
            <w:vAlign w:val="bottom"/>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Q3 2023</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V %</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GAAP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1,350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1,563</w:t>
            </w:r>
          </w:p>
        </w:tc>
        <w:tc>
          <w:tcPr>
            <w:tcW w:w="4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445"/>
        </w:trPr>
        <w:tc>
          <w:tcPr>
            <w:tcW w:w="6180" w:type="dxa"/>
            <w:vAlign w:val="bottom"/>
          </w:tcPr>
          <w:p>
            <w:pPr>
              <w:spacing w:after="0"/>
              <w:rPr>
                <w:sz w:val="20"/>
                <w:szCs w:val="20"/>
                <w:color w:val="auto"/>
              </w:rPr>
            </w:pPr>
            <w:r>
              <w:rPr>
                <w:rFonts w:ascii="Arial" w:cs="Arial" w:eastAsia="Arial" w:hAnsi="Arial"/>
                <w:sz w:val="18"/>
                <w:szCs w:val="18"/>
                <w:color w:val="auto"/>
              </w:rPr>
              <w:t>Components of revenue growth</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20"/>
              <w:spacing w:after="0"/>
              <w:rPr>
                <w:sz w:val="20"/>
                <w:szCs w:val="20"/>
                <w:color w:val="auto"/>
              </w:rPr>
            </w:pPr>
            <w:r>
              <w:rPr>
                <w:rFonts w:ascii="Arial" w:cs="Arial" w:eastAsia="Arial" w:hAnsi="Arial"/>
                <w:sz w:val="18"/>
                <w:szCs w:val="18"/>
                <w:color w:val="auto"/>
              </w:rPr>
              <w:t>Organic</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9"/>
        </w:trPr>
        <w:tc>
          <w:tcPr>
            <w:tcW w:w="6180" w:type="dxa"/>
            <w:vAlign w:val="bottom"/>
          </w:tcPr>
          <w:p>
            <w:pPr>
              <w:ind w:left="120"/>
              <w:spacing w:after="0"/>
              <w:rPr>
                <w:sz w:val="20"/>
                <w:szCs w:val="20"/>
                <w:color w:val="auto"/>
              </w:rPr>
            </w:pPr>
            <w:r>
              <w:rPr>
                <w:rFonts w:ascii="Arial" w:cs="Arial" w:eastAsia="Arial" w:hAnsi="Arial"/>
                <w:sz w:val="18"/>
                <w:szCs w:val="18"/>
                <w:color w:val="auto"/>
              </w:rPr>
              <w:t>Acquisitions/divestitures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6180" w:type="dxa"/>
            <w:vAlign w:val="bottom"/>
          </w:tcPr>
          <w:p>
            <w:pPr>
              <w:ind w:left="120"/>
              <w:spacing w:after="0"/>
              <w:rPr>
                <w:sz w:val="20"/>
                <w:szCs w:val="20"/>
                <w:color w:val="auto"/>
              </w:rPr>
            </w:pPr>
            <w:r>
              <w:rPr>
                <w:rFonts w:ascii="Arial" w:cs="Arial" w:eastAsia="Arial" w:hAnsi="Arial"/>
                <w:sz w:val="18"/>
                <w:szCs w:val="18"/>
                <w:color w:val="auto"/>
              </w:rPr>
              <w:t>Foreign exchange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96"/>
        </w:trPr>
        <w:tc>
          <w:tcPr>
            <w:tcW w:w="6180" w:type="dxa"/>
            <w:vAlign w:val="bottom"/>
          </w:tcPr>
          <w:p>
            <w:pPr>
              <w:spacing w:after="0" w:line="196" w:lineRule="exact"/>
              <w:rPr>
                <w:sz w:val="20"/>
                <w:szCs w:val="20"/>
                <w:color w:val="auto"/>
              </w:rPr>
            </w:pPr>
            <w:r>
              <w:rPr>
                <w:rFonts w:ascii="Arial" w:cs="Arial" w:eastAsia="Arial" w:hAnsi="Arial"/>
                <w:sz w:val="18"/>
                <w:szCs w:val="18"/>
                <w:color w:val="auto"/>
              </w:rPr>
              <w:t>Revenue growth</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1"/>
        </w:trPr>
        <w:tc>
          <w:tcPr>
            <w:tcW w:w="6180" w:type="dxa"/>
            <w:vAlign w:val="bottom"/>
            <w:vMerge w:val="restart"/>
          </w:tcPr>
          <w:p>
            <w:pPr>
              <w:spacing w:after="0"/>
              <w:rPr>
                <w:sz w:val="20"/>
                <w:szCs w:val="20"/>
                <w:color w:val="auto"/>
              </w:rPr>
            </w:pPr>
            <w:r>
              <w:rPr>
                <w:rFonts w:ascii="Arial" w:cs="Arial" w:eastAsia="Arial" w:hAnsi="Arial"/>
                <w:sz w:val="18"/>
                <w:szCs w:val="18"/>
                <w:color w:val="auto"/>
              </w:rPr>
              <w:t>Adjusted EBITDA reconciliation</w:t>
            </w: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6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GAAP net earnings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346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120"/>
              <w:spacing w:after="0"/>
              <w:rPr>
                <w:sz w:val="20"/>
                <w:szCs w:val="20"/>
                <w:color w:val="auto"/>
              </w:rPr>
            </w:pPr>
            <w:r>
              <w:rPr>
                <w:rFonts w:ascii="Arial" w:cs="Arial" w:eastAsia="Arial" w:hAnsi="Arial"/>
                <w:sz w:val="18"/>
                <w:szCs w:val="18"/>
                <w:color w:val="auto"/>
              </w:rPr>
              <w:t>Taxes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97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12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182</w:t>
            </w:r>
          </w:p>
        </w:tc>
        <w:tc>
          <w:tcPr>
            <w:tcW w:w="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EBITDA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553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676</w:t>
            </w:r>
          </w:p>
        </w:tc>
        <w:tc>
          <w:tcPr>
            <w:tcW w:w="4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6180" w:type="dxa"/>
            <w:vAlign w:val="bottom"/>
          </w:tcPr>
          <w:p>
            <w:pPr>
              <w:ind w:left="120"/>
              <w:spacing w:after="0"/>
              <w:rPr>
                <w:sz w:val="20"/>
                <w:szCs w:val="20"/>
                <w:color w:val="auto"/>
              </w:rPr>
            </w:pPr>
            <w:r>
              <w:rPr>
                <w:rFonts w:ascii="Arial" w:cs="Arial" w:eastAsia="Arial" w:hAnsi="Arial"/>
                <w:sz w:val="18"/>
                <w:szCs w:val="18"/>
                <w:color w:val="auto"/>
              </w:rPr>
              <w:t>Purchase accounting adjustment to acquired commission expense</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180" w:type="dxa"/>
            <w:vAlign w:val="bottom"/>
          </w:tcPr>
          <w:p>
            <w:pPr>
              <w:ind w:left="120"/>
              <w:spacing w:after="0"/>
              <w:rPr>
                <w:sz w:val="20"/>
                <w:szCs w:val="20"/>
                <w:color w:val="auto"/>
              </w:rPr>
            </w:pPr>
            <w:r>
              <w:rPr>
                <w:rFonts w:ascii="Arial" w:cs="Arial" w:eastAsia="Arial" w:hAnsi="Arial"/>
                <w:sz w:val="18"/>
                <w:szCs w:val="18"/>
                <w:color w:val="auto"/>
              </w:rPr>
              <w:t>Restructuring-related expenses associated with the Syntellis acquisition</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180" w:type="dxa"/>
            <w:vAlign w:val="bottom"/>
          </w:tcPr>
          <w:p>
            <w:pPr>
              <w:ind w:left="120"/>
              <w:spacing w:after="0"/>
              <w:rPr>
                <w:sz w:val="20"/>
                <w:szCs w:val="20"/>
                <w:color w:val="auto"/>
              </w:rPr>
            </w:pPr>
            <w:r>
              <w:rPr>
                <w:rFonts w:ascii="Arial" w:cs="Arial" w:eastAsia="Arial" w:hAnsi="Arial"/>
                <w:sz w:val="18"/>
                <w:szCs w:val="18"/>
                <w:color w:val="auto"/>
              </w:rPr>
              <w:t>Transaction-related expenses for completed acquisitions</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2"/>
                <w:szCs w:val="22"/>
                <w:color w:val="auto"/>
              </w:rPr>
            </w:pPr>
          </w:p>
        </w:tc>
        <w:tc>
          <w:tcPr>
            <w:tcW w:w="1580" w:type="dxa"/>
            <w:vAlign w:val="bottom"/>
            <w:gridSpan w:val="3"/>
            <w:vMerge w:val="restart"/>
          </w:tcPr>
          <w:p>
            <w:pPr>
              <w:jc w:val="right"/>
              <w:ind w:right="1330"/>
              <w:spacing w:after="0"/>
              <w:rPr>
                <w:sz w:val="20"/>
                <w:szCs w:val="20"/>
                <w:color w:val="auto"/>
              </w:rPr>
            </w:pP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128"/>
        </w:trPr>
        <w:tc>
          <w:tcPr>
            <w:tcW w:w="6180" w:type="dxa"/>
            <w:vAlign w:val="bottom"/>
            <w:vMerge w:val="restart"/>
          </w:tcPr>
          <w:p>
            <w:pPr>
              <w:ind w:left="120"/>
              <w:spacing w:after="0"/>
              <w:rPr>
                <w:sz w:val="20"/>
                <w:szCs w:val="20"/>
                <w:color w:val="auto"/>
              </w:rPr>
            </w:pPr>
            <w:r>
              <w:rPr>
                <w:rFonts w:ascii="Arial" w:cs="Arial" w:eastAsia="Arial" w:hAnsi="Arial"/>
                <w:sz w:val="18"/>
                <w:szCs w:val="18"/>
                <w:color w:val="auto"/>
              </w:rPr>
              <w:t>Financial impacts associated with the minority investment in Indicor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3"/>
            <w:vMerge w:val="restart"/>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vMerge w:val="restart"/>
          </w:tcPr>
          <w:p>
            <w:pPr>
              <w:jc w:val="right"/>
              <w:ind w:right="5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1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6180" w:type="dxa"/>
            <w:vAlign w:val="bottom"/>
          </w:tcPr>
          <w:p>
            <w:pPr>
              <w:ind w:left="120"/>
              <w:spacing w:after="0"/>
              <w:rPr>
                <w:sz w:val="20"/>
                <w:szCs w:val="20"/>
                <w:color w:val="auto"/>
              </w:rPr>
            </w:pPr>
            <w:r>
              <w:rPr>
                <w:rFonts w:ascii="Arial" w:cs="Arial" w:eastAsia="Arial" w:hAnsi="Arial"/>
                <w:sz w:val="18"/>
                <w:szCs w:val="18"/>
                <w:color w:val="auto"/>
              </w:rPr>
              <w:t>Gain on sale of non-operating assets</w:t>
            </w:r>
          </w:p>
        </w:tc>
        <w:tc>
          <w:tcPr>
            <w:tcW w:w="2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Adjusted EBITDA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555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652</w:t>
            </w:r>
          </w:p>
        </w:tc>
        <w:tc>
          <w:tcPr>
            <w:tcW w:w="4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120"/>
              <w:spacing w:after="0"/>
              <w:rPr>
                <w:sz w:val="20"/>
                <w:szCs w:val="20"/>
                <w:color w:val="auto"/>
              </w:rPr>
            </w:pPr>
            <w:r>
              <w:rPr>
                <w:rFonts w:ascii="Arial" w:cs="Arial" w:eastAsia="Arial" w:hAnsi="Arial"/>
                <w:sz w:val="18"/>
                <w:szCs w:val="18"/>
                <w:color w:val="auto"/>
              </w:rPr>
              <w:t>% of revenue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1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41.1 %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41.7 %</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 bps</w:t>
            </w:r>
          </w:p>
        </w:tc>
        <w:tc>
          <w:tcPr>
            <w:tcW w:w="0" w:type="dxa"/>
            <w:vAlign w:val="bottom"/>
          </w:tcPr>
          <w:p>
            <w:pPr>
              <w:spacing w:after="0"/>
              <w:rPr>
                <w:sz w:val="1"/>
                <w:szCs w:val="1"/>
                <w:color w:val="auto"/>
              </w:rPr>
            </w:pPr>
          </w:p>
        </w:tc>
      </w:tr>
      <w:tr>
        <w:trPr>
          <w:trHeight w:val="540"/>
        </w:trPr>
        <w:tc>
          <w:tcPr>
            <w:tcW w:w="6180" w:type="dxa"/>
            <w:vAlign w:val="bottom"/>
          </w:tcPr>
          <w:p>
            <w:pPr>
              <w:spacing w:after="0"/>
              <w:rPr>
                <w:sz w:val="20"/>
                <w:szCs w:val="20"/>
                <w:color w:val="auto"/>
              </w:rPr>
            </w:pPr>
            <w:r>
              <w:rPr>
                <w:rFonts w:ascii="Arial" w:cs="Arial" w:eastAsia="Arial" w:hAnsi="Arial"/>
                <w:sz w:val="18"/>
                <w:szCs w:val="18"/>
                <w:b w:val="1"/>
                <w:bCs w:val="1"/>
                <w:color w:val="auto"/>
              </w:rPr>
              <w:t>Table 2: Adjusted DEPS reconciliation</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180" w:type="dxa"/>
            <w:vAlign w:val="bottom"/>
          </w:tcPr>
          <w:p>
            <w:pPr>
              <w:spacing w:after="0"/>
              <w:rPr>
                <w:sz w:val="20"/>
                <w:szCs w:val="20"/>
                <w:color w:val="auto"/>
              </w:rPr>
            </w:pPr>
            <w:r>
              <w:rPr>
                <w:rFonts w:ascii="Arial" w:cs="Arial" w:eastAsia="Arial" w:hAnsi="Arial"/>
                <w:sz w:val="18"/>
                <w:szCs w:val="18"/>
                <w:b w:val="1"/>
                <w:bCs w:val="1"/>
                <w:color w:val="auto"/>
              </w:rPr>
              <w:t>(from continuing operations)</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rPr>
              <w:t>Q3 2022</w:t>
            </w:r>
          </w:p>
        </w:tc>
        <w:tc>
          <w:tcPr>
            <w:tcW w:w="120" w:type="dxa"/>
            <w:vAlign w:val="bottom"/>
            <w:vMerge w:val="restart"/>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Q3 2023</w:t>
            </w:r>
          </w:p>
        </w:tc>
        <w:tc>
          <w:tcPr>
            <w:tcW w:w="40" w:type="dxa"/>
            <w:vAlign w:val="bottom"/>
            <w:vMerge w:val="restart"/>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6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V %</w:t>
            </w:r>
          </w:p>
        </w:tc>
        <w:tc>
          <w:tcPr>
            <w:tcW w:w="0" w:type="dxa"/>
            <w:vAlign w:val="bottom"/>
          </w:tcPr>
          <w:p>
            <w:pPr>
              <w:spacing w:after="0"/>
              <w:rPr>
                <w:sz w:val="1"/>
                <w:szCs w:val="1"/>
                <w:color w:val="auto"/>
              </w:rPr>
            </w:pPr>
          </w:p>
        </w:tc>
      </w:tr>
      <w:tr>
        <w:trPr>
          <w:trHeight w:val="222"/>
        </w:trPr>
        <w:tc>
          <w:tcPr>
            <w:tcW w:w="6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GAAP DEPS</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9"/>
        </w:trPr>
        <w:tc>
          <w:tcPr>
            <w:tcW w:w="6180" w:type="dxa"/>
            <w:vAlign w:val="bottom"/>
          </w:tcPr>
          <w:p>
            <w:pPr>
              <w:ind w:left="120"/>
              <w:spacing w:after="0"/>
              <w:rPr>
                <w:sz w:val="20"/>
                <w:szCs w:val="20"/>
                <w:color w:val="auto"/>
              </w:rPr>
            </w:pPr>
            <w:r>
              <w:rPr>
                <w:rFonts w:ascii="Arial" w:cs="Arial" w:eastAsia="Arial" w:hAnsi="Arial"/>
                <w:sz w:val="18"/>
                <w:szCs w:val="18"/>
                <w:color w:val="auto"/>
              </w:rPr>
              <w:t>Purchase accounting adjustment to acquired commission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20"/>
              <w:spacing w:after="0"/>
              <w:rPr>
                <w:sz w:val="20"/>
                <w:szCs w:val="20"/>
                <w:color w:val="auto"/>
              </w:rPr>
            </w:pPr>
            <w:r>
              <w:rPr>
                <w:rFonts w:ascii="Arial" w:cs="Arial" w:eastAsia="Arial" w:hAnsi="Arial"/>
                <w:sz w:val="18"/>
                <w:szCs w:val="18"/>
                <w:color w:val="auto"/>
              </w:rPr>
              <w:t>Restructuring-related expenses associated with the Syntellis acquisition</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20"/>
              <w:spacing w:after="0"/>
              <w:rPr>
                <w:sz w:val="20"/>
                <w:szCs w:val="20"/>
                <w:color w:val="auto"/>
              </w:rPr>
            </w:pPr>
            <w:r>
              <w:rPr>
                <w:rFonts w:ascii="Arial" w:cs="Arial" w:eastAsia="Arial" w:hAnsi="Arial"/>
                <w:sz w:val="18"/>
                <w:szCs w:val="18"/>
                <w:color w:val="auto"/>
              </w:rPr>
              <w:t>Transaction-related expenses for completed acquisitions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0.03</w:t>
            </w:r>
          </w:p>
        </w:tc>
        <w:tc>
          <w:tcPr>
            <w:tcW w:w="40" w:type="dxa"/>
            <w:vAlign w:val="bottom"/>
          </w:tcPr>
          <w:p>
            <w:pPr>
              <w:spacing w:after="0"/>
              <w:rPr>
                <w:sz w:val="19"/>
                <w:szCs w:val="19"/>
                <w:color w:val="auto"/>
              </w:rPr>
            </w:pPr>
          </w:p>
        </w:tc>
        <w:tc>
          <w:tcPr>
            <w:tcW w:w="1580" w:type="dxa"/>
            <w:vAlign w:val="bottom"/>
            <w:gridSpan w:val="3"/>
            <w:vMerge w:val="restart"/>
          </w:tcPr>
          <w:p>
            <w:pPr>
              <w:jc w:val="right"/>
              <w:ind w:right="1370"/>
              <w:spacing w:after="0"/>
              <w:rPr>
                <w:sz w:val="20"/>
                <w:szCs w:val="20"/>
                <w:color w:val="auto"/>
              </w:rPr>
            </w:pP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230"/>
        </w:trPr>
        <w:tc>
          <w:tcPr>
            <w:tcW w:w="6180" w:type="dxa"/>
            <w:vAlign w:val="bottom"/>
          </w:tcPr>
          <w:p>
            <w:pPr>
              <w:ind w:left="120"/>
              <w:spacing w:after="0"/>
              <w:rPr>
                <w:sz w:val="20"/>
                <w:szCs w:val="20"/>
                <w:color w:val="auto"/>
              </w:rPr>
            </w:pPr>
            <w:r>
              <w:rPr>
                <w:rFonts w:ascii="Arial" w:cs="Arial" w:eastAsia="Arial" w:hAnsi="Arial"/>
                <w:sz w:val="18"/>
                <w:szCs w:val="18"/>
                <w:color w:val="auto"/>
              </w:rPr>
              <w:t>Financial impacts associated with the minority investment in Indicor</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(0.26)</w:t>
            </w:r>
          </w:p>
        </w:tc>
        <w:tc>
          <w:tcPr>
            <w:tcW w:w="40" w:type="dxa"/>
            <w:vAlign w:val="bottom"/>
          </w:tcPr>
          <w:p>
            <w:pPr>
              <w:spacing w:after="0"/>
              <w:rPr>
                <w:sz w:val="19"/>
                <w:szCs w:val="19"/>
                <w:color w:val="auto"/>
              </w:rPr>
            </w:pPr>
          </w:p>
        </w:tc>
        <w:tc>
          <w:tcPr>
            <w:tcW w:w="15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120"/>
              <w:spacing w:after="0"/>
              <w:rPr>
                <w:sz w:val="20"/>
                <w:szCs w:val="20"/>
                <w:color w:val="auto"/>
              </w:rPr>
            </w:pPr>
            <w:r>
              <w:rPr>
                <w:rFonts w:ascii="Arial" w:cs="Arial" w:eastAsia="Arial" w:hAnsi="Arial"/>
                <w:sz w:val="18"/>
                <w:szCs w:val="18"/>
                <w:color w:val="auto"/>
              </w:rPr>
              <w:t>Gain on sale of non-operating assets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(0.02)</w:t>
            </w:r>
          </w:p>
        </w:tc>
        <w:tc>
          <w:tcPr>
            <w:tcW w:w="4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2"/>
                <w:szCs w:val="12"/>
                <w:color w:val="auto"/>
              </w:rPr>
              <w:t>B</w:t>
            </w:r>
          </w:p>
        </w:tc>
        <w:tc>
          <w:tcPr>
            <w:tcW w:w="1400" w:type="dxa"/>
            <w:vAlign w:val="bottom"/>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20"/>
              <w:spacing w:after="0"/>
              <w:rPr>
                <w:sz w:val="20"/>
                <w:szCs w:val="20"/>
                <w:color w:val="auto"/>
              </w:rPr>
            </w:pPr>
            <w:r>
              <w:rPr>
                <w:rFonts w:ascii="Arial" w:cs="Arial" w:eastAsia="Arial" w:hAnsi="Arial"/>
                <w:sz w:val="18"/>
                <w:szCs w:val="18"/>
                <w:color w:val="auto"/>
              </w:rPr>
              <w:t>Amortization of acquisition-related intangible assets</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40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Adjusted DEPS</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4.32</w:t>
            </w:r>
          </w:p>
        </w:tc>
        <w:tc>
          <w:tcPr>
            <w:tcW w:w="4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180"/>
          </w:cols>
          <w:pgMar w:left="360" w:top="1201"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Table 3: Adjusted cash flow reconciliation ($M)</w:t>
      </w:r>
    </w:p>
    <w:p>
      <w:pPr>
        <w:spacing w:after="0"/>
        <w:rPr>
          <w:sz w:val="20"/>
          <w:szCs w:val="20"/>
          <w:color w:val="auto"/>
        </w:rPr>
      </w:pPr>
      <w:r>
        <w:rPr>
          <w:rFonts w:ascii="Arial" w:cs="Arial" w:eastAsia="Arial" w:hAnsi="Arial"/>
          <w:sz w:val="18"/>
          <w:szCs w:val="18"/>
          <w:b w:val="1"/>
          <w:bCs w:val="1"/>
          <w:color w:val="auto"/>
        </w:rPr>
        <w:t>(from continuing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Q3 2022</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Q3 2023</w:t>
            </w:r>
          </w:p>
        </w:tc>
        <w:tc>
          <w:tcPr>
            <w:tcW w:w="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6"/>
              </w:rPr>
              <w:t>V %</w:t>
            </w:r>
          </w:p>
        </w:tc>
        <w:tc>
          <w:tcPr>
            <w:tcW w:w="2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TTM 2023</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Operating cash flow</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631</w:t>
            </w:r>
          </w:p>
        </w:tc>
        <w:tc>
          <w:tcPr>
            <w:tcW w:w="6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C</w:t>
            </w:r>
          </w:p>
        </w:tc>
        <w:tc>
          <w:tcPr>
            <w:tcW w:w="400" w:type="dxa"/>
            <w:vAlign w:val="bottom"/>
            <w:gridSpan w:val="2"/>
            <w:vMerge w:val="restart"/>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188 %</w:t>
            </w:r>
          </w:p>
        </w:tc>
        <w:tc>
          <w:tcPr>
            <w:tcW w:w="2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160" w:type="dxa"/>
            <w:vAlign w:val="bottom"/>
          </w:tcPr>
          <w:p>
            <w:pPr>
              <w:ind w:left="660"/>
              <w:spacing w:after="0"/>
              <w:rPr>
                <w:sz w:val="20"/>
                <w:szCs w:val="20"/>
                <w:color w:val="auto"/>
              </w:rPr>
            </w:pPr>
            <w:r>
              <w:rPr>
                <w:rFonts w:ascii="Arial" w:cs="Arial" w:eastAsia="Arial" w:hAnsi="Arial"/>
                <w:sz w:val="18"/>
                <w:szCs w:val="18"/>
                <w:color w:val="auto"/>
              </w:rPr>
              <w:t>1,472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20"/>
              <w:spacing w:after="0"/>
              <w:rPr>
                <w:sz w:val="20"/>
                <w:szCs w:val="20"/>
                <w:color w:val="auto"/>
              </w:rPr>
            </w:pPr>
            <w:r>
              <w:rPr>
                <w:rFonts w:ascii="Arial" w:cs="Arial" w:eastAsia="Arial" w:hAnsi="Arial"/>
                <w:sz w:val="18"/>
                <w:szCs w:val="18"/>
                <w:color w:val="auto"/>
              </w:rPr>
              <w:t>Taxes paid in period related to divestitures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w:t>
            </w:r>
          </w:p>
        </w:tc>
        <w:tc>
          <w:tcPr>
            <w:tcW w:w="60" w:type="dxa"/>
            <w:vAlign w:val="bottom"/>
            <w:tcBorders>
              <w:bottom w:val="single" w:sz="8" w:color="auto"/>
            </w:tcBorders>
          </w:tcPr>
          <w:p>
            <w:pPr>
              <w:spacing w:after="0"/>
              <w:rPr>
                <w:sz w:val="19"/>
                <w:szCs w:val="19"/>
                <w:color w:val="auto"/>
              </w:rPr>
            </w:pPr>
          </w:p>
        </w:tc>
        <w:tc>
          <w:tcPr>
            <w:tcW w:w="200" w:type="dxa"/>
            <w:vAlign w:val="bottom"/>
            <w:vMerge w:val="continue"/>
          </w:tcPr>
          <w:p>
            <w:pPr>
              <w:spacing w:after="0"/>
              <w:rPr>
                <w:sz w:val="19"/>
                <w:szCs w:val="19"/>
                <w:color w:val="auto"/>
              </w:rPr>
            </w:pPr>
          </w:p>
        </w:tc>
        <w:tc>
          <w:tcPr>
            <w:tcW w:w="40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Adjusted operating cash flow</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376</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647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72 %</w:t>
            </w:r>
          </w:p>
        </w:tc>
        <w:tc>
          <w:tcPr>
            <w:tcW w:w="2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160" w:type="dxa"/>
            <w:vAlign w:val="bottom"/>
          </w:tcPr>
          <w:p>
            <w:pPr>
              <w:ind w:left="660"/>
              <w:spacing w:after="0"/>
              <w:rPr>
                <w:sz w:val="20"/>
                <w:szCs w:val="20"/>
                <w:color w:val="auto"/>
              </w:rPr>
            </w:pPr>
            <w:r>
              <w:rPr>
                <w:rFonts w:ascii="Arial" w:cs="Arial" w:eastAsia="Arial" w:hAnsi="Arial"/>
                <w:sz w:val="18"/>
                <w:szCs w:val="18"/>
                <w:color w:val="auto"/>
              </w:rPr>
              <w:t>1,908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ind w:left="120"/>
              <w:spacing w:after="0"/>
              <w:rPr>
                <w:sz w:val="20"/>
                <w:szCs w:val="20"/>
                <w:color w:val="auto"/>
              </w:rPr>
            </w:pPr>
            <w:r>
              <w:rPr>
                <w:rFonts w:ascii="Arial" w:cs="Arial" w:eastAsia="Arial" w:hAnsi="Arial"/>
                <w:sz w:val="18"/>
                <w:szCs w:val="18"/>
                <w:color w:val="auto"/>
              </w:rPr>
              <w:t>Capital expenditures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5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w w:val="99"/>
              </w:rPr>
              <w:t>(48)</w:t>
            </w:r>
          </w:p>
        </w:tc>
        <w:tc>
          <w:tcPr>
            <w:tcW w:w="0" w:type="dxa"/>
            <w:vAlign w:val="bottom"/>
          </w:tcPr>
          <w:p>
            <w:pPr>
              <w:spacing w:after="0"/>
              <w:rPr>
                <w:sz w:val="1"/>
                <w:szCs w:val="1"/>
                <w:color w:val="auto"/>
              </w:rPr>
            </w:pPr>
          </w:p>
        </w:tc>
      </w:tr>
      <w:tr>
        <w:trPr>
          <w:trHeight w:val="229"/>
        </w:trPr>
        <w:tc>
          <w:tcPr>
            <w:tcW w:w="4540" w:type="dxa"/>
            <w:vAlign w:val="bottom"/>
          </w:tcPr>
          <w:p>
            <w:pPr>
              <w:ind w:left="120"/>
              <w:spacing w:after="0"/>
              <w:rPr>
                <w:sz w:val="20"/>
                <w:szCs w:val="20"/>
                <w:color w:val="auto"/>
              </w:rPr>
            </w:pPr>
            <w:r>
              <w:rPr>
                <w:rFonts w:ascii="Arial" w:cs="Arial" w:eastAsia="Arial" w:hAnsi="Arial"/>
                <w:sz w:val="18"/>
                <w:szCs w:val="18"/>
                <w:color w:val="auto"/>
              </w:rPr>
              <w:t>Capitalized software expenditures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840"/>
              <w:spacing w:after="0"/>
              <w:rPr>
                <w:sz w:val="20"/>
                <w:szCs w:val="20"/>
                <w:color w:val="auto"/>
              </w:rPr>
            </w:pPr>
            <w:r>
              <w:rPr>
                <w:rFonts w:ascii="Arial" w:cs="Arial" w:eastAsia="Arial" w:hAnsi="Arial"/>
                <w:sz w:val="18"/>
                <w:szCs w:val="18"/>
                <w:color w:val="auto"/>
                <w:w w:val="99"/>
              </w:rPr>
              <w:t>(37)</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Adjusted free cash flow</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353</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77 %</w:t>
            </w:r>
          </w:p>
        </w:tc>
        <w:tc>
          <w:tcPr>
            <w:tcW w:w="2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160" w:type="dxa"/>
            <w:vAlign w:val="bottom"/>
          </w:tcPr>
          <w:p>
            <w:pPr>
              <w:ind w:left="660"/>
              <w:spacing w:after="0"/>
              <w:rPr>
                <w:sz w:val="20"/>
                <w:szCs w:val="20"/>
                <w:color w:val="auto"/>
              </w:rPr>
            </w:pPr>
            <w:r>
              <w:rPr>
                <w:rFonts w:ascii="Arial" w:cs="Arial" w:eastAsia="Arial" w:hAnsi="Arial"/>
                <w:sz w:val="18"/>
                <w:szCs w:val="18"/>
                <w:color w:val="auto"/>
              </w:rPr>
              <w:t>1,823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Table 4: Forecasted adjusted DEPS reconciliation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5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3"/>
        </w:trPr>
        <w:tc>
          <w:tcPr>
            <w:tcW w:w="45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(from continuing operations)</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0"/>
        </w:trPr>
        <w:tc>
          <w:tcPr>
            <w:tcW w:w="4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Q4 2023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80" w:type="dxa"/>
            <w:vAlign w:val="bottom"/>
            <w:gridSpan w:val="7"/>
          </w:tcPr>
          <w:p>
            <w:pPr>
              <w:ind w:left="80"/>
              <w:spacing w:after="0"/>
              <w:rPr>
                <w:sz w:val="20"/>
                <w:szCs w:val="20"/>
                <w:color w:val="auto"/>
              </w:rPr>
            </w:pPr>
            <w:r>
              <w:rPr>
                <w:rFonts w:ascii="Arial" w:cs="Arial" w:eastAsia="Arial" w:hAnsi="Arial"/>
                <w:sz w:val="18"/>
                <w:szCs w:val="18"/>
                <w:b w:val="1"/>
                <w:bCs w:val="1"/>
                <w:color w:val="auto"/>
              </w:rPr>
              <w:t>FY 2023</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Borders>
              <w:top w:val="single" w:sz="8" w:color="auto"/>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Low end</w:t>
            </w: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auto"/>
              </w:rPr>
              <w:t>High end</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rPr>
              <w:t>Low end</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High end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GAAP DEPS</w:t>
            </w:r>
          </w:p>
        </w:tc>
        <w:tc>
          <w:tcPr>
            <w:tcW w:w="360" w:type="dxa"/>
            <w:vAlign w:val="bottom"/>
          </w:tcPr>
          <w:p>
            <w:pPr>
              <w:spacing w:after="0"/>
              <w:rPr>
                <w:sz w:val="19"/>
                <w:szCs w:val="19"/>
                <w:color w:val="auto"/>
              </w:rPr>
            </w:pPr>
          </w:p>
        </w:tc>
        <w:tc>
          <w:tcPr>
            <w:tcW w:w="110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2.95</w:t>
            </w:r>
          </w:p>
        </w:tc>
        <w:tc>
          <w:tcPr>
            <w:tcW w:w="112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w w:val="96"/>
              </w:rPr>
              <w:t>2.99</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19"/>
                <w:szCs w:val="19"/>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00" w:type="dxa"/>
            <w:vAlign w:val="bottom"/>
            <w:gridSpan w:val="4"/>
          </w:tcPr>
          <w:p>
            <w:pPr>
              <w:ind w:left="140"/>
              <w:spacing w:after="0" w:line="176" w:lineRule="exact"/>
              <w:rPr>
                <w:sz w:val="20"/>
                <w:szCs w:val="20"/>
                <w:color w:val="auto"/>
              </w:rPr>
            </w:pPr>
            <w:r>
              <w:rPr>
                <w:rFonts w:ascii="Arial" w:cs="Arial" w:eastAsia="Arial" w:hAnsi="Arial"/>
                <w:sz w:val="18"/>
                <w:szCs w:val="18"/>
                <w:color w:val="auto"/>
              </w:rPr>
              <w:t>Restructuring-related expenses associated with the Syntellis</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540" w:type="dxa"/>
            <w:vAlign w:val="bottom"/>
          </w:tcPr>
          <w:p>
            <w:pPr>
              <w:ind w:left="140"/>
              <w:spacing w:after="0"/>
              <w:rPr>
                <w:sz w:val="20"/>
                <w:szCs w:val="20"/>
                <w:color w:val="auto"/>
              </w:rPr>
            </w:pPr>
            <w:r>
              <w:rPr>
                <w:rFonts w:ascii="Arial" w:cs="Arial" w:eastAsia="Arial" w:hAnsi="Arial"/>
                <w:sz w:val="18"/>
                <w:szCs w:val="18"/>
                <w:color w:val="auto"/>
              </w:rPr>
              <w:t>acquisition</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00" w:type="dxa"/>
            <w:vAlign w:val="bottom"/>
            <w:gridSpan w:val="2"/>
          </w:tcPr>
          <w:p>
            <w:pPr>
              <w:ind w:left="140"/>
              <w:spacing w:after="0"/>
              <w:rPr>
                <w:sz w:val="20"/>
                <w:szCs w:val="20"/>
                <w:color w:val="auto"/>
              </w:rPr>
            </w:pPr>
            <w:r>
              <w:rPr>
                <w:rFonts w:ascii="Arial" w:cs="Arial" w:eastAsia="Arial" w:hAnsi="Arial"/>
                <w:sz w:val="18"/>
                <w:szCs w:val="18"/>
                <w:color w:val="auto"/>
              </w:rPr>
              <w:t>Transaction-related expenses for completed acquisitions</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90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9"/>
              </w:rPr>
              <w:t>Financial impacts associated with the minority investment in</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540" w:type="dxa"/>
            <w:vAlign w:val="bottom"/>
          </w:tcPr>
          <w:p>
            <w:pPr>
              <w:ind w:left="140"/>
              <w:spacing w:after="0" w:line="244" w:lineRule="exact"/>
              <w:rPr>
                <w:sz w:val="20"/>
                <w:szCs w:val="20"/>
                <w:color w:val="auto"/>
              </w:rPr>
            </w:pPr>
            <w:r>
              <w:rPr>
                <w:rFonts w:ascii="Arial" w:cs="Arial" w:eastAsia="Arial" w:hAnsi="Arial"/>
                <w:sz w:val="18"/>
                <w:szCs w:val="18"/>
                <w:color w:val="auto"/>
              </w:rPr>
              <w:t xml:space="preserve">Indicor </w:t>
            </w:r>
            <w:r>
              <w:rPr>
                <w:rFonts w:ascii="Arial" w:cs="Arial" w:eastAsia="Arial" w:hAnsi="Arial"/>
                <w:sz w:val="23"/>
                <w:szCs w:val="23"/>
                <w:color w:val="auto"/>
                <w:vertAlign w:val="superscript"/>
              </w:rPr>
              <w:t>A</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TBD</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gridSpan w:val="3"/>
          </w:tcPr>
          <w:p>
            <w:pPr>
              <w:spacing w:after="0"/>
              <w:rPr>
                <w:sz w:val="20"/>
                <w:szCs w:val="20"/>
                <w:color w:val="auto"/>
              </w:rPr>
            </w:pPr>
            <w:r>
              <w:rPr>
                <w:rFonts w:ascii="Arial" w:cs="Arial" w:eastAsia="Arial" w:hAnsi="Arial"/>
                <w:sz w:val="18"/>
                <w:szCs w:val="18"/>
                <w:color w:val="auto"/>
              </w:rPr>
              <w:t>TBD</w:t>
            </w:r>
          </w:p>
        </w:tc>
        <w:tc>
          <w:tcPr>
            <w:tcW w:w="140" w:type="dxa"/>
            <w:vAlign w:val="bottom"/>
          </w:tcPr>
          <w:p>
            <w:pPr>
              <w:spacing w:after="0"/>
              <w:rPr>
                <w:sz w:val="21"/>
                <w:szCs w:val="21"/>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ind w:left="660"/>
              <w:spacing w:after="0"/>
              <w:rPr>
                <w:sz w:val="20"/>
                <w:szCs w:val="20"/>
                <w:color w:val="auto"/>
              </w:rPr>
            </w:pPr>
            <w:r>
              <w:rPr>
                <w:rFonts w:ascii="Arial" w:cs="Arial" w:eastAsia="Arial" w:hAnsi="Arial"/>
                <w:sz w:val="18"/>
                <w:szCs w:val="18"/>
                <w:color w:val="auto"/>
              </w:rPr>
              <w:t>(0.78)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140"/>
              <w:spacing w:after="0"/>
              <w:rPr>
                <w:sz w:val="20"/>
                <w:szCs w:val="20"/>
                <w:color w:val="auto"/>
              </w:rPr>
            </w:pPr>
            <w:r>
              <w:rPr>
                <w:rFonts w:ascii="Arial" w:cs="Arial" w:eastAsia="Arial" w:hAnsi="Arial"/>
                <w:sz w:val="18"/>
                <w:szCs w:val="18"/>
                <w:color w:val="auto"/>
              </w:rPr>
              <w:t>Gain on sale of non-operating assets</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ind w:left="660"/>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540" w:type="dxa"/>
            <w:vAlign w:val="bottom"/>
          </w:tcPr>
          <w:p>
            <w:pPr>
              <w:ind w:left="140"/>
              <w:spacing w:after="0" w:line="235" w:lineRule="exact"/>
              <w:rPr>
                <w:sz w:val="20"/>
                <w:szCs w:val="20"/>
                <w:color w:val="auto"/>
              </w:rPr>
            </w:pPr>
            <w:r>
              <w:rPr>
                <w:rFonts w:ascii="Arial" w:cs="Arial" w:eastAsia="Arial" w:hAnsi="Arial"/>
                <w:sz w:val="18"/>
                <w:szCs w:val="18"/>
                <w:color w:val="auto"/>
              </w:rPr>
              <w:t xml:space="preserve">Amortization of acquisition-related intangible assets </w:t>
            </w:r>
            <w:r>
              <w:rPr>
                <w:rFonts w:ascii="Arial" w:cs="Arial" w:eastAsia="Arial" w:hAnsi="Arial"/>
                <w:sz w:val="23"/>
                <w:szCs w:val="23"/>
                <w:color w:val="auto"/>
                <w:vertAlign w:val="superscript"/>
              </w:rPr>
              <w:t>B</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96"/>
              </w:rPr>
              <w:t>1.33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Adjusted DEPS</w:t>
            </w:r>
          </w:p>
        </w:tc>
        <w:tc>
          <w:tcPr>
            <w:tcW w:w="360" w:type="dxa"/>
            <w:vAlign w:val="bottom"/>
          </w:tcPr>
          <w:p>
            <w:pPr>
              <w:spacing w:after="0"/>
              <w:rPr>
                <w:sz w:val="19"/>
                <w:szCs w:val="19"/>
                <w:color w:val="auto"/>
              </w:rPr>
            </w:pPr>
          </w:p>
        </w:tc>
        <w:tc>
          <w:tcPr>
            <w:tcW w:w="110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4.28</w:t>
            </w:r>
          </w:p>
        </w:tc>
        <w:tc>
          <w:tcPr>
            <w:tcW w:w="112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w w:val="96"/>
              </w:rPr>
              <w:t>4.32</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19"/>
                <w:szCs w:val="19"/>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180"/>
          </w:cols>
          <w:pgMar w:left="360" w:top="1201" w:right="359" w:bottom="1440" w:gutter="0" w:footer="0" w:header="0"/>
        </w:sectPr>
      </w:pPr>
    </w:p>
    <w:bookmarkStart w:id="7" w:name="page8"/>
    <w:bookmarkEnd w:id="7"/>
    <w:p>
      <w:pPr>
        <w:jc w:val="both"/>
        <w:ind w:left="380" w:right="20" w:hanging="354"/>
        <w:spacing w:after="0" w:line="229"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Adjustments related to the financial impacts associated with the minority investment in Indicor as shown below ($M, except per share data). Forecasted results do not include any potential impacts associated with our minority investments in Indicor nor Certinia as these potential impacts cannot be reasonably predicted, and will be adjusted out of all GAAP results in future periods.</w:t>
      </w:r>
    </w:p>
    <w:p>
      <w:pPr>
        <w:spacing w:after="0" w:line="271"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19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Q3 2022A</w:t>
            </w:r>
          </w:p>
        </w:tc>
        <w:tc>
          <w:tcPr>
            <w:tcW w:w="3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Q3 2023A</w:t>
            </w:r>
          </w:p>
        </w:tc>
        <w:tc>
          <w:tcPr>
            <w:tcW w:w="18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98"/>
              </w:rPr>
              <w:t>Q4 2023E</w:t>
            </w:r>
          </w:p>
        </w:tc>
        <w:tc>
          <w:tcPr>
            <w:tcW w:w="3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99"/>
              </w:rPr>
              <w:t>FY 2023E</w:t>
            </w:r>
          </w:p>
        </w:tc>
        <w:tc>
          <w:tcPr>
            <w:tcW w:w="380" w:type="dxa"/>
            <w:vAlign w:val="bottom"/>
            <w:tcBorders>
              <w:bottom w:val="single" w:sz="8" w:color="auto"/>
            </w:tcBorders>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YTD 2023A</w:t>
            </w:r>
          </w:p>
        </w:tc>
      </w:tr>
      <w:tr>
        <w:trPr>
          <w:trHeight w:val="223"/>
        </w:trPr>
        <w:tc>
          <w:tcPr>
            <w:tcW w:w="1900" w:type="dxa"/>
            <w:vAlign w:val="bottom"/>
          </w:tcPr>
          <w:p>
            <w:pPr>
              <w:spacing w:after="0"/>
              <w:rPr>
                <w:sz w:val="20"/>
                <w:szCs w:val="20"/>
                <w:color w:val="auto"/>
              </w:rPr>
            </w:pPr>
            <w:r>
              <w:rPr>
                <w:rFonts w:ascii="Arial" w:cs="Arial" w:eastAsia="Arial" w:hAnsi="Arial"/>
                <w:sz w:val="18"/>
                <w:szCs w:val="18"/>
                <w:color w:val="auto"/>
              </w:rPr>
              <w:t>Pretax</w:t>
            </w:r>
          </w:p>
        </w:tc>
        <w:tc>
          <w:tcPr>
            <w:tcW w:w="1260" w:type="dxa"/>
            <w:vAlign w:val="bottom"/>
          </w:tcPr>
          <w:p>
            <w:pPr>
              <w:jc w:val="right"/>
              <w:ind w:right="105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rPr>
              <w:t>TBD</w:t>
            </w:r>
          </w:p>
        </w:tc>
        <w:tc>
          <w:tcPr>
            <w:tcW w:w="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TBD</w:t>
            </w: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After-tax</w:t>
            </w:r>
          </w:p>
        </w:tc>
        <w:tc>
          <w:tcPr>
            <w:tcW w:w="1260" w:type="dxa"/>
            <w:vAlign w:val="bottom"/>
          </w:tcPr>
          <w:p>
            <w:pPr>
              <w:jc w:val="right"/>
              <w:ind w:right="105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rPr>
              <w:t>TBD</w:t>
            </w:r>
          </w:p>
        </w:tc>
        <w:tc>
          <w:tcPr>
            <w:tcW w:w="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TBD</w:t>
            </w: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1900" w:type="dxa"/>
            <w:vAlign w:val="bottom"/>
          </w:tcPr>
          <w:p>
            <w:pPr>
              <w:spacing w:after="0"/>
              <w:rPr>
                <w:sz w:val="20"/>
                <w:szCs w:val="20"/>
                <w:color w:val="auto"/>
              </w:rPr>
            </w:pPr>
            <w:r>
              <w:rPr>
                <w:rFonts w:ascii="Arial" w:cs="Arial" w:eastAsia="Arial" w:hAnsi="Arial"/>
                <w:sz w:val="18"/>
                <w:szCs w:val="18"/>
                <w:color w:val="auto"/>
              </w:rPr>
              <w:t>Per share</w:t>
            </w:r>
          </w:p>
        </w:tc>
        <w:tc>
          <w:tcPr>
            <w:tcW w:w="1260" w:type="dxa"/>
            <w:vAlign w:val="bottom"/>
          </w:tcPr>
          <w:p>
            <w:pPr>
              <w:jc w:val="right"/>
              <w:ind w:right="105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(0.26)</w:t>
            </w:r>
          </w:p>
        </w:tc>
        <w:tc>
          <w:tcPr>
            <w:tcW w:w="18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rPr>
              <w:t>TBD</w:t>
            </w:r>
          </w:p>
        </w:tc>
        <w:tc>
          <w:tcPr>
            <w:tcW w:w="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TBD</w:t>
            </w: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(0.78)</w:t>
            </w:r>
          </w:p>
        </w:tc>
      </w:tr>
    </w:tbl>
    <w:p>
      <w:pPr>
        <w:spacing w:after="0" w:line="311" w:lineRule="exact"/>
        <w:rPr>
          <w:sz w:val="20"/>
          <w:szCs w:val="20"/>
          <w:color w:val="auto"/>
        </w:rPr>
      </w:pPr>
    </w:p>
    <w:p>
      <w:pPr>
        <w:ind w:left="380" w:right="20" w:hanging="354"/>
        <w:spacing w:after="0" w:line="234"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Actual results and forecast of estimated amortization of acquisition-related intangible assets as shown below ($M, except per share data). These adjustments are taxed at 21%.</w:t>
      </w:r>
    </w:p>
    <w:p>
      <w:pPr>
        <w:spacing w:after="0" w:line="284" w:lineRule="exact"/>
        <w:rPr>
          <w:sz w:val="20"/>
          <w:szCs w:val="20"/>
          <w:color w:val="auto"/>
        </w:rPr>
      </w:pPr>
    </w:p>
    <w:tbl>
      <w:tblPr>
        <w:tblLayout w:type="fixed"/>
        <w:tblInd w:w="380" w:type="dxa"/>
        <w:tblCellMar>
          <w:top w:w="0" w:type="dxa"/>
          <w:left w:w="0" w:type="dxa"/>
          <w:bottom w:w="0" w:type="dxa"/>
          <w:right w:w="0" w:type="dxa"/>
        </w:tblCellMar>
      </w:tblPr>
      <w:tr>
        <w:trPr>
          <w:trHeight w:val="229"/>
        </w:trPr>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ind w:left="140"/>
              <w:spacing w:after="0"/>
              <w:rPr>
                <w:sz w:val="20"/>
                <w:szCs w:val="20"/>
                <w:color w:val="auto"/>
              </w:rPr>
            </w:pPr>
            <w:r>
              <w:rPr>
                <w:rFonts w:ascii="Arial" w:cs="Arial" w:eastAsia="Arial" w:hAnsi="Arial"/>
                <w:sz w:val="18"/>
                <w:szCs w:val="18"/>
                <w:b w:val="1"/>
                <w:bCs w:val="1"/>
                <w:color w:val="auto"/>
              </w:rPr>
              <w:t>Q3 2022A</w:t>
            </w:r>
          </w:p>
        </w:tc>
        <w:tc>
          <w:tcPr>
            <w:tcW w:w="240" w:type="dxa"/>
            <w:vAlign w:val="bottom"/>
          </w:tcPr>
          <w:p>
            <w:pPr>
              <w:spacing w:after="0"/>
              <w:rPr>
                <w:sz w:val="19"/>
                <w:szCs w:val="19"/>
                <w:color w:val="auto"/>
              </w:rPr>
            </w:pPr>
          </w:p>
        </w:tc>
        <w:tc>
          <w:tcPr>
            <w:tcW w:w="152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Q3 2023A</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rPr>
              <w:t>Q4 2023E</w:t>
            </w:r>
          </w:p>
        </w:tc>
        <w:tc>
          <w:tcPr>
            <w:tcW w:w="260" w:type="dxa"/>
            <w:vAlign w:val="bottom"/>
          </w:tcPr>
          <w:p>
            <w:pPr>
              <w:spacing w:after="0"/>
              <w:rPr>
                <w:sz w:val="19"/>
                <w:szCs w:val="19"/>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FY 2023E</w:t>
            </w:r>
          </w:p>
        </w:tc>
      </w:tr>
      <w:tr>
        <w:trPr>
          <w:trHeight w:val="223"/>
        </w:trPr>
        <w:tc>
          <w:tcPr>
            <w:tcW w:w="1900" w:type="dxa"/>
            <w:vAlign w:val="bottom"/>
          </w:tcPr>
          <w:p>
            <w:pPr>
              <w:spacing w:after="0"/>
              <w:rPr>
                <w:sz w:val="20"/>
                <w:szCs w:val="20"/>
                <w:color w:val="auto"/>
              </w:rPr>
            </w:pPr>
            <w:r>
              <w:rPr>
                <w:rFonts w:ascii="Arial" w:cs="Arial" w:eastAsia="Arial" w:hAnsi="Arial"/>
                <w:sz w:val="18"/>
                <w:szCs w:val="18"/>
                <w:color w:val="auto"/>
              </w:rPr>
              <w:t>Pretax</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8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698</w:t>
            </w:r>
          </w:p>
        </w:tc>
      </w:tr>
      <w:tr>
        <w:trPr>
          <w:trHeight w:val="229"/>
        </w:trPr>
        <w:tc>
          <w:tcPr>
            <w:tcW w:w="1900" w:type="dxa"/>
            <w:vAlign w:val="bottom"/>
          </w:tcPr>
          <w:p>
            <w:pPr>
              <w:spacing w:after="0"/>
              <w:rPr>
                <w:sz w:val="20"/>
                <w:szCs w:val="20"/>
                <w:color w:val="auto"/>
              </w:rPr>
            </w:pPr>
            <w:r>
              <w:rPr>
                <w:rFonts w:ascii="Arial" w:cs="Arial" w:eastAsia="Arial" w:hAnsi="Arial"/>
                <w:sz w:val="18"/>
                <w:szCs w:val="18"/>
                <w:color w:val="auto"/>
              </w:rPr>
              <w:t>After-tax</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552</w:t>
            </w:r>
          </w:p>
        </w:tc>
      </w:tr>
      <w:tr>
        <w:trPr>
          <w:trHeight w:val="229"/>
        </w:trPr>
        <w:tc>
          <w:tcPr>
            <w:tcW w:w="1900" w:type="dxa"/>
            <w:vAlign w:val="bottom"/>
          </w:tcPr>
          <w:p>
            <w:pPr>
              <w:spacing w:after="0"/>
              <w:rPr>
                <w:sz w:val="20"/>
                <w:szCs w:val="20"/>
                <w:color w:val="auto"/>
              </w:rPr>
            </w:pPr>
            <w:r>
              <w:rPr>
                <w:rFonts w:ascii="Arial" w:cs="Arial" w:eastAsia="Arial" w:hAnsi="Arial"/>
                <w:sz w:val="18"/>
                <w:szCs w:val="18"/>
                <w:color w:val="auto"/>
              </w:rPr>
              <w:t>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5.13</w:t>
            </w:r>
          </w:p>
        </w:tc>
      </w:tr>
    </w:tbl>
    <w:p>
      <w:pPr>
        <w:spacing w:after="0" w:line="311" w:lineRule="exact"/>
        <w:rPr>
          <w:sz w:val="20"/>
          <w:szCs w:val="20"/>
          <w:color w:val="auto"/>
        </w:rPr>
      </w:pPr>
    </w:p>
    <w:p>
      <w:pPr>
        <w:ind w:left="380" w:right="20" w:hanging="354"/>
        <w:spacing w:after="0" w:line="234"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taxes paid in the quarter were associated with Roper's portion of Indicor's gain on the sale of its Compressor Controls business ("CCC") to Honeywell. Roper expects to make the final cash tax payment associated with this transaction in the fourth quarter.</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Note: Numbers may not foot due to rounding.</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22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About Roper Technologies</w:t>
      </w:r>
    </w:p>
    <w:p>
      <w:pPr>
        <w:spacing w:after="0" w:line="276"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 xml:space="preserve">Roper Technologies is a constituent of the S&amp;P 500 and Fortune 1000. Roper has a proven, long-term track record of compounding cash flow and shareholder value. The Company operates market leading businesses that design and develop vertical software and technology enabled products for a variety of defensible niche markets. Roper utilizes a disciplined, analytical, and process-driven approach to redeploy its excess capital toward high-quality acquisitions. Additional information about Roper is available on the Company’s website at </w:t>
      </w:r>
      <w:r>
        <w:rPr>
          <w:rFonts w:ascii="Arial" w:cs="Arial" w:eastAsia="Arial" w:hAnsi="Arial"/>
          <w:sz w:val="18"/>
          <w:szCs w:val="18"/>
          <w:u w:val="single" w:color="auto"/>
          <w:color w:val="0000FF"/>
        </w:rPr>
        <w:t>www.ropertech.com</w:t>
      </w:r>
      <w:r>
        <w:rPr>
          <w:rFonts w:ascii="Arial" w:cs="Arial" w:eastAsia="Arial" w:hAnsi="Arial"/>
          <w:sz w:val="18"/>
          <w:szCs w:val="18"/>
          <w:color w:val="000000"/>
        </w:rPr>
        <w: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941-556-2601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investor-relations@ropertech.com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183" w:right="339" w:bottom="1440" w:gutter="0" w:footer="0" w:header="0"/>
        </w:sectPr>
      </w:pPr>
    </w:p>
    <w:bookmarkStart w:id="9" w:name="page10"/>
    <w:bookmarkEnd w:id="9"/>
    <w:p>
      <w:pPr>
        <w:jc w:val="both"/>
        <w:spacing w:after="0" w:line="272" w:lineRule="auto"/>
        <w:rPr>
          <w:sz w:val="20"/>
          <w:szCs w:val="20"/>
          <w:color w:val="auto"/>
        </w:rPr>
      </w:pPr>
      <w:r>
        <w:rPr>
          <w:rFonts w:ascii="Arial" w:cs="Arial" w:eastAsia="Arial" w:hAnsi="Arial"/>
          <w:sz w:val="18"/>
          <w:szCs w:val="18"/>
          <w:i w:val="1"/>
          <w:iCs w:val="1"/>
          <w:color w:val="auto"/>
        </w:rPr>
        <w:t>The information provided in this press release contains forward-looking statements within the meaning of the federal securities laws. These forward-looking statements may include, among others, statements regarding operating results, the success of our internal operating plans, and the prospects for newly acquired businesses to be integrated and contribute to future growth, profit and cash flow expectations. Forward-looking statements may be indicated by words or phrases such as "anticipate," "estimate," "plans," "expects," "projects," "should," "will," "believes," "intends" and similar words and phrases. These statements reflect management's current beliefs and are not guarantees of future performance. They involve risks and uncertainties that could cause actual results to differ materially from those contained in any forward-looking statement. Such risks and uncertainties include any ongoing impacts of the COVID-19 pandemic on our business, operations, financial results and liquidity, which will depend on numerous evolving factors which we cannot accurately predict or assess, including: the duration and scope of the pandemic, new variants of the virus and the distribution and efficacy of vaccines; any negative impact on global and regional markets, economies and economic activity; actions governments, businesses and individuals take in response to the pandemic; the effects of the pandemic, including all of the foregoing, on our customers, suppliers and business partners. Such risks and uncertainties also include our ability to identify and complete acquisitions consistent with our business strategies, integrate acquisitions that have been completed, realize expected benefits and synergies from, and manage other risks associated with, acquired businesses, including obtaining any required regulatory approvals with respect thereto. We also face other general risks, including our ability to realize cost savings from our operating initiatives, general economic conditions and the conditions of the specific markets in which we operate, including risks related to labor shortages and rising interest rates, changes in foreign exchange rates, difficulties associated with exports, risks associated with our international operations, cybersecurity and data privacy risks, including litigation resulting therefrom, risks related to political instability, armed hostilities, incidents of terrorism, public health crises (such as the COVID-19 pandemic) or natural disasters, increased product liability and insurance costs, increased warranty exposure, future competition, changes in the supply of, or price for, parts and components, including as a result of the current inflationary environment and ongoing supply chain constraints, environmental compliance costs and liabilities, risks and cost associated with litigation, potential write-offs of our substantial intangible assets, and risks associated with obtaining governmental approvals and maintaining regulatory compliance for new and existing products. Important risks may be discussed in current and subsequent filings with the SEC. You should not place undue reliance on any forward-looking statements. These statements speak only as of the date they are made, and we undertake no obligation to update publicly any of them in light of new information or future events.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 #</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18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Roper Technologies, Inc.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(Amounts in millions)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140" w:type="dxa"/>
            <w:vAlign w:val="bottom"/>
            <w:vMerge w:val="restart"/>
          </w:tcPr>
          <w:p>
            <w:pPr>
              <w:spacing w:after="0"/>
              <w:rPr>
                <w:sz w:val="20"/>
                <w:szCs w:val="20"/>
                <w:color w:val="auto"/>
              </w:rPr>
            </w:pPr>
            <w:r>
              <w:rPr>
                <w:rFonts w:ascii="Arial" w:cs="Arial" w:eastAsia="Arial" w:hAnsi="Arial"/>
                <w:sz w:val="16"/>
                <w:szCs w:val="16"/>
                <w:color w:val="auto"/>
              </w:rPr>
              <w:t>ASSETS:</w:t>
            </w:r>
          </w:p>
        </w:tc>
        <w:tc>
          <w:tcPr>
            <w:tcW w:w="300" w:type="dxa"/>
            <w:vAlign w:val="bottom"/>
          </w:tcPr>
          <w:p>
            <w:pPr>
              <w:spacing w:after="0"/>
              <w:rPr>
                <w:sz w:val="19"/>
                <w:szCs w:val="19"/>
                <w:color w:val="auto"/>
              </w:rPr>
            </w:pPr>
          </w:p>
        </w:tc>
        <w:tc>
          <w:tcPr>
            <w:tcW w:w="230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 2023</w:t>
            </w:r>
          </w:p>
        </w:tc>
        <w:tc>
          <w:tcPr>
            <w:tcW w:w="320" w:type="dxa"/>
            <w:vAlign w:val="bottom"/>
          </w:tcPr>
          <w:p>
            <w:pPr>
              <w:spacing w:after="0"/>
              <w:rPr>
                <w:sz w:val="19"/>
                <w:szCs w:val="19"/>
                <w:color w:val="auto"/>
              </w:rPr>
            </w:pPr>
          </w:p>
        </w:tc>
        <w:tc>
          <w:tcPr>
            <w:tcW w:w="2160" w:type="dxa"/>
            <w:vAlign w:val="bottom"/>
          </w:tcPr>
          <w:p>
            <w:pPr>
              <w:jc w:val="right"/>
              <w:ind w:right="419"/>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190"/>
        </w:trPr>
        <w:tc>
          <w:tcPr>
            <w:tcW w:w="6140" w:type="dxa"/>
            <w:vAlign w:val="bottom"/>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8"/>
        </w:trPr>
        <w:tc>
          <w:tcPr>
            <w:tcW w:w="614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180" w:type="dxa"/>
            <w:vAlign w:val="bottom"/>
          </w:tcPr>
          <w:p>
            <w:pPr>
              <w:jc w:val="right"/>
              <w:spacing w:after="0"/>
              <w:rPr>
                <w:sz w:val="20"/>
                <w:szCs w:val="20"/>
                <w:color w:val="auto"/>
              </w:rPr>
            </w:pPr>
            <w:r>
              <w:rPr>
                <w:rFonts w:ascii="Arial" w:cs="Arial" w:eastAsia="Arial" w:hAnsi="Arial"/>
                <w:sz w:val="16"/>
                <w:szCs w:val="16"/>
                <w:color w:val="auto"/>
              </w:rPr>
              <w:t>299.5</w:t>
            </w:r>
          </w:p>
        </w:tc>
        <w:tc>
          <w:tcPr>
            <w:tcW w:w="12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160" w:type="dxa"/>
            <w:vAlign w:val="bottom"/>
          </w:tcPr>
          <w:p>
            <w:pPr>
              <w:jc w:val="right"/>
              <w:spacing w:after="0"/>
              <w:rPr>
                <w:sz w:val="20"/>
                <w:szCs w:val="20"/>
                <w:color w:val="auto"/>
              </w:rPr>
            </w:pPr>
            <w:r>
              <w:rPr>
                <w:rFonts w:ascii="Arial" w:cs="Arial" w:eastAsia="Arial" w:hAnsi="Arial"/>
                <w:sz w:val="16"/>
                <w:szCs w:val="16"/>
                <w:color w:val="auto"/>
              </w:rPr>
              <w:t>792.8</w:t>
            </w:r>
          </w:p>
        </w:tc>
        <w:tc>
          <w:tcPr>
            <w:tcW w:w="0" w:type="dxa"/>
            <w:vAlign w:val="bottom"/>
          </w:tcPr>
          <w:p>
            <w:pPr>
              <w:spacing w:after="0"/>
              <w:rPr>
                <w:sz w:val="1"/>
                <w:szCs w:val="1"/>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3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746.4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724.5</w:t>
            </w:r>
          </w:p>
        </w:tc>
        <w:tc>
          <w:tcPr>
            <w:tcW w:w="0" w:type="dxa"/>
            <w:vAlign w:val="bottom"/>
          </w:tcPr>
          <w:p>
            <w:pPr>
              <w:spacing w:after="0"/>
              <w:rPr>
                <w:sz w:val="1"/>
                <w:szCs w:val="1"/>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Inventories, net</w:t>
            </w:r>
          </w:p>
        </w:tc>
        <w:tc>
          <w:tcPr>
            <w:tcW w:w="3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122.5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111.3</w:t>
            </w:r>
          </w:p>
        </w:tc>
        <w:tc>
          <w:tcPr>
            <w:tcW w:w="0" w:type="dxa"/>
            <w:vAlign w:val="bottom"/>
          </w:tcPr>
          <w:p>
            <w:pPr>
              <w:spacing w:after="0"/>
              <w:rPr>
                <w:sz w:val="1"/>
                <w:szCs w:val="1"/>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Income taxes receivable</w:t>
            </w:r>
          </w:p>
        </w:tc>
        <w:tc>
          <w:tcPr>
            <w:tcW w:w="3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55.2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Unbilled receivables</w:t>
            </w:r>
          </w:p>
        </w:tc>
        <w:tc>
          <w:tcPr>
            <w:tcW w:w="3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112.1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91.5</w:t>
            </w:r>
          </w:p>
        </w:tc>
        <w:tc>
          <w:tcPr>
            <w:tcW w:w="0" w:type="dxa"/>
            <w:vAlign w:val="bottom"/>
          </w:tcPr>
          <w:p>
            <w:pPr>
              <w:spacing w:after="0"/>
              <w:rPr>
                <w:sz w:val="1"/>
                <w:szCs w:val="1"/>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168.8</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151.3</w:t>
            </w:r>
          </w:p>
        </w:tc>
        <w:tc>
          <w:tcPr>
            <w:tcW w:w="0" w:type="dxa"/>
            <w:vAlign w:val="bottom"/>
          </w:tcPr>
          <w:p>
            <w:pPr>
              <w:spacing w:after="0"/>
              <w:rPr>
                <w:sz w:val="1"/>
                <w:szCs w:val="1"/>
                <w:color w:val="auto"/>
              </w:rPr>
            </w:pPr>
          </w:p>
        </w:tc>
      </w:tr>
      <w:tr>
        <w:trPr>
          <w:trHeight w:val="210"/>
        </w:trPr>
        <w:tc>
          <w:tcPr>
            <w:tcW w:w="614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3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1,504.5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1,932.4</w:t>
            </w:r>
          </w:p>
        </w:tc>
        <w:tc>
          <w:tcPr>
            <w:tcW w:w="0" w:type="dxa"/>
            <w:vAlign w:val="bottom"/>
          </w:tcPr>
          <w:p>
            <w:pPr>
              <w:spacing w:after="0"/>
              <w:rPr>
                <w:sz w:val="1"/>
                <w:szCs w:val="1"/>
                <w:color w:val="auto"/>
              </w:rPr>
            </w:pPr>
          </w:p>
        </w:tc>
      </w:tr>
      <w:tr>
        <w:trPr>
          <w:trHeight w:val="432"/>
        </w:trPr>
        <w:tc>
          <w:tcPr>
            <w:tcW w:w="6140" w:type="dxa"/>
            <w:vAlign w:val="bottom"/>
          </w:tcPr>
          <w:p>
            <w:pPr>
              <w:ind w:left="12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98.3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85.3</w:t>
            </w:r>
          </w:p>
        </w:tc>
        <w:tc>
          <w:tcPr>
            <w:tcW w:w="0" w:type="dxa"/>
            <w:vAlign w:val="bottom"/>
          </w:tcPr>
          <w:p>
            <w:pPr>
              <w:spacing w:after="0"/>
              <w:rPr>
                <w:sz w:val="1"/>
                <w:szCs w:val="1"/>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17,047.6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15,946.1</w:t>
            </w:r>
          </w:p>
        </w:tc>
        <w:tc>
          <w:tcPr>
            <w:tcW w:w="0" w:type="dxa"/>
            <w:vAlign w:val="bottom"/>
          </w:tcPr>
          <w:p>
            <w:pPr>
              <w:spacing w:after="0"/>
              <w:rPr>
                <w:sz w:val="1"/>
                <w:szCs w:val="1"/>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Other intangible assets, net</w:t>
            </w:r>
          </w:p>
        </w:tc>
        <w:tc>
          <w:tcPr>
            <w:tcW w:w="3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8,343.6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8,030.7</w:t>
            </w:r>
          </w:p>
        </w:tc>
        <w:tc>
          <w:tcPr>
            <w:tcW w:w="0" w:type="dxa"/>
            <w:vAlign w:val="bottom"/>
          </w:tcPr>
          <w:p>
            <w:pPr>
              <w:spacing w:after="0"/>
              <w:rPr>
                <w:sz w:val="1"/>
                <w:szCs w:val="1"/>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Deferred taxes</w:t>
            </w:r>
          </w:p>
        </w:tc>
        <w:tc>
          <w:tcPr>
            <w:tcW w:w="3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52.1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Equity investments</w:t>
            </w:r>
          </w:p>
        </w:tc>
        <w:tc>
          <w:tcPr>
            <w:tcW w:w="3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736.4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535.0</w:t>
            </w:r>
          </w:p>
        </w:tc>
        <w:tc>
          <w:tcPr>
            <w:tcW w:w="0" w:type="dxa"/>
            <w:vAlign w:val="bottom"/>
          </w:tcPr>
          <w:p>
            <w:pPr>
              <w:spacing w:after="0"/>
              <w:rPr>
                <w:sz w:val="1"/>
                <w:szCs w:val="1"/>
                <w:color w:val="auto"/>
              </w:rPr>
            </w:pPr>
          </w:p>
        </w:tc>
      </w:tr>
      <w:tr>
        <w:trPr>
          <w:trHeight w:val="219"/>
        </w:trPr>
        <w:tc>
          <w:tcPr>
            <w:tcW w:w="6140" w:type="dxa"/>
            <w:vAlign w:val="bottom"/>
          </w:tcPr>
          <w:p>
            <w:pPr>
              <w:ind w:left="12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405.5</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395.4</w:t>
            </w:r>
          </w:p>
        </w:tc>
        <w:tc>
          <w:tcPr>
            <w:tcW w:w="0" w:type="dxa"/>
            <w:vAlign w:val="bottom"/>
          </w:tcPr>
          <w:p>
            <w:pPr>
              <w:spacing w:after="0"/>
              <w:rPr>
                <w:sz w:val="1"/>
                <w:szCs w:val="1"/>
                <w:color w:val="auto"/>
              </w:rPr>
            </w:pPr>
          </w:p>
        </w:tc>
      </w:tr>
      <w:tr>
        <w:trPr>
          <w:trHeight w:val="213"/>
        </w:trPr>
        <w:tc>
          <w:tcPr>
            <w:tcW w:w="614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28,188.0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26,980.8</w:t>
            </w:r>
          </w:p>
        </w:tc>
        <w:tc>
          <w:tcPr>
            <w:tcW w:w="0" w:type="dxa"/>
            <w:vAlign w:val="bottom"/>
          </w:tcPr>
          <w:p>
            <w:pPr>
              <w:spacing w:after="0"/>
              <w:rPr>
                <w:sz w:val="1"/>
                <w:szCs w:val="1"/>
                <w:color w:val="auto"/>
              </w:rPr>
            </w:pPr>
          </w:p>
        </w:tc>
      </w:tr>
      <w:tr>
        <w:trPr>
          <w:trHeight w:val="21"/>
        </w:trPr>
        <w:tc>
          <w:tcPr>
            <w:tcW w:w="6140" w:type="dxa"/>
            <w:vAlign w:val="bottom"/>
            <w:vMerge w:val="restart"/>
          </w:tcPr>
          <w:p>
            <w:pPr>
              <w:spacing w:after="0"/>
              <w:rPr>
                <w:sz w:val="20"/>
                <w:szCs w:val="20"/>
                <w:color w:val="auto"/>
              </w:rPr>
            </w:pPr>
            <w:r>
              <w:rPr>
                <w:rFonts w:ascii="Arial" w:cs="Arial" w:eastAsia="Arial" w:hAnsi="Arial"/>
                <w:sz w:val="16"/>
                <w:szCs w:val="16"/>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61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14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180" w:type="dxa"/>
            <w:vAlign w:val="bottom"/>
          </w:tcPr>
          <w:p>
            <w:pPr>
              <w:jc w:val="right"/>
              <w:spacing w:after="0"/>
              <w:rPr>
                <w:sz w:val="20"/>
                <w:szCs w:val="20"/>
                <w:color w:val="auto"/>
              </w:rPr>
            </w:pPr>
            <w:r>
              <w:rPr>
                <w:rFonts w:ascii="Arial" w:cs="Arial" w:eastAsia="Arial" w:hAnsi="Arial"/>
                <w:sz w:val="16"/>
                <w:szCs w:val="16"/>
                <w:color w:val="auto"/>
              </w:rPr>
              <w:t>135.8</w:t>
            </w:r>
          </w:p>
        </w:tc>
        <w:tc>
          <w:tcPr>
            <w:tcW w:w="12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160" w:type="dxa"/>
            <w:vAlign w:val="bottom"/>
          </w:tcPr>
          <w:p>
            <w:pPr>
              <w:jc w:val="right"/>
              <w:spacing w:after="0"/>
              <w:rPr>
                <w:sz w:val="20"/>
                <w:szCs w:val="20"/>
                <w:color w:val="auto"/>
              </w:rPr>
            </w:pPr>
            <w:r>
              <w:rPr>
                <w:rFonts w:ascii="Arial" w:cs="Arial" w:eastAsia="Arial" w:hAnsi="Arial"/>
                <w:sz w:val="16"/>
                <w:szCs w:val="16"/>
                <w:color w:val="auto"/>
              </w:rPr>
              <w:t>122.6</w:t>
            </w:r>
          </w:p>
        </w:tc>
        <w:tc>
          <w:tcPr>
            <w:tcW w:w="0" w:type="dxa"/>
            <w:vAlign w:val="bottom"/>
          </w:tcPr>
          <w:p>
            <w:pPr>
              <w:spacing w:after="0"/>
              <w:rPr>
                <w:sz w:val="1"/>
                <w:szCs w:val="1"/>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Accrued compensation</w:t>
            </w:r>
          </w:p>
        </w:tc>
        <w:tc>
          <w:tcPr>
            <w:tcW w:w="3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225.3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228.8</w:t>
            </w:r>
          </w:p>
        </w:tc>
        <w:tc>
          <w:tcPr>
            <w:tcW w:w="0" w:type="dxa"/>
            <w:vAlign w:val="bottom"/>
          </w:tcPr>
          <w:p>
            <w:pPr>
              <w:spacing w:after="0"/>
              <w:rPr>
                <w:sz w:val="1"/>
                <w:szCs w:val="1"/>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1,496.7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1,370.7</w:t>
            </w:r>
          </w:p>
        </w:tc>
        <w:tc>
          <w:tcPr>
            <w:tcW w:w="0" w:type="dxa"/>
            <w:vAlign w:val="bottom"/>
          </w:tcPr>
          <w:p>
            <w:pPr>
              <w:spacing w:after="0"/>
              <w:rPr>
                <w:sz w:val="1"/>
                <w:szCs w:val="1"/>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Other accrued liabilities</w:t>
            </w:r>
          </w:p>
        </w:tc>
        <w:tc>
          <w:tcPr>
            <w:tcW w:w="3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389.5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454.6</w:t>
            </w:r>
          </w:p>
        </w:tc>
        <w:tc>
          <w:tcPr>
            <w:tcW w:w="0" w:type="dxa"/>
            <w:vAlign w:val="bottom"/>
          </w:tcPr>
          <w:p>
            <w:pPr>
              <w:spacing w:after="0"/>
              <w:rPr>
                <w:sz w:val="1"/>
                <w:szCs w:val="1"/>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Income taxes payable</w:t>
            </w:r>
          </w:p>
        </w:tc>
        <w:tc>
          <w:tcPr>
            <w:tcW w:w="3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66.1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Current portion of long-term debt, net</w:t>
            </w:r>
          </w:p>
        </w:tc>
        <w:tc>
          <w:tcPr>
            <w:tcW w:w="3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699.2</w:t>
            </w:r>
          </w:p>
        </w:tc>
        <w:tc>
          <w:tcPr>
            <w:tcW w:w="0" w:type="dxa"/>
            <w:vAlign w:val="bottom"/>
          </w:tcPr>
          <w:p>
            <w:pPr>
              <w:spacing w:after="0"/>
              <w:rPr>
                <w:sz w:val="1"/>
                <w:szCs w:val="1"/>
                <w:color w:val="auto"/>
              </w:rPr>
            </w:pPr>
          </w:p>
        </w:tc>
      </w:tr>
      <w:tr>
        <w:trPr>
          <w:trHeight w:val="209"/>
        </w:trPr>
        <w:tc>
          <w:tcPr>
            <w:tcW w:w="614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3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2,812.7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2,892.5</w:t>
            </w:r>
          </w:p>
        </w:tc>
        <w:tc>
          <w:tcPr>
            <w:tcW w:w="0" w:type="dxa"/>
            <w:vAlign w:val="bottom"/>
          </w:tcPr>
          <w:p>
            <w:pPr>
              <w:spacing w:after="0"/>
              <w:rPr>
                <w:sz w:val="1"/>
                <w:szCs w:val="1"/>
                <w:color w:val="auto"/>
              </w:rPr>
            </w:pPr>
          </w:p>
        </w:tc>
      </w:tr>
      <w:tr>
        <w:trPr>
          <w:trHeight w:val="432"/>
        </w:trPr>
        <w:tc>
          <w:tcPr>
            <w:tcW w:w="6140" w:type="dxa"/>
            <w:vAlign w:val="bottom"/>
          </w:tcPr>
          <w:p>
            <w:pPr>
              <w:ind w:left="120"/>
              <w:spacing w:after="0"/>
              <w:rPr>
                <w:sz w:val="20"/>
                <w:szCs w:val="20"/>
                <w:color w:val="auto"/>
              </w:rPr>
            </w:pPr>
            <w:r>
              <w:rPr>
                <w:rFonts w:ascii="Arial" w:cs="Arial" w:eastAsia="Arial" w:hAnsi="Arial"/>
                <w:sz w:val="16"/>
                <w:szCs w:val="16"/>
                <w:color w:val="auto"/>
              </w:rPr>
              <w:t>Long-term debt, net of current portion</w:t>
            </w:r>
          </w:p>
        </w:tc>
        <w:tc>
          <w:tcPr>
            <w:tcW w:w="3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6,379.0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5,962.5</w:t>
            </w:r>
          </w:p>
        </w:tc>
        <w:tc>
          <w:tcPr>
            <w:tcW w:w="0" w:type="dxa"/>
            <w:vAlign w:val="bottom"/>
          </w:tcPr>
          <w:p>
            <w:pPr>
              <w:spacing w:after="0"/>
              <w:rPr>
                <w:sz w:val="1"/>
                <w:szCs w:val="1"/>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Deferred taxes</w:t>
            </w:r>
          </w:p>
        </w:tc>
        <w:tc>
          <w:tcPr>
            <w:tcW w:w="3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1,546.0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1,676.8</w:t>
            </w:r>
          </w:p>
        </w:tc>
        <w:tc>
          <w:tcPr>
            <w:tcW w:w="0" w:type="dxa"/>
            <w:vAlign w:val="bottom"/>
          </w:tcPr>
          <w:p>
            <w:pPr>
              <w:spacing w:after="0"/>
              <w:rPr>
                <w:sz w:val="1"/>
                <w:szCs w:val="1"/>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411.2</w:t>
            </w:r>
          </w:p>
        </w:tc>
        <w:tc>
          <w:tcPr>
            <w:tcW w:w="0" w:type="dxa"/>
            <w:vAlign w:val="bottom"/>
          </w:tcPr>
          <w:p>
            <w:pPr>
              <w:spacing w:after="0"/>
              <w:rPr>
                <w:sz w:val="1"/>
                <w:szCs w:val="1"/>
                <w:color w:val="auto"/>
              </w:rPr>
            </w:pPr>
          </w:p>
        </w:tc>
      </w:tr>
      <w:tr>
        <w:trPr>
          <w:trHeight w:val="210"/>
        </w:trPr>
        <w:tc>
          <w:tcPr>
            <w:tcW w:w="614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3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11,149.3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10,943.0</w:t>
            </w:r>
          </w:p>
        </w:tc>
        <w:tc>
          <w:tcPr>
            <w:tcW w:w="0" w:type="dxa"/>
            <w:vAlign w:val="bottom"/>
          </w:tcPr>
          <w:p>
            <w:pPr>
              <w:spacing w:after="0"/>
              <w:rPr>
                <w:sz w:val="1"/>
                <w:szCs w:val="1"/>
                <w:color w:val="auto"/>
              </w:rPr>
            </w:pPr>
          </w:p>
        </w:tc>
      </w:tr>
      <w:tr>
        <w:trPr>
          <w:trHeight w:val="432"/>
        </w:trPr>
        <w:tc>
          <w:tcPr>
            <w:tcW w:w="6140" w:type="dxa"/>
            <w:vAlign w:val="bottom"/>
          </w:tcPr>
          <w:p>
            <w:pPr>
              <w:ind w:left="120"/>
              <w:spacing w:after="0"/>
              <w:rPr>
                <w:sz w:val="20"/>
                <w:szCs w:val="20"/>
                <w:color w:val="auto"/>
              </w:rPr>
            </w:pPr>
            <w:r>
              <w:rPr>
                <w:rFonts w:ascii="Arial" w:cs="Arial" w:eastAsia="Arial" w:hAnsi="Arial"/>
                <w:sz w:val="16"/>
                <w:szCs w:val="16"/>
                <w:color w:val="auto"/>
              </w:rPr>
              <w:t>Common stock</w:t>
            </w:r>
          </w:p>
        </w:tc>
        <w:tc>
          <w:tcPr>
            <w:tcW w:w="3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3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2,723.8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2,510.2</w:t>
            </w:r>
          </w:p>
        </w:tc>
        <w:tc>
          <w:tcPr>
            <w:tcW w:w="0" w:type="dxa"/>
            <w:vAlign w:val="bottom"/>
          </w:tcPr>
          <w:p>
            <w:pPr>
              <w:spacing w:after="0"/>
              <w:rPr>
                <w:sz w:val="1"/>
                <w:szCs w:val="1"/>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Retained earnings</w:t>
            </w:r>
          </w:p>
        </w:tc>
        <w:tc>
          <w:tcPr>
            <w:tcW w:w="3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14,507.5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13,730.7</w:t>
            </w:r>
          </w:p>
        </w:tc>
        <w:tc>
          <w:tcPr>
            <w:tcW w:w="0" w:type="dxa"/>
            <w:vAlign w:val="bottom"/>
          </w:tcPr>
          <w:p>
            <w:pPr>
              <w:spacing w:after="0"/>
              <w:rPr>
                <w:sz w:val="1"/>
                <w:szCs w:val="1"/>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(176.8)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(187.0)</w:t>
            </w:r>
          </w:p>
        </w:tc>
        <w:tc>
          <w:tcPr>
            <w:tcW w:w="0" w:type="dxa"/>
            <w:vAlign w:val="bottom"/>
          </w:tcPr>
          <w:p>
            <w:pPr>
              <w:spacing w:after="0"/>
              <w:rPr>
                <w:sz w:val="1"/>
                <w:szCs w:val="1"/>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Treasury stock</w:t>
            </w:r>
          </w:p>
        </w:tc>
        <w:tc>
          <w:tcPr>
            <w:tcW w:w="3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3"/>
        </w:trPr>
        <w:tc>
          <w:tcPr>
            <w:tcW w:w="6140" w:type="dxa"/>
            <w:vAlign w:val="bottom"/>
          </w:tcPr>
          <w:p>
            <w:pPr>
              <w:ind w:left="34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17,038.7</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16,037.8</w:t>
            </w:r>
          </w:p>
        </w:tc>
        <w:tc>
          <w:tcPr>
            <w:tcW w:w="0" w:type="dxa"/>
            <w:vAlign w:val="bottom"/>
          </w:tcPr>
          <w:p>
            <w:pPr>
              <w:spacing w:after="0"/>
              <w:rPr>
                <w:sz w:val="1"/>
                <w:szCs w:val="1"/>
                <w:color w:val="auto"/>
              </w:rPr>
            </w:pPr>
          </w:p>
        </w:tc>
      </w:tr>
      <w:tr>
        <w:trPr>
          <w:trHeight w:val="213"/>
        </w:trPr>
        <w:tc>
          <w:tcPr>
            <w:tcW w:w="6140" w:type="dxa"/>
            <w:vAlign w:val="bottom"/>
          </w:tcPr>
          <w:p>
            <w:pPr>
              <w:ind w:left="34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28,188.0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26,980.8</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20"/>
          </w:cols>
          <w:pgMar w:left="340" w:top="121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Roper Technologies, Inc.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(Amounts in millions, except per share data)</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52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8"/>
                <w:szCs w:val="18"/>
                <w:color w:val="auto"/>
              </w:rPr>
            </w:pPr>
          </w:p>
        </w:tc>
        <w:tc>
          <w:tcPr>
            <w:tcW w:w="252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20"/>
                <w:szCs w:val="20"/>
                <w:color w:val="auto"/>
              </w:rPr>
            </w:pPr>
            <w:r>
              <w:rPr>
                <w:rFonts w:ascii="Arial" w:cs="Arial" w:eastAsia="Arial" w:hAnsi="Arial"/>
                <w:sz w:val="16"/>
                <w:szCs w:val="16"/>
                <w:color w:val="auto"/>
              </w:rPr>
              <w:t>Net revenues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1,563.4</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1,350.3</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4,564.3</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3,940.9</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Cost of sales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1,382.3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1,190.4</w:t>
            </w:r>
          </w:p>
        </w:tc>
        <w:tc>
          <w:tcPr>
            <w:tcW w:w="0" w:type="dxa"/>
            <w:vAlign w:val="bottom"/>
          </w:tcPr>
          <w:p>
            <w:pPr>
              <w:spacing w:after="0"/>
              <w:rPr>
                <w:sz w:val="1"/>
                <w:szCs w:val="1"/>
                <w:color w:val="auto"/>
              </w:rPr>
            </w:pPr>
          </w:p>
        </w:tc>
      </w:tr>
      <w:tr>
        <w:trPr>
          <w:trHeight w:val="209"/>
        </w:trPr>
        <w:tc>
          <w:tcPr>
            <w:tcW w:w="5500" w:type="dxa"/>
            <w:vAlign w:val="bottom"/>
          </w:tcPr>
          <w:p>
            <w:pPr>
              <w:spacing w:after="0"/>
              <w:rPr>
                <w:sz w:val="20"/>
                <w:szCs w:val="20"/>
                <w:color w:val="auto"/>
              </w:rPr>
            </w:pPr>
            <w:r>
              <w:rPr>
                <w:rFonts w:ascii="Arial" w:cs="Arial" w:eastAsia="Arial" w:hAnsi="Arial"/>
                <w:sz w:val="16"/>
                <w:szCs w:val="16"/>
                <w:color w:val="auto"/>
              </w:rPr>
              <w:t>Gross profit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1,096.3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3,182.0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2,750.5</w:t>
            </w:r>
          </w:p>
        </w:tc>
        <w:tc>
          <w:tcPr>
            <w:tcW w:w="0" w:type="dxa"/>
            <w:vAlign w:val="bottom"/>
          </w:tcPr>
          <w:p>
            <w:pPr>
              <w:spacing w:after="0"/>
              <w:rPr>
                <w:sz w:val="1"/>
                <w:szCs w:val="1"/>
                <w:color w:val="auto"/>
              </w:rPr>
            </w:pPr>
          </w:p>
        </w:tc>
      </w:tr>
      <w:tr>
        <w:trPr>
          <w:trHeight w:val="486"/>
        </w:trPr>
        <w:tc>
          <w:tcPr>
            <w:tcW w:w="550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650.2</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548.6</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1,899.6</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1,638.5</w:t>
            </w:r>
          </w:p>
        </w:tc>
        <w:tc>
          <w:tcPr>
            <w:tcW w:w="0" w:type="dxa"/>
            <w:vAlign w:val="bottom"/>
          </w:tcPr>
          <w:p>
            <w:pPr>
              <w:spacing w:after="0"/>
              <w:rPr>
                <w:sz w:val="1"/>
                <w:szCs w:val="1"/>
                <w:color w:val="auto"/>
              </w:rPr>
            </w:pPr>
          </w:p>
        </w:tc>
      </w:tr>
      <w:tr>
        <w:trPr>
          <w:trHeight w:val="209"/>
        </w:trPr>
        <w:tc>
          <w:tcPr>
            <w:tcW w:w="5500" w:type="dxa"/>
            <w:vAlign w:val="bottom"/>
          </w:tcPr>
          <w:p>
            <w:pPr>
              <w:spacing w:after="0"/>
              <w:rPr>
                <w:sz w:val="20"/>
                <w:szCs w:val="20"/>
                <w:color w:val="auto"/>
              </w:rPr>
            </w:pPr>
            <w:r>
              <w:rPr>
                <w:rFonts w:ascii="Arial" w:cs="Arial" w:eastAsia="Arial" w:hAnsi="Arial"/>
                <w:sz w:val="16"/>
                <w:szCs w:val="16"/>
                <w:color w:val="auto"/>
              </w:rPr>
              <w:t>Income from operations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1,282.4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1,112.0</w:t>
            </w:r>
          </w:p>
        </w:tc>
        <w:tc>
          <w:tcPr>
            <w:tcW w:w="0" w:type="dxa"/>
            <w:vAlign w:val="bottom"/>
          </w:tcPr>
          <w:p>
            <w:pPr>
              <w:spacing w:after="0"/>
              <w:rPr>
                <w:sz w:val="1"/>
                <w:szCs w:val="1"/>
                <w:color w:val="auto"/>
              </w:rPr>
            </w:pPr>
          </w:p>
        </w:tc>
      </w:tr>
      <w:tr>
        <w:trPr>
          <w:trHeight w:val="486"/>
        </w:trPr>
        <w:tc>
          <w:tcPr>
            <w:tcW w:w="5500" w:type="dxa"/>
            <w:vAlign w:val="bottom"/>
          </w:tcPr>
          <w:p>
            <w:pPr>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114.6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138.6</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Equity investment activity, net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50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463"/>
        </w:trPr>
        <w:tc>
          <w:tcPr>
            <w:tcW w:w="5500" w:type="dxa"/>
            <w:vAlign w:val="bottom"/>
          </w:tcPr>
          <w:p>
            <w:pPr>
              <w:spacing w:after="0"/>
              <w:rPr>
                <w:sz w:val="20"/>
                <w:szCs w:val="20"/>
                <w:color w:val="auto"/>
              </w:rPr>
            </w:pPr>
            <w:r>
              <w:rPr>
                <w:rFonts w:ascii="Arial" w:cs="Arial" w:eastAsia="Arial" w:hAnsi="Arial"/>
                <w:sz w:val="16"/>
                <w:szCs w:val="16"/>
                <w:color w:val="auto"/>
              </w:rPr>
              <w:t>Earnings before income taxes</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442.6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355.5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1,266.4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973.6</w:t>
            </w:r>
          </w:p>
        </w:tc>
        <w:tc>
          <w:tcPr>
            <w:tcW w:w="0" w:type="dxa"/>
            <w:vAlign w:val="bottom"/>
          </w:tcPr>
          <w:p>
            <w:pPr>
              <w:spacing w:after="0"/>
              <w:rPr>
                <w:sz w:val="1"/>
                <w:szCs w:val="1"/>
                <w:color w:val="auto"/>
              </w:rPr>
            </w:pPr>
          </w:p>
        </w:tc>
      </w:tr>
      <w:tr>
        <w:trPr>
          <w:trHeight w:val="489"/>
        </w:trPr>
        <w:tc>
          <w:tcPr>
            <w:tcW w:w="5500" w:type="dxa"/>
            <w:vAlign w:val="bottom"/>
          </w:tcPr>
          <w:p>
            <w:pPr>
              <w:spacing w:after="0"/>
              <w:rPr>
                <w:sz w:val="20"/>
                <w:szCs w:val="20"/>
                <w:color w:val="auto"/>
              </w:rPr>
            </w:pPr>
            <w:r>
              <w:rPr>
                <w:rFonts w:ascii="Arial" w:cs="Arial" w:eastAsia="Arial" w:hAnsi="Arial"/>
                <w:sz w:val="16"/>
                <w:szCs w:val="16"/>
                <w:color w:val="auto"/>
              </w:rPr>
              <w:t>Income taxes</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275.5</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235.3</w:t>
            </w:r>
          </w:p>
        </w:tc>
        <w:tc>
          <w:tcPr>
            <w:tcW w:w="0" w:type="dxa"/>
            <w:vAlign w:val="bottom"/>
          </w:tcPr>
          <w:p>
            <w:pPr>
              <w:spacing w:after="0"/>
              <w:rPr>
                <w:sz w:val="1"/>
                <w:szCs w:val="1"/>
                <w:color w:val="auto"/>
              </w:rPr>
            </w:pPr>
          </w:p>
        </w:tc>
      </w:tr>
      <w:tr>
        <w:trPr>
          <w:trHeight w:val="463"/>
        </w:trPr>
        <w:tc>
          <w:tcPr>
            <w:tcW w:w="5500" w:type="dxa"/>
            <w:vAlign w:val="bottom"/>
          </w:tcPr>
          <w:p>
            <w:pPr>
              <w:spacing w:after="0"/>
              <w:rPr>
                <w:sz w:val="20"/>
                <w:szCs w:val="20"/>
                <w:color w:val="auto"/>
              </w:rPr>
            </w:pPr>
            <w:r>
              <w:rPr>
                <w:rFonts w:ascii="Arial" w:cs="Arial" w:eastAsia="Arial" w:hAnsi="Arial"/>
                <w:sz w:val="16"/>
                <w:szCs w:val="16"/>
                <w:color w:val="auto"/>
              </w:rPr>
              <w:t>Net earnings from continuing operations</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345.6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276.9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990.9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738.3</w:t>
            </w:r>
          </w:p>
        </w:tc>
        <w:tc>
          <w:tcPr>
            <w:tcW w:w="0" w:type="dxa"/>
            <w:vAlign w:val="bottom"/>
          </w:tcPr>
          <w:p>
            <w:pPr>
              <w:spacing w:after="0"/>
              <w:rPr>
                <w:sz w:val="1"/>
                <w:szCs w:val="1"/>
                <w:color w:val="auto"/>
              </w:rPr>
            </w:pPr>
          </w:p>
        </w:tc>
      </w:tr>
      <w:tr>
        <w:trPr>
          <w:trHeight w:val="486"/>
        </w:trPr>
        <w:tc>
          <w:tcPr>
            <w:tcW w:w="5500" w:type="dxa"/>
            <w:vAlign w:val="bottom"/>
          </w:tcPr>
          <w:p>
            <w:pPr>
              <w:ind w:left="120"/>
              <w:spacing w:after="0"/>
              <w:rPr>
                <w:sz w:val="20"/>
                <w:szCs w:val="20"/>
                <w:color w:val="auto"/>
              </w:rPr>
            </w:pPr>
            <w:r>
              <w:rPr>
                <w:rFonts w:ascii="Arial" w:cs="Arial" w:eastAsia="Arial" w:hAnsi="Arial"/>
                <w:sz w:val="16"/>
                <w:szCs w:val="16"/>
                <w:color w:val="auto"/>
              </w:rPr>
              <w:t>Earnings (loss) from discontinued operations, net of tax</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170.3</w:t>
            </w:r>
          </w:p>
        </w:tc>
        <w:tc>
          <w:tcPr>
            <w:tcW w:w="0" w:type="dxa"/>
            <w:vAlign w:val="bottom"/>
          </w:tcPr>
          <w:p>
            <w:pPr>
              <w:spacing w:after="0"/>
              <w:rPr>
                <w:sz w:val="1"/>
                <w:szCs w:val="1"/>
                <w:color w:val="auto"/>
              </w:rPr>
            </w:pPr>
          </w:p>
        </w:tc>
      </w:tr>
      <w:tr>
        <w:trPr>
          <w:trHeight w:val="216"/>
        </w:trPr>
        <w:tc>
          <w:tcPr>
            <w:tcW w:w="5500" w:type="dxa"/>
            <w:vAlign w:val="bottom"/>
          </w:tcPr>
          <w:p>
            <w:pPr>
              <w:ind w:left="120"/>
              <w:spacing w:after="0"/>
              <w:rPr>
                <w:sz w:val="20"/>
                <w:szCs w:val="20"/>
                <w:color w:val="auto"/>
              </w:rPr>
            </w:pPr>
            <w:r>
              <w:rPr>
                <w:rFonts w:ascii="Arial" w:cs="Arial" w:eastAsia="Arial" w:hAnsi="Arial"/>
                <w:sz w:val="16"/>
                <w:szCs w:val="16"/>
                <w:color w:val="auto"/>
              </w:rPr>
              <w:t>Gain on disposition of discontinued operations, net of tax</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1,707.7</w:t>
            </w:r>
          </w:p>
        </w:tc>
        <w:tc>
          <w:tcPr>
            <w:tcW w:w="0" w:type="dxa"/>
            <w:vAlign w:val="bottom"/>
          </w:tcPr>
          <w:p>
            <w:pPr>
              <w:spacing w:after="0"/>
              <w:rPr>
                <w:sz w:val="1"/>
                <w:szCs w:val="1"/>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6"/>
                <w:szCs w:val="16"/>
                <w:color w:val="auto"/>
              </w:rPr>
              <w:t>Net earnings from discontinued operations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1,878.0</w:t>
            </w:r>
          </w:p>
        </w:tc>
        <w:tc>
          <w:tcPr>
            <w:tcW w:w="0" w:type="dxa"/>
            <w:vAlign w:val="bottom"/>
          </w:tcPr>
          <w:p>
            <w:pPr>
              <w:spacing w:after="0"/>
              <w:rPr>
                <w:sz w:val="1"/>
                <w:szCs w:val="1"/>
                <w:color w:val="auto"/>
              </w:rPr>
            </w:pPr>
          </w:p>
        </w:tc>
      </w:tr>
      <w:tr>
        <w:trPr>
          <w:trHeight w:val="469"/>
        </w:trPr>
        <w:tc>
          <w:tcPr>
            <w:tcW w:w="5500" w:type="dxa"/>
            <w:vAlign w:val="bottom"/>
          </w:tcPr>
          <w:p>
            <w:pPr>
              <w:spacing w:after="0"/>
              <w:rPr>
                <w:sz w:val="20"/>
                <w:szCs w:val="20"/>
                <w:color w:val="auto"/>
              </w:rPr>
            </w:pPr>
            <w:r>
              <w:rPr>
                <w:rFonts w:ascii="Arial" w:cs="Arial" w:eastAsia="Arial" w:hAnsi="Arial"/>
                <w:sz w:val="16"/>
                <w:szCs w:val="16"/>
                <w:color w:val="auto"/>
              </w:rPr>
              <w:t>Net earnings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347.2</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327.0</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995.2</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2,616.3</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6"/>
                <w:szCs w:val="16"/>
                <w:color w:val="auto"/>
              </w:rPr>
              <w:t>Net earnings per share from continuing operations:</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7"/>
        </w:trPr>
        <w:tc>
          <w:tcPr>
            <w:tcW w:w="55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2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216"/>
        </w:trPr>
        <w:tc>
          <w:tcPr>
            <w:tcW w:w="5500" w:type="dxa"/>
            <w:vAlign w:val="bottom"/>
          </w:tcPr>
          <w:p>
            <w:pPr>
              <w:ind w:left="120"/>
              <w:spacing w:after="0"/>
              <w:rPr>
                <w:sz w:val="20"/>
                <w:szCs w:val="20"/>
                <w:color w:val="auto"/>
              </w:rPr>
            </w:pPr>
            <w:r>
              <w:rPr>
                <w:rFonts w:ascii="Arial" w:cs="Arial" w:eastAsia="Arial" w:hAnsi="Arial"/>
                <w:sz w:val="16"/>
                <w:szCs w:val="16"/>
                <w:color w:val="auto"/>
              </w:rPr>
              <w:t>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486"/>
        </w:trPr>
        <w:tc>
          <w:tcPr>
            <w:tcW w:w="5500" w:type="dxa"/>
            <w:vAlign w:val="bottom"/>
          </w:tcPr>
          <w:p>
            <w:pPr>
              <w:spacing w:after="0"/>
              <w:rPr>
                <w:sz w:val="20"/>
                <w:szCs w:val="20"/>
                <w:color w:val="auto"/>
              </w:rPr>
            </w:pPr>
            <w:r>
              <w:rPr>
                <w:rFonts w:ascii="Arial" w:cs="Arial" w:eastAsia="Arial" w:hAnsi="Arial"/>
                <w:sz w:val="16"/>
                <w:szCs w:val="16"/>
                <w:color w:val="auto"/>
              </w:rPr>
              <w:t>Net earnings per share from discontinued operations: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2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0.47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17.74</w:t>
            </w:r>
          </w:p>
        </w:tc>
        <w:tc>
          <w:tcPr>
            <w:tcW w:w="0" w:type="dxa"/>
            <w:vAlign w:val="bottom"/>
          </w:tcPr>
          <w:p>
            <w:pPr>
              <w:spacing w:after="0"/>
              <w:rPr>
                <w:sz w:val="1"/>
                <w:szCs w:val="1"/>
                <w:color w:val="auto"/>
              </w:rPr>
            </w:pPr>
          </w:p>
        </w:tc>
      </w:tr>
      <w:tr>
        <w:trPr>
          <w:trHeight w:val="216"/>
        </w:trPr>
        <w:tc>
          <w:tcPr>
            <w:tcW w:w="5500" w:type="dxa"/>
            <w:vAlign w:val="bottom"/>
          </w:tcPr>
          <w:p>
            <w:pPr>
              <w:ind w:left="120"/>
              <w:spacing w:after="0"/>
              <w:rPr>
                <w:sz w:val="20"/>
                <w:szCs w:val="20"/>
                <w:color w:val="auto"/>
              </w:rPr>
            </w:pPr>
            <w:r>
              <w:rPr>
                <w:rFonts w:ascii="Arial" w:cs="Arial" w:eastAsia="Arial" w:hAnsi="Arial"/>
                <w:sz w:val="16"/>
                <w:szCs w:val="16"/>
                <w:color w:val="auto"/>
              </w:rPr>
              <w:t>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0.47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17.59</w:t>
            </w:r>
          </w:p>
        </w:tc>
        <w:tc>
          <w:tcPr>
            <w:tcW w:w="0" w:type="dxa"/>
            <w:vAlign w:val="bottom"/>
          </w:tcPr>
          <w:p>
            <w:pPr>
              <w:spacing w:after="0"/>
              <w:rPr>
                <w:sz w:val="1"/>
                <w:szCs w:val="1"/>
                <w:color w:val="auto"/>
              </w:rPr>
            </w:pPr>
          </w:p>
        </w:tc>
      </w:tr>
      <w:tr>
        <w:trPr>
          <w:trHeight w:val="486"/>
        </w:trPr>
        <w:tc>
          <w:tcPr>
            <w:tcW w:w="5500" w:type="dxa"/>
            <w:vAlign w:val="bottom"/>
          </w:tcPr>
          <w:p>
            <w:pPr>
              <w:spacing w:after="0"/>
              <w:rPr>
                <w:sz w:val="20"/>
                <w:szCs w:val="20"/>
                <w:color w:val="auto"/>
              </w:rPr>
            </w:pPr>
            <w:r>
              <w:rPr>
                <w:rFonts w:ascii="Arial" w:cs="Arial" w:eastAsia="Arial" w:hAnsi="Arial"/>
                <w:sz w:val="16"/>
                <w:szCs w:val="16"/>
                <w:color w:val="auto"/>
              </w:rPr>
              <w:t>Net earnings per share:</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2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9.34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24.71</w:t>
            </w:r>
          </w:p>
        </w:tc>
        <w:tc>
          <w:tcPr>
            <w:tcW w:w="0" w:type="dxa"/>
            <w:vAlign w:val="bottom"/>
          </w:tcPr>
          <w:p>
            <w:pPr>
              <w:spacing w:after="0"/>
              <w:rPr>
                <w:sz w:val="1"/>
                <w:szCs w:val="1"/>
                <w:color w:val="auto"/>
              </w:rPr>
            </w:pPr>
          </w:p>
        </w:tc>
      </w:tr>
      <w:tr>
        <w:trPr>
          <w:trHeight w:val="216"/>
        </w:trPr>
        <w:tc>
          <w:tcPr>
            <w:tcW w:w="5500" w:type="dxa"/>
            <w:vAlign w:val="bottom"/>
          </w:tcPr>
          <w:p>
            <w:pPr>
              <w:ind w:left="120"/>
              <w:spacing w:after="0"/>
              <w:rPr>
                <w:sz w:val="20"/>
                <w:szCs w:val="20"/>
                <w:color w:val="auto"/>
              </w:rPr>
            </w:pPr>
            <w:r>
              <w:rPr>
                <w:rFonts w:ascii="Arial" w:cs="Arial" w:eastAsia="Arial" w:hAnsi="Arial"/>
                <w:sz w:val="16"/>
                <w:szCs w:val="16"/>
                <w:color w:val="auto"/>
              </w:rPr>
              <w:t>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24.50</w:t>
            </w:r>
          </w:p>
        </w:tc>
        <w:tc>
          <w:tcPr>
            <w:tcW w:w="0" w:type="dxa"/>
            <w:vAlign w:val="bottom"/>
          </w:tcPr>
          <w:p>
            <w:pPr>
              <w:spacing w:after="0"/>
              <w:rPr>
                <w:sz w:val="1"/>
                <w:szCs w:val="1"/>
                <w:color w:val="auto"/>
              </w:rPr>
            </w:pPr>
          </w:p>
        </w:tc>
      </w:tr>
      <w:tr>
        <w:trPr>
          <w:trHeight w:val="486"/>
        </w:trPr>
        <w:tc>
          <w:tcPr>
            <w:tcW w:w="5500" w:type="dxa"/>
            <w:vAlign w:val="bottom"/>
          </w:tcPr>
          <w:p>
            <w:pPr>
              <w:spacing w:after="0"/>
              <w:rPr>
                <w:sz w:val="20"/>
                <w:szCs w:val="20"/>
                <w:color w:val="auto"/>
              </w:rPr>
            </w:pPr>
            <w:r>
              <w:rPr>
                <w:rFonts w:ascii="Arial" w:cs="Arial" w:eastAsia="Arial" w:hAnsi="Arial"/>
                <w:sz w:val="16"/>
                <w:szCs w:val="16"/>
                <w:color w:val="auto"/>
              </w:rPr>
              <w:t>Weighted average common shares outstanding:</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20"/>
              <w:spacing w:after="0"/>
              <w:rPr>
                <w:sz w:val="20"/>
                <w:szCs w:val="20"/>
                <w:color w:val="auto"/>
              </w:rPr>
            </w:pPr>
            <w:r>
              <w:rPr>
                <w:rFonts w:ascii="Arial" w:cs="Arial" w:eastAsia="Arial" w:hAnsi="Arial"/>
                <w:sz w:val="16"/>
                <w:szCs w:val="16"/>
                <w:color w:val="auto"/>
              </w:rPr>
              <w:t>Basic</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105.9</w:t>
            </w:r>
          </w:p>
        </w:tc>
        <w:tc>
          <w:tcPr>
            <w:tcW w:w="0" w:type="dxa"/>
            <w:vAlign w:val="bottom"/>
          </w:tcPr>
          <w:p>
            <w:pPr>
              <w:spacing w:after="0"/>
              <w:rPr>
                <w:sz w:val="1"/>
                <w:szCs w:val="1"/>
                <w:color w:val="auto"/>
              </w:rPr>
            </w:pPr>
          </w:p>
        </w:tc>
      </w:tr>
      <w:tr>
        <w:trPr>
          <w:trHeight w:val="216"/>
        </w:trPr>
        <w:tc>
          <w:tcPr>
            <w:tcW w:w="5500" w:type="dxa"/>
            <w:vAlign w:val="bottom"/>
          </w:tcPr>
          <w:p>
            <w:pPr>
              <w:ind w:left="12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20"/>
          </w:cols>
          <w:pgMar w:left="340" w:top="121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Roper Technologies, Inc.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Segment Financial Data (unaudited)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(Amounts in millions; percentages of net revenues)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8"/>
          </w:tcPr>
          <w:p>
            <w:pPr>
              <w:ind w:left="580"/>
              <w:spacing w:after="0"/>
              <w:rPr>
                <w:sz w:val="20"/>
                <w:szCs w:val="20"/>
                <w:color w:val="auto"/>
              </w:rPr>
            </w:pPr>
            <w:r>
              <w:rPr>
                <w:rFonts w:ascii="Arial" w:cs="Arial" w:eastAsia="Arial" w:hAnsi="Arial"/>
                <w:sz w:val="16"/>
                <w:szCs w:val="16"/>
                <w:b w:val="1"/>
                <w:bCs w:val="1"/>
                <w:color w:val="auto"/>
              </w:rPr>
              <w:t>Three months ended September 30,</w:t>
            </w:r>
          </w:p>
        </w:tc>
        <w:tc>
          <w:tcPr>
            <w:tcW w:w="7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8"/>
          </w:tcPr>
          <w:p>
            <w:pPr>
              <w:ind w:left="640"/>
              <w:spacing w:after="0"/>
              <w:rPr>
                <w:sz w:val="20"/>
                <w:szCs w:val="20"/>
                <w:color w:val="auto"/>
              </w:rPr>
            </w:pPr>
            <w:r>
              <w:rPr>
                <w:rFonts w:ascii="Arial" w:cs="Arial" w:eastAsia="Arial" w:hAnsi="Arial"/>
                <w:sz w:val="16"/>
                <w:szCs w:val="16"/>
                <w:b w:val="1"/>
                <w:bCs w:val="1"/>
                <w:color w:val="auto"/>
              </w:rPr>
              <w:t>Nine months ended September 30,</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2023</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20" w:type="dxa"/>
            <w:vAlign w:val="bottom"/>
            <w:vMerge w:val="restart"/>
          </w:tcPr>
          <w:p>
            <w:pPr>
              <w:spacing w:after="0"/>
              <w:rPr>
                <w:sz w:val="20"/>
                <w:szCs w:val="20"/>
                <w:color w:val="auto"/>
              </w:rPr>
            </w:pPr>
            <w:r>
              <w:rPr>
                <w:rFonts w:ascii="Arial" w:cs="Arial" w:eastAsia="Arial" w:hAnsi="Arial"/>
                <w:sz w:val="16"/>
                <w:szCs w:val="16"/>
                <w:b w:val="1"/>
                <w:bCs w:val="1"/>
                <w:color w:val="auto"/>
              </w:rPr>
              <w:t>Net revenues:</w:t>
            </w: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Amount</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8"/>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ind w:left="60"/>
              <w:spacing w:after="0"/>
              <w:rPr>
                <w:sz w:val="20"/>
                <w:szCs w:val="20"/>
                <w:color w:val="auto"/>
              </w:rPr>
            </w:pPr>
            <w:r>
              <w:rPr>
                <w:rFonts w:ascii="Arial" w:cs="Arial" w:eastAsia="Arial" w:hAnsi="Arial"/>
                <w:sz w:val="16"/>
                <w:szCs w:val="16"/>
                <w:b w:val="1"/>
                <w:bCs w:val="1"/>
                <w:color w:val="auto"/>
              </w:rPr>
              <w:t>Amount</w:t>
            </w:r>
          </w:p>
        </w:tc>
        <w:tc>
          <w:tcPr>
            <w:tcW w:w="72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Amount</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ind w:left="80"/>
              <w:spacing w:after="0"/>
              <w:rPr>
                <w:sz w:val="20"/>
                <w:szCs w:val="20"/>
                <w:color w:val="auto"/>
              </w:rPr>
            </w:pPr>
            <w:r>
              <w:rPr>
                <w:rFonts w:ascii="Arial" w:cs="Arial" w:eastAsia="Arial" w:hAnsi="Arial"/>
                <w:sz w:val="16"/>
                <w:szCs w:val="16"/>
                <w:b w:val="1"/>
                <w:bCs w:val="1"/>
                <w:color w:val="auto"/>
              </w:rPr>
              <w:t>Amount</w:t>
            </w:r>
          </w:p>
        </w:tc>
        <w:tc>
          <w:tcPr>
            <w:tcW w:w="74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199"/>
        </w:trPr>
        <w:tc>
          <w:tcPr>
            <w:tcW w:w="242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420" w:type="dxa"/>
            <w:vAlign w:val="bottom"/>
          </w:tcPr>
          <w:p>
            <w:pPr>
              <w:ind w:left="120"/>
              <w:spacing w:after="0"/>
              <w:rPr>
                <w:sz w:val="20"/>
                <w:szCs w:val="20"/>
                <w:color w:val="auto"/>
              </w:rPr>
            </w:pPr>
            <w:r>
              <w:rPr>
                <w:rFonts w:ascii="Arial" w:cs="Arial" w:eastAsia="Arial" w:hAnsi="Arial"/>
                <w:sz w:val="16"/>
                <w:szCs w:val="16"/>
                <w:color w:val="auto"/>
              </w:rPr>
              <w:t>Application Software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803.4</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644.0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2,335.1</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1,899.7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20"/>
              <w:spacing w:after="0"/>
              <w:rPr>
                <w:sz w:val="20"/>
                <w:szCs w:val="20"/>
                <w:color w:val="auto"/>
              </w:rPr>
            </w:pPr>
            <w:r>
              <w:rPr>
                <w:rFonts w:ascii="Arial" w:cs="Arial" w:eastAsia="Arial" w:hAnsi="Arial"/>
                <w:sz w:val="16"/>
                <w:szCs w:val="16"/>
                <w:color w:val="auto"/>
              </w:rPr>
              <w:t>Network Software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364.1</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1,076.7</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1,028.0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20" w:type="dxa"/>
            <w:vAlign w:val="bottom"/>
          </w:tcPr>
          <w:p>
            <w:pPr>
              <w:ind w:left="120"/>
              <w:spacing w:after="0"/>
              <w:rPr>
                <w:sz w:val="20"/>
                <w:szCs w:val="20"/>
                <w:color w:val="auto"/>
              </w:rPr>
            </w:pPr>
            <w:r>
              <w:rPr>
                <w:rFonts w:ascii="Arial" w:cs="Arial" w:eastAsia="Arial" w:hAnsi="Arial"/>
                <w:sz w:val="16"/>
                <w:szCs w:val="16"/>
                <w:color w:val="auto"/>
              </w:rPr>
              <w:t>Technology Enabled Products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395.9</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1,152.5</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420" w:type="dxa"/>
            <w:vAlign w:val="bottom"/>
          </w:tcPr>
          <w:p>
            <w:pPr>
              <w:ind w:left="30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1,563.4</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4,564.3</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20" w:type="dxa"/>
            <w:vAlign w:val="bottom"/>
            <w:vMerge w:val="restart"/>
          </w:tcPr>
          <w:p>
            <w:pPr>
              <w:spacing w:after="0"/>
              <w:rPr>
                <w:sz w:val="20"/>
                <w:szCs w:val="20"/>
                <w:color w:val="auto"/>
              </w:rPr>
            </w:pPr>
            <w:r>
              <w:rPr>
                <w:rFonts w:ascii="Arial" w:cs="Arial" w:eastAsia="Arial" w:hAnsi="Arial"/>
                <w:sz w:val="16"/>
                <w:szCs w:val="16"/>
                <w:b w:val="1"/>
                <w:bCs w:val="1"/>
                <w:color w:val="auto"/>
              </w:rPr>
              <w:t>Gross profit:</w:t>
            </w: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6"/>
        </w:trPr>
        <w:tc>
          <w:tcPr>
            <w:tcW w:w="2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420" w:type="dxa"/>
            <w:vAlign w:val="bottom"/>
          </w:tcPr>
          <w:p>
            <w:pPr>
              <w:ind w:left="120"/>
              <w:spacing w:after="0"/>
              <w:rPr>
                <w:sz w:val="20"/>
                <w:szCs w:val="20"/>
                <w:color w:val="auto"/>
              </w:rPr>
            </w:pPr>
            <w:r>
              <w:rPr>
                <w:rFonts w:ascii="Arial" w:cs="Arial" w:eastAsia="Arial" w:hAnsi="Arial"/>
                <w:sz w:val="16"/>
                <w:szCs w:val="16"/>
                <w:color w:val="auto"/>
              </w:rPr>
              <w:t>Application Software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557.7</w:t>
            </w:r>
          </w:p>
        </w:tc>
        <w:tc>
          <w:tcPr>
            <w:tcW w:w="1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69.4%</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440.2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center"/>
              <w:ind w:right="59"/>
              <w:spacing w:after="0"/>
              <w:rPr>
                <w:sz w:val="20"/>
                <w:szCs w:val="20"/>
                <w:color w:val="auto"/>
              </w:rPr>
            </w:pPr>
            <w:r>
              <w:rPr>
                <w:rFonts w:ascii="Arial" w:cs="Arial" w:eastAsia="Arial" w:hAnsi="Arial"/>
                <w:sz w:val="16"/>
                <w:szCs w:val="16"/>
                <w:color w:val="auto"/>
              </w:rPr>
              <w:t>68.4%</w:t>
            </w:r>
          </w:p>
        </w:tc>
        <w:tc>
          <w:tcPr>
            <w:tcW w:w="2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1,609.2</w:t>
            </w: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rPr>
              <w:t>68.9%</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1,306.5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center"/>
              <w:ind w:right="39"/>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216"/>
        </w:trPr>
        <w:tc>
          <w:tcPr>
            <w:tcW w:w="2420" w:type="dxa"/>
            <w:vAlign w:val="bottom"/>
          </w:tcPr>
          <w:p>
            <w:pPr>
              <w:ind w:left="120"/>
              <w:spacing w:after="0"/>
              <w:rPr>
                <w:sz w:val="20"/>
                <w:szCs w:val="20"/>
                <w:color w:val="auto"/>
              </w:rPr>
            </w:pPr>
            <w:r>
              <w:rPr>
                <w:rFonts w:ascii="Arial" w:cs="Arial" w:eastAsia="Arial" w:hAnsi="Arial"/>
                <w:sz w:val="16"/>
                <w:szCs w:val="16"/>
                <w:color w:val="auto"/>
              </w:rPr>
              <w:t>Network Software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310.7</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85.3%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center"/>
              <w:ind w:right="59"/>
              <w:spacing w:after="0"/>
              <w:rPr>
                <w:sz w:val="20"/>
                <w:szCs w:val="20"/>
                <w:color w:val="auto"/>
              </w:rPr>
            </w:pPr>
            <w:r>
              <w:rPr>
                <w:rFonts w:ascii="Arial" w:cs="Arial" w:eastAsia="Arial" w:hAnsi="Arial"/>
                <w:sz w:val="16"/>
                <w:szCs w:val="16"/>
                <w:color w:val="auto"/>
              </w:rPr>
              <w:t>84.8%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914.0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rPr>
              <w:t>84.9%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867.9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center"/>
              <w:ind w:right="39"/>
              <w:spacing w:after="0"/>
              <w:rPr>
                <w:sz w:val="20"/>
                <w:szCs w:val="20"/>
                <w:color w:val="auto"/>
              </w:rPr>
            </w:pPr>
            <w:r>
              <w:rPr>
                <w:rFonts w:ascii="Arial" w:cs="Arial" w:eastAsia="Arial" w:hAnsi="Arial"/>
                <w:sz w:val="16"/>
                <w:szCs w:val="16"/>
                <w:color w:val="auto"/>
              </w:rPr>
              <w:t>84.4%</w:t>
            </w:r>
          </w:p>
        </w:tc>
        <w:tc>
          <w:tcPr>
            <w:tcW w:w="0" w:type="dxa"/>
            <w:vAlign w:val="bottom"/>
          </w:tcPr>
          <w:p>
            <w:pPr>
              <w:spacing w:after="0"/>
              <w:rPr>
                <w:sz w:val="1"/>
                <w:szCs w:val="1"/>
                <w:color w:val="auto"/>
              </w:rPr>
            </w:pPr>
          </w:p>
        </w:tc>
      </w:tr>
      <w:tr>
        <w:trPr>
          <w:trHeight w:val="219"/>
        </w:trPr>
        <w:tc>
          <w:tcPr>
            <w:tcW w:w="2420" w:type="dxa"/>
            <w:vAlign w:val="bottom"/>
          </w:tcPr>
          <w:p>
            <w:pPr>
              <w:ind w:left="120"/>
              <w:spacing w:after="0"/>
              <w:rPr>
                <w:sz w:val="20"/>
                <w:szCs w:val="20"/>
                <w:color w:val="auto"/>
              </w:rPr>
            </w:pPr>
            <w:r>
              <w:rPr>
                <w:rFonts w:ascii="Arial" w:cs="Arial" w:eastAsia="Arial" w:hAnsi="Arial"/>
                <w:sz w:val="16"/>
                <w:szCs w:val="16"/>
                <w:color w:val="auto"/>
              </w:rPr>
              <w:t>Technology Enabled Products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227.9</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57.6%</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207.7</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57.7%</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658.8</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213"/>
        </w:trPr>
        <w:tc>
          <w:tcPr>
            <w:tcW w:w="2420" w:type="dxa"/>
            <w:vAlign w:val="bottom"/>
          </w:tcPr>
          <w:p>
            <w:pPr>
              <w:ind w:left="30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1,096.3</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70.1%</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69.7%</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3,182.0</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69.7%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2,750.5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6"/>
                <w:szCs w:val="16"/>
                <w:b w:val="1"/>
                <w:bCs w:val="1"/>
                <w:color w:val="auto"/>
              </w:rPr>
              <w:t>Operating profit*:</w:t>
            </w: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6"/>
        </w:trPr>
        <w:tc>
          <w:tcPr>
            <w:tcW w:w="2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420" w:type="dxa"/>
            <w:vAlign w:val="bottom"/>
          </w:tcPr>
          <w:p>
            <w:pPr>
              <w:ind w:left="120"/>
              <w:spacing w:after="0"/>
              <w:rPr>
                <w:sz w:val="20"/>
                <w:szCs w:val="20"/>
                <w:color w:val="auto"/>
              </w:rPr>
            </w:pPr>
            <w:r>
              <w:rPr>
                <w:rFonts w:ascii="Arial" w:cs="Arial" w:eastAsia="Arial" w:hAnsi="Arial"/>
                <w:sz w:val="16"/>
                <w:szCs w:val="16"/>
                <w:color w:val="auto"/>
              </w:rPr>
              <w:t>Application Software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206.9</w:t>
            </w:r>
          </w:p>
        </w:tc>
        <w:tc>
          <w:tcPr>
            <w:tcW w:w="1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173.8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center"/>
              <w:ind w:right="59"/>
              <w:spacing w:after="0"/>
              <w:rPr>
                <w:sz w:val="20"/>
                <w:szCs w:val="20"/>
                <w:color w:val="auto"/>
              </w:rPr>
            </w:pPr>
            <w:r>
              <w:rPr>
                <w:rFonts w:ascii="Arial" w:cs="Arial" w:eastAsia="Arial" w:hAnsi="Arial"/>
                <w:sz w:val="16"/>
                <w:szCs w:val="16"/>
                <w:color w:val="auto"/>
              </w:rPr>
              <w:t>27.0%</w:t>
            </w:r>
          </w:p>
        </w:tc>
        <w:tc>
          <w:tcPr>
            <w:tcW w:w="2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601.3</w:t>
            </w: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511.4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center"/>
              <w:ind w:right="39"/>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16"/>
        </w:trPr>
        <w:tc>
          <w:tcPr>
            <w:tcW w:w="2420" w:type="dxa"/>
            <w:vAlign w:val="bottom"/>
          </w:tcPr>
          <w:p>
            <w:pPr>
              <w:ind w:left="120"/>
              <w:spacing w:after="0"/>
              <w:rPr>
                <w:sz w:val="20"/>
                <w:szCs w:val="20"/>
                <w:color w:val="auto"/>
              </w:rPr>
            </w:pPr>
            <w:r>
              <w:rPr>
                <w:rFonts w:ascii="Arial" w:cs="Arial" w:eastAsia="Arial" w:hAnsi="Arial"/>
                <w:sz w:val="16"/>
                <w:szCs w:val="16"/>
                <w:color w:val="auto"/>
              </w:rPr>
              <w:t>Network Software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164.4</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45.2%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center"/>
              <w:ind w:right="59"/>
              <w:spacing w:after="0"/>
              <w:rPr>
                <w:sz w:val="20"/>
                <w:szCs w:val="20"/>
                <w:color w:val="auto"/>
              </w:rPr>
            </w:pPr>
            <w:r>
              <w:rPr>
                <w:rFonts w:ascii="Arial" w:cs="Arial" w:eastAsia="Arial" w:hAnsi="Arial"/>
                <w:sz w:val="16"/>
                <w:szCs w:val="16"/>
                <w:color w:val="auto"/>
              </w:rPr>
              <w:t>42.7%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465.0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center"/>
              <w:ind w:right="39"/>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19"/>
        </w:trPr>
        <w:tc>
          <w:tcPr>
            <w:tcW w:w="2420" w:type="dxa"/>
            <w:vAlign w:val="bottom"/>
          </w:tcPr>
          <w:p>
            <w:pPr>
              <w:ind w:left="120"/>
              <w:spacing w:after="0"/>
              <w:rPr>
                <w:sz w:val="20"/>
                <w:szCs w:val="20"/>
                <w:color w:val="auto"/>
              </w:rPr>
            </w:pPr>
            <w:r>
              <w:rPr>
                <w:rFonts w:ascii="Arial" w:cs="Arial" w:eastAsia="Arial" w:hAnsi="Arial"/>
                <w:sz w:val="16"/>
                <w:szCs w:val="16"/>
                <w:color w:val="auto"/>
              </w:rPr>
              <w:t>Technology Enabled Products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137.1</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35.2%</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391.7</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34.0%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337.6</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13"/>
        </w:trPr>
        <w:tc>
          <w:tcPr>
            <w:tcW w:w="2420" w:type="dxa"/>
            <w:vAlign w:val="bottom"/>
          </w:tcPr>
          <w:p>
            <w:pPr>
              <w:ind w:left="30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508.4</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33.2%</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1,458.0</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31.9%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right="20" w:firstLine="6"/>
        <w:spacing w:after="0" w:line="229" w:lineRule="auto"/>
        <w:tabs>
          <w:tab w:leader="none" w:pos="187" w:val="left"/>
        </w:tabs>
        <w:numPr>
          <w:ilvl w:val="0"/>
          <w:numId w:val="7"/>
        </w:numPr>
        <w:rPr>
          <w:rFonts w:ascii="Arial" w:cs="Arial" w:eastAsia="Arial" w:hAnsi="Arial"/>
          <w:sz w:val="18"/>
          <w:szCs w:val="18"/>
          <w:color w:val="auto"/>
        </w:rPr>
      </w:pPr>
      <w:r>
        <w:rPr>
          <w:rFonts w:ascii="Arial" w:cs="Arial" w:eastAsia="Arial" w:hAnsi="Arial"/>
          <w:sz w:val="18"/>
          <w:szCs w:val="18"/>
          <w:color w:val="auto"/>
        </w:rPr>
        <w:t>Segment operating profit is before unallocated corporate general and administrative expenses and enterprise-wide stock-based compensation. These expenses were $62.3 and $55.2 for the three months ended September 30, 2023 and 2022, respectively, and $175.6 and $159.0 for the nine months ended September 30, 2023 and 2022, respectively.</w:t>
      </w: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20"/>
          </w:cols>
          <w:pgMar w:left="340" w:top="121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Roper Technologies, Inc.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(Amounts in millions)</w:t>
      </w:r>
    </w:p>
    <w:p>
      <w:pPr>
        <w:spacing w:after="0" w:line="23"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Nine months ended</w:t>
      </w:r>
    </w:p>
    <w:p>
      <w:pPr>
        <w:jc w:val="center"/>
        <w:ind w:left="8380"/>
        <w:spacing w:after="0"/>
        <w:rPr>
          <w:sz w:val="20"/>
          <w:szCs w:val="20"/>
          <w:color w:val="auto"/>
        </w:rPr>
      </w:pPr>
      <w:r>
        <w:rPr>
          <w:rFonts w:ascii="Arial" w:cs="Arial" w:eastAsia="Arial" w:hAnsi="Arial"/>
          <w:sz w:val="16"/>
          <w:szCs w:val="16"/>
          <w:b w:val="1"/>
          <w:bCs w:val="1"/>
          <w:color w:val="auto"/>
        </w:rPr>
        <w:t>September 30,</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38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0"/>
        </w:trPr>
        <w:tc>
          <w:tcPr>
            <w:tcW w:w="83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20"/>
              <w:spacing w:after="0"/>
              <w:rPr>
                <w:sz w:val="20"/>
                <w:szCs w:val="20"/>
                <w:color w:val="auto"/>
              </w:rPr>
            </w:pPr>
            <w:r>
              <w:rPr>
                <w:rFonts w:ascii="Arial" w:cs="Arial" w:eastAsia="Arial" w:hAnsi="Arial"/>
                <w:sz w:val="16"/>
                <w:szCs w:val="16"/>
                <w:color w:val="auto"/>
              </w:rPr>
              <w:t>Net earnings from continuing operations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990.9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738.3</w:t>
            </w:r>
          </w:p>
        </w:tc>
        <w:tc>
          <w:tcPr>
            <w:tcW w:w="0" w:type="dxa"/>
            <w:vAlign w:val="bottom"/>
          </w:tcPr>
          <w:p>
            <w:pPr>
              <w:spacing w:after="0"/>
              <w:rPr>
                <w:sz w:val="1"/>
                <w:szCs w:val="1"/>
                <w:color w:val="auto"/>
              </w:rPr>
            </w:pPr>
          </w:p>
        </w:tc>
      </w:tr>
      <w:tr>
        <w:trPr>
          <w:trHeight w:val="216"/>
        </w:trPr>
        <w:tc>
          <w:tcPr>
            <w:tcW w:w="8380" w:type="dxa"/>
            <w:vAlign w:val="bottom"/>
          </w:tcPr>
          <w:p>
            <w:pPr>
              <w:ind w:left="120"/>
              <w:spacing w:after="0"/>
              <w:rPr>
                <w:sz w:val="20"/>
                <w:szCs w:val="20"/>
                <w:color w:val="auto"/>
              </w:rPr>
            </w:pPr>
            <w:r>
              <w:rPr>
                <w:rFonts w:ascii="Arial" w:cs="Arial" w:eastAsia="Arial" w:hAnsi="Arial"/>
                <w:sz w:val="16"/>
                <w:szCs w:val="16"/>
                <w:color w:val="auto"/>
              </w:rPr>
              <w:t>Adjustments to reconcile net earnings from continuing operations to cash flows from operating activities: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220"/>
              <w:spacing w:after="0"/>
              <w:rPr>
                <w:sz w:val="20"/>
                <w:szCs w:val="20"/>
                <w:color w:val="auto"/>
              </w:rPr>
            </w:pPr>
            <w:r>
              <w:rPr>
                <w:rFonts w:ascii="Arial" w:cs="Arial" w:eastAsia="Arial" w:hAnsi="Arial"/>
                <w:sz w:val="16"/>
                <w:szCs w:val="16"/>
                <w:color w:val="auto"/>
              </w:rPr>
              <w:t>Depreciation and amortization of property, plant and equipment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16"/>
        </w:trPr>
        <w:tc>
          <w:tcPr>
            <w:tcW w:w="838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438.4</w:t>
            </w:r>
          </w:p>
        </w:tc>
        <w:tc>
          <w:tcPr>
            <w:tcW w:w="0" w:type="dxa"/>
            <w:vAlign w:val="bottom"/>
          </w:tcPr>
          <w:p>
            <w:pPr>
              <w:spacing w:after="0"/>
              <w:rPr>
                <w:sz w:val="1"/>
                <w:szCs w:val="1"/>
                <w:color w:val="auto"/>
              </w:rPr>
            </w:pPr>
          </w:p>
        </w:tc>
      </w:tr>
      <w:tr>
        <w:trPr>
          <w:trHeight w:val="216"/>
        </w:trPr>
        <w:tc>
          <w:tcPr>
            <w:tcW w:w="8380" w:type="dxa"/>
            <w:vAlign w:val="bottom"/>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6"/>
        </w:trPr>
        <w:tc>
          <w:tcPr>
            <w:tcW w:w="8380" w:type="dxa"/>
            <w:vAlign w:val="bottom"/>
          </w:tcPr>
          <w:p>
            <w:pPr>
              <w:ind w:left="220"/>
              <w:spacing w:after="0"/>
              <w:rPr>
                <w:sz w:val="20"/>
                <w:szCs w:val="20"/>
                <w:color w:val="auto"/>
              </w:rPr>
            </w:pPr>
            <w:r>
              <w:rPr>
                <w:rFonts w:ascii="Arial" w:cs="Arial" w:eastAsia="Arial" w:hAnsi="Arial"/>
                <w:sz w:val="16"/>
                <w:szCs w:val="16"/>
                <w:color w:val="auto"/>
              </w:rPr>
              <w:t>Non-cash stock compensation</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90.8</w:t>
            </w:r>
          </w:p>
        </w:tc>
        <w:tc>
          <w:tcPr>
            <w:tcW w:w="0" w:type="dxa"/>
            <w:vAlign w:val="bottom"/>
          </w:tcPr>
          <w:p>
            <w:pPr>
              <w:spacing w:after="0"/>
              <w:rPr>
                <w:sz w:val="1"/>
                <w:szCs w:val="1"/>
                <w:color w:val="auto"/>
              </w:rPr>
            </w:pPr>
          </w:p>
        </w:tc>
      </w:tr>
      <w:tr>
        <w:trPr>
          <w:trHeight w:val="216"/>
        </w:trPr>
        <w:tc>
          <w:tcPr>
            <w:tcW w:w="8380" w:type="dxa"/>
            <w:vAlign w:val="bottom"/>
          </w:tcPr>
          <w:p>
            <w:pPr>
              <w:ind w:left="220"/>
              <w:spacing w:after="0"/>
              <w:rPr>
                <w:sz w:val="20"/>
                <w:szCs w:val="20"/>
                <w:color w:val="auto"/>
              </w:rPr>
            </w:pPr>
            <w:r>
              <w:rPr>
                <w:rFonts w:ascii="Arial" w:cs="Arial" w:eastAsia="Arial" w:hAnsi="Arial"/>
                <w:sz w:val="16"/>
                <w:szCs w:val="16"/>
                <w:color w:val="auto"/>
              </w:rPr>
              <w:t>Equity investment activity, net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(98.7)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380" w:type="dxa"/>
            <w:vAlign w:val="bottom"/>
          </w:tcPr>
          <w:p>
            <w:pPr>
              <w:ind w:left="220"/>
              <w:spacing w:after="0"/>
              <w:rPr>
                <w:sz w:val="20"/>
                <w:szCs w:val="20"/>
                <w:color w:val="auto"/>
              </w:rPr>
            </w:pPr>
            <w:r>
              <w:rPr>
                <w:rFonts w:ascii="Arial" w:cs="Arial" w:eastAsia="Arial" w:hAnsi="Arial"/>
                <w:sz w:val="16"/>
                <w:szCs w:val="16"/>
                <w:color w:val="auto"/>
              </w:rPr>
              <w:t>Income tax provision</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275.5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235.3</w:t>
            </w:r>
          </w:p>
        </w:tc>
        <w:tc>
          <w:tcPr>
            <w:tcW w:w="0" w:type="dxa"/>
            <w:vAlign w:val="bottom"/>
          </w:tcPr>
          <w:p>
            <w:pPr>
              <w:spacing w:after="0"/>
              <w:rPr>
                <w:sz w:val="1"/>
                <w:szCs w:val="1"/>
                <w:color w:val="auto"/>
              </w:rPr>
            </w:pPr>
          </w:p>
        </w:tc>
      </w:tr>
      <w:tr>
        <w:trPr>
          <w:trHeight w:val="216"/>
        </w:trPr>
        <w:tc>
          <w:tcPr>
            <w:tcW w:w="838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 net of acquired businesses: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32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216"/>
        </w:trPr>
        <w:tc>
          <w:tcPr>
            <w:tcW w:w="8380" w:type="dxa"/>
            <w:vAlign w:val="bottom"/>
          </w:tcPr>
          <w:p>
            <w:pPr>
              <w:ind w:left="320"/>
              <w:spacing w:after="0"/>
              <w:rPr>
                <w:sz w:val="20"/>
                <w:szCs w:val="20"/>
                <w:color w:val="auto"/>
              </w:rPr>
            </w:pPr>
            <w:r>
              <w:rPr>
                <w:rFonts w:ascii="Arial" w:cs="Arial" w:eastAsia="Arial" w:hAnsi="Arial"/>
                <w:sz w:val="16"/>
                <w:szCs w:val="16"/>
                <w:color w:val="auto"/>
              </w:rPr>
              <w:t>Unbilled receivables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16"/>
        </w:trPr>
        <w:tc>
          <w:tcPr>
            <w:tcW w:w="8380" w:type="dxa"/>
            <w:vAlign w:val="bottom"/>
          </w:tcPr>
          <w:p>
            <w:pPr>
              <w:ind w:left="32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16"/>
        </w:trPr>
        <w:tc>
          <w:tcPr>
            <w:tcW w:w="8380" w:type="dxa"/>
            <w:vAlign w:val="bottom"/>
          </w:tcPr>
          <w:p>
            <w:pPr>
              <w:ind w:left="32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6"/>
        </w:trPr>
        <w:tc>
          <w:tcPr>
            <w:tcW w:w="8380" w:type="dxa"/>
            <w:vAlign w:val="bottom"/>
          </w:tcPr>
          <w:p>
            <w:pPr>
              <w:ind w:left="320"/>
              <w:spacing w:after="0"/>
              <w:rPr>
                <w:sz w:val="20"/>
                <w:szCs w:val="20"/>
                <w:color w:val="auto"/>
              </w:rPr>
            </w:pPr>
            <w:r>
              <w:rPr>
                <w:rFonts w:ascii="Arial" w:cs="Arial" w:eastAsia="Arial" w:hAnsi="Arial"/>
                <w:sz w:val="16"/>
                <w:szCs w:val="16"/>
                <w:color w:val="auto"/>
              </w:rPr>
              <w:t>Other accrued liabilities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216"/>
        </w:trPr>
        <w:tc>
          <w:tcPr>
            <w:tcW w:w="8380" w:type="dxa"/>
            <w:vAlign w:val="bottom"/>
          </w:tcPr>
          <w:p>
            <w:pPr>
              <w:ind w:left="32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6"/>
        </w:trPr>
        <w:tc>
          <w:tcPr>
            <w:tcW w:w="8380" w:type="dxa"/>
            <w:vAlign w:val="bottom"/>
          </w:tcPr>
          <w:p>
            <w:pPr>
              <w:ind w:left="200"/>
              <w:spacing w:after="0"/>
              <w:rPr>
                <w:sz w:val="20"/>
                <w:szCs w:val="20"/>
                <w:color w:val="auto"/>
              </w:rPr>
            </w:pPr>
            <w:r>
              <w:rPr>
                <w:rFonts w:ascii="Arial" w:cs="Arial" w:eastAsia="Arial" w:hAnsi="Arial"/>
                <w:sz w:val="16"/>
                <w:szCs w:val="16"/>
                <w:color w:val="auto"/>
              </w:rPr>
              <w:t>Cash taxes paid for gain on disposal of businesses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(534.6)</w:t>
            </w:r>
          </w:p>
        </w:tc>
        <w:tc>
          <w:tcPr>
            <w:tcW w:w="0" w:type="dxa"/>
            <w:vAlign w:val="bottom"/>
          </w:tcPr>
          <w:p>
            <w:pPr>
              <w:spacing w:after="0"/>
              <w:rPr>
                <w:sz w:val="1"/>
                <w:szCs w:val="1"/>
                <w:color w:val="auto"/>
              </w:rPr>
            </w:pPr>
          </w:p>
        </w:tc>
      </w:tr>
      <w:tr>
        <w:trPr>
          <w:trHeight w:val="216"/>
        </w:trPr>
        <w:tc>
          <w:tcPr>
            <w:tcW w:w="8380" w:type="dxa"/>
            <w:vAlign w:val="bottom"/>
          </w:tcPr>
          <w:p>
            <w:pPr>
              <w:ind w:left="200"/>
              <w:spacing w:after="0"/>
              <w:rPr>
                <w:sz w:val="20"/>
                <w:szCs w:val="20"/>
                <w:color w:val="auto"/>
              </w:rPr>
            </w:pPr>
            <w:r>
              <w:rPr>
                <w:rFonts w:ascii="Arial" w:cs="Arial" w:eastAsia="Arial" w:hAnsi="Arial"/>
                <w:sz w:val="16"/>
                <w:szCs w:val="16"/>
                <w:color w:val="auto"/>
              </w:rPr>
              <w:t>Cash income taxes paid, excluding tax associated with gain on disposal of businesses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(397.5)</w:t>
            </w:r>
          </w:p>
        </w:tc>
        <w:tc>
          <w:tcPr>
            <w:tcW w:w="0" w:type="dxa"/>
            <w:vAlign w:val="bottom"/>
          </w:tcPr>
          <w:p>
            <w:pPr>
              <w:spacing w:after="0"/>
              <w:rPr>
                <w:sz w:val="1"/>
                <w:szCs w:val="1"/>
                <w:color w:val="auto"/>
              </w:rPr>
            </w:pPr>
          </w:p>
        </w:tc>
      </w:tr>
      <w:tr>
        <w:trPr>
          <w:trHeight w:val="216"/>
        </w:trPr>
        <w:tc>
          <w:tcPr>
            <w:tcW w:w="8380" w:type="dxa"/>
            <w:vAlign w:val="bottom"/>
          </w:tcPr>
          <w:p>
            <w:pPr>
              <w:ind w:left="22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9"/>
        </w:trPr>
        <w:tc>
          <w:tcPr>
            <w:tcW w:w="8380" w:type="dxa"/>
            <w:vAlign w:val="bottom"/>
          </w:tcPr>
          <w:p>
            <w:pPr>
              <w:ind w:left="460"/>
              <w:spacing w:after="0"/>
              <w:rPr>
                <w:sz w:val="20"/>
                <w:szCs w:val="20"/>
                <w:color w:val="auto"/>
              </w:rPr>
            </w:pPr>
            <w:r>
              <w:rPr>
                <w:rFonts w:ascii="Arial" w:cs="Arial" w:eastAsia="Arial" w:hAnsi="Arial"/>
                <w:sz w:val="16"/>
                <w:szCs w:val="16"/>
                <w:color w:val="auto"/>
              </w:rPr>
              <w:t>Cash provided by operating activities from continuing operations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1,415.7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550.2</w:t>
            </w:r>
          </w:p>
        </w:tc>
        <w:tc>
          <w:tcPr>
            <w:tcW w:w="0" w:type="dxa"/>
            <w:vAlign w:val="bottom"/>
          </w:tcPr>
          <w:p>
            <w:pPr>
              <w:spacing w:after="0"/>
              <w:rPr>
                <w:sz w:val="1"/>
                <w:szCs w:val="1"/>
                <w:color w:val="auto"/>
              </w:rPr>
            </w:pPr>
          </w:p>
        </w:tc>
      </w:tr>
      <w:tr>
        <w:trPr>
          <w:trHeight w:val="216"/>
        </w:trPr>
        <w:tc>
          <w:tcPr>
            <w:tcW w:w="8380" w:type="dxa"/>
            <w:vAlign w:val="bottom"/>
          </w:tcPr>
          <w:p>
            <w:pPr>
              <w:ind w:left="460"/>
              <w:spacing w:after="0"/>
              <w:rPr>
                <w:sz w:val="20"/>
                <w:szCs w:val="20"/>
                <w:color w:val="auto"/>
              </w:rPr>
            </w:pPr>
            <w:r>
              <w:rPr>
                <w:rFonts w:ascii="Arial" w:cs="Arial" w:eastAsia="Arial" w:hAnsi="Arial"/>
                <w:sz w:val="16"/>
                <w:szCs w:val="16"/>
                <w:color w:val="auto"/>
              </w:rPr>
              <w:t>Cash provided by (used in) operating activities from discontinued operations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w:t>
            </w:r>
          </w:p>
        </w:tc>
        <w:tc>
          <w:tcPr>
            <w:tcW w:w="0" w:type="dxa"/>
            <w:vAlign w:val="bottom"/>
          </w:tcPr>
          <w:p>
            <w:pPr>
              <w:spacing w:after="0"/>
              <w:rPr>
                <w:sz w:val="1"/>
                <w:szCs w:val="1"/>
                <w:color w:val="auto"/>
              </w:rPr>
            </w:pPr>
          </w:p>
        </w:tc>
      </w:tr>
      <w:tr>
        <w:trPr>
          <w:trHeight w:val="210"/>
        </w:trPr>
        <w:tc>
          <w:tcPr>
            <w:tcW w:w="8380" w:type="dxa"/>
            <w:vAlign w:val="bottom"/>
          </w:tcPr>
          <w:p>
            <w:pPr>
              <w:ind w:left="460"/>
              <w:spacing w:after="0"/>
              <w:rPr>
                <w:sz w:val="20"/>
                <w:szCs w:val="20"/>
                <w:color w:val="auto"/>
              </w:rPr>
            </w:pPr>
            <w:r>
              <w:rPr>
                <w:rFonts w:ascii="Arial" w:cs="Arial" w:eastAsia="Arial" w:hAnsi="Arial"/>
                <w:sz w:val="16"/>
                <w:szCs w:val="16"/>
                <w:color w:val="auto"/>
              </w:rPr>
              <w:t>Cash provided by operating activities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1,413.3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662.9</w:t>
            </w:r>
          </w:p>
        </w:tc>
        <w:tc>
          <w:tcPr>
            <w:tcW w:w="0" w:type="dxa"/>
            <w:vAlign w:val="bottom"/>
          </w:tcPr>
          <w:p>
            <w:pPr>
              <w:spacing w:after="0"/>
              <w:rPr>
                <w:sz w:val="1"/>
                <w:szCs w:val="1"/>
                <w:color w:val="auto"/>
              </w:rPr>
            </w:pPr>
          </w:p>
        </w:tc>
      </w:tr>
      <w:tr>
        <w:trPr>
          <w:trHeight w:val="310"/>
        </w:trPr>
        <w:tc>
          <w:tcPr>
            <w:tcW w:w="8380" w:type="dxa"/>
            <w:vAlign w:val="bottom"/>
          </w:tcPr>
          <w:p>
            <w:pPr>
              <w:spacing w:after="0"/>
              <w:rPr>
                <w:sz w:val="20"/>
                <w:szCs w:val="20"/>
                <w:color w:val="auto"/>
              </w:rPr>
            </w:pPr>
            <w:r>
              <w:rPr>
                <w:rFonts w:ascii="Arial" w:cs="Arial" w:eastAsia="Arial" w:hAnsi="Arial"/>
                <w:sz w:val="16"/>
                <w:szCs w:val="16"/>
                <w:color w:val="auto"/>
              </w:rPr>
              <w:t>Cash flows from (used in) investing activities: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20"/>
              <w:spacing w:after="0"/>
              <w:rPr>
                <w:sz w:val="20"/>
                <w:szCs w:val="20"/>
                <w:color w:val="auto"/>
              </w:rPr>
            </w:pPr>
            <w:r>
              <w:rPr>
                <w:rFonts w:ascii="Arial" w:cs="Arial" w:eastAsia="Arial" w:hAnsi="Arial"/>
                <w:sz w:val="16"/>
                <w:szCs w:val="16"/>
                <w:color w:val="auto"/>
              </w:rPr>
              <w:t>Acquisitions of businesses, net of cash acquired</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(1,970.1)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(580.9)</w:t>
            </w:r>
          </w:p>
        </w:tc>
        <w:tc>
          <w:tcPr>
            <w:tcW w:w="0" w:type="dxa"/>
            <w:vAlign w:val="bottom"/>
          </w:tcPr>
          <w:p>
            <w:pPr>
              <w:spacing w:after="0"/>
              <w:rPr>
                <w:sz w:val="1"/>
                <w:szCs w:val="1"/>
                <w:color w:val="auto"/>
              </w:rPr>
            </w:pPr>
          </w:p>
        </w:tc>
      </w:tr>
      <w:tr>
        <w:trPr>
          <w:trHeight w:val="216"/>
        </w:trPr>
        <w:tc>
          <w:tcPr>
            <w:tcW w:w="838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6"/>
        </w:trPr>
        <w:tc>
          <w:tcPr>
            <w:tcW w:w="8380" w:type="dxa"/>
            <w:vAlign w:val="bottom"/>
          </w:tcPr>
          <w:p>
            <w:pPr>
              <w:ind w:left="120"/>
              <w:spacing w:after="0"/>
              <w:rPr>
                <w:sz w:val="20"/>
                <w:szCs w:val="20"/>
                <w:color w:val="auto"/>
              </w:rPr>
            </w:pPr>
            <w:r>
              <w:rPr>
                <w:rFonts w:ascii="Arial" w:cs="Arial" w:eastAsia="Arial" w:hAnsi="Arial"/>
                <w:sz w:val="16"/>
                <w:szCs w:val="16"/>
                <w:color w:val="auto"/>
              </w:rPr>
              <w:t>Capitalized software expenditures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16"/>
        </w:trPr>
        <w:tc>
          <w:tcPr>
            <w:tcW w:w="8380" w:type="dxa"/>
            <w:vAlign w:val="bottom"/>
          </w:tcPr>
          <w:p>
            <w:pPr>
              <w:ind w:left="120"/>
              <w:spacing w:after="0"/>
              <w:rPr>
                <w:sz w:val="20"/>
                <w:szCs w:val="20"/>
                <w:color w:val="auto"/>
              </w:rPr>
            </w:pPr>
            <w:r>
              <w:rPr>
                <w:rFonts w:ascii="Arial" w:cs="Arial" w:eastAsia="Arial" w:hAnsi="Arial"/>
                <w:sz w:val="16"/>
                <w:szCs w:val="16"/>
                <w:color w:val="auto"/>
              </w:rPr>
              <w:t>Distributions from equity investment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38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0"/>
        </w:trPr>
        <w:tc>
          <w:tcPr>
            <w:tcW w:w="8380" w:type="dxa"/>
            <w:vAlign w:val="bottom"/>
          </w:tcPr>
          <w:p>
            <w:pPr>
              <w:ind w:left="460"/>
              <w:spacing w:after="0"/>
              <w:rPr>
                <w:sz w:val="20"/>
                <w:szCs w:val="20"/>
                <w:color w:val="auto"/>
              </w:rPr>
            </w:pPr>
            <w:r>
              <w:rPr>
                <w:rFonts w:ascii="Arial" w:cs="Arial" w:eastAsia="Arial" w:hAnsi="Arial"/>
                <w:sz w:val="16"/>
                <w:szCs w:val="16"/>
                <w:color w:val="auto"/>
              </w:rPr>
              <w:t>Cash used in investing activities from continuing operations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(2,010.7)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(634.6)</w:t>
            </w:r>
          </w:p>
        </w:tc>
        <w:tc>
          <w:tcPr>
            <w:tcW w:w="0" w:type="dxa"/>
            <w:vAlign w:val="bottom"/>
          </w:tcPr>
          <w:p>
            <w:pPr>
              <w:spacing w:after="0"/>
              <w:rPr>
                <w:sz w:val="1"/>
                <w:szCs w:val="1"/>
                <w:color w:val="auto"/>
              </w:rPr>
            </w:pPr>
          </w:p>
        </w:tc>
      </w:tr>
      <w:tr>
        <w:trPr>
          <w:trHeight w:val="216"/>
        </w:trPr>
        <w:tc>
          <w:tcPr>
            <w:tcW w:w="8380" w:type="dxa"/>
            <w:vAlign w:val="bottom"/>
          </w:tcPr>
          <w:p>
            <w:pPr>
              <w:ind w:left="460"/>
              <w:spacing w:after="0"/>
              <w:rPr>
                <w:sz w:val="20"/>
                <w:szCs w:val="20"/>
                <w:color w:val="auto"/>
              </w:rPr>
            </w:pPr>
            <w:r>
              <w:rPr>
                <w:rFonts w:ascii="Arial" w:cs="Arial" w:eastAsia="Arial" w:hAnsi="Arial"/>
                <w:sz w:val="16"/>
                <w:szCs w:val="16"/>
                <w:color w:val="auto"/>
              </w:rPr>
              <w:t>Proceeds from disposition of discontinued operations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2,997.1</w:t>
            </w:r>
          </w:p>
        </w:tc>
        <w:tc>
          <w:tcPr>
            <w:tcW w:w="0" w:type="dxa"/>
            <w:vAlign w:val="bottom"/>
          </w:tcPr>
          <w:p>
            <w:pPr>
              <w:spacing w:after="0"/>
              <w:rPr>
                <w:sz w:val="1"/>
                <w:szCs w:val="1"/>
                <w:color w:val="auto"/>
              </w:rPr>
            </w:pPr>
          </w:p>
        </w:tc>
      </w:tr>
      <w:tr>
        <w:trPr>
          <w:trHeight w:val="216"/>
        </w:trPr>
        <w:tc>
          <w:tcPr>
            <w:tcW w:w="8380" w:type="dxa"/>
            <w:vAlign w:val="bottom"/>
          </w:tcPr>
          <w:p>
            <w:pPr>
              <w:ind w:left="460"/>
              <w:spacing w:after="0"/>
              <w:rPr>
                <w:sz w:val="20"/>
                <w:szCs w:val="20"/>
                <w:color w:val="auto"/>
              </w:rPr>
            </w:pPr>
            <w:r>
              <w:rPr>
                <w:rFonts w:ascii="Arial" w:cs="Arial" w:eastAsia="Arial" w:hAnsi="Arial"/>
                <w:sz w:val="16"/>
                <w:szCs w:val="16"/>
                <w:color w:val="auto"/>
              </w:rPr>
              <w:t>Cash used in investing activities from discontinued operations</w:t>
            </w: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9"/>
        </w:trPr>
        <w:tc>
          <w:tcPr>
            <w:tcW w:w="8380" w:type="dxa"/>
            <w:vAlign w:val="bottom"/>
          </w:tcPr>
          <w:p>
            <w:pPr>
              <w:ind w:left="460"/>
              <w:spacing w:after="0"/>
              <w:rPr>
                <w:sz w:val="20"/>
                <w:szCs w:val="20"/>
                <w:color w:val="auto"/>
              </w:rPr>
            </w:pPr>
            <w:r>
              <w:rPr>
                <w:rFonts w:ascii="Arial" w:cs="Arial" w:eastAsia="Arial" w:hAnsi="Arial"/>
                <w:sz w:val="16"/>
                <w:szCs w:val="16"/>
                <w:color w:val="auto"/>
              </w:rPr>
              <w:t>Cash provided by (used in) investing activities</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(2,008.7)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2,357.6</w:t>
            </w:r>
          </w:p>
        </w:tc>
        <w:tc>
          <w:tcPr>
            <w:tcW w:w="0" w:type="dxa"/>
            <w:vAlign w:val="bottom"/>
          </w:tcPr>
          <w:p>
            <w:pPr>
              <w:spacing w:after="0"/>
              <w:rPr>
                <w:sz w:val="1"/>
                <w:szCs w:val="1"/>
                <w:color w:val="auto"/>
              </w:rPr>
            </w:pPr>
          </w:p>
        </w:tc>
      </w:tr>
      <w:tr>
        <w:trPr>
          <w:trHeight w:val="311"/>
        </w:trPr>
        <w:tc>
          <w:tcPr>
            <w:tcW w:w="8380" w:type="dxa"/>
            <w:vAlign w:val="bottom"/>
          </w:tcPr>
          <w:p>
            <w:pPr>
              <w:spacing w:after="0"/>
              <w:rPr>
                <w:sz w:val="20"/>
                <w:szCs w:val="20"/>
                <w:color w:val="auto"/>
              </w:rPr>
            </w:pPr>
            <w:r>
              <w:rPr>
                <w:rFonts w:ascii="Arial" w:cs="Arial" w:eastAsia="Arial" w:hAnsi="Arial"/>
                <w:sz w:val="16"/>
                <w:szCs w:val="16"/>
                <w:color w:val="auto"/>
              </w:rPr>
              <w:t>Cash flows from (used in) financing activities: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20"/>
              <w:spacing w:after="0"/>
              <w:rPr>
                <w:sz w:val="20"/>
                <w:szCs w:val="20"/>
                <w:color w:val="auto"/>
              </w:rPr>
            </w:pPr>
            <w:r>
              <w:rPr>
                <w:rFonts w:ascii="Arial" w:cs="Arial" w:eastAsia="Arial" w:hAnsi="Arial"/>
                <w:sz w:val="16"/>
                <w:szCs w:val="16"/>
                <w:color w:val="auto"/>
              </w:rPr>
              <w:t>Payments of senior notes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(800.0)</w:t>
            </w:r>
          </w:p>
        </w:tc>
        <w:tc>
          <w:tcPr>
            <w:tcW w:w="0" w:type="dxa"/>
            <w:vAlign w:val="bottom"/>
          </w:tcPr>
          <w:p>
            <w:pPr>
              <w:spacing w:after="0"/>
              <w:rPr>
                <w:sz w:val="1"/>
                <w:szCs w:val="1"/>
                <w:color w:val="auto"/>
              </w:rPr>
            </w:pPr>
          </w:p>
        </w:tc>
      </w:tr>
      <w:tr>
        <w:trPr>
          <w:trHeight w:val="216"/>
        </w:trPr>
        <w:tc>
          <w:tcPr>
            <w:tcW w:w="8380" w:type="dxa"/>
            <w:vAlign w:val="bottom"/>
          </w:tcPr>
          <w:p>
            <w:pPr>
              <w:ind w:left="120"/>
              <w:spacing w:after="0"/>
              <w:rPr>
                <w:sz w:val="20"/>
                <w:szCs w:val="20"/>
                <w:color w:val="auto"/>
              </w:rPr>
            </w:pPr>
            <w:r>
              <w:rPr>
                <w:rFonts w:ascii="Arial" w:cs="Arial" w:eastAsia="Arial" w:hAnsi="Arial"/>
                <w:sz w:val="16"/>
                <w:szCs w:val="16"/>
                <w:color w:val="auto"/>
              </w:rPr>
              <w:t>Borrowings (payments) under revolving line of credit, net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(470.0)</w:t>
            </w:r>
          </w:p>
        </w:tc>
        <w:tc>
          <w:tcPr>
            <w:tcW w:w="0" w:type="dxa"/>
            <w:vAlign w:val="bottom"/>
          </w:tcPr>
          <w:p>
            <w:pPr>
              <w:spacing w:after="0"/>
              <w:rPr>
                <w:sz w:val="1"/>
                <w:szCs w:val="1"/>
                <w:color w:val="auto"/>
              </w:rPr>
            </w:pPr>
          </w:p>
        </w:tc>
      </w:tr>
      <w:tr>
        <w:trPr>
          <w:trHeight w:val="216"/>
        </w:trPr>
        <w:tc>
          <w:tcPr>
            <w:tcW w:w="8380" w:type="dxa"/>
            <w:vAlign w:val="bottom"/>
          </w:tcPr>
          <w:p>
            <w:pPr>
              <w:ind w:left="120"/>
              <w:spacing w:after="0"/>
              <w:rPr>
                <w:sz w:val="20"/>
                <w:szCs w:val="20"/>
                <w:color w:val="auto"/>
              </w:rPr>
            </w:pPr>
            <w:r>
              <w:rPr>
                <w:rFonts w:ascii="Arial" w:cs="Arial" w:eastAsia="Arial" w:hAnsi="Arial"/>
                <w:sz w:val="16"/>
                <w:szCs w:val="16"/>
                <w:color w:val="auto"/>
              </w:rPr>
              <w:t>Debt issuance costs</w:t>
            </w: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6"/>
        </w:trPr>
        <w:tc>
          <w:tcPr>
            <w:tcW w:w="8380" w:type="dxa"/>
            <w:vAlign w:val="bottom"/>
          </w:tcPr>
          <w:p>
            <w:pPr>
              <w:ind w:left="120"/>
              <w:spacing w:after="0"/>
              <w:rPr>
                <w:sz w:val="20"/>
                <w:szCs w:val="20"/>
                <w:color w:val="auto"/>
              </w:rPr>
            </w:pPr>
            <w:r>
              <w:rPr>
                <w:rFonts w:ascii="Arial" w:cs="Arial" w:eastAsia="Arial" w:hAnsi="Arial"/>
                <w:sz w:val="16"/>
                <w:szCs w:val="16"/>
                <w:color w:val="auto"/>
              </w:rPr>
              <w:t>Cash dividends to stockholders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(217.5)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(196.2)</w:t>
            </w:r>
          </w:p>
        </w:tc>
        <w:tc>
          <w:tcPr>
            <w:tcW w:w="0" w:type="dxa"/>
            <w:vAlign w:val="bottom"/>
          </w:tcPr>
          <w:p>
            <w:pPr>
              <w:spacing w:after="0"/>
              <w:rPr>
                <w:sz w:val="1"/>
                <w:szCs w:val="1"/>
                <w:color w:val="auto"/>
              </w:rPr>
            </w:pPr>
          </w:p>
        </w:tc>
      </w:tr>
      <w:tr>
        <w:trPr>
          <w:trHeight w:val="216"/>
        </w:trPr>
        <w:tc>
          <w:tcPr>
            <w:tcW w:w="8380" w:type="dxa"/>
            <w:vAlign w:val="bottom"/>
          </w:tcPr>
          <w:p>
            <w:pPr>
              <w:ind w:left="120"/>
              <w:spacing w:after="0"/>
              <w:rPr>
                <w:sz w:val="20"/>
                <w:szCs w:val="20"/>
                <w:color w:val="auto"/>
              </w:rPr>
            </w:pPr>
            <w:r>
              <w:rPr>
                <w:rFonts w:ascii="Arial" w:cs="Arial" w:eastAsia="Arial" w:hAnsi="Arial"/>
                <w:sz w:val="16"/>
                <w:szCs w:val="16"/>
                <w:color w:val="auto"/>
              </w:rPr>
              <w:t>Proceeds from stock-based compensation, net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216"/>
        </w:trPr>
        <w:tc>
          <w:tcPr>
            <w:tcW w:w="8380" w:type="dxa"/>
            <w:vAlign w:val="bottom"/>
          </w:tcPr>
          <w:p>
            <w:pPr>
              <w:ind w:left="120"/>
              <w:spacing w:after="0"/>
              <w:rPr>
                <w:sz w:val="20"/>
                <w:szCs w:val="20"/>
                <w:color w:val="auto"/>
              </w:rPr>
            </w:pPr>
            <w:r>
              <w:rPr>
                <w:rFonts w:ascii="Arial" w:cs="Arial" w:eastAsia="Arial" w:hAnsi="Arial"/>
                <w:sz w:val="16"/>
                <w:szCs w:val="16"/>
                <w:color w:val="auto"/>
              </w:rPr>
              <w:t>Treasury stock sales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6"/>
        </w:trPr>
        <w:tc>
          <w:tcPr>
            <w:tcW w:w="8380" w:type="dxa"/>
            <w:vAlign w:val="bottom"/>
          </w:tcPr>
          <w:p>
            <w:pPr>
              <w:ind w:left="1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0"/>
        </w:trPr>
        <w:tc>
          <w:tcPr>
            <w:tcW w:w="8380" w:type="dxa"/>
            <w:vAlign w:val="bottom"/>
          </w:tcPr>
          <w:p>
            <w:pPr>
              <w:ind w:left="460"/>
              <w:spacing w:after="0"/>
              <w:rPr>
                <w:sz w:val="20"/>
                <w:szCs w:val="20"/>
                <w:color w:val="auto"/>
              </w:rPr>
            </w:pPr>
            <w:r>
              <w:rPr>
                <w:rFonts w:ascii="Arial" w:cs="Arial" w:eastAsia="Arial" w:hAnsi="Arial"/>
                <w:sz w:val="16"/>
                <w:szCs w:val="16"/>
                <w:color w:val="auto"/>
              </w:rPr>
              <w:t>Cash provided by (used in) financing activities from continuing operations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(1,401.8)</w:t>
            </w:r>
          </w:p>
        </w:tc>
        <w:tc>
          <w:tcPr>
            <w:tcW w:w="0" w:type="dxa"/>
            <w:vAlign w:val="bottom"/>
          </w:tcPr>
          <w:p>
            <w:pPr>
              <w:spacing w:after="0"/>
              <w:rPr>
                <w:sz w:val="1"/>
                <w:szCs w:val="1"/>
                <w:color w:val="auto"/>
              </w:rPr>
            </w:pPr>
          </w:p>
        </w:tc>
      </w:tr>
      <w:tr>
        <w:trPr>
          <w:trHeight w:val="216"/>
        </w:trPr>
        <w:tc>
          <w:tcPr>
            <w:tcW w:w="8380" w:type="dxa"/>
            <w:vAlign w:val="bottom"/>
          </w:tcPr>
          <w:p>
            <w:pPr>
              <w:ind w:left="460"/>
              <w:spacing w:after="0"/>
              <w:rPr>
                <w:sz w:val="20"/>
                <w:szCs w:val="20"/>
                <w:color w:val="auto"/>
              </w:rPr>
            </w:pPr>
            <w:r>
              <w:rPr>
                <w:rFonts w:ascii="Arial" w:cs="Arial" w:eastAsia="Arial" w:hAnsi="Arial"/>
                <w:sz w:val="16"/>
                <w:szCs w:val="16"/>
                <w:color w:val="auto"/>
              </w:rPr>
              <w:t>Cash used in financing activities from discontinued operations</w:t>
            </w: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0"/>
        </w:trPr>
        <w:tc>
          <w:tcPr>
            <w:tcW w:w="8380" w:type="dxa"/>
            <w:vAlign w:val="bottom"/>
          </w:tcPr>
          <w:p>
            <w:pPr>
              <w:ind w:left="460"/>
              <w:spacing w:after="0"/>
              <w:rPr>
                <w:sz w:val="20"/>
                <w:szCs w:val="20"/>
                <w:color w:val="auto"/>
              </w:rPr>
            </w:pPr>
            <w:r>
              <w:rPr>
                <w:rFonts w:ascii="Arial" w:cs="Arial" w:eastAsia="Arial" w:hAnsi="Arial"/>
                <w:sz w:val="16"/>
                <w:szCs w:val="16"/>
                <w:color w:val="auto"/>
              </w:rPr>
              <w:t>Cash provided by (used in) financing activities</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(1,413.1)</w:t>
            </w:r>
          </w:p>
        </w:tc>
        <w:tc>
          <w:tcPr>
            <w:tcW w:w="0" w:type="dxa"/>
            <w:vAlign w:val="bottom"/>
          </w:tcPr>
          <w:p>
            <w:pPr>
              <w:spacing w:after="0"/>
              <w:rPr>
                <w:sz w:val="1"/>
                <w:szCs w:val="1"/>
                <w:color w:val="auto"/>
              </w:rPr>
            </w:pPr>
          </w:p>
        </w:tc>
      </w:tr>
      <w:tr>
        <w:trPr>
          <w:trHeight w:val="197"/>
        </w:trPr>
        <w:tc>
          <w:tcPr>
            <w:tcW w:w="8380" w:type="dxa"/>
            <w:vAlign w:val="bottom"/>
          </w:tcPr>
          <w:p>
            <w:pPr>
              <w:ind w:left="5220"/>
              <w:spacing w:after="0"/>
              <w:rPr>
                <w:sz w:val="20"/>
                <w:szCs w:val="20"/>
                <w:color w:val="auto"/>
              </w:rPr>
            </w:pPr>
            <w:r>
              <w:rPr>
                <w:rFonts w:ascii="Arial" w:cs="Arial" w:eastAsia="Arial" w:hAnsi="Arial"/>
                <w:sz w:val="14"/>
                <w:szCs w:val="14"/>
                <w:color w:val="auto"/>
              </w:rPr>
              <w:t>(Continued)</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20"/>
          </w:cols>
          <w:pgMar w:left="340" w:top="121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Roper Technologies, Inc.</w:t>
      </w:r>
    </w:p>
    <w:p>
      <w:pPr>
        <w:spacing w:after="0" w:line="44" w:lineRule="exact"/>
        <w:rPr>
          <w:sz w:val="20"/>
          <w:szCs w:val="20"/>
          <w:color w:val="auto"/>
        </w:rPr>
      </w:pPr>
    </w:p>
    <w:p>
      <w:pPr>
        <w:ind w:right="4680"/>
        <w:spacing w:after="0" w:line="242" w:lineRule="auto"/>
        <w:rPr>
          <w:sz w:val="20"/>
          <w:szCs w:val="20"/>
          <w:color w:val="auto"/>
        </w:rPr>
      </w:pPr>
      <w:r>
        <w:rPr>
          <w:rFonts w:ascii="Arial" w:cs="Arial" w:eastAsia="Arial" w:hAnsi="Arial"/>
          <w:sz w:val="18"/>
          <w:szCs w:val="18"/>
          <w:b w:val="1"/>
          <w:bCs w:val="1"/>
          <w:color w:val="auto"/>
        </w:rPr>
        <w:t xml:space="preserve">Condensed Consolidated Statements of Cash Flows (unaudited) - Continued </w:t>
      </w:r>
      <w:r>
        <w:rPr>
          <w:rFonts w:ascii="Arial" w:cs="Arial" w:eastAsia="Arial" w:hAnsi="Arial"/>
          <w:sz w:val="14"/>
          <w:szCs w:val="14"/>
          <w:b w:val="1"/>
          <w:bCs w:val="1"/>
          <w:color w:val="auto"/>
        </w:rPr>
        <w:t>(Amounts in millions)</w:t>
      </w:r>
    </w:p>
    <w:p>
      <w:pPr>
        <w:jc w:val="center"/>
        <w:ind w:left="8380"/>
        <w:spacing w:after="0" w:line="234" w:lineRule="auto"/>
        <w:rPr>
          <w:sz w:val="20"/>
          <w:szCs w:val="20"/>
          <w:color w:val="auto"/>
        </w:rPr>
      </w:pPr>
      <w:r>
        <w:rPr>
          <w:rFonts w:ascii="Arial" w:cs="Arial" w:eastAsia="Arial" w:hAnsi="Arial"/>
          <w:sz w:val="16"/>
          <w:szCs w:val="16"/>
          <w:b w:val="1"/>
          <w:bCs w:val="1"/>
          <w:color w:val="auto"/>
        </w:rPr>
        <w:t>Nine months ended</w:t>
      </w:r>
    </w:p>
    <w:p>
      <w:pPr>
        <w:spacing w:after="0" w:line="1"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September 30,</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3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r>
      <w:tr>
        <w:trPr>
          <w:trHeight w:val="285"/>
        </w:trPr>
        <w:tc>
          <w:tcPr>
            <w:tcW w:w="838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(64.4)</w:t>
            </w:r>
          </w:p>
        </w:tc>
      </w:tr>
      <w:tr>
        <w:trPr>
          <w:trHeight w:val="310"/>
        </w:trPr>
        <w:tc>
          <w:tcPr>
            <w:tcW w:w="838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(493.3)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1,543.0</w:t>
            </w:r>
          </w:p>
        </w:tc>
      </w:tr>
      <w:tr>
        <w:trPr>
          <w:trHeight w:val="311"/>
        </w:trPr>
        <w:tc>
          <w:tcPr>
            <w:tcW w:w="838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792.8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351.5</w:t>
            </w:r>
          </w:p>
        </w:tc>
      </w:tr>
      <w:tr>
        <w:trPr>
          <w:trHeight w:val="100"/>
        </w:trPr>
        <w:tc>
          <w:tcPr>
            <w:tcW w:w="83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r>
      <w:tr>
        <w:trPr>
          <w:trHeight w:val="210"/>
        </w:trPr>
        <w:tc>
          <w:tcPr>
            <w:tcW w:w="838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299.5</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1,894.5</w:t>
            </w:r>
          </w:p>
        </w:tc>
      </w:tr>
      <w:tr>
        <w:trPr>
          <w:trHeight w:val="20"/>
        </w:trPr>
        <w:tc>
          <w:tcPr>
            <w:tcW w:w="8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w:t>
      </w:r>
    </w:p>
    <w:sectPr>
      <w:pgSz w:w="11900" w:h="16838" w:orient="portrait"/>
      <w:cols w:equalWidth="0" w:num="1">
        <w:col w:w="11220"/>
      </w:cols>
      <w:pgMar w:left="340" w:top="12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upperLetter"/>
      <w:start w:val="1"/>
    </w:lvl>
  </w:abstractNum>
  <w:abstractNum w:abstractNumId="4">
    <w:nsid w:val="507ED7AB"/>
    <w:multiLevelType w:val="hybridMultilevel"/>
    <w:lvl w:ilvl="0">
      <w:lvlJc w:val="left"/>
      <w:lvlText w:val="%1."/>
      <w:numFmt w:val="upperLetter"/>
      <w:start w:val="2"/>
    </w:lvl>
  </w:abstractNum>
  <w:abstractNum w:abstractNumId="5">
    <w:nsid w:val="2EB141F2"/>
    <w:multiLevelType w:val="hybridMultilevel"/>
    <w:lvl w:ilvl="0">
      <w:lvlJc w:val="left"/>
      <w:lvlText w:val="%1."/>
      <w:numFmt w:val="upperLetter"/>
      <w:start w:val="3"/>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2023-10-25T06:12:09Z</dcterms:created>
  <dcterms:modified xsi:type="dcterms:W3CDTF">2023-10-25T06:12:09Z</dcterms:modified>
</cp:coreProperties>
</file>