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240"/>
        <w:spacing w:after="0"/>
        <w:rPr>
          <w:sz w:val="20"/>
          <w:szCs w:val="20"/>
          <w:color w:val="auto"/>
        </w:rPr>
      </w:pPr>
      <w:r>
        <w:rPr>
          <w:rFonts w:ascii="Arial" w:cs="Arial" w:eastAsia="Arial" w:hAnsi="Arial"/>
          <w:sz w:val="11"/>
          <w:szCs w:val="11"/>
          <w:color w:val="auto"/>
        </w:rPr>
        <w:t>--------------------------</w:t>
      </w:r>
    </w:p>
    <w:p>
      <w:pPr>
        <w:jc w:val="center"/>
        <w:spacing w:after="0"/>
        <w:rPr>
          <w:sz w:val="20"/>
          <w:szCs w:val="20"/>
          <w:color w:val="auto"/>
        </w:rPr>
      </w:pPr>
      <w:r>
        <w:rPr>
          <w:rFonts w:ascii="Arial" w:cs="Arial" w:eastAsia="Arial" w:hAnsi="Arial"/>
          <w:sz w:val="18"/>
          <w:szCs w:val="18"/>
          <w:b w:val="1"/>
          <w:bCs w:val="1"/>
          <w:color w:val="auto"/>
        </w:rPr>
        <w:t>FORM 10-K</w:t>
      </w:r>
    </w:p>
    <w:p>
      <w:pPr>
        <w:spacing w:after="0" w:line="11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27" w:lineRule="exact"/>
        <w:rPr>
          <w:sz w:val="24"/>
          <w:szCs w:val="24"/>
          <w:color w:val="auto"/>
        </w:rPr>
      </w:pPr>
    </w:p>
    <w:p>
      <w:pPr>
        <w:ind w:left="4140" w:right="1960" w:hanging="4132"/>
        <w:spacing w:after="0" w:line="282" w:lineRule="auto"/>
        <w:tabs>
          <w:tab w:leader="none" w:pos="3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6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1-12273</w:t>
      </w:r>
    </w:p>
    <w:p>
      <w:pPr>
        <w:spacing w:after="0" w:line="13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ROPER TECHNOLOGIES,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jc w:val="center"/>
              <w:ind w:left="959"/>
              <w:spacing w:after="0"/>
              <w:rPr>
                <w:sz w:val="20"/>
                <w:szCs w:val="20"/>
                <w:color w:val="auto"/>
              </w:rPr>
            </w:pPr>
            <w:r>
              <w:rPr>
                <w:rFonts w:ascii="Arial" w:cs="Arial" w:eastAsia="Arial" w:hAnsi="Arial"/>
                <w:sz w:val="14"/>
                <w:szCs w:val="14"/>
                <w:b w:val="1"/>
                <w:bCs w:val="1"/>
                <w:color w:val="auto"/>
                <w:w w:val="94"/>
              </w:rPr>
              <w:t>Delaware</w:t>
            </w:r>
          </w:p>
        </w:tc>
        <w:tc>
          <w:tcPr>
            <w:tcW w:w="6720" w:type="dxa"/>
            <w:vAlign w:val="bottom"/>
            <w:gridSpan w:val="3"/>
          </w:tcPr>
          <w:p>
            <w:pPr>
              <w:jc w:val="right"/>
              <w:ind w:right="2422"/>
              <w:spacing w:after="0"/>
              <w:rPr>
                <w:sz w:val="20"/>
                <w:szCs w:val="20"/>
                <w:color w:val="auto"/>
              </w:rPr>
            </w:pPr>
            <w:r>
              <w:rPr>
                <w:rFonts w:ascii="Arial" w:cs="Arial" w:eastAsia="Arial" w:hAnsi="Arial"/>
                <w:sz w:val="14"/>
                <w:szCs w:val="14"/>
                <w:b w:val="1"/>
                <w:bCs w:val="1"/>
                <w:color w:val="auto"/>
              </w:rPr>
              <w:t>51-0263969</w:t>
            </w:r>
          </w:p>
        </w:tc>
      </w:tr>
      <w:tr>
        <w:trPr>
          <w:trHeight w:val="196"/>
        </w:trPr>
        <w:tc>
          <w:tcPr>
            <w:tcW w:w="4700" w:type="dxa"/>
            <w:vAlign w:val="bottom"/>
          </w:tcPr>
          <w:p>
            <w:pPr>
              <w:jc w:val="center"/>
              <w:ind w:left="9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60" w:type="dxa"/>
            <w:vAlign w:val="bottom"/>
          </w:tcPr>
          <w:p>
            <w:pPr>
              <w:jc w:val="center"/>
              <w:ind w:right="162"/>
              <w:spacing w:after="0"/>
              <w:rPr>
                <w:sz w:val="20"/>
                <w:szCs w:val="20"/>
                <w:color w:val="auto"/>
              </w:rPr>
            </w:pPr>
            <w:r>
              <w:rPr>
                <w:rFonts w:ascii="Arial" w:cs="Arial" w:eastAsia="Arial" w:hAnsi="Arial"/>
                <w:sz w:val="14"/>
                <w:szCs w:val="14"/>
                <w:color w:val="auto"/>
                <w:w w:val="97"/>
              </w:rPr>
              <w:t>(I.R.S. Employer Identification No.)</w:t>
            </w:r>
          </w:p>
        </w:tc>
      </w:tr>
      <w:tr>
        <w:trPr>
          <w:trHeight w:val="216"/>
        </w:trPr>
        <w:tc>
          <w:tcPr>
            <w:tcW w:w="4700" w:type="dxa"/>
            <w:vAlign w:val="bottom"/>
          </w:tcPr>
          <w:p>
            <w:pPr>
              <w:spacing w:after="0"/>
              <w:rPr>
                <w:sz w:val="18"/>
                <w:szCs w:val="18"/>
                <w:color w:val="auto"/>
              </w:rPr>
            </w:pPr>
          </w:p>
        </w:tc>
        <w:tc>
          <w:tcPr>
            <w:tcW w:w="6720" w:type="dxa"/>
            <w:vAlign w:val="bottom"/>
            <w:gridSpan w:val="3"/>
          </w:tcPr>
          <w:p>
            <w:pPr>
              <w:jc w:val="center"/>
              <w:ind w:right="4602"/>
              <w:spacing w:after="0"/>
              <w:rPr>
                <w:sz w:val="20"/>
                <w:szCs w:val="20"/>
                <w:color w:val="auto"/>
              </w:rPr>
            </w:pPr>
            <w:r>
              <w:rPr>
                <w:rFonts w:ascii="Arial" w:cs="Arial" w:eastAsia="Arial" w:hAnsi="Arial"/>
                <w:sz w:val="18"/>
                <w:szCs w:val="18"/>
                <w:b w:val="1"/>
                <w:bCs w:val="1"/>
                <w:color w:val="auto"/>
              </w:rPr>
              <w:t>----------------</w:t>
            </w:r>
          </w:p>
        </w:tc>
      </w:tr>
      <w:tr>
        <w:trPr>
          <w:trHeight w:val="216"/>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6901 Professional Parkway East, Suite 200</w:t>
            </w:r>
          </w:p>
        </w:tc>
      </w:tr>
      <w:tr>
        <w:trPr>
          <w:trHeight w:val="216"/>
        </w:trPr>
        <w:tc>
          <w:tcPr>
            <w:tcW w:w="4700" w:type="dxa"/>
            <w:vAlign w:val="bottom"/>
          </w:tcPr>
          <w:p>
            <w:pPr>
              <w:spacing w:after="0"/>
              <w:rPr>
                <w:sz w:val="18"/>
                <w:szCs w:val="18"/>
                <w:color w:val="auto"/>
              </w:rPr>
            </w:pPr>
          </w:p>
        </w:tc>
        <w:tc>
          <w:tcPr>
            <w:tcW w:w="6720" w:type="dxa"/>
            <w:vAlign w:val="bottom"/>
            <w:gridSpan w:val="3"/>
          </w:tcPr>
          <w:p>
            <w:pPr>
              <w:jc w:val="center"/>
              <w:ind w:right="4622"/>
              <w:spacing w:after="0"/>
              <w:rPr>
                <w:sz w:val="20"/>
                <w:szCs w:val="20"/>
                <w:color w:val="auto"/>
              </w:rPr>
            </w:pPr>
            <w:r>
              <w:rPr>
                <w:rFonts w:ascii="Arial" w:cs="Arial" w:eastAsia="Arial" w:hAnsi="Arial"/>
                <w:sz w:val="18"/>
                <w:szCs w:val="18"/>
                <w:b w:val="1"/>
                <w:bCs w:val="1"/>
                <w:color w:val="auto"/>
                <w:w w:val="90"/>
              </w:rPr>
              <w:t>Sarasota, Florida 34240</w:t>
            </w:r>
          </w:p>
        </w:tc>
      </w:tr>
      <w:tr>
        <w:trPr>
          <w:trHeight w:val="182"/>
        </w:trPr>
        <w:tc>
          <w:tcPr>
            <w:tcW w:w="11420" w:type="dxa"/>
            <w:vAlign w:val="bottom"/>
            <w:gridSpan w:val="4"/>
          </w:tcPr>
          <w:p>
            <w:pPr>
              <w:jc w:val="center"/>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8"/>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(941) 556-2601</w:t>
            </w:r>
          </w:p>
        </w:tc>
      </w:tr>
      <w:tr>
        <w:trPr>
          <w:trHeight w:val="216"/>
        </w:trPr>
        <w:tc>
          <w:tcPr>
            <w:tcW w:w="4700" w:type="dxa"/>
            <w:vAlign w:val="bottom"/>
          </w:tcPr>
          <w:p>
            <w:pPr>
              <w:spacing w:after="0"/>
              <w:rPr>
                <w:sz w:val="18"/>
                <w:szCs w:val="18"/>
                <w:color w:val="auto"/>
              </w:rPr>
            </w:pPr>
          </w:p>
        </w:tc>
        <w:tc>
          <w:tcPr>
            <w:tcW w:w="6720" w:type="dxa"/>
            <w:vAlign w:val="bottom"/>
            <w:gridSpan w:val="3"/>
          </w:tcPr>
          <w:p>
            <w:pPr>
              <w:jc w:val="center"/>
              <w:ind w:right="4602"/>
              <w:spacing w:after="0"/>
              <w:rPr>
                <w:sz w:val="20"/>
                <w:szCs w:val="20"/>
                <w:color w:val="auto"/>
              </w:rPr>
            </w:pPr>
            <w:r>
              <w:rPr>
                <w:rFonts w:ascii="Arial" w:cs="Arial" w:eastAsia="Arial" w:hAnsi="Arial"/>
                <w:sz w:val="18"/>
                <w:szCs w:val="18"/>
                <w:b w:val="1"/>
                <w:bCs w:val="1"/>
                <w:color w:val="auto"/>
              </w:rPr>
              <w:t>----------------</w:t>
            </w:r>
          </w:p>
        </w:tc>
      </w:tr>
      <w:tr>
        <w:trPr>
          <w:trHeight w:val="23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59"/>
        </w:trPr>
        <w:tc>
          <w:tcPr>
            <w:tcW w:w="470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Title of Each Class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40"/>
        </w:trPr>
        <w:tc>
          <w:tcPr>
            <w:tcW w:w="4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r>
        <w:trPr>
          <w:trHeight w:val="224"/>
        </w:trPr>
        <w:tc>
          <w:tcPr>
            <w:tcW w:w="4700" w:type="dxa"/>
            <w:vAlign w:val="bottom"/>
          </w:tcPr>
          <w:p>
            <w:pPr>
              <w:jc w:val="center"/>
              <w:ind w:left="719"/>
              <w:spacing w:after="0"/>
              <w:rPr>
                <w:sz w:val="20"/>
                <w:szCs w:val="20"/>
                <w:color w:val="auto"/>
              </w:rPr>
            </w:pPr>
            <w:r>
              <w:rPr>
                <w:rFonts w:ascii="Arial" w:cs="Arial" w:eastAsia="Arial" w:hAnsi="Arial"/>
                <w:sz w:val="16"/>
                <w:szCs w:val="16"/>
                <w:color w:val="auto"/>
                <w:w w:val="91"/>
              </w:rPr>
              <w:t>Common Stock, $0.01 Par Value</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5280"/>
        <w:spacing w:after="0"/>
        <w:rPr>
          <w:sz w:val="20"/>
          <w:szCs w:val="20"/>
          <w:color w:val="auto"/>
        </w:rPr>
      </w:pPr>
      <w:r>
        <w:rPr>
          <w:rFonts w:ascii="Arial" w:cs="Arial" w:eastAsia="Arial" w:hAnsi="Arial"/>
          <w:sz w:val="16"/>
          <w:szCs w:val="16"/>
          <w:b w:val="1"/>
          <w:bCs w:val="1"/>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6"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4"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(§223.405)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8"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is a large accelerated filer, an accelerated filer, a non-accelerated filer, or a smaller reporting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w:t>
      </w:r>
    </w:p>
    <w:p>
      <w:pPr>
        <w:spacing w:after="0" w:line="47"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Based on the closing sale price on the New York Stock Exchange on June 29, 2018, the aggregate market value of the voting and non-voting common stock held by non-affiliates of the registrant was: $27,931,518,465.</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registrant’s Common Stock outstanding as of February 15, 2019: 103,607,782.</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Portions of the registrant’s Proxy Statement to be furnished to Stockholders in connection with its Annual Meeting of Stockholders are incorporated by reference into Part III of this Annual Report on Form 10-K.</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ROPER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9"/>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4"/>
          </w:tcPr>
          <w:p>
            <w:pPr>
              <w:ind w:left="340"/>
              <w:spacing w:after="0"/>
              <w:rPr>
                <w:sz w:val="20"/>
                <w:szCs w:val="20"/>
                <w:color w:val="auto"/>
              </w:rPr>
            </w:pPr>
            <w:r>
              <w:rPr>
                <w:rFonts w:ascii="Arial" w:cs="Arial" w:eastAsia="Arial" w:hAnsi="Arial"/>
                <w:sz w:val="18"/>
                <w:szCs w:val="18"/>
                <w:color w:val="auto"/>
              </w:rPr>
              <w:t>Page</w:t>
            </w:r>
          </w:p>
        </w:tc>
      </w:tr>
      <w:tr>
        <w:trPr>
          <w:trHeight w:val="55"/>
        </w:trPr>
        <w:tc>
          <w:tcPr>
            <w:tcW w:w="40" w:type="dxa"/>
            <w:vAlign w:val="bottom"/>
            <w:tcBorders>
              <w:bottom w:val="single" w:sz="8" w:color="CCEEFF"/>
            </w:tcBorders>
          </w:tcPr>
          <w:p>
            <w:pPr>
              <w:spacing w:after="0"/>
              <w:rPr>
                <w:sz w:val="4"/>
                <w:szCs w:val="4"/>
                <w:color w:val="auto"/>
              </w:rPr>
            </w:pPr>
          </w:p>
        </w:tc>
        <w:tc>
          <w:tcPr>
            <w:tcW w:w="500" w:type="dxa"/>
            <w:vAlign w:val="bottom"/>
            <w:tcBorders>
              <w:top w:val="single" w:sz="8" w:color="0000EE"/>
              <w:bottom w:val="single" w:sz="8" w:color="CCEEFF"/>
            </w:tcBorders>
          </w:tcPr>
          <w:p>
            <w:pPr>
              <w:spacing w:after="0"/>
              <w:rPr>
                <w:sz w:val="4"/>
                <w:szCs w:val="4"/>
                <w:color w:val="auto"/>
              </w:rPr>
            </w:pPr>
          </w:p>
        </w:tc>
        <w:tc>
          <w:tcPr>
            <w:tcW w:w="40" w:type="dxa"/>
            <w:vAlign w:val="bottom"/>
            <w:tcBorders>
              <w:top w:val="single" w:sz="8" w:color="0000EE"/>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09"/>
        </w:trPr>
        <w:tc>
          <w:tcPr>
            <w:tcW w:w="1120" w:type="dxa"/>
            <w:vAlign w:val="bottom"/>
            <w:gridSpan w:val="9"/>
            <w:shd w:val="clear" w:color="auto" w:fill="CCEEFF"/>
          </w:tcPr>
          <w:p>
            <w:pPr>
              <w:ind w:left="4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80" w:type="dxa"/>
            <w:vAlign w:val="bottom"/>
            <w:gridSpan w:val="23"/>
            <w:shd w:val="clear" w:color="auto" w:fill="CCEEFF"/>
          </w:tcPr>
          <w:p>
            <w:pPr>
              <w:ind w:left="40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20" w:type="dxa"/>
            <w:vAlign w:val="bottom"/>
            <w:gridSpan w:val="4"/>
            <w:shd w:val="clear" w:color="auto" w:fill="CCEEFF"/>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Item 1B.</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PART II</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Market for Registrant's Common Equity, Related Stockholder Matters and Issuer Purchases of Equity Securities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Item 7.</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7A.</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8.</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Financial Statements and Supplementary Data</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9.</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9A.</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9B.</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PART III</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10.</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11.</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12.</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13.</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14.</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PART IV</w:t>
              </w:r>
            </w:hyperlink>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gridSpan w:val="9"/>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15.</w:t>
              </w:r>
            </w:hyperlink>
          </w:p>
        </w:tc>
        <w:tc>
          <w:tcPr>
            <w:tcW w:w="9280" w:type="dxa"/>
            <w:vAlign w:val="bottom"/>
            <w:gridSpan w:val="23"/>
          </w:tcPr>
          <w:p>
            <w:pPr>
              <w:ind w:left="4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Item 16.</w:t>
              </w:r>
            </w:hyperlink>
          </w:p>
        </w:tc>
        <w:tc>
          <w:tcPr>
            <w:tcW w:w="9280" w:type="dxa"/>
            <w:vAlign w:val="bottom"/>
            <w:gridSpan w:val="23"/>
            <w:shd w:val="clear" w:color="auto" w:fill="CCEEFF"/>
          </w:tcPr>
          <w:p>
            <w:pPr>
              <w:ind w:left="40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Form 10-K Summary</w:t>
              </w:r>
            </w:hyperlink>
          </w:p>
        </w:tc>
        <w:tc>
          <w:tcPr>
            <w:tcW w:w="10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7"/>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7320" w:type="dxa"/>
            <w:vAlign w:val="bottom"/>
            <w:gridSpan w:val="15"/>
          </w:tcPr>
          <w:p>
            <w:pPr>
              <w:spacing w:after="0"/>
              <w:rPr>
                <w:sz w:val="17"/>
                <w:szCs w:val="17"/>
                <w:color w:val="auto"/>
              </w:rPr>
            </w:pPr>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723"/>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540" w:type="dxa"/>
            <w:vAlign w:val="bottom"/>
            <w:gridSpan w:val="13"/>
          </w:tcPr>
          <w:p>
            <w:pPr>
              <w:jc w:val="right"/>
              <w:ind w:right="6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Information About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difficulty making acquisitions and successfully integrating acquired businesses;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any unforeseen liabilities associated with future acquisitions;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limitations on our business imposed by our indebtedness;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unfavorable changes in foreign exchange rates;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mitigate cybersecurity threats;</w:t>
      </w:r>
    </w:p>
    <w:p>
      <w:pPr>
        <w:spacing w:after="0" w:line="7"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difficulties associated with exports;</w:t>
      </w:r>
    </w:p>
    <w:p>
      <w:pPr>
        <w:spacing w:after="0" w:line="24"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and costs associated with our international sales and operations;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rising interest rates;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product liability and insurance risks;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increased warranty exposure;</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competition;</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cyclical nature of some of our markets;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reduction of business with large customers;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government contracts;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in the supply of, or price for, raw materials, parts and components;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environmental compliance costs and liabilities;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and costs associated with asbestos-related litigation;</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potential write-offs of our goodwill and other intangible assets;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develop new products;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failure to protect our intellectual property;</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 of, or change in, government regulations (including tax);</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economic disruption caused by terrorist attacks, health crises or other unforeseen events; and</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factors discussed in Item 1A to this Annual Report under the heading “Risk Factors.”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them in light of new information or future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currency amounts are in millions unless specified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Roper Technologies, Inc. (“Roper,” the “Company,” “we,” “our” or “us”) is a diversified technology company. We operate businesses that design and develop software (both license and software-as-a-service) and engineered products and solutions for a variety of niche end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pursue consistent and sustainable growth in earnings and cash flow by emphasizing continuous improvement in the operating performance of our existing businesses and by acquiring other businesses that offer high value-added software, services, engineered products and solutions that we believe are capable of achieving growth and maintaining high margins. We compete in many niche markets and believe we are the market leader or a competitive alternative to the market leader in most of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were incorporated on December 17, 1981 under the laws of the State of 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Share, Market Expansion, and Product Development</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Leadership with Engineered Content for Niche Markets </w:t>
      </w:r>
      <w:r>
        <w:rPr>
          <w:rFonts w:ascii="Arial" w:cs="Arial" w:eastAsia="Arial" w:hAnsi="Arial"/>
          <w:sz w:val="18"/>
          <w:szCs w:val="18"/>
          <w:color w:val="auto"/>
        </w:rPr>
        <w:t>- We maintain a leading position in many of our markets. We believe our market positions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technical sophistication of our products and software, the applications expertise used to create our advanced products and systems, and our distribution and service capabilities. Our operating units grow their businesses through new product development and development of new applications and services to satisfy customer needs. In addition, our operating units grow our customer base by expanding our access to customers and entering adjacent markets.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Diversified End Markets and Geographic Reach </w:t>
      </w:r>
      <w:r>
        <w:rPr>
          <w:rFonts w:ascii="Arial" w:cs="Arial" w:eastAsia="Arial" w:hAnsi="Arial"/>
          <w:sz w:val="18"/>
          <w:szCs w:val="18"/>
          <w:color w:val="auto"/>
        </w:rPr>
        <w:t>- We have a global presence, with sales to customers outside the U.S. totaling $1.5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Information regarding our international operations is set forth in Note 13 of the Notes to Consolidated Financial Statements included in this Annual Report.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 We conduct applied research and development to improve the quality and performance of our products and to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products. Our research and development spending was $317 in 2018 as compared to $281 and $195 in 2017 and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operations are reported in four segments based upon common customers, markets, sales channels, technologies and common cost opportunities. The segments are: RF Technology, Medical &amp; Scientific Imaging, Industrial Technology and Energy Systems &amp; Controls. Financial information about our business segments is presented in Note 13 of the Notes to Consolidated Financial Statements included in this Annual Report.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RF Technology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RF Technology segment provides radio frequency identification (“RFID”) communication technology and software solutions. This segment had net revenues of $2.17 billion for the year ended December 31, 2018, representing 41.8% of our total net revenues.</w:t>
      </w:r>
    </w:p>
    <w:p>
      <w:pPr>
        <w:spacing w:after="0" w:line="170"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i w:val="1"/>
          <w:iCs w:val="1"/>
          <w:color w:val="auto"/>
        </w:rPr>
        <w:t xml:space="preserve">Comprehensive Application Management Software </w:t>
      </w:r>
      <w:r>
        <w:rPr>
          <w:rFonts w:ascii="Arial" w:cs="Arial" w:eastAsia="Arial" w:hAnsi="Arial"/>
          <w:sz w:val="18"/>
          <w:szCs w:val="18"/>
          <w:color w:val="auto"/>
        </w:rPr>
        <w:t>- We provide 1) enterprise software and information solutions for government contractors,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firms and other project-based businesses, 2) comprehensive management software solutions for law and other professional services firms, including business development, calendar/docket matter management, time and billing and case management, and 3) financial and compliance management software and solutions to large complex companies in asset-intensive industries.</w:t>
      </w:r>
    </w:p>
    <w:p>
      <w:pPr>
        <w:spacing w:after="0" w:line="18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i w:val="1"/>
          <w:iCs w:val="1"/>
          <w:color w:val="auto"/>
        </w:rPr>
        <w:t xml:space="preserve">Software-as-a-Service - </w:t>
      </w:r>
      <w:r>
        <w:rPr>
          <w:rFonts w:ascii="Arial" w:cs="Arial" w:eastAsia="Arial" w:hAnsi="Arial"/>
          <w:sz w:val="18"/>
          <w:szCs w:val="18"/>
          <w:color w:val="auto"/>
        </w:rPr>
        <w:t>We maintain electronic marketplaces that connect 1) available capacity of trucking units with the available loads of freight to be</w:t>
      </w:r>
      <w:r>
        <w:rPr>
          <w:rFonts w:ascii="Arial" w:cs="Arial" w:eastAsia="Arial" w:hAnsi="Arial"/>
          <w:sz w:val="18"/>
          <w:szCs w:val="18"/>
          <w:i w:val="1"/>
          <w:iCs w:val="1"/>
          <w:color w:val="auto"/>
        </w:rPr>
        <w:t xml:space="preserve"> </w:t>
      </w:r>
      <w:r>
        <w:rPr>
          <w:rFonts w:ascii="Arial" w:cs="Arial" w:eastAsia="Arial" w:hAnsi="Arial"/>
          <w:sz w:val="18"/>
          <w:szCs w:val="18"/>
          <w:color w:val="auto"/>
        </w:rPr>
        <w:t>moved from location to location throughout North America, 2) food suppliers, distributors and vendors, primarily in the perishable food sector and 3) construction industry professionals.</w:t>
      </w:r>
    </w:p>
    <w:p>
      <w:pPr>
        <w:spacing w:after="0" w:line="181"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i w:val="1"/>
          <w:iCs w:val="1"/>
          <w:color w:val="auto"/>
        </w:rPr>
        <w:t xml:space="preserve">Card Systems/Integrated Security Solutions </w:t>
      </w:r>
      <w:r>
        <w:rPr>
          <w:rFonts w:ascii="Arial" w:cs="Arial" w:eastAsia="Arial" w:hAnsi="Arial"/>
          <w:sz w:val="18"/>
          <w:szCs w:val="18"/>
          <w:color w:val="auto"/>
        </w:rPr>
        <w:t>- We provide software, card systems and integrated security solutions primarily to education and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We also provide an integrated nutrition management solution used by food service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both"/>
        <w:ind w:left="180"/>
        <w:spacing w:after="0" w:line="264" w:lineRule="auto"/>
        <w:rPr>
          <w:sz w:val="20"/>
          <w:szCs w:val="20"/>
          <w:color w:val="auto"/>
        </w:rPr>
      </w:pPr>
      <w:r>
        <w:rPr>
          <w:rFonts w:ascii="Arial" w:cs="Arial" w:eastAsia="Arial" w:hAnsi="Arial"/>
          <w:sz w:val="18"/>
          <w:szCs w:val="18"/>
          <w:i w:val="1"/>
          <w:iCs w:val="1"/>
          <w:color w:val="auto"/>
        </w:rPr>
        <w:t xml:space="preserve">Toll and Traffic Systems </w:t>
      </w:r>
      <w:r>
        <w:rPr>
          <w:rFonts w:ascii="Arial" w:cs="Arial" w:eastAsia="Arial" w:hAnsi="Arial"/>
          <w:sz w:val="18"/>
          <w:szCs w:val="18"/>
          <w:color w:val="auto"/>
        </w:rPr>
        <w:t>- We manufacture and sell toll tags and monitoring systems as well as provide transaction and violation processing services for toll</w:t>
      </w:r>
      <w:r>
        <w:rPr>
          <w:rFonts w:ascii="Arial" w:cs="Arial" w:eastAsia="Arial" w:hAnsi="Arial"/>
          <w:sz w:val="18"/>
          <w:szCs w:val="18"/>
          <w:i w:val="1"/>
          <w:iCs w:val="1"/>
          <w:color w:val="auto"/>
        </w:rPr>
        <w:t xml:space="preserve"> </w:t>
      </w:r>
      <w:r>
        <w:rPr>
          <w:rFonts w:ascii="Arial" w:cs="Arial" w:eastAsia="Arial" w:hAnsi="Arial"/>
          <w:sz w:val="18"/>
          <w:szCs w:val="18"/>
          <w:color w:val="auto"/>
        </w:rPr>
        <w:t>and traffic systems to both governmental and private sector entities. In addition, we provide intelligent traffic systems that assist customers in improving traffic flow and infrastructure utilization.</w:t>
      </w:r>
    </w:p>
    <w:p>
      <w:pPr>
        <w:spacing w:after="0" w:line="18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i w:val="1"/>
          <w:iCs w:val="1"/>
          <w:color w:val="auto"/>
        </w:rPr>
        <w:t xml:space="preserve">RFID Card Readers </w:t>
      </w:r>
      <w:r>
        <w:rPr>
          <w:rFonts w:ascii="Arial" w:cs="Arial" w:eastAsia="Arial" w:hAnsi="Arial"/>
          <w:sz w:val="18"/>
          <w:szCs w:val="18"/>
          <w:color w:val="auto"/>
        </w:rPr>
        <w:t>- We design, develop and manufacture RFID card readers that support most smart cards worldwide. The readers are used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and OEM solutions including secure printing and single sign-on across several vertical markets including healthcare, manufacturing and government.</w:t>
      </w:r>
    </w:p>
    <w:p>
      <w:pPr>
        <w:spacing w:after="0" w:line="181" w:lineRule="exact"/>
        <w:rPr>
          <w:sz w:val="20"/>
          <w:szCs w:val="20"/>
          <w:color w:val="auto"/>
        </w:rPr>
      </w:pPr>
    </w:p>
    <w:p>
      <w:pPr>
        <w:jc w:val="both"/>
        <w:ind w:left="180" w:right="20"/>
        <w:spacing w:after="0" w:line="308" w:lineRule="auto"/>
        <w:rPr>
          <w:sz w:val="20"/>
          <w:szCs w:val="20"/>
          <w:color w:val="auto"/>
        </w:rPr>
      </w:pPr>
      <w:r>
        <w:rPr>
          <w:rFonts w:ascii="Arial" w:cs="Arial" w:eastAsia="Arial" w:hAnsi="Arial"/>
          <w:sz w:val="17"/>
          <w:szCs w:val="17"/>
          <w:i w:val="1"/>
          <w:iCs w:val="1"/>
          <w:color w:val="auto"/>
        </w:rPr>
        <w:t xml:space="preserve">Metering and Remote Monitoring - </w:t>
      </w:r>
      <w:r>
        <w:rPr>
          <w:rFonts w:ascii="Arial" w:cs="Arial" w:eastAsia="Arial" w:hAnsi="Arial"/>
          <w:sz w:val="17"/>
          <w:szCs w:val="17"/>
          <w:color w:val="auto"/>
        </w:rPr>
        <w:t>We manufacture and sell meter reading, data logging and pressure control products for use primarily in water and gas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We also provide network monitoring, leakage reduction and pressure control services in water and gas distribution networks.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Medical and Scientific Imaging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Medical &amp; Scientific Imaging segment offers products and software in medical applications, and high performance digital imaging products. For 2018, this segment had net revenues of $1.52 billion, representing 29.3% of our total net revenues.</w:t>
      </w:r>
    </w:p>
    <w:p>
      <w:pPr>
        <w:spacing w:after="0" w:line="170" w:lineRule="exact"/>
        <w:rPr>
          <w:sz w:val="20"/>
          <w:szCs w:val="20"/>
          <w:color w:val="auto"/>
        </w:rPr>
      </w:pPr>
    </w:p>
    <w:p>
      <w:pPr>
        <w:jc w:val="both"/>
        <w:ind w:left="180"/>
        <w:spacing w:after="0" w:line="293" w:lineRule="auto"/>
        <w:rPr>
          <w:sz w:val="20"/>
          <w:szCs w:val="20"/>
          <w:color w:val="auto"/>
        </w:rPr>
      </w:pPr>
      <w:r>
        <w:rPr>
          <w:rFonts w:ascii="Arial" w:cs="Arial" w:eastAsia="Arial" w:hAnsi="Arial"/>
          <w:sz w:val="16"/>
          <w:szCs w:val="16"/>
          <w:i w:val="1"/>
          <w:iCs w:val="1"/>
          <w:color w:val="auto"/>
        </w:rPr>
        <w:t xml:space="preserve">Medical Products and Software </w:t>
      </w:r>
      <w:r>
        <w:rPr>
          <w:rFonts w:ascii="Arial" w:cs="Arial" w:eastAsia="Arial" w:hAnsi="Arial"/>
          <w:sz w:val="16"/>
          <w:szCs w:val="16"/>
          <w:color w:val="auto"/>
        </w:rPr>
        <w:t>- We provide diagnostic and laboratory software solutions to healthcare providers and services and technologies to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the diverse and complex needs of alternate site health care providers who deliver services outside of an acute care hospital setting. We provide a cloud-based financial analytics and performance software platform to healthcare providers. We also manufacture and sell patient positioning devices and related software for use in radiation oncology and 3-D measurement technology in computer-assisted surgery, and we supply diagnostic and therapeutic disposable products used in ultrasound imaging for minimally invasive medical procedures. We design and manufacture a non-invasive instrument for portable ultrasound bladder volume measurement and a video laryngoscope designed to enable rapid intubation in difficult situations.</w:t>
      </w:r>
    </w:p>
    <w:p>
      <w:pPr>
        <w:spacing w:after="0" w:line="16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i w:val="1"/>
          <w:iCs w:val="1"/>
          <w:color w:val="auto"/>
        </w:rPr>
        <w:t xml:space="preserve">Digital Imaging Products and Software </w:t>
      </w:r>
      <w:r>
        <w:rPr>
          <w:rFonts w:ascii="Arial" w:cs="Arial" w:eastAsia="Arial" w:hAnsi="Arial"/>
          <w:sz w:val="18"/>
          <w:szCs w:val="18"/>
          <w:color w:val="auto"/>
        </w:rPr>
        <w:t>- We manufacture and sell extremely sensitive, high-performance electron filters, charged couple device (“CCD”)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complementary metal oxide semiconductor (“CMOS”) cameras, detectors and related software for a variety of scientific and industrial uses, which require high resolution and/or high speed digital video, including electron microscopy and spectroscopy applications. We sell these products for use within academic, government research, semiconductor, security and other end-user markets such as biological and material science. They are frequently incorporated into products by original equipment manufacturers (“OEMs”).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Industrial Technology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Industrial Technology segment produces primarily water meter and meter reading technology, fluid handling pumps, and materials analysis solutions. For 2018, this segment had net revenues of $900, representing 17.3% of our total net revenues.</w:t>
      </w:r>
    </w:p>
    <w:p>
      <w:pPr>
        <w:spacing w:after="0" w:line="170" w:lineRule="exact"/>
        <w:rPr>
          <w:sz w:val="20"/>
          <w:szCs w:val="20"/>
          <w:color w:val="auto"/>
        </w:rPr>
      </w:pPr>
    </w:p>
    <w:p>
      <w:pPr>
        <w:jc w:val="both"/>
        <w:ind w:left="180"/>
        <w:spacing w:after="0" w:line="308" w:lineRule="auto"/>
        <w:rPr>
          <w:sz w:val="20"/>
          <w:szCs w:val="20"/>
          <w:color w:val="auto"/>
        </w:rPr>
      </w:pPr>
      <w:r>
        <w:rPr>
          <w:rFonts w:ascii="Arial" w:cs="Arial" w:eastAsia="Arial" w:hAnsi="Arial"/>
          <w:sz w:val="17"/>
          <w:szCs w:val="17"/>
          <w:i w:val="1"/>
          <w:iCs w:val="1"/>
          <w:color w:val="auto"/>
        </w:rPr>
        <w:t xml:space="preserve">Water Meter and Automatic Meter Reading Products and Systems </w:t>
      </w:r>
      <w:r>
        <w:rPr>
          <w:rFonts w:ascii="Arial" w:cs="Arial" w:eastAsia="Arial" w:hAnsi="Arial"/>
          <w:sz w:val="17"/>
          <w:szCs w:val="17"/>
          <w:color w:val="auto"/>
        </w:rPr>
        <w:t>- We manufacture and distribute water meter products serving the residential,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industrial water management markets, and several lines of automatic meter reading products and systems serving these markets.</w:t>
      </w:r>
    </w:p>
    <w:p>
      <w:pPr>
        <w:spacing w:after="0" w:line="147"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i w:val="1"/>
          <w:iCs w:val="1"/>
          <w:color w:val="auto"/>
        </w:rPr>
        <w:t xml:space="preserve">Fluid Handling Pumps </w:t>
      </w:r>
      <w:r>
        <w:rPr>
          <w:rFonts w:ascii="Arial" w:cs="Arial" w:eastAsia="Arial" w:hAnsi="Arial"/>
          <w:sz w:val="17"/>
          <w:szCs w:val="17"/>
          <w:color w:val="auto"/>
        </w:rPr>
        <w:t>- We manufacture and sell a wide variety of pumps. These pumps vary significantly in complexity and in pumping method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which allows for the movement and application of a diverse range of low and high viscosity liquids, high solids content slurries and chemicals. Our pumps are used in end markets such as oil and gas, agricultural, water and wastewater, chemical and general industrial.</w:t>
      </w:r>
    </w:p>
    <w:p>
      <w:pPr>
        <w:spacing w:after="0" w:line="166" w:lineRule="exact"/>
        <w:rPr>
          <w:sz w:val="20"/>
          <w:szCs w:val="20"/>
          <w:color w:val="auto"/>
        </w:rPr>
      </w:pPr>
    </w:p>
    <w:p>
      <w:pPr>
        <w:jc w:val="both"/>
        <w:ind w:left="180" w:right="20"/>
        <w:spacing w:after="0" w:line="342" w:lineRule="auto"/>
        <w:rPr>
          <w:sz w:val="20"/>
          <w:szCs w:val="20"/>
          <w:color w:val="auto"/>
        </w:rPr>
      </w:pPr>
      <w:r>
        <w:rPr>
          <w:rFonts w:ascii="Arial" w:cs="Arial" w:eastAsia="Arial" w:hAnsi="Arial"/>
          <w:sz w:val="16"/>
          <w:szCs w:val="16"/>
          <w:i w:val="1"/>
          <w:iCs w:val="1"/>
          <w:color w:val="auto"/>
        </w:rPr>
        <w:t xml:space="preserve">Materials Analysis Equipment and Consumables </w:t>
      </w:r>
      <w:r>
        <w:rPr>
          <w:rFonts w:ascii="Arial" w:cs="Arial" w:eastAsia="Arial" w:hAnsi="Arial"/>
          <w:sz w:val="16"/>
          <w:szCs w:val="16"/>
          <w:color w:val="auto"/>
        </w:rPr>
        <w:t>- We manufacture and sell equipment and supply consumables necessary to prepare material samples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testing and analysis. These products are used mostly within the material science, steel, automotive, electronics, mining and research end-user markets.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Industrial Technology segment companies’ revenues reflect a combination of standard products and specially engineered, application-specific products. Standard products are typically shipped within two weeks of receipt of order. Application-specific products typically ship within 6 to 12 weeks following receipt of order. However, larger project orders and blanket purchase orders for certain OEMs may extend shipment for longer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5" w:name="page6"/>
    <w:bookmarkEnd w:id="5"/>
    <w:p>
      <w:pPr>
        <w:ind w:left="180"/>
        <w:spacing w:after="0"/>
        <w:rPr>
          <w:sz w:val="20"/>
          <w:szCs w:val="20"/>
          <w:color w:val="auto"/>
        </w:rPr>
      </w:pPr>
      <w:r>
        <w:rPr>
          <w:rFonts w:ascii="Arial" w:cs="Arial" w:eastAsia="Arial" w:hAnsi="Arial"/>
          <w:sz w:val="18"/>
          <w:szCs w:val="18"/>
          <w:b w:val="1"/>
          <w:bCs w:val="1"/>
          <w:i w:val="1"/>
          <w:iCs w:val="1"/>
          <w:color w:val="auto"/>
        </w:rPr>
        <w:t>Energy Systems &amp; Controls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Energy Systems &amp; Controls segment principally produces control systems, testing equipment, valves and sensors. For 2018, this segment had net revenues of $600, representing 11.6% of our total net revenues.</w:t>
      </w:r>
    </w:p>
    <w:p>
      <w:pPr>
        <w:spacing w:after="0" w:line="170"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i w:val="1"/>
          <w:iCs w:val="1"/>
          <w:color w:val="auto"/>
        </w:rPr>
        <w:t xml:space="preserve">Control Systems </w:t>
      </w:r>
      <w:r>
        <w:rPr>
          <w:rFonts w:ascii="Arial" w:cs="Arial" w:eastAsia="Arial" w:hAnsi="Arial"/>
          <w:sz w:val="18"/>
          <w:szCs w:val="18"/>
          <w:color w:val="auto"/>
        </w:rPr>
        <w:t>- We manufacture control systems and provide related engineering and commissioning services for turbomachinery applications,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 energy markets.</w:t>
      </w:r>
    </w:p>
    <w:p>
      <w:pPr>
        <w:spacing w:after="0" w:line="170"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i w:val="1"/>
          <w:iCs w:val="1"/>
          <w:color w:val="auto"/>
        </w:rPr>
        <w:t xml:space="preserve">Fluid Properties Testing Equipment </w:t>
      </w:r>
      <w:r>
        <w:rPr>
          <w:rFonts w:ascii="Arial" w:cs="Arial" w:eastAsia="Arial" w:hAnsi="Arial"/>
          <w:sz w:val="18"/>
          <w:szCs w:val="18"/>
          <w:color w:val="auto"/>
        </w:rPr>
        <w:t>- We manufacture and sell test equipment to determine physical and elemental properties, such as sulfur and nitrogen</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flash point, viscosity, freeze point and distillation range of liquids and gases primarily for the petroleum industry.</w:t>
      </w:r>
    </w:p>
    <w:p>
      <w:pPr>
        <w:spacing w:after="0" w:line="170"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i w:val="1"/>
          <w:iCs w:val="1"/>
          <w:color w:val="auto"/>
        </w:rPr>
        <w:t xml:space="preserve">Sensors, Controls and Valves </w:t>
      </w:r>
      <w:r>
        <w:rPr>
          <w:rFonts w:ascii="Arial" w:cs="Arial" w:eastAsia="Arial" w:hAnsi="Arial"/>
          <w:sz w:val="18"/>
          <w:szCs w:val="18"/>
          <w:color w:val="auto"/>
        </w:rPr>
        <w:t>- We manufacture sensors and control equipment including pressure sensors, temperature sensors, measurement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software for global rubber, plastics and process industries. We also manufacture and distribute valves, sensors, switches and control products used on engines, compressors, turbines and other powered equipment for the oil and gas, pipeline, power generation, marine engine and general industrial markets. Many of these products are designed for use in hazardous environments.</w:t>
      </w:r>
    </w:p>
    <w:p>
      <w:pPr>
        <w:spacing w:after="0" w:line="18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i w:val="1"/>
          <w:iCs w:val="1"/>
          <w:color w:val="auto"/>
        </w:rPr>
        <w:t xml:space="preserve">Non-destructive Inspection and Measurement Instrumentation </w:t>
      </w:r>
      <w:r>
        <w:rPr>
          <w:rFonts w:ascii="Arial" w:cs="Arial" w:eastAsia="Arial" w:hAnsi="Arial"/>
          <w:sz w:val="18"/>
          <w:szCs w:val="18"/>
          <w:color w:val="auto"/>
        </w:rPr>
        <w:t>- We manufacture non-destructive inspection and measurement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probes, robotics, vibration sensors, switches and transmitters. These solutions are applied principally in nuclear energy markets. Many of these products are designed for use in hazardous environments.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Energy Systems &amp; Controls segment companies’ revenues reflect a combination of standard products and large engineered projects. Standard products generally ship within two weeks of receipt of order, and large engineered projects may have lead times of several months. As such, backlog may fluctuate depending upon the timing of large project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most materials and supplies we use are readily available from numerous sources and suppliers throughout the world. However, some components and sub-assemblies are currently available from a limited number of suppliers. Some high-performance components for digital imaging products can be in short supply and/or suppliers have occasional difficulty manufacturing such components to our specifications. We regularly investigate and identify alternative sources where possible, and we believe these conditions equally affect our competitors. Supply shortages have not had a material adverse effect on our revenues although delays in shipments have occurred following such supply interruptions.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backlog includes only firm unfilled orders expected to be recognized as revenue within twelve months. Backlog was $1.69 billion at December 31, 2018, and $1.67 billion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 and sales occur through direct sales offices, manufacturers’ representatives and distributors. In addition, our Medical &amp; Scientific Imaging segment also sells through value added resellers (“VARs”) and OEMs.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customer accounted for 10% or more of net revenues for 2018 for any of our segments or for our company as a whole.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our products and solutions face significant competition, usually from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trade secrets, unpatented know-how, and other intellectual property rights, we own or license the rights under a number of patents, trademarks and copyrights relating to certain of our products and businesses. We also employ various methods, including confidentiality and non-disclosure agreements with individuals and companies we do business with, employees, distributors, representatives and customers to protect our trade secrets and know-how. We believe none of our operating units are substantially dependent on any single patent, trademark, copyright, or other item of intellectual property or group of patents, trademarks or copyrights.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we had 15,611 employees, with 10,294 located in the United States. We have 195 employees who are subject to collective bargaining agreements. We have not experienced any work stoppages and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www.ropertech.com as soon as reasonably practicable after we electronically file such material with, or furnish it to, the SEC. These filings are also accessible on the SEC’s website at www.sec.gov. Our Corporate Governance Guidelines; the charters of our Audit Committee, Compensation Committee, and Nominating and Governance Committee; and our Business Code of Ethics and Standards of Conduct are also available on our website. Any amendment to the Business Code of Ethics and Standards of Conduct and any waiver applicable to our directors, executive officers or senior financial officers will be posted on our website within the time period required by the SEC and the New York Stock Exchange (the “NYSE”). The information posted on our website is not incorporated into this Annual Report.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included the Chief Executive Officer and the Chief Financial Officer certifications regarding our public disclosure required by Section 302 of the Sarbanes-Oxley Act of 2002 as Exhibits 31.1 and 31.2 of this report. Additionally, we filed with the NYSE the Chief Executive Officer certification regarding our compliance with the NYSE’s Corporate Governance Listing Standards (the “Listing Standards”) pursuant to Section 303A.12(a) of the Listing Standards. We filed the certification with the NYSE on June 12, 2018 and our Chief Executive Officer indicated that he was not aware of any violations of the Listing Standards by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affect our business and may restrict our operating flexibility.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$4.9 billion in total consolidated indebtedness. In addition, we had $1.6 billion undrawn availability under our senior unsecured credit facility. Subject to restrictions contained in our credit facility, we may incur additional indebtedness in the future, including indebtedness incurred to finance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level of indebtedness and the debt servicing costs associated with that indebtedness could have important effects on our operations and business strategy.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our indebtedness could:</w:t>
      </w:r>
    </w:p>
    <w:p>
      <w:pPr>
        <w:spacing w:after="0" w:line="2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limit our ability to borrow additional funds;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limit our ability to complete future acquisitions;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limit our ability to pay dividends;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limit our ability to make capital expenditures;</w:t>
      </w:r>
    </w:p>
    <w:p>
      <w:pPr>
        <w:spacing w:after="0" w:line="15" w:lineRule="exact"/>
        <w:rPr>
          <w:rFonts w:ascii="Arial" w:cs="Arial" w:eastAsia="Arial" w:hAnsi="Arial"/>
          <w:sz w:val="22"/>
          <w:szCs w:val="22"/>
          <w:color w:val="auto"/>
        </w:rPr>
      </w:pPr>
    </w:p>
    <w:p>
      <w:pPr>
        <w:ind w:left="660" w:hanging="328"/>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our competitors, some of which have lower debt service obligations and greater financial resources; and</w:t>
      </w: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increase our vulnerability to general adverse economic and industry conditions.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credit facility contains covenants requiring us to achieve certain financial and operating results and maintain compliance with specified financial ratios. Our ability to meet the financial covenants or requirements in our credit facility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changes in foreign exchange rates may harm our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of our operating companies have transactions and balances denominated in currencies other than the U.S. dollar. Most of these transactions and balances are denominated in euros, Canadian dollars, British pounds or Danish kroner. Sales by our operating companies whose functional currency is not the U.S. dollar represented 17% of our total net revenues for both the years ended December 31, 2018 and 2017. Unfavorable changes in exchange rates between the U.S. dollar and those currencies could significantly reduce our reported revenues and earnings.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We export a significant portion of our products. Difficulties associated with the export of our products could harm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to customers outside the U.S. by our businesses located in the U.S. account for a significant portion of our net revenues. These sales accounted for 11% of our net revenues for both the years ended December 31, 2018 and 2017. We are subject to risks that could limit our ability to export our products or otherwise reduce the demand for these products in our foreign markets. Such risks include, without limitation,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unfavorable changes in or noncompliance with U.S. and other jurisdictions’ export requirements;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restrictions on the export of technology and related products;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unfavorable changes in or noncompliance with U.S. and other jurisdictions’ export policies to certain countries;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unfavorable changes in the import policies of our foreign markets; and</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 general economic downturn in our foreign markets.</w:t>
      </w:r>
    </w:p>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occurrence of any of these events could reduce the foreign demand for our products or could limit our ability to export our products and, therefore, could have a material negative effect on our future sales and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associated with our international operations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and for the year ended December 31, 2018, 20% of our net revenues and 17% of our long-lived assets, excluding goodwill and intangibles, were attributable to operations outside the U.S. We expect our international operations to contribute materially to our business for the foreseeable future. Our international operations are subject to varying degrees of risk inherent in doing business outside the U.S.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adverse changes in a specific country’s or region’s political or economic conditions, particularly in emerging markets;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oil price volatility;</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trade protection measures, tariffs, and import or export requirements;</w:t>
      </w:r>
    </w:p>
    <w:p>
      <w:pPr>
        <w:spacing w:after="0" w:line="23"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6"/>
        </w:numPr>
        <w:rPr>
          <w:rFonts w:ascii="Arial" w:cs="Arial" w:eastAsia="Arial" w:hAnsi="Arial"/>
          <w:sz w:val="21"/>
          <w:szCs w:val="21"/>
          <w:color w:val="auto"/>
        </w:rPr>
      </w:pPr>
      <w:r>
        <w:rPr>
          <w:rFonts w:ascii="Arial" w:cs="Arial" w:eastAsia="Arial" w:hAnsi="Arial"/>
          <w:sz w:val="17"/>
          <w:szCs w:val="17"/>
          <w:color w:val="auto"/>
        </w:rPr>
        <w:t>subsidies or increased access to capital for firms that are currently, or may emerge as, competitors in countries in which we have operations;</w:t>
      </w:r>
    </w:p>
    <w:p>
      <w:pPr>
        <w:spacing w:after="0" w:line="24"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partial or total expropriation;</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potentially negative consequences from changes in tax laws;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in staffing and managing widespread operations;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differing labor regulations;</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differing protection of intellectual property;</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differing and unexpected changes in regulatory requirements; and</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negative consequences from the United Kingdom’s exit from the European Union.</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complete acquisitions or integrate acquisitions successfully.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growth is likely to depend to some degree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In addition, prior acquisitions have resulted, and future acquisitions could result, in the incurrence of substantial additional indebtedness and other expenses. Future acquisitions may also result in potentially dilutive issuances of equity securities. Difficulties encountered with acquisitions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technology is important to our success and our failure to protect this technology could put us at a competitive disadvantage.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products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insurance risks and increased insurance costs could harm our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exposes us to product liability risks in the design, manufacture and distribution of our products. In addition, certain of our products are used in hazardous environments. We currently have product liability insurance; however, we may not be able to maintain our insurance at a reasonable cost or in sufficient amounts to adequately protect us against losses. We also maintain other insurance policies, including directors’ and officers’ liability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could have an adverse impact on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of business with our large customers.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some of our businesses, we derive a significant amount of revenue from large customers. The loss or reduction of any significant contracts with any of these customers could reduce our revenues and cash flows. Additionally, many of our customers are government entities. In many situations, government entities can unilaterally terminate or modify our existing contracts without cause and without penalty to the government agency.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If we do not compete effectively, our business may suffer.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face intense competition from numerous competitors.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 We anticipate that we may have to adjust prices to stay competitive.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information and technology for many of our business operations which could fail and cause disruption to our business operations.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operations are dependent upon information technology networks and systems to securely transmit, process and store electronic information and to communicate among our locations around the world and with clients and vendors. A shutdown of, or inability to access, one or more of our facilities, a power outage or a failure of one or more of our information technology, telecommunications or other systems could significantly impair our ability to perform such functions on a timely basis. Computer viruses, cyber-attacks, other external hazards and human error could result in the misappropriation of assets or sensitive information, corruption of data or operational disruption. If sustained or repeated, such a business interruption, system failure, service denial or data loss and damage could result in a deterioration of our ability to perform necessary business functions.</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breach in the security of our software could harm our reputation, result in a loss of current and potential customers, and subject us to material claims, which could materially harm our operating results and financial condition.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our security measures are breached, an unauthorized party may obtain access to our data or our users’ or customers’ data. In addition, cyber-attacks and similar acts could lead to interruptions and delays in customer processing or a loss or breach of customers’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The risk that these types of events could seriously harm our business is likely to increase as we expand the number of web-based products and services we offer, and operate in more countries.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authorities around the world have adopted and are considering further adoption of legislative and regulatory proposals concerning data protection. In addition, the interpretation and application of consumer and data protection laws in the United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States, Europe and elsewhere are often uncertain and in flux. It is possible that these laws may be interpreted and applied in a manner that is inconsistent with our data practices. If so, in addition to the possibility of fines, this could result in an order requiring that we change our data practices, which could have an adverse effect on our business and results of operations.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security breaches for which we are, or are perceived to be, responsible, in whole or in part, could subject us to legal claims or legal proceedings, including regulatory investigations, which could harm our reputation and result in significant litigation costs and damage awards or settlement amounts. Any imposition of liability, particularly liability that is not covered by insurance or is in excess of insurance coverage, could materially harm our operating results and financial condition. Security breaches also could cause us to lose current and potential customers, which could have an adverse effect on our business. Moreover, we might be required to expend significant financial and other resources to protect further against security breaches or to rectify problems caused by any security breach.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supply of, or price for, raw materials, parts and components used in our products could affect our business.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availability and prices of raw materials, parts and components are subject to curtailment or change due to, among other things, suppliers’ allocations to other purchasers, interruptions in production by suppliers, changes in exchange rates and prevailing price levels. Some high-performance components for digital imaging products may be in short supply and/or suppliers may have occasional difficulty manufacturing these components to meet our specifications. In addition, some of our products are provided by sole source suppliers. Any change in the supply of, or price for, these parts and components, as well as any increases in commodity prices, particularly copper, could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could increase our expenses and adversely affect our financial condition.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properties are subject to laws and regulations relating to environmental protection, including air emissions, water discharges, waste management and workplace safety. These laws and regulations can result in the imposition of substantial fines and sanctions for violations and could, in certain instances, require the installation of pollution control equipment or operational changes to limit pollution emissions and/or decrease the likelihood of accidental hazardous substance releases. We must conform our operations and properties to these laws and adapt to regulatory requirements in the countries in which we operate as these requirements change.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and generate hazardous substances and wastes in some of our operations and, as a result, could be subject to potentially material liabilities relating to the investigation and clean-up of contaminated properties and to claims alleging personal injury. We have experienced, and expect to continue to experience, costs relating to compliance with environmental laws and regulations. In connection with our acquisitions, we may assume significant environmental liabilities, some of which we may not be aware of at the time of acquisition. In addition, new laws and regulations,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the industries in which we operate are cyclical, and, accordingly, our business is subject to changes in the economy.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business areas in which we operate are subject to specific industry and general economic cycles. Certain businesses are subject to industry cycles, including but not limited to, the industrial and energy markets. Accordingly, a downturn in these or other markets in which we participate could materially adversely affect us. If demand changes and we fail to respond accordingly, our results of operations could be materially adversely affected. The business cycles of our different operations may occur contemporaneously. Consequently, the effect of an economic downturn may have a magnified negative effect on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goodwill and intangible assets are a significant amount of our total assets, and any write-off of our intangible assets would negatively affect our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assets reflect substantial intangible assets, primarily goodwill. At December 31, 2018, goodwill totaled $9.3 billion compared to $7.7 billion of stockholders’ equity, and represented 61% of our total assets of $15.2 billion. The goodwill results from our acquisitions, representing the excess purchase price over the fair value of the net identifiable assets acquired. We assess at least annually whether there has been an impairment in the value of our goodwill and indefinite economic life intangible assets. If future operating performance at one or more of our business units were to fall significantly below current levels, if competing or alternative technologies emerge, if interest rates rise or if business valuations decline, we could incur a non-cash charge to operating income. Any determination requiring the write-off of a significant portion of goodwill or unamortized intangible assets would negatively affect our results of operations, the effect of which could be material.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We depend on our ability to develop new products, and any failure to develop or market new products could adversely affect our business.</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future success of our business will depend, in part, on our ability to design and manufacture new competitive products and to enhance existing products so that we maintain our margin profile. This product development may require substantial internal investment. There can be no assurance that unforeseen problems will not occur with respect to the development, performance or market acceptance of new technologies or products or that we will otherwise be able to successfully develop and market new products. Failure of our products to gain market acceptance or our failure to successfully develop and market new products could reduce our margins, which would have an adverse effect on our business, financial condition and results of operations.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business disruptions due to political instability, armed hostilities, incidents of terrorism or natural disasters could adversely impact our financial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terrorist activity, armed conflict, political instability or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significant changes to our executive leadership team and any future loss of members of such team, and the resulting management transitions, could harm our operating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recently experienced significant changes to our executive leadership team. Leadership transitions and changes can be inherently difficult to manage and may cause uncertainty or disruption to our business or may increase the likelihood of turnover in key leadership positions. If we cannot effectively manage leadership transitions and changes, it could make it more difficult to successfully operate our business.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offices, consisting of 29,000 square feet of leased space, are located at 6901 Professional Parkway East, Sarasota, Florida. We have 154 principal locations around the world to support our operations, of which 46 are manufacturing, assembly and testing facilities, and the remaining 108 locations provide sales, programming, service and administrative support functions. We consider our facilities to be in good operating condition and adequate for their present use and believe we have sufficient capacity to meet our anticipated operating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size, location and usage of our principal properties as of December 31, 2018 (amounts in thousands of square feet).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20" w:type="dxa"/>
            <w:vAlign w:val="bottom"/>
          </w:tcPr>
          <w:p>
            <w:pPr>
              <w:jc w:val="center"/>
              <w:ind w:right="11"/>
              <w:spacing w:after="0"/>
              <w:rPr>
                <w:sz w:val="20"/>
                <w:szCs w:val="20"/>
                <w:color w:val="auto"/>
              </w:rPr>
            </w:pPr>
            <w:r>
              <w:rPr>
                <w:rFonts w:ascii="Arial" w:cs="Arial" w:eastAsia="Arial" w:hAnsi="Arial"/>
                <w:sz w:val="16"/>
                <w:szCs w:val="16"/>
                <w:b w:val="1"/>
                <w:bCs w:val="1"/>
                <w:color w:val="auto"/>
                <w:w w:val="96"/>
              </w:rPr>
              <w:t>Office</w:t>
            </w:r>
          </w:p>
        </w:tc>
        <w:tc>
          <w:tcPr>
            <w:tcW w:w="3400" w:type="dxa"/>
            <w:vAlign w:val="bottom"/>
            <w:gridSpan w:val="2"/>
          </w:tcPr>
          <w:p>
            <w:pPr>
              <w:ind w:left="860"/>
              <w:spacing w:after="0"/>
              <w:rPr>
                <w:sz w:val="20"/>
                <w:szCs w:val="20"/>
                <w:color w:val="auto"/>
              </w:rPr>
            </w:pPr>
            <w:r>
              <w:rPr>
                <w:rFonts w:ascii="Arial" w:cs="Arial" w:eastAsia="Arial" w:hAnsi="Arial"/>
                <w:sz w:val="16"/>
                <w:szCs w:val="16"/>
                <w:b w:val="1"/>
                <w:bCs w:val="1"/>
                <w:color w:val="auto"/>
              </w:rPr>
              <w:t>Office &amp; Manufacturing</w:t>
            </w:r>
          </w:p>
        </w:tc>
      </w:tr>
      <w:tr>
        <w:trPr>
          <w:trHeight w:val="54"/>
        </w:trPr>
        <w:tc>
          <w:tcPr>
            <w:tcW w:w="360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2800" w:type="dxa"/>
            <w:vAlign w:val="bottom"/>
          </w:tcPr>
          <w:p>
            <w:pPr>
              <w:jc w:val="center"/>
              <w:ind w:left="790"/>
              <w:spacing w:after="0"/>
              <w:rPr>
                <w:sz w:val="20"/>
                <w:szCs w:val="20"/>
                <w:color w:val="auto"/>
              </w:rPr>
            </w:pPr>
            <w:r>
              <w:rPr>
                <w:rFonts w:ascii="Arial" w:cs="Arial" w:eastAsia="Arial" w:hAnsi="Arial"/>
                <w:sz w:val="16"/>
                <w:szCs w:val="16"/>
                <w:b w:val="1"/>
                <w:bCs w:val="1"/>
                <w:color w:val="auto"/>
                <w:w w:val="88"/>
              </w:rPr>
              <w:t>Region</w:t>
            </w:r>
          </w:p>
        </w:tc>
        <w:tc>
          <w:tcPr>
            <w:tcW w:w="1620" w:type="dxa"/>
            <w:vAlign w:val="bottom"/>
          </w:tcPr>
          <w:p>
            <w:pPr>
              <w:jc w:val="center"/>
              <w:ind w:right="11"/>
              <w:spacing w:after="0"/>
              <w:rPr>
                <w:sz w:val="20"/>
                <w:szCs w:val="20"/>
                <w:color w:val="auto"/>
              </w:rPr>
            </w:pPr>
            <w:r>
              <w:rPr>
                <w:rFonts w:ascii="Arial" w:cs="Arial" w:eastAsia="Arial" w:hAnsi="Arial"/>
                <w:sz w:val="16"/>
                <w:szCs w:val="16"/>
                <w:b w:val="1"/>
                <w:bCs w:val="1"/>
                <w:color w:val="auto"/>
                <w:w w:val="86"/>
              </w:rPr>
              <w:t>Leased</w:t>
            </w:r>
          </w:p>
        </w:tc>
        <w:tc>
          <w:tcPr>
            <w:tcW w:w="1700" w:type="dxa"/>
            <w:vAlign w:val="bottom"/>
          </w:tcPr>
          <w:p>
            <w:pPr>
              <w:ind w:left="600"/>
              <w:spacing w:after="0"/>
              <w:rPr>
                <w:sz w:val="20"/>
                <w:szCs w:val="20"/>
                <w:color w:val="auto"/>
              </w:rPr>
            </w:pPr>
            <w:r>
              <w:rPr>
                <w:rFonts w:ascii="Arial" w:cs="Arial" w:eastAsia="Arial" w:hAnsi="Arial"/>
                <w:sz w:val="16"/>
                <w:szCs w:val="16"/>
                <w:b w:val="1"/>
                <w:bCs w:val="1"/>
                <w:color w:val="auto"/>
              </w:rPr>
              <w:t>Leased</w:t>
            </w:r>
          </w:p>
        </w:tc>
        <w:tc>
          <w:tcPr>
            <w:tcW w:w="1700" w:type="dxa"/>
            <w:vAlign w:val="bottom"/>
          </w:tcPr>
          <w:p>
            <w:pPr>
              <w:ind w:left="600"/>
              <w:spacing w:after="0"/>
              <w:rPr>
                <w:sz w:val="20"/>
                <w:szCs w:val="20"/>
                <w:color w:val="auto"/>
              </w:rPr>
            </w:pPr>
            <w:r>
              <w:rPr>
                <w:rFonts w:ascii="Arial" w:cs="Arial" w:eastAsia="Arial" w:hAnsi="Arial"/>
                <w:sz w:val="16"/>
                <w:szCs w:val="16"/>
                <w:b w:val="1"/>
                <w:bCs w:val="1"/>
                <w:color w:val="auto"/>
              </w:rPr>
              <w:t>Owned</w:t>
            </w:r>
          </w:p>
        </w:tc>
      </w:tr>
      <w:tr>
        <w:trPr>
          <w:trHeight w:val="40"/>
        </w:trPr>
        <w:tc>
          <w:tcPr>
            <w:tcW w:w="36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97"/>
        </w:trPr>
        <w:tc>
          <w:tcPr>
            <w:tcW w:w="360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RF Technology</w:t>
            </w:r>
          </w:p>
        </w:tc>
        <w:tc>
          <w:tcPr>
            <w:tcW w:w="2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1"/>
              </w:rPr>
              <w:t>U.S.</w:t>
            </w:r>
          </w:p>
        </w:tc>
        <w:tc>
          <w:tcPr>
            <w:tcW w:w="1620" w:type="dxa"/>
            <w:vAlign w:val="bottom"/>
            <w:tcBorders>
              <w:bottom w:val="single" w:sz="8" w:color="CCEEFF"/>
            </w:tcBorders>
            <w:shd w:val="clear" w:color="auto" w:fill="CCEEFF"/>
          </w:tcPr>
          <w:p>
            <w:pPr>
              <w:jc w:val="center"/>
              <w:ind w:right="11"/>
              <w:spacing w:after="0"/>
              <w:rPr>
                <w:sz w:val="20"/>
                <w:szCs w:val="20"/>
                <w:color w:val="auto"/>
              </w:rPr>
            </w:pPr>
            <w:r>
              <w:rPr>
                <w:rFonts w:ascii="Arial" w:cs="Arial" w:eastAsia="Arial" w:hAnsi="Arial"/>
                <w:sz w:val="18"/>
                <w:szCs w:val="18"/>
                <w:color w:val="auto"/>
                <w:w w:val="88"/>
              </w:rPr>
              <w:t>1,611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810"/>
              <w:spacing w:after="0"/>
              <w:rPr>
                <w:sz w:val="20"/>
                <w:szCs w:val="20"/>
                <w:color w:val="auto"/>
              </w:rPr>
            </w:pPr>
            <w:r>
              <w:rPr>
                <w:rFonts w:ascii="Arial" w:cs="Arial" w:eastAsia="Arial" w:hAnsi="Arial"/>
                <w:sz w:val="18"/>
                <w:szCs w:val="18"/>
                <w:color w:val="auto"/>
                <w:w w:val="85"/>
              </w:rPr>
              <w:t>Canada</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89"/>
              </w:rPr>
              <w:t>51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Europe</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87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3"/>
              </w:rPr>
              <w:t>Asia-Pacific</w:t>
            </w: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93"/>
              </w:rPr>
              <w:t>129</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&amp; Scientific Imaging</w:t>
            </w:r>
          </w:p>
        </w:tc>
        <w:tc>
          <w:tcPr>
            <w:tcW w:w="28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1"/>
              </w:rPr>
              <w:t>U.S.</w:t>
            </w: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93"/>
              </w:rPr>
              <w:t>359</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268</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120</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85"/>
              </w:rPr>
              <w:t>Canada</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116</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9"/>
              </w:rPr>
              <w:t>Europe</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89"/>
              </w:rPr>
              <w:t>79</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Asia-Pacific</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34</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8"/>
              </w:rPr>
              <w:t>Mexico</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Technology</w:t>
            </w:r>
          </w:p>
        </w:tc>
        <w:tc>
          <w:tcPr>
            <w:tcW w:w="28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1"/>
              </w:rPr>
              <w:t>U.S.</w:t>
            </w: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93"/>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260</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478</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85"/>
              </w:rPr>
              <w:t>Canada</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50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9"/>
              </w:rPr>
              <w:t>Europe</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89"/>
              </w:rPr>
              <w:t>34</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144</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Asia-Pacific</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30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8"/>
              </w:rPr>
              <w:t>Mexico</w:t>
            </w:r>
          </w:p>
        </w:tc>
        <w:tc>
          <w:tcPr>
            <w:tcW w:w="1620" w:type="dxa"/>
            <w:vAlign w:val="bottom"/>
          </w:tcPr>
          <w:p>
            <w:pPr>
              <w:jc w:val="center"/>
              <w:ind w:right="11"/>
              <w:spacing w:after="0"/>
              <w:rPr>
                <w:sz w:val="20"/>
                <w:szCs w:val="20"/>
                <w:color w:val="auto"/>
              </w:rPr>
            </w:pPr>
            <w:r>
              <w:rPr>
                <w:rFonts w:ascii="Arial" w:cs="Arial" w:eastAsia="Arial" w:hAnsi="Arial"/>
                <w:sz w:val="18"/>
                <w:szCs w:val="18"/>
                <w:color w:val="auto"/>
                <w:w w:val="79"/>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Systems &amp; Controls</w:t>
            </w:r>
          </w:p>
        </w:tc>
        <w:tc>
          <w:tcPr>
            <w:tcW w:w="28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1"/>
              </w:rPr>
              <w:t>U.S.</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286</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85"/>
              </w:rPr>
              <w:t>Canada</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600" w:type="dxa"/>
            <w:vAlign w:val="bottom"/>
          </w:tcPr>
          <w:p>
            <w:pPr>
              <w:spacing w:after="0"/>
              <w:rPr>
                <w:sz w:val="21"/>
                <w:szCs w:val="21"/>
                <w:color w:val="auto"/>
              </w:rPr>
            </w:pP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9"/>
              </w:rPr>
              <w:t>Europe</w:t>
            </w:r>
          </w:p>
        </w:tc>
        <w:tc>
          <w:tcPr>
            <w:tcW w:w="1620" w:type="dxa"/>
            <w:vAlign w:val="bottom"/>
          </w:tcPr>
          <w:p>
            <w:pPr>
              <w:jc w:val="center"/>
              <w:ind w:right="31"/>
              <w:spacing w:after="0"/>
              <w:rPr>
                <w:sz w:val="20"/>
                <w:szCs w:val="20"/>
                <w:color w:val="auto"/>
              </w:rPr>
            </w:pPr>
            <w:r>
              <w:rPr>
                <w:rFonts w:ascii="Arial" w:cs="Arial" w:eastAsia="Arial" w:hAnsi="Arial"/>
                <w:sz w:val="18"/>
                <w:szCs w:val="18"/>
                <w:color w:val="auto"/>
                <w:w w:val="89"/>
              </w:rPr>
              <w:t>40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128</w:t>
            </w:r>
          </w:p>
        </w:tc>
      </w:tr>
      <w:tr>
        <w:trPr>
          <w:trHeight w:val="27"/>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Asia-Pacific</w:t>
            </w:r>
          </w:p>
        </w:tc>
        <w:tc>
          <w:tcPr>
            <w:tcW w:w="16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9"/>
              </w:rPr>
              <w:t>25</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675"/>
        </w:trPr>
        <w:tc>
          <w:tcPr>
            <w:tcW w:w="3600" w:type="dxa"/>
            <w:vAlign w:val="bottom"/>
          </w:tcPr>
          <w:p>
            <w:pPr>
              <w:spacing w:after="0"/>
              <w:rPr>
                <w:sz w:val="24"/>
                <w:szCs w:val="24"/>
                <w:color w:val="auto"/>
              </w:rPr>
            </w:pPr>
          </w:p>
        </w:tc>
        <w:tc>
          <w:tcPr>
            <w:tcW w:w="2800" w:type="dxa"/>
            <w:vAlign w:val="bottom"/>
          </w:tcPr>
          <w:p>
            <w:pPr>
              <w:jc w:val="right"/>
              <w:ind w:right="510"/>
              <w:spacing w:after="0"/>
              <w:rPr>
                <w:sz w:val="20"/>
                <w:szCs w:val="20"/>
                <w:color w:val="auto"/>
              </w:rPr>
            </w:pPr>
            <w:r>
              <w:rPr>
                <w:rFonts w:ascii="Arial" w:cs="Arial" w:eastAsia="Arial" w:hAnsi="Arial"/>
                <w:sz w:val="18"/>
                <w:szCs w:val="18"/>
                <w:color w:val="auto"/>
              </w:rPr>
              <w:t>13</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pertaining to legal proceedings can be found in Note 12 to the Consolidated Financial Statements included in this Annual Report, and is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6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trades on the NYSE under the symbol “ROP”. Based on information available to us and our transfer agent, we believe that as of February 15, 2019 there were 145 record holders of our common stock.</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Dividends – </w:t>
      </w:r>
      <w:r>
        <w:rPr>
          <w:rFonts w:ascii="Arial" w:cs="Arial" w:eastAsia="Arial" w:hAnsi="Arial"/>
          <w:sz w:val="18"/>
          <w:szCs w:val="18"/>
          <w:color w:val="auto"/>
        </w:rPr>
        <w:t>We have declared a cash dividend in each quarter since our February 1992 initial public offering and we have annually increased our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rate since our initial public offering. In November 2018, our Board of Directors increased the quarterly dividend paid January 23, 2019 to $0.4625 per share from $0.4125 per share, an increase of 12%. This is the twenty-sixth consecutive year in which Roper has increased its dividend. The timing, declaration and payment of future dividends will be at the sole discretion of our Board of Directors and will depend upon our profitability, financial condition, capital needs, future prospects and other factors deemed relevant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 Sales of Unregistered Securities - </w:t>
      </w:r>
      <w:r>
        <w:rPr>
          <w:rFonts w:ascii="Arial" w:cs="Arial" w:eastAsia="Arial" w:hAnsi="Arial"/>
          <w:sz w:val="18"/>
          <w:szCs w:val="18"/>
          <w:color w:val="auto"/>
        </w:rPr>
        <w:t>In 2018, there were no sales of unregistered securities.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 </w:t>
      </w:r>
      <w:r>
        <w:rPr>
          <w:rFonts w:ascii="Arial" w:cs="Arial" w:eastAsia="Arial" w:hAnsi="Arial"/>
          <w:sz w:val="18"/>
          <w:szCs w:val="18"/>
          <w:color w:val="auto"/>
        </w:rPr>
        <w:t>This performance graph shall not be deemed “filed” for purposes of Section 18 of the Securities Exchange Act of 1934,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or otherwise subject to the liabilities under that Section and shall not be deemed to be incorporated by reference into any of our filings under the Securities Act of 1933, as amended, or under the Exchange Act.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graph compares, for the five year period ended December 31, 2018, the cumulative total stockholder return for our common stock, the Standard and Poor’s 500 Stock Index (the “S&amp;P 500”) and the Standard and Poor’s 500 Industrials Index (the “S&amp;P 500 Industrials”). Measurement points are the last trading day of each of our fiscal years ended December 31, 2013, 2014, 2015, 2016, 2017 and 2018. The graph assumes that $100 was invested on December 31, 2013 in our common stock, the S&amp;P 500 and the S&amp;P 500 Industrials and assumes reinvestment of any dividends. The stock price performance on the following graph is not necessarily indicative of future stock price performance.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12/31/2013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12/31/2015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12/31/2017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12/31/2018</w:t>
            </w:r>
          </w:p>
        </w:tc>
      </w:tr>
      <w:tr>
        <w:trPr>
          <w:trHeight w:val="34"/>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Roper Technologies,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150.33</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500 Industrials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133.53</w:t>
            </w:r>
          </w:p>
        </w:tc>
      </w:tr>
      <w:tr>
        <w:trPr>
          <w:trHeight w:val="27"/>
        </w:trPr>
        <w:tc>
          <w:tcPr>
            <w:tcW w:w="2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0</wp:posOffset>
            </wp:positionV>
            <wp:extent cx="4802505" cy="3773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250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12 under the heading “Securities Authorized for Issuance under Equity Compensation Plans”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should read the table below in conjunction with “Management’s Discussion and Analysis of Financial Condition and Results of Operations” and our Consolidated Financial Statements and related notes included in this Annual Report (amounts in millions,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gridSpan w:val="8"/>
          </w:tcPr>
          <w:p>
            <w:pPr>
              <w:ind w:left="120"/>
              <w:spacing w:after="0"/>
              <w:rPr>
                <w:sz w:val="20"/>
                <w:szCs w:val="20"/>
                <w:color w:val="auto"/>
              </w:rPr>
            </w:pPr>
            <w:r>
              <w:rPr>
                <w:rFonts w:ascii="Arial" w:cs="Arial" w:eastAsia="Arial" w:hAnsi="Arial"/>
                <w:sz w:val="16"/>
                <w:szCs w:val="16"/>
                <w:b w:val="1"/>
                <w:bCs w:val="1"/>
                <w:color w:val="auto"/>
              </w:rPr>
              <w:t>As of and for the Years ended December 31,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0"/>
        </w:trPr>
        <w:tc>
          <w:tcPr>
            <w:tcW w:w="4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 xml:space="preserve">2016 </w:t>
            </w:r>
            <w:r>
              <w:rPr>
                <w:rFonts w:ascii="Arial" w:cs="Arial" w:eastAsia="Arial" w:hAnsi="Arial"/>
                <w:sz w:val="21"/>
                <w:szCs w:val="21"/>
                <w:b w:val="1"/>
                <w:bCs w:val="1"/>
                <w:color w:val="auto"/>
                <w:vertAlign w:val="superscript"/>
              </w:rPr>
              <w:t>(3)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 xml:space="preserve">2015 </w:t>
            </w:r>
            <w:r>
              <w:rPr>
                <w:rFonts w:ascii="Arial" w:cs="Arial" w:eastAsia="Arial" w:hAnsi="Arial"/>
                <w:sz w:val="21"/>
                <w:szCs w:val="21"/>
                <w:b w:val="1"/>
                <w:bCs w:val="1"/>
                <w:color w:val="auto"/>
                <w:vertAlign w:val="superscript"/>
              </w:rPr>
              <w:t>(4)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 xml:space="preserve">2014 </w:t>
            </w:r>
            <w:r>
              <w:rPr>
                <w:rFonts w:ascii="Arial" w:cs="Arial" w:eastAsia="Arial" w:hAnsi="Arial"/>
                <w:sz w:val="21"/>
                <w:szCs w:val="21"/>
                <w:b w:val="1"/>
                <w:bCs w:val="1"/>
                <w:color w:val="auto"/>
                <w:vertAlign w:val="superscript"/>
              </w:rPr>
              <w:t>(5)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Operations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3,279.5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2,101.9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999.5</w:t>
            </w: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earnings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646.0</w:t>
            </w: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0.8500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w:t>
            </w:r>
          </w:p>
        </w:tc>
      </w:tr>
      <w:tr>
        <w:trPr>
          <w:trHeight w:val="270"/>
        </w:trPr>
        <w:tc>
          <w:tcPr>
            <w:tcW w:w="47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(7)</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284.9</w:t>
            </w:r>
          </w:p>
        </w:tc>
      </w:tr>
      <w:tr>
        <w:trPr>
          <w:trHeight w:val="270"/>
        </w:trPr>
        <w:tc>
          <w:tcPr>
            <w:tcW w:w="47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(9)</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15,249.5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14,316.4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14,324.9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10,168.4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8,400.2</w:t>
            </w:r>
          </w:p>
        </w:tc>
      </w:tr>
      <w:tr>
        <w:trPr>
          <w:trHeight w:val="270"/>
        </w:trPr>
        <w:tc>
          <w:tcPr>
            <w:tcW w:w="47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Current portion of long-term debt </w:t>
            </w:r>
            <w:r>
              <w:rPr>
                <w:rFonts w:ascii="Arial" w:cs="Arial" w:eastAsia="Arial" w:hAnsi="Arial"/>
                <w:sz w:val="25"/>
                <w:szCs w:val="25"/>
                <w:color w:val="auto"/>
                <w:vertAlign w:val="superscript"/>
              </w:rPr>
              <w:t>(8)</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0"/>
        </w:trPr>
        <w:tc>
          <w:tcPr>
            <w:tcW w:w="47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debt, net of current portion </w:t>
            </w:r>
            <w:r>
              <w:rPr>
                <w:rFonts w:ascii="Arial" w:cs="Arial" w:eastAsia="Arial" w:hAnsi="Arial"/>
                <w:sz w:val="25"/>
                <w:szCs w:val="25"/>
                <w:color w:val="auto"/>
                <w:vertAlign w:val="superscript"/>
              </w:rPr>
              <w:t>(9)</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4,940.2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5,808.6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3,264.4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2,190.3</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7,738.5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5,298.9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4,755.4</w:t>
            </w:r>
          </w:p>
        </w:tc>
      </w:tr>
    </w:tbl>
    <w:p>
      <w:pPr>
        <w:spacing w:after="0" w:line="233" w:lineRule="exact"/>
        <w:rPr>
          <w:sz w:val="20"/>
          <w:szCs w:val="20"/>
          <w:color w:val="auto"/>
        </w:rPr>
      </w:pPr>
    </w:p>
    <w:p>
      <w:pPr>
        <w:ind w:left="500" w:hanging="316"/>
        <w:spacing w:after="0" w:line="215"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results from the acquisitions of Quote Software from January 2, 2018, PlanSwift Software from March 28, 2018, Smartbid from May 8, 2018, PowerPlan, Inc. from June 4, 2018, ConceptShare from June 7, 2018, BillBlast from July 10, 2018 and Avitru from December 31, 2018.</w:t>
      </w:r>
    </w:p>
    <w:p>
      <w:pPr>
        <w:ind w:left="500" w:hanging="316"/>
        <w:spacing w:after="0" w:line="207"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results from the acquisitions of Phase Technology from June 21, 2017, Handshake Software, Inc. from August 4, 2017, Workbook Software A/S from September 15, 2017 and Onvia, Inc. from November 17, 2017.</w:t>
      </w:r>
    </w:p>
    <w:p>
      <w:pPr>
        <w:spacing w:after="0" w:line="1" w:lineRule="exact"/>
        <w:rPr>
          <w:rFonts w:ascii="Arial" w:cs="Arial" w:eastAsia="Arial" w:hAnsi="Arial"/>
          <w:sz w:val="22"/>
          <w:szCs w:val="22"/>
          <w:color w:val="auto"/>
          <w:vertAlign w:val="superscript"/>
        </w:rPr>
      </w:pPr>
    </w:p>
    <w:p>
      <w:pPr>
        <w:ind w:left="500" w:right="20" w:hanging="316"/>
        <w:spacing w:after="0" w:line="219" w:lineRule="auto"/>
        <w:tabs>
          <w:tab w:leader="none" w:pos="50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Includes results from the acquisitions of CliniSys Group Ltd. from January 7, 2016, PCI Medical Inc. from March 17, 2016, GeneInsight Inc. from April 1, 2016, iSqFt Holdings Inc. (d/b/a ConstructConnect) from October 31, 2016, UNIConnect LC from November 10, 2016 and Deltek, Inc. from December 28, 2016.</w:t>
      </w:r>
    </w:p>
    <w:p>
      <w:pPr>
        <w:jc w:val="both"/>
        <w:ind w:left="500" w:hanging="316"/>
        <w:spacing w:after="0" w:line="225"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results from the acquisitions of Strata Decision Technologies LLC from January 21, 2015, SoftWriters Inc. from February 9, 2015, Data Innovations LLC from March 4, 2015, On Center Software LLC from July 20, 2015, RF IDeas Inc. from September 1, 2015, Atlantic Health Partners LLC from September 4, 2015, Aderant Holdings Inc. from October 21, 2015, Atlas Database Software Corp. from October 26, 2015, Black Diamond Advanced Technologies through March 20, 2015 and Abel Pumps through October 2, 2015.</w:t>
      </w:r>
    </w:p>
    <w:p>
      <w:pPr>
        <w:spacing w:after="0" w:line="1" w:lineRule="exact"/>
        <w:rPr>
          <w:rFonts w:ascii="Arial" w:cs="Arial" w:eastAsia="Arial" w:hAnsi="Arial"/>
          <w:sz w:val="22"/>
          <w:szCs w:val="22"/>
          <w:color w:val="auto"/>
          <w:vertAlign w:val="superscript"/>
        </w:rPr>
      </w:pPr>
    </w:p>
    <w:p>
      <w:pPr>
        <w:ind w:left="500" w:hanging="316"/>
        <w:spacing w:after="0" w:line="207"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results from the acquisitions of Foodlink Holdings Inc. from July 2, 2014, Innovative Product Achievements LLC from August 5, 2014, Strategic Healthcare Programs Holdings LLC from August 14, 2014.</w:t>
      </w:r>
    </w:p>
    <w:p>
      <w:pPr>
        <w:spacing w:after="0" w:line="1" w:lineRule="exact"/>
        <w:rPr>
          <w:rFonts w:ascii="Arial" w:cs="Arial" w:eastAsia="Arial" w:hAnsi="Arial"/>
          <w:sz w:val="22"/>
          <w:szCs w:val="22"/>
          <w:color w:val="auto"/>
          <w:vertAlign w:val="superscript"/>
        </w:rPr>
      </w:pPr>
    </w:p>
    <w:p>
      <w:pPr>
        <w:ind w:left="500" w:hanging="316"/>
        <w:spacing w:after="0" w:line="207"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Tax Cuts and Jobs Act of 2017 (“the Tax Act”) was signed into U.S. law on December 22, 2017, which was prior to the end of the Company’s 2017 reporting period and resulted in a one-time net income tax benefit of $215.4.</w:t>
      </w:r>
    </w:p>
    <w:p>
      <w:pPr>
        <w:spacing w:after="0" w:line="1" w:lineRule="exact"/>
        <w:rPr>
          <w:rFonts w:ascii="Arial" w:cs="Arial" w:eastAsia="Arial" w:hAnsi="Arial"/>
          <w:sz w:val="22"/>
          <w:szCs w:val="22"/>
          <w:color w:val="auto"/>
          <w:vertAlign w:val="superscript"/>
        </w:rPr>
      </w:pPr>
    </w:p>
    <w:p>
      <w:pPr>
        <w:ind w:left="500" w:hanging="316"/>
        <w:spacing w:after="0" w:line="187" w:lineRule="auto"/>
        <w:tabs>
          <w:tab w:leader="none" w:pos="50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Net working capital equals current assets, excluding cash, less total current liabilities, excluding debt.</w:t>
      </w:r>
    </w:p>
    <w:p>
      <w:pPr>
        <w:ind w:left="500" w:hanging="316"/>
        <w:spacing w:after="0" w:line="207"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At December 31, 2017, there were $799 of senior notes, net of debt issuance costs, due October 1, 2018, and at December 31, 2016, there were $399 of senior notes, net of debt issuance costs, due November 15, 2017, thus requiring classification as short-term debt, included in working capital.</w:t>
      </w:r>
    </w:p>
    <w:p>
      <w:pPr>
        <w:spacing w:after="0" w:line="1" w:lineRule="exact"/>
        <w:rPr>
          <w:rFonts w:ascii="Arial" w:cs="Arial" w:eastAsia="Arial" w:hAnsi="Arial"/>
          <w:sz w:val="22"/>
          <w:szCs w:val="22"/>
          <w:color w:val="auto"/>
          <w:vertAlign w:val="superscript"/>
        </w:rPr>
      </w:pPr>
    </w:p>
    <w:p>
      <w:pPr>
        <w:ind w:left="500" w:hanging="316"/>
        <w:spacing w:after="0" w:line="209"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Total assets and Long-term debt, net of current portion as of December 31, 2014 have been adjusted by $12.7 due to the retrospective adoption of an accounting standard update which requires that our senior notes be shown net of debt issuance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currency amounts are in millions unless specified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should read the following discussion in conjunction with “Selected Financial Data” and our Consolidated Financial Statements and related notes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diversified technology company. We operate businesses that design and develop software (both license and software-as-a-service) and engineered products and solutions for a variety of niche end markets.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pursue consistent and sustainable growth in earnings and cash flow by emphasizing continuous improvement in the operating performance of our existing businesses and by acquiring other carefully selected businesses. Our acquisitions have represented both new strategic platforms and additions to existing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Consolidated Financial Statements are prepared in conformity with generally accepted accounting principles in the United States (“GAAP”). A discussion of our significant accounting policies can also be found in the notes to our Consolidated Financial Statements for the year ended December 31, 2018 included in this Annual Report.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GAAP offers acceptable alternative methods for accounting for certain issues affecting our financial results, such as determining inventory cost, depreciating long-lived assets and recognizing revenue. We have not changed the application of acceptable accounting methods or the significant estimates affecting the application of these principles in the last three years in a manner that had a material effect on our consolidated financial statements.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 up adjustment.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most significant accounting uncertainties are encountered in the areas of accounts receivable collectibility, inventory valuation, future warranty obligations, revenue recognition, income taxes and goodwill and indefinite-lived impairment analyses. These issues affect each of our business segments and are evaluated using a combination of historical experience, current conditions and relatively short-term forecasting.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collectibility is based on the economic circumstances of customers and credits given to customers after shipment of products, including in certain cases credits for returned products. Accounts receivable are regularly reviewed to determine customers who have not paid within agreed upon terms, whether these amounts are consistent with past experiences, what historical experience has been with amounts deemed uncollectible and the impact that economic conditions might have on collection efforts in general and with specific customers. The returns and other sales credit allowance is an estimate of customer returns, exchanges, discounts or other forms of anticipated concessions and is treated as a reduction in revenue. The returns and other sales credits histories are analyzed to determine likely future rates for such credits. At December 31, 2018, our allowance for doubtful accounts receivable was $17.3 and our allowance for sales returns and sales credits was $5.8, for a total of $23.1, or 3.2% of total gross accounts receivable, as compared to a total of $12.7, or 1.9% of total gross accounts receivable, at December 31, 2017. This percentage is influenced by the risk profile of the underlying receivables, and the timing of write-offs of accounts deemed uncollectible.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compare inventory quantities on hand against anticipated future usage, which we determine as a function of historical usage or forecasts related to specific items in order to evaluate obsolescence and excessive quantities. When we use historical usage, this information is also qualitatively compared to business trends to evaluate the reasonableness of using historical information as an estimate of future usage. At December 31, 2018, inventory reserves for excess and obsolete inventory were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$30.3, or 13.7% of gross inventory cost, as compared to $38.1, or 15.7% of gross inventory cost, at December 31, 2017. The inventory reserve as a percent of gross inventory cost will continue to fluctuate based upon specific identification of reserves needed based upon changes in our business as well as the physical disposal of obsolete inventory.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product-based revenues are covered by warranty provisions that generally provide for the repair or replacement of qualifying defective items for a specified period after the time of sale, typically 12 to 24 months. Future warranty obligations are evaluated using, among other factors, historical cost experience, product evolution and customer feedback. Our expense for warranty obligations was less than 1% of net revenues for each of the years ended December 31, 2018, 2017 and 2016.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our project-based businesses, including toll and traffic systems, control systems and installations of large software application projects, are generally recognized over time using the input method, primarily utilizing the ratio of costs incurred to total estimated costs, as the measure of performance. The Company recognized revenues of $245.9, $249.3 and $241.3 for the years ended December 31, 2018, 2017 and 2016, respectively, using this method. At December 31, 2018, $241.6 of revenue related to unfinished percentage-of-completion contracts had yet to be recognized.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During 2018, our effective income tax rate was 21.2%, as compared to the 2017 rate of 6.1%. The increase was due primarily to the recognition of a $215.4 net income tax benefit related to the Tax Act in 2017, partially offset by the reduction in the U.S. federal corporate income tax rate from 35% to 21%. We expect the effective tax rate for 2019 to be between 21% and 23%.</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account for goodwill in a purchase business combination as the excess purchase price over the fair value of the net identifiable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values. We also consider the specific future outlook for the reporting unit.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may elect not to perform the qualitative assessment and, instead, proceed directly to the quantitative impairment test. The quantitative assessment utilizes both an income approach (discounted cash flows) and a market approach (consisting of a comparable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Key assumptions used in the income and market approaches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Recently acquired reporting units generally represent a higher inherent risk of impairment, which typically decreases as the businesses are integrated into our enterprise.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Roper has 33 reporting units with individual goodwill amounts ranging from zero to $2.4 billion. In 2018, the Company performed its annual impairment test in the fourth quarter for all reporting units. The Company conducted its analysis qualitatively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assessed whether it was more likely than not that the respective fair value of these reporting units was less than the carrying amount. The Company determined that impairment of goodwill was not likely in 30 of its reporting units and thus was not required to perform a quantitative assessment for these reporting units. For the remaining three reporting units, the Company performed its quantitative assessment and concluded that the fair value of each of these three reporting units was substantially in excess of its carrying value, with no impairment indicated as of October 1, 2018.</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first qualitatively assess whether the existence of events or circumstances leads to a determination that it is more likely than not that the estimated fair value of the indefinite-lived trade name is less than its carrying amount. If necessary, we conduct a quantitative assessment using the relief-from-royalty method, which we believe to be an acceptable methodology due to its common use by valuation specialists in determining the fair value of intangible assets. This methodology assumes that, in lieu of ownership, a third-party would be willing to pay a royalty in order to exploit the related benefits of these assets. The fair value of each trade name is determined by applying a royalty rate to a projection of net revenues discounted using a risk-adjusted rate of capital.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our enterprise and positioned for future sales growth.</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performed a quantitative analysis over the fair values of four of its trade names and concluded that the fair value exceeded its carrying value, with no impairment indicated as of October 1, 2018. Of those trade names subjected to our quantitative analysis, one, associated with our lab software business, had a fair value that approximated its carrying value, which was $100.4 as of October 1, 2018. Holding other assumptions constant, for the specific trade name associated with our lab software business, a 50 basis point increase in the discount rate would result in a $6.8 impairment and a 100 basis point decrease in the terminal growth rate would result in an $11.7 impairment.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assessment of fair value for impairment purposes requires significant judgments to be made by management. Although our forecasts are based on assumptions that are considered reasonable by management and consistent with the plans and estimates management uses to operate the underlying businesses, there is significant judgment in determining the expected results attributable to the businesses and/or reporting units. Changes in estimates or the application of alternative assumptions could produce significantly different results. No impairment resulted from the annual reviews performed in 2018.</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lives after considering customer attrition and contributory asset charges.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currency amounts are in millions unless specified, percentages are net of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Percentages may not sum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information for the years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Years ended December 31,</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7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7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0"/>
        </w:trPr>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Net revenues:</w:t>
            </w:r>
          </w:p>
        </w:tc>
        <w:tc>
          <w:tcPr>
            <w:tcW w:w="1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8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RF Technology </w:t>
            </w:r>
            <w:r>
              <w:rPr>
                <w:rFonts w:ascii="Arial" w:cs="Arial" w:eastAsia="Arial" w:hAnsi="Arial"/>
                <w:sz w:val="25"/>
                <w:szCs w:val="25"/>
                <w:color w:val="auto"/>
                <w:vertAlign w:val="superscript"/>
              </w:rPr>
              <w:t>(1)</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6"/>
              </w:rPr>
              <w:t>2,168.4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1,862.1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Medical &amp; Scientific Imaging </w:t>
            </w:r>
            <w:r>
              <w:rPr>
                <w:rFonts w:ascii="Arial" w:cs="Arial" w:eastAsia="Arial" w:hAnsi="Arial"/>
                <w:sz w:val="25"/>
                <w:szCs w:val="25"/>
                <w:color w:val="auto"/>
                <w:vertAlign w:val="superscript"/>
              </w:rPr>
              <w:t>(2)</w:t>
            </w:r>
          </w:p>
        </w:tc>
        <w:tc>
          <w:tcPr>
            <w:tcW w:w="1120" w:type="dxa"/>
            <w:vAlign w:val="bottom"/>
          </w:tcPr>
          <w:p>
            <w:pPr>
              <w:spacing w:after="0"/>
              <w:rPr>
                <w:sz w:val="23"/>
                <w:szCs w:val="23"/>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1,522.4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1,410.4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 Technology</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77"/>
        </w:trPr>
        <w:tc>
          <w:tcPr>
            <w:tcW w:w="54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Energy Systems &amp; Controls </w:t>
            </w:r>
            <w:r>
              <w:rPr>
                <w:rFonts w:ascii="Arial" w:cs="Arial" w:eastAsia="Arial" w:hAnsi="Arial"/>
                <w:sz w:val="25"/>
                <w:szCs w:val="25"/>
                <w:color w:val="auto"/>
                <w:vertAlign w:val="superscript"/>
              </w:rPr>
              <w:t>(3)</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6"/>
              </w:rPr>
              <w:t>5,191.2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4,607.5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3,789.9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RF Technology</w:t>
            </w:r>
          </w:p>
        </w:tc>
        <w:tc>
          <w:tcPr>
            <w:tcW w:w="1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56.7 %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Medical &amp; Scientific Imaging</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Industrial Technology</w:t>
            </w:r>
          </w:p>
        </w:tc>
        <w:tc>
          <w:tcPr>
            <w:tcW w:w="112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Systems &amp; Controls</w:t>
            </w:r>
          </w:p>
        </w:tc>
        <w:tc>
          <w:tcPr>
            <w:tcW w:w="1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30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63.2 %</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62.2 %</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61.5 %</w:t>
            </w:r>
          </w:p>
        </w:tc>
        <w:tc>
          <w:tcPr>
            <w:tcW w:w="0" w:type="dxa"/>
            <w:vAlign w:val="bottom"/>
          </w:tcPr>
          <w:p>
            <w:pPr>
              <w:spacing w:after="0"/>
              <w:rPr>
                <w:sz w:val="1"/>
                <w:szCs w:val="1"/>
                <w:color w:val="auto"/>
              </w:rPr>
            </w:pPr>
          </w:p>
        </w:tc>
      </w:tr>
      <w:tr>
        <w:trPr>
          <w:trHeight w:val="284"/>
        </w:trPr>
        <w:tc>
          <w:tcPr>
            <w:tcW w:w="5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Segment operating margin:</w:t>
            </w:r>
          </w:p>
        </w:tc>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RF Technology</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Medical &amp; Scientific Imaging</w:t>
            </w:r>
          </w:p>
        </w:tc>
        <w:tc>
          <w:tcPr>
            <w:tcW w:w="112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 Technology</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84"/>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Energy Systems &amp; Controls</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administrative expenses</w:t>
            </w:r>
          </w:p>
        </w:tc>
        <w:tc>
          <w:tcPr>
            <w:tcW w:w="1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12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11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1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1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97"/>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5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results from the acquisitions of ConstructConnect from October 31, 2016, Deltek, Inc. from December 28, 2016, Handshake Software, Inc. from August 4, 2017, Workbook Software A/S from September 15, 2017, Onvia, Inc. from November 17, 2017, Quote Software from January 2, 2018, PlanSwift Software from March 28, 2018, Smartbid from May 8, 2018, PowerPlan, Inc. from June 4, 2018, ConceptShare from June 7, 2018, BillBlast from July 10, 2018 and Avitru from December 31, 2018.</w:t>
      </w:r>
    </w:p>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results from the acquisitions of CliniSys from January 7, 2016, PCI Medical from March 17, 2016, GeneInsight from April 1, 2016 and UNIConnect from November 10, 2016.</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results from the acquisition of Phase Technology from June 21,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revenues for the year ended December 31, 2018 were $5.19 billion as compared to $4.61 billion for the year ended December 31, 2017, an increase of 12.7%. The increase was the result of organic growth of 9.4%, a net effect from acquisitions and divestitures of 2.9%, and foreign exchange benefit of 0.4%.</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RF Technology segment, net revenues for the year ended December 31, 2018 increased by $306.3 or 16% over the year ended December 31, 2017. Organic revenues increased by 9% and acquisitions accounted for 7% of our growth. The growth in organic revenues was due primarily to broad-based strength across our software businesses and the non-recurrence of purchase accounting adjustments to acquired deferred revenues in the year ended December 31, 2017 associated with our 2016 Deltek and ConstructConnect acquisitions. Gross margin was 63.9% for the year ended December 31, 2018 as compared to 61.1% for the year ended December 31, 2017, due primarily to an increased percentage of revenues from our software businesses, which have higher gross margins, including the net reduction of purchase accounting adjustments. Selling, general and administrative (“SG&amp;A”) expenses as a percentage of revenues in the year ended December 31, 2018 increased to 35.6%, as compared to 35.3% in the year ended December 31, 2017, due primarily to an increased percentage of revenues from our software businesses, which have a higher SG&amp;A structure, including amortization of acquired intangibles. The resulting operating margin was 28.3% in the year ended December 31, 2018 as compared to 25.7% in the year ended December 31, 2017.</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Medical &amp; Scientific Imaging segment reported a $112.0 or 8% increase in net revenues for the year ended December 31, 2018 over the year ended December 31, 2017, all of which was attributable to organic growth. The growth in organic revenues was due primarily to broad-based growth in our imaging and medical products businesses. Gross margin decreased to 71.4% for the year ended December 31, 2018 from 72.0% for the year ended December 31, 2017, due primarily to growth in our lower margin imaging businesses. SG&amp;A expenses as a percentage of net revenues decreased to 37.2% in the year ended December 31, 2018, as compared to 37.5% in the year ended December 31, 2017, due primarily to operating leverage on higher revenues at our imaging businesses. The resulting operating margin was 34.2% in the year ended December 31, 2018 as compared to 34.5% in the year ended December 31, 2017.</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revenues for our Industrial Technology segment increased by $116.3 or 15% for the year ended December 31, 2018 from the year ended December 31, 2017. Organic revenues increased 14% and the foreign exchange benefit was 1%. The growth in organic revenues was broad-based, due primarily to our fluid handling and water meter technology. Gross margin increased to 50.9% in the year ended December 31, 2018, as compared to 50.6% in the year ended December 31, 2017, and SG&amp;A expenses as a percentage of net revenues decreased to 19.3% in the year ended December 31, 2018, as compared to 20.6% in the year ended December 31, 2017, both of which were due primarily to operating leverage on higher sales volume. The resulting operating margin was 31.6% in the year ended December 31, 2018 as compared to 30.0% in the year ended December 31, 2017.</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Energy Systems &amp; Controls segment, net revenues for the year ended December 31, 2018 increased by $49.1 or 9% from the year ended December 31, 2017. Organic sales increased by 7% and the foreign exchange benefit was 1%. The growth in organic revenues was due to broad-based growth in our businesses serving energy and industrial end markets. Gross margin increased to 58.2% in the year ended December 31, 2018 as compared to 57.4% in the year ended December 31, 2017 and SG&amp;A expenses as a percentage of net revenues decreased to 28.0% in the year ended December 31, 2018, as compared to 30.0% in the year ended December 31, 2017, both of which were due to operating leverage on higher sales volume. As a result, operating margin was 30.1% in the year ended December 31, 2018 as compared to 27.4% in the year ended December 31,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increased by $61.7 to $203.5, or 3.9% of revenues, in 2018 as compared to $141.8, or 3.1% of revenues, in 2017. The increase was due primarily to (i) $35.0 of accelerated vesting associated with the passing of our former executive chairman, (ii) increased equity compensation as a result of increases in our common stock price and (iii) acquisition-related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net, increased $1.5, or 0.8%, for the year ended December 31, 2018 as compared to the year ended December 31, 2017. The increase was due to higher weighted average interest rates, partially offset by lower weighted average debt balances.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debt extinguishment of $15.9 for the for the year ended December 31, 2018, incurred in connection with the redemption of the 2019 Notes (as defined below), was composed of the early redemption premium and remaining unamortized deferred financing costs.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income, net, of $0.0 for the year ended December 31, 2018 was composed primarily of royalty income, offset entirely by various other immaterial expenses. Other income, net of $5.1 for the year ended December 31, 2017 was composed primarily of a $9.4 gain on sale of a product line in our Energy Systems &amp; Controls segment, offset in part by a $1.8 charge on a minority investment and foreign exchange losses at our non-U.S. based companies.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342" w:lineRule="auto"/>
        <w:rPr>
          <w:sz w:val="20"/>
          <w:szCs w:val="20"/>
          <w:color w:val="auto"/>
        </w:rPr>
      </w:pPr>
      <w:r>
        <w:rPr>
          <w:rFonts w:ascii="Arial" w:cs="Arial" w:eastAsia="Arial" w:hAnsi="Arial"/>
          <w:sz w:val="16"/>
          <w:szCs w:val="16"/>
          <w:color w:val="auto"/>
        </w:rPr>
        <w:t>During 2018, our effective income tax rate was 21.2% as compared to our 2017 rate of 6.1%. The increase was due primarily to the recognition of a $215.4 net income tax benefit related to the Tax Act in 2017, partially offset by the reduction in the U.S. federal corporate income tax rate from 35% to 21%.</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 backlog is equal to our remaining performance obligations expected to be recognized within the next 12 months as discussed in Note 1 of the Notes to Consolidated Financial Statements.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40"/>
        </w:trPr>
        <w:tc>
          <w:tcPr>
            <w:tcW w:w="66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RF Technology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Medical &amp; Scientific Imaging</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21"/>
                <w:szCs w:val="21"/>
                <w:color w:val="auto"/>
              </w:rPr>
            </w:pPr>
          </w:p>
        </w:tc>
        <w:tc>
          <w:tcPr>
            <w:tcW w:w="16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r>
      <w:tr>
        <w:trPr>
          <w:trHeight w:val="284"/>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Energy Systems &amp; Controls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w:t>
            </w: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1,672.4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revenues for the year ended December 31, 2017 were $4.61 billion as compared to $3.79 billion for the year ended December 31, 2016, an increase of 21.6%. The increase was the result of contributions from acquisitions of 16.3%, organic growth of 5.3% and no impact from foreign exchange.</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RF Technology segment, net revenues for the year ended December 31, 2017 increased by $651.9 or 54% over the year ended December 31, 2016. Acquisitions accounted for 51% and organic revenues increased by 3%. The increase in organic revenues was due primarily to growth in our software businesses. Gross margin was 61.1% for the year ended December 31, 2017 as compared to 56.7% for the year ended December 31, 2016, due primarily to an increased percentage of revenues from our software businesses, which have a higher gross margin. Selling, general and administrative expenses as a percentage of revenues in the year ended December 31, 2017 increased to 35.3%, as compared to 25.9% in the year ended December 31, 2016, due primarily to an increased percentage of revenues from our software businesses, which have a higher SG&amp;A structure, including amortization of acquired intangibles. The resulting operating margin was 25.7% in 2017 as compared to 30.8% in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Medical &amp; Scientific Imaging segment reported a $47.5 or 3% increase in net revenues for the year ended December 31, 2017 over the year ended December 31, 2016, all of which was attributable to organic growth. The growth in organic revenues was due primarily to increased sales in our medical products businesses, led by NDI, and our alternate site healthcare businesses. Gross margin decreased to 72.0% for the year ended December 31, 2017 from 73.2% for the year ended December 31, 2016, due primarily to an unfavorable sales mix at both our software and medical products businesses. SG&amp;A expenses as a percentage of net revenues decreased to 37.5% in the year ended December 31, 2017, as compared to 38.2% in the year ended December 31, 2016, due primarily to operating leverage on higher sales. The resulting operating margin was 34.5% in the year ended December 31, 2017 as compared to 35.0% in the year ended December 31, 2016.</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for our Industrial Technology segment increased by $77.1 or 11% for the year ended December 31, 2017 from the year ended December 31, 2016, all of which was attributable to organic growth. The growth in organic revenues was broad-based, due primarily to our fluid handling, water meter technology and materials testing businesses. Gross margin was consistent at 50.6% for the years ended December 31, 2017 and 2016. SG&amp;A expenses as a percentage of net revenues were 20.6% in the year ended December 31, 2017, as compared to 21.9% in the year ended December 31, 2016, due primarily to operating leverage on higher sales volume. The resulting operating margin was 30.0% in the year ended December 31, 2017 as compared to 28.7% in the year ended December 31, 2016.</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Energy Systems &amp; Controls segment, net revenues for the year ended December 31, 2017 increased by $41.1 or 8% from the year ended December 31, 2016. Organic sales increased by 7% and the benefit from foreign exchange and acquisitions totaled 1%. The growth in organic revenues was due primarily to increased sales in pressure sensors and valves businesses serving energy markets as well as businesses serving industrial end markets. Gross margin increased to 57.4% in the year ended December 31, 2017 as compared to 57.1% in the year ended December 31, 2016 and SG&amp;A expenses as a percentage of net revenues decreased to 30.0% in the year ended December 31, 2017, as compared to 31.7% in the year ended December 31, 2016, both of which were due to operating leverage on higher sales volume. As a result, operating margin was 27.4% in the year ended December 31, 2017 as compared to 25.4% in the year ended December 31,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Corporate expenses increased by $14.3 to $141.8, or 3.1% of revenues, in 2017 as compared to $127.5, or 3.4% of revenues, in 2016. The dollar increase was due primarily to increased incentive compensation and professional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$69.0, or 61.9%, for the year ended December 31, 2017 as compared to the year ended December 31, 2016. The increase was due primarily to higher average debt balances to fund acquisitions at the end of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of $5.1 for the year ended December 31, 2017 was composed primarily of a $9.4 gain on sale of a product line in our Energy Systems &amp; Controls segment, offset in part by a $1.8 charge on a minority investment and foreign exchange losses at our non-U.S. based companies. Other expense of $1.5 for the year ended December 31, 2016 was composed primarily of foreign exchange losses at our non-U.S. based companies, offset in part by royalty income.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2017, our effective income tax rate was 6.1% as compared to our 2016 rate of 30.0%. The decrease was due primarily to the recognition of a $215.4 net income tax benefit related to the Tax Act as well as increased excess tax benefits related to equity compensation in 2017 as compared to 2016.</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 backlog is equal to our remaining performance obligations expected to be recognized within the next 12 months as discussed in Note 1 of the Notes to Consolidated Financial Statements.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40"/>
        </w:trPr>
        <w:tc>
          <w:tcPr>
            <w:tcW w:w="67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RF Technology</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92"/>
              <w:spacing w:after="0"/>
              <w:rPr>
                <w:sz w:val="20"/>
                <w:szCs w:val="20"/>
                <w:color w:val="auto"/>
              </w:rPr>
            </w:pPr>
            <w:r>
              <w:rPr>
                <w:rFonts w:ascii="Arial" w:cs="Arial" w:eastAsia="Arial" w:hAnsi="Arial"/>
                <w:sz w:val="18"/>
                <w:szCs w:val="18"/>
                <w:color w:val="auto"/>
                <w:w w:val="93"/>
              </w:rPr>
              <w:t>991.4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&amp; Scientific Imaging</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392"/>
              <w:spacing w:after="0"/>
              <w:rPr>
                <w:sz w:val="20"/>
                <w:szCs w:val="20"/>
                <w:color w:val="auto"/>
              </w:rPr>
            </w:pPr>
            <w:r>
              <w:rPr>
                <w:rFonts w:ascii="Arial" w:cs="Arial" w:eastAsia="Arial" w:hAnsi="Arial"/>
                <w:sz w:val="18"/>
                <w:szCs w:val="18"/>
                <w:color w:val="auto"/>
                <w:w w:val="93"/>
              </w:rPr>
              <w:t>467.8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Industrial Technology</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412"/>
              <w:spacing w:after="0"/>
              <w:rPr>
                <w:sz w:val="20"/>
                <w:szCs w:val="20"/>
                <w:color w:val="auto"/>
              </w:rPr>
            </w:pPr>
            <w:r>
              <w:rPr>
                <w:rFonts w:ascii="Arial" w:cs="Arial" w:eastAsia="Arial" w:hAnsi="Arial"/>
                <w:sz w:val="18"/>
                <w:szCs w:val="18"/>
                <w:color w:val="auto"/>
                <w:w w:val="88"/>
              </w:rPr>
              <w:t>110.9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Systems &amp; Controls</w:t>
            </w: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3"/>
              </w:rPr>
              <w:t>102.3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64"/>
        </w:trPr>
        <w:tc>
          <w:tcPr>
            <w:tcW w:w="67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6"/>
                <w:szCs w:val="16"/>
                <w:b w:val="1"/>
                <w:bCs w:val="1"/>
                <w:color w:val="auto"/>
              </w:rPr>
              <w:t>All currency amounts are in millions unless specified</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700" w:type="dxa"/>
            <w:vAlign w:val="bottom"/>
          </w:tcPr>
          <w:p>
            <w:pPr>
              <w:spacing w:after="0"/>
              <w:rPr>
                <w:sz w:val="20"/>
                <w:szCs w:val="20"/>
                <w:color w:val="auto"/>
              </w:rPr>
            </w:pPr>
            <w:r>
              <w:rPr>
                <w:rFonts w:ascii="Arial" w:cs="Arial" w:eastAsia="Arial" w:hAnsi="Arial"/>
                <w:sz w:val="18"/>
                <w:szCs w:val="18"/>
                <w:color w:val="auto"/>
                <w:w w:val="91"/>
              </w:rPr>
              <w:t>Selected cash flows for the years ended December 31, 2018, 2017 and 2016 are as follows: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0"/>
        </w:trPr>
        <w:tc>
          <w:tcPr>
            <w:tcW w:w="6700" w:type="dxa"/>
            <w:vAlign w:val="bottom"/>
            <w:vMerge w:val="restart"/>
          </w:tcPr>
          <w:p>
            <w:pPr>
              <w:ind w:left="40"/>
              <w:spacing w:after="0"/>
              <w:rPr>
                <w:sz w:val="20"/>
                <w:szCs w:val="20"/>
                <w:color w:val="auto"/>
              </w:rPr>
            </w:pPr>
            <w:r>
              <w:rPr>
                <w:rFonts w:ascii="Arial" w:cs="Arial" w:eastAsia="Arial" w:hAnsi="Arial"/>
                <w:sz w:val="18"/>
                <w:szCs w:val="18"/>
                <w:color w:val="auto"/>
              </w:rPr>
              <w:t>Cash provided by/(used in):</w:t>
            </w:r>
          </w:p>
        </w:tc>
        <w:tc>
          <w:tcPr>
            <w:tcW w:w="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392"/>
              <w:spacing w:after="0"/>
              <w:rPr>
                <w:sz w:val="20"/>
                <w:szCs w:val="20"/>
                <w:color w:val="auto"/>
              </w:rPr>
            </w:pPr>
            <w:r>
              <w:rPr>
                <w:rFonts w:ascii="Arial" w:cs="Arial" w:eastAsia="Arial" w:hAnsi="Arial"/>
                <w:sz w:val="18"/>
                <w:szCs w:val="18"/>
                <w:color w:val="auto"/>
                <w:w w:val="89"/>
              </w:rPr>
              <w:t>1,430.1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center"/>
              <w:ind w:left="312"/>
              <w:spacing w:after="0"/>
              <w:rPr>
                <w:sz w:val="20"/>
                <w:szCs w:val="20"/>
                <w:color w:val="auto"/>
              </w:rPr>
            </w:pPr>
            <w:r>
              <w:rPr>
                <w:rFonts w:ascii="Arial" w:cs="Arial" w:eastAsia="Arial" w:hAnsi="Arial"/>
                <w:sz w:val="18"/>
                <w:szCs w:val="18"/>
                <w:color w:val="auto"/>
                <w:w w:val="91"/>
              </w:rPr>
              <w:t>(1,335.1)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2,805.3</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 The growth in cash provided by operating activities in 2018 and in 2017 was primarily due to increased earnings net of non-cash expenses. In addition, the growth in cash provided by operating activities in 2017 over 2016 was increased in part by income tax payments in the first quarter of 2016 related to the gain on the sale of the Abel Pumps business in the fourth quarter of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activities - Cash used in investing activities during 2018 was primarily for business acquisitions, most notably PowerPlan, and to a much lesser extent capital expenditures. Cash used in investing activities during 2017 was primarily for business acquisitions and capital expenditures. Cash used in investing activities during 2016 was primarily for business acquisitions, most notably Deltek.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 Cash provided by/(used in) financing activities in all periods presented was primarily debt repayments/borrowings as well as dividends paid to stockholders. Cash used in financing activities during 2018 was primarily from the pay-down of revolving debt borrowings of $405, partially offset by the net issuance of senior notes of $200 and dividends paid to shareholders. Cash used in financing activities during 2017 was primarily from the pay-down of revolving debt borrowings of $660 and the repayment of $400 of senior notes. Cash provided by financing activities during 2016 was primarily from the issuance of $1.2 billion of senior notes and revolving debt borrowings for acquisitions.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decreased as a result of the effects of foreign currency exchange rate changes during the year ended December 31, 2018 by $13.8 as compared to an increase during the year ended December 31, 2017 of $59.2 and a decrease during the year ended December 31, 2016 of $37.5. The decrease for the year ended December 31, 2018 was due primarily to the weakening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of functional currencies of our Canadian and certain European subsidiaries against the U.S. dollar, while the increase for the year ended December 31, 2017 was due primarily to the strengthening of functional currencies of our European subsidiaries against the U.S. dollar. The decrease for the year ended December 31, 2016 was due primarily to the weakening of functional currencies of our European subsidiaries against the U.S. dollar.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working capital (current assets, excluding cash, less total current liabilities, excluding debt) was a negative $200 at December 31, 2018 compared to negative $140 at December 31, 2017, due primarily to increased deferred revenue and accrued compensation, partially offset by increased accounts receivable. This deferred revenue increase is due to a higher percentage of revenue from software and subscription-based services.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debt excluding unamortized debt issuance costs was $5.0 billion at December 31, 2018 (39.1% of total capital) compared to $5.2 billion at December 31, 2017 (43.0% of total capital). Our decreased total debt at December 31, 2018 compared to December 31, 2017 was due primarily to the pay-down of revolving debt borrowings of $405, the repayment at maturity of $800 of outstanding 2.05% senior unsecured notes and the redemption of $500 of outstanding 6.25% senior unsecured notes, partially offset by the issuance of $700 of 3.65% senior unsecured notes and $800 of 4.20% senior unsecured notes.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23, 2016, we entered into a five-year unsecured credit facility (the “2016 Facility”) with JPMorgan Chase Bank, N.A., as administrative agent, and a syndicate of lenders, which replaced our previous unsecured credit facility, dated as of July 27, 2012, as amended as of October 28, 2015 (the “2012 Facility”). The 2016 Facility comprises a five year $2.5 billion revolving credit facility, which includes availability of up to $150 for letters of credit. We may also, subject to compliance with specified conditions, request term loans or additional revolving credit commitments in an aggregate amount not to exceed $500.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2016 Facility contains various affirmative and negative covenants which, among other things, limit our ability to incur new debt, enter into certain mergers and acquisitions, sell assets and grant liens, make restricted payments (including the payment of dividends on our common stock) and capital expenditures, or change our line of business. We also are subject to financial covenants which require us to limit our consolidated total leverage ratio and to maintain a consolidated interest coverage ratio. The most restrictive covenant is the consolidated total leverage ratio which is limited to 3.5 to 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 2016, we amended the 2016 Facility to allow the consolidated total leverage ratio be increased, no more than twice during the term of the 2016 Facility, to 4.0 to 1 for a consecutive four quarter fiscal period per increase (or, for any portion of such four quarter fiscal period in which the maximum would be 4.25 to 1 pursuant to the 2016 facility amendment, 4.25 to 1). In conjunction with the Deltek acquisition (see Note 2 of the Notes to Consolidated Financial Statements included in this Annual Report), we increased the maximum consolidated total leverage ratio covenant to 4.25 to 1 through June 30, 2017 and 4.00 to 1 through December 31,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we had $4.1 billion of senior unsecured notes and $865 of outstanding revolver borrowings. In addition, we had $3 of other debt in the form of capital leases and several smaller facilities that allow for borrowings or the issuance of letters of credit in foreign locations to support our non-U.S. businesses. We had $79 of outstanding letters of credit at December 31, 2018, of which $37 was covered by our lending group, thereby reducing our revolving credit capacity commensurately.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redeem some or all of our senior secured notes at any time or from time to time, at 100% of their principal amount, plus a make-whole premium based on a spread to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related to our credit facility throughout the years ended December 31,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of the Notes to Consolidated Financial Statements included in this Annual Report for additional information regarding our credit facility and senior notes.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at our foreign subsidiaries at December 31, 2018 totaled $339 as compared to $592 at December 31, 2017, a decrease of 42.7%. The decrease was due primarily to the repatriation of $472 during the year, partially offset by cash generated from foreign operations. The Company intends to distribute all historical unremitted earnings up to the amount of foreign cash and cash equivalents, as well as all future foreign earnings that can be repatriated without incremental U.S. federal tax cost. Any remaining outside basis differences relating to the Company’s investments in foreign subsidiaries will be indefinitely reinvested. See Note 7 of the Notes to Consolidated Financial Statements included in this Annual Report for additional information regarding income taxes.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of $49.1, $48.8 and $37.3 were incurred during 2018, 2017 and 2016, respectively. Capitalized software expenditures of $9.5, $10.8 and $2.8 were incurred during 2018, 2017 and 2016, respectively. Capital expenditures and capitalized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software expenditures were relatively consistent in 2018 as compared to 2017. The increase in 2017 as compared to 2016 was due primarily to our 2016 acquisitions. In the future, we expect the aggregate of capital expenditures and capitalized software expenditures as a percentage of annual net revenues to be between 1.0% and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 and Other Commercial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currency amounts are in millions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quantify our contractual cash obligations and commercial commitments at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Payments Due in Fiscal Year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96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tcPr>
          <w:p>
            <w:pPr>
              <w:jc w:val="center"/>
              <w:spacing w:after="0" w:line="230" w:lineRule="exact"/>
              <w:rPr>
                <w:sz w:val="20"/>
                <w:szCs w:val="20"/>
                <w:color w:val="auto"/>
              </w:rPr>
            </w:pPr>
            <w:r>
              <w:rPr>
                <w:rFonts w:ascii="Arial" w:cs="Arial" w:eastAsia="Arial" w:hAnsi="Arial"/>
                <w:sz w:val="16"/>
                <w:szCs w:val="16"/>
                <w:b w:val="1"/>
                <w:bCs w:val="1"/>
                <w:color w:val="auto"/>
                <w:w w:val="88"/>
              </w:rPr>
              <w:t xml:space="preserve">Cash Obligations </w:t>
            </w:r>
            <w:r>
              <w:rPr>
                <w:rFonts w:ascii="Arial" w:cs="Arial" w:eastAsia="Arial" w:hAnsi="Arial"/>
                <w:sz w:val="21"/>
                <w:szCs w:val="21"/>
                <w:b w:val="1"/>
                <w:bCs w:val="1"/>
                <w:color w:val="auto"/>
                <w:w w:val="88"/>
                <w:vertAlign w:val="superscript"/>
              </w:rPr>
              <w:t>1</w:t>
            </w: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Senior note interest</w:t>
            </w:r>
          </w:p>
        </w:tc>
        <w:tc>
          <w:tcPr>
            <w:tcW w:w="1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6,148.2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646.2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2,142.6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2"/>
              </w:rPr>
              <w:t>Amounts Expiring in Fiscal Year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5"/>
              </w:rPr>
              <w:t>Other Commercial</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3"/>
              </w:rPr>
              <w:t>Commitments</w:t>
            </w: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6"/>
                <w:szCs w:val="16"/>
                <w:b w:val="1"/>
                <w:bCs w:val="1"/>
                <w:color w:val="auto"/>
                <w:w w:val="93"/>
              </w:rPr>
              <w:t>Committed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bank guarantees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8"/>
        <w:spacing w:after="0" w:line="232" w:lineRule="auto"/>
        <w:tabs>
          <w:tab w:leader="none" w:pos="94"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We have excluded the liability for uncertain tax positions and certain other tax liabilities as we are not able to reasonably estimate the timing of the payments. See Note 7 of the Notes to Consolidated Financial Statements included in this Annual Report.</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52525"/>
        </w:rPr>
        <w:t>As of December 31, 2018, we had $582.6 of outstanding surety bonds. Certain contracts, primarily those involving public sector customers, require us to provide a surety bond as a guarantee of its performance of contractual obligations.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internally generated cash flows and the remaining availability under our credit facility will be adequate to finance normal operating requirements. Although we maintain an active acquisition program, any future acquisitions will be dependent on numerous factors and it is not feasible to reasonably estimate if or when any such acquisitions will occur and what the impact will be on our activities, financial condition and results of operations. We may also explore alternatives to attract additional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2019 (and reduce the associated interest expense) will be affected by, among other things, the financing and operating requirements of any new acquisitions and the financial performance of our existing companies. None of these factors can be predicted with 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and 2017,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of the Notes to Consolidated Financial Statements included in this Annual Report for information regarding the effect of new accounting pronouncements on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interest rate risks on our outstanding revolving credit borrowings, and to foreign currency exchange risks on our transactions denominated in currencies other than the U.S. dollar. We are also exposed to equity market risks pertaining to the traded price of our common stock.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we had $4.1 billion of fixed rate borrowings with interest rates ranging from 2.8% to 4.2%. At December 31, 2018, the prevailing market rates for our long-term notes were between 0.1% and 0.7% higher than the fixed rates on our debt instruments. Our credit facility contains a $2.5 billion variable-rate revolver with $865 of outstanding borrowings at December 31,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Several of our businesses have transactions and balances denominated in currencies other than the U.S. dollar. Most of these transactions or balances are denominated in euros, Canadian dollars, British pounds or Danish kroner. Net revenues recognized by companies whose functional currency was not the U.S. dollar were 17% of our total revenues in 2018 and 68% of these revenues were recognized by companies with a European functional currency. If these currency exchange rates had been 10% different throughout 2018 compared to currency exchange rates actually experienced, the impact on our net earnings would have been approximately 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influences the valuation of stock award grants and the effects these grants have on our results of operations. The stock price also influences the computation of potentially dilutive common stock to determine diluted earnings per share. The stock price also affects our employees’ perceptions of programs that involve our common stock. We believe the quantification of the effects of these changing prices on our future earnings and cash flows is not readily determinable.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42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400" w:type="dxa"/>
            <w:vAlign w:val="bottom"/>
            <w:gridSpan w:val="11"/>
          </w:tcPr>
          <w:p>
            <w:pP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4"/>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b w:val="1"/>
                <w:bCs w:val="1"/>
                <w:color w:val="auto"/>
              </w:rPr>
              <w:t>Page</w:t>
            </w:r>
          </w:p>
        </w:tc>
      </w:tr>
      <w:tr>
        <w:trPr>
          <w:trHeight w:val="34"/>
        </w:trPr>
        <w:tc>
          <w:tcPr>
            <w:tcW w:w="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gridSpan w:val="2"/>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1040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w:t>
            </w: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10020" w:type="dxa"/>
            <w:vAlign w:val="bottom"/>
            <w:gridSpan w:val="10"/>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Report of Independent Registered Public Accounting Firm (PricewaterhouseCoopers LLP)</w:t>
              </w:r>
            </w:hyperlink>
          </w:p>
        </w:tc>
        <w:tc>
          <w:tcPr>
            <w:tcW w:w="1020" w:type="dxa"/>
            <w:vAlign w:val="bottom"/>
            <w:gridSpan w:val="3"/>
          </w:tcPr>
          <w:p>
            <w:pPr>
              <w:jc w:val="right"/>
              <w:ind w:right="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48"/>
        </w:trPr>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80" w:type="dxa"/>
            <w:vAlign w:val="bottom"/>
            <w:shd w:val="clear" w:color="auto" w:fill="CCEEFF"/>
          </w:tcPr>
          <w:p>
            <w:pPr>
              <w:spacing w:after="0"/>
              <w:rPr>
                <w:sz w:val="17"/>
                <w:szCs w:val="17"/>
                <w:color w:val="auto"/>
              </w:rPr>
            </w:pPr>
          </w:p>
        </w:tc>
        <w:tc>
          <w:tcPr>
            <w:tcW w:w="4660" w:type="dxa"/>
            <w:vAlign w:val="bottom"/>
            <w:gridSpan w:val="3"/>
            <w:shd w:val="clear" w:color="auto" w:fill="CCEEFF"/>
          </w:tcPr>
          <w:p>
            <w:pPr>
              <w:spacing w:after="0" w:line="202"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Consolidated Balance Sheets as of December 31, 2018 and 2017</w:t>
              </w:r>
            </w:hyperlink>
          </w:p>
        </w:tc>
        <w:tc>
          <w:tcPr>
            <w:tcW w:w="5360" w:type="dxa"/>
            <w:vAlign w:val="bottom"/>
            <w:gridSpan w:val="7"/>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10020" w:type="dxa"/>
            <w:vAlign w:val="bottom"/>
            <w:gridSpan w:val="10"/>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Statements of Earnings for the Years ended December 31, 2018, 2017 and 2016</w:t>
              </w:r>
            </w:hyperlink>
          </w:p>
        </w:tc>
        <w:tc>
          <w:tcPr>
            <w:tcW w:w="1020" w:type="dxa"/>
            <w:vAlign w:val="bottom"/>
            <w:gridSpan w:val="3"/>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80" w:type="dxa"/>
            <w:vAlign w:val="bottom"/>
            <w:shd w:val="clear" w:color="auto" w:fill="CCEEFF"/>
          </w:tcPr>
          <w:p>
            <w:pPr>
              <w:spacing w:after="0"/>
              <w:rPr>
                <w:sz w:val="17"/>
                <w:szCs w:val="17"/>
                <w:color w:val="auto"/>
              </w:rPr>
            </w:pPr>
          </w:p>
        </w:tc>
        <w:tc>
          <w:tcPr>
            <w:tcW w:w="7860" w:type="dxa"/>
            <w:vAlign w:val="bottom"/>
            <w:gridSpan w:val="8"/>
            <w:shd w:val="clear" w:color="auto" w:fill="CCEEFF"/>
          </w:tcPr>
          <w:p>
            <w:pPr>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Consolidated Statements of Comprehensive Income for the Years ended December 31, 2018 , 2017 and 2016</w:t>
              </w:r>
            </w:hyperlink>
          </w:p>
        </w:tc>
        <w:tc>
          <w:tcPr>
            <w:tcW w:w="2160" w:type="dxa"/>
            <w:vAlign w:val="bottom"/>
            <w:gridSpan w:val="2"/>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8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7860" w:type="dxa"/>
            <w:vAlign w:val="bottom"/>
            <w:gridSpan w:val="8"/>
          </w:tcPr>
          <w:p>
            <w:pPr>
              <w:spacing w:after="0" w:line="202"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Consolidated Statements of Stockholders’ Equity for the Years ended December 31, 2018, 2017 and 2016</w:t>
              </w:r>
            </w:hyperlink>
          </w:p>
        </w:tc>
        <w:tc>
          <w:tcPr>
            <w:tcW w:w="2160" w:type="dxa"/>
            <w:vAlign w:val="bottom"/>
            <w:gridSpan w:val="2"/>
          </w:tcPr>
          <w:p>
            <w:pPr>
              <w:spacing w:after="0"/>
              <w:rPr>
                <w:sz w:val="17"/>
                <w:szCs w:val="17"/>
                <w:color w:val="auto"/>
              </w:rPr>
            </w:pPr>
          </w:p>
        </w:tc>
        <w:tc>
          <w:tcPr>
            <w:tcW w:w="1020" w:type="dxa"/>
            <w:vAlign w:val="bottom"/>
            <w:gridSpan w:val="3"/>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8"/>
        </w:trPr>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80" w:type="dxa"/>
            <w:vAlign w:val="bottom"/>
            <w:shd w:val="clear" w:color="auto" w:fill="CCEEFF"/>
          </w:tcPr>
          <w:p>
            <w:pPr>
              <w:spacing w:after="0"/>
              <w:rPr>
                <w:sz w:val="17"/>
                <w:szCs w:val="17"/>
                <w:color w:val="auto"/>
              </w:rPr>
            </w:pPr>
          </w:p>
        </w:tc>
        <w:tc>
          <w:tcPr>
            <w:tcW w:w="694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Cash Flows for the Years ended December 31, 2018, 2017 and 2016</w:t>
              </w:r>
            </w:hyperlink>
          </w:p>
        </w:tc>
        <w:tc>
          <w:tcPr>
            <w:tcW w:w="3080" w:type="dxa"/>
            <w:vAlign w:val="bottom"/>
            <w:gridSpan w:val="4"/>
            <w:shd w:val="clear" w:color="auto" w:fill="CCEEFF"/>
          </w:tcPr>
          <w:p>
            <w:pPr>
              <w:spacing w:after="0"/>
              <w:rPr>
                <w:sz w:val="17"/>
                <w:szCs w:val="17"/>
                <w:color w:val="auto"/>
              </w:rPr>
            </w:pPr>
          </w:p>
        </w:tc>
        <w:tc>
          <w:tcPr>
            <w:tcW w:w="10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18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6940" w:type="dxa"/>
            <w:vAlign w:val="bottom"/>
            <w:gridSpan w:val="6"/>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w:t>
              </w:r>
            </w:hyperlink>
          </w:p>
        </w:tc>
        <w:tc>
          <w:tcPr>
            <w:tcW w:w="3080" w:type="dxa"/>
            <w:vAlign w:val="bottom"/>
            <w:gridSpan w:val="4"/>
          </w:tcPr>
          <w:p>
            <w:pPr>
              <w:spacing w:after="0"/>
              <w:rPr>
                <w:sz w:val="17"/>
                <w:szCs w:val="17"/>
                <w:color w:val="auto"/>
              </w:rPr>
            </w:pPr>
          </w:p>
        </w:tc>
        <w:tc>
          <w:tcPr>
            <w:tcW w:w="1020" w:type="dxa"/>
            <w:vAlign w:val="bottom"/>
            <w:gridSpan w:val="3"/>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15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80" w:type="dxa"/>
            <w:vAlign w:val="bottom"/>
            <w:shd w:val="clear" w:color="auto" w:fill="CCEEFF"/>
          </w:tcPr>
          <w:p>
            <w:pPr>
              <w:spacing w:after="0"/>
              <w:rPr>
                <w:sz w:val="23"/>
                <w:szCs w:val="23"/>
                <w:color w:val="auto"/>
              </w:rPr>
            </w:pPr>
          </w:p>
        </w:tc>
        <w:tc>
          <w:tcPr>
            <w:tcW w:w="3160" w:type="dxa"/>
            <w:vAlign w:val="bottom"/>
            <w:gridSpan w:val="2"/>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0400" w:type="dxa"/>
            <w:vAlign w:val="bottom"/>
            <w:gridSpan w:val="11"/>
          </w:tcPr>
          <w:p>
            <w:pPr>
              <w:ind w:left="40"/>
              <w:spacing w:after="0"/>
              <w:rPr>
                <w:sz w:val="20"/>
                <w:szCs w:val="20"/>
                <w:color w:val="auto"/>
              </w:rPr>
            </w:pPr>
            <w:r>
              <w:rPr>
                <w:rFonts w:ascii="Arial" w:cs="Arial" w:eastAsia="Arial" w:hAnsi="Arial"/>
                <w:sz w:val="18"/>
                <w:szCs w:val="18"/>
                <w:color w:val="auto"/>
              </w:rPr>
              <w:t>Supplementary Data:</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 w:type="dxa"/>
            <w:vAlign w:val="bottom"/>
            <w:shd w:val="clear" w:color="auto" w:fill="CCEEFF"/>
          </w:tcPr>
          <w:p>
            <w:pPr>
              <w:spacing w:after="0"/>
              <w:rPr>
                <w:sz w:val="21"/>
                <w:szCs w:val="21"/>
                <w:color w:val="auto"/>
              </w:rPr>
            </w:pPr>
          </w:p>
        </w:tc>
        <w:tc>
          <w:tcPr>
            <w:tcW w:w="10020" w:type="dxa"/>
            <w:vAlign w:val="bottom"/>
            <w:gridSpan w:val="10"/>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Schedule II - Consolidated Valuation and Qualifying Accounts for the Years ended December 31, 2018, 2017 and 2016</w:t>
              </w:r>
            </w:hyperlink>
          </w:p>
        </w:tc>
        <w:tc>
          <w:tcPr>
            <w:tcW w:w="102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675"/>
        </w:trPr>
        <w:tc>
          <w:tcPr>
            <w:tcW w:w="3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940" w:type="dxa"/>
            <w:vAlign w:val="bottom"/>
            <w:tcBorders>
              <w:top w:val="single" w:sz="8" w:color="0000EE"/>
            </w:tcBorders>
            <w:gridSpan w:val="3"/>
          </w:tcPr>
          <w:p>
            <w:pPr>
              <w:jc w:val="right"/>
              <w:ind w:right="1120"/>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Roper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Roper Technologies, Inc. and its subsidiaries (the “Company”) as of December 31, 2018 and 2017, and the related consolidated statements of earnings, of comprehensive income, of stockholders’ equity, and of cash flows for each of the three years in the period ended December 31, 2018, including the related notes and financial statement schedule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acquisitions completed in 2018 from its assessment of internal control over financial reporting as of December 31, 2018 because they were acquired by the Company in a purchase business combination during 2018. We have also excluded acquisitions completed in 2018 from our audit of internal control over financial reporting. These acquisitions are wholly-owned subsidiaries whose aggregate assets and aggregate revenues excluded from management’s assessment and our audit of internal control over financial reporting represent less than 1% and less than 2%, respectively, of the related consolidated financial statement amounts as of and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0"/>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held for sale</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1,759.4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8,820.3</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3,842.1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15,249.5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14,316.4</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accrued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800.9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held for sale</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2,029.4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4,354.6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7,452.8</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$0.01 par value per share; 1.0 shares authorized; none outstanding</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Common stock, $0.01 par value per share; 350.0 shares authorized; 105.2 shares issued and 103.4 outstanding at December 31,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2018 and 104.4 shares issued and 102.5 outstanding at December 31, 2017</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1,751.5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1,602.9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5,464.6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1.9 shares at December 31, 2018 and 1.9 shares at December 31, 2017</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7,738.5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6,863.6</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14,316.4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EARNINGS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millions,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40"/>
        </w:trPr>
        <w:tc>
          <w:tcPr>
            <w:tcW w:w="70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4"/>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3,789.9</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1,911.7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1,742.7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1,457.5</w:t>
            </w: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2,332.4</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1,883.1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1,654.6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1,277.8</w:t>
            </w: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84"/>
        </w:trPr>
        <w:tc>
          <w:tcPr>
            <w:tcW w:w="708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3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4"/>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940.6</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282.0</w:t>
            </w:r>
          </w:p>
        </w:tc>
      </w:tr>
      <w:tr>
        <w:trPr>
          <w:trHeight w:val="291"/>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658.6</w:t>
            </w: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gridSpan w:val="6"/>
          </w:tcPr>
          <w:p>
            <w:pPr>
              <w:jc w:val="right"/>
              <w:ind w:right="170"/>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18"/>
                <w:szCs w:val="18"/>
                <w:color w:val="auto"/>
              </w:rPr>
            </w:pPr>
          </w:p>
        </w:tc>
      </w:tr>
      <w:tr>
        <w:trPr>
          <w:trHeight w:val="40"/>
        </w:trPr>
        <w:tc>
          <w:tcPr>
            <w:tcW w:w="33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4"/>
        </w:trPr>
        <w:tc>
          <w:tcPr>
            <w:tcW w:w="3300" w:type="dxa"/>
            <w:vAlign w:val="bottom"/>
          </w:tcPr>
          <w:p>
            <w:pPr>
              <w:spacing w:after="0"/>
              <w:rPr>
                <w:sz w:val="19"/>
                <w:szCs w:val="19"/>
                <w:color w:val="auto"/>
              </w:rPr>
            </w:pPr>
          </w:p>
        </w:tc>
        <w:tc>
          <w:tcPr>
            <w:tcW w:w="4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40"/>
        </w:trPr>
        <w:tc>
          <w:tcPr>
            <w:tcW w:w="3300" w:type="dxa"/>
            <w:vAlign w:val="bottom"/>
            <w:tcBorders>
              <w:bottom w:val="single" w:sz="8" w:color="CCEEFF"/>
            </w:tcBorders>
          </w:tcPr>
          <w:p>
            <w:pPr>
              <w:spacing w:after="0"/>
              <w:rPr>
                <w:sz w:val="3"/>
                <w:szCs w:val="3"/>
                <w:color w:val="auto"/>
              </w:rPr>
            </w:pPr>
          </w:p>
        </w:tc>
        <w:tc>
          <w:tcPr>
            <w:tcW w:w="36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64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r>
      <w:tr>
        <w:trPr>
          <w:trHeight w:val="297"/>
        </w:trPr>
        <w:tc>
          <w:tcPr>
            <w:tcW w:w="3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comprehensive income, net of tax:</w:t>
            </w:r>
          </w:p>
        </w:tc>
        <w:tc>
          <w:tcPr>
            <w:tcW w:w="3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w w:val="95"/>
              </w:rPr>
              <w:t>Foreign currency translation adjustments</w:t>
            </w:r>
          </w:p>
        </w:tc>
        <w:tc>
          <w:tcPr>
            <w:tcW w:w="3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69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income/(loss), net of tax</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97"/>
        </w:trPr>
        <w:tc>
          <w:tcPr>
            <w:tcW w:w="3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887.3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3300" w:type="dxa"/>
            <w:vAlign w:val="bottom"/>
          </w:tcPr>
          <w:p>
            <w:pPr>
              <w:spacing w:after="0"/>
              <w:rPr>
                <w:sz w:val="24"/>
                <w:szCs w:val="24"/>
                <w:color w:val="auto"/>
              </w:rPr>
            </w:pPr>
          </w:p>
        </w:tc>
        <w:tc>
          <w:tcPr>
            <w:tcW w:w="464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3300" w:type="dxa"/>
            <w:vAlign w:val="bottom"/>
          </w:tcPr>
          <w:p>
            <w:pPr>
              <w:spacing w:after="0"/>
              <w:rPr>
                <w:sz w:val="24"/>
                <w:szCs w:val="24"/>
                <w:color w:val="auto"/>
              </w:rPr>
            </w:pPr>
          </w:p>
        </w:tc>
        <w:tc>
          <w:tcPr>
            <w:tcW w:w="3680" w:type="dxa"/>
            <w:vAlign w:val="bottom"/>
          </w:tcPr>
          <w:p>
            <w:pPr>
              <w:jc w:val="right"/>
              <w:ind w:right="1092"/>
              <w:spacing w:after="0"/>
              <w:rPr>
                <w:sz w:val="20"/>
                <w:szCs w:val="20"/>
                <w:color w:val="auto"/>
              </w:rPr>
            </w:pPr>
            <w:r>
              <w:rPr>
                <w:rFonts w:ascii="Arial" w:cs="Arial" w:eastAsia="Arial" w:hAnsi="Arial"/>
                <w:sz w:val="18"/>
                <w:szCs w:val="18"/>
                <w:color w:val="auto"/>
              </w:rPr>
              <w:t>33</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color w:val="auto"/>
        </w:rPr>
        <w:t>ROPER TECHNOLOGIES,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Years ended December 31, 2018, 2017 and 2016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88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00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7"/>
                <w:szCs w:val="17"/>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2015</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5,298.9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658.6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Treasury stock sold</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7"/>
              </w:rPr>
              <w:t>Currency translation adjustments, net of $2.6 tax</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Stock 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stock activity</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Stock option tax benefit, net of shortfalls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Conversion of senior subordinated convertible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notes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Dividends declared ($1.25 per share)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2016</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5,788.9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971.8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option exercises</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Treasury stock sold</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7"/>
              </w:rPr>
              <w:t>Currency translation adjustments, net of $4.9 tax</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Stock 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stock activity</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Dividends declared ($1.4625 per share)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2017</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6,863.6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Pr>
          <w:p>
            <w:pPr>
              <w:ind w:left="160"/>
              <w:spacing w:after="0"/>
              <w:rPr>
                <w:sz w:val="20"/>
                <w:szCs w:val="20"/>
                <w:color w:val="auto"/>
              </w:rPr>
            </w:pPr>
            <w:r>
              <w:rPr>
                <w:rFonts w:ascii="Arial" w:cs="Arial" w:eastAsia="Arial" w:hAnsi="Arial"/>
                <w:sz w:val="16"/>
                <w:szCs w:val="16"/>
                <w:color w:val="auto"/>
              </w:rPr>
              <w:t>Adoption of ASC 606</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944.4</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Stock option exercises</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Treasury stock sold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w w:val="97"/>
              </w:rPr>
              <w:t>Currency translation adjustments, net of $7.2 tax</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Restricted stock activity</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Dividends declared ($1.70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Balances at December 31, 2018</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103.4</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1,751.5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6,247.7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7,738.5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80" w:top="584"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ROPER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jc w:val="center"/>
        <w:spacing w:after="0"/>
        <w:rPr>
          <w:sz w:val="20"/>
          <w:szCs w:val="20"/>
          <w:color w:val="auto"/>
        </w:rPr>
      </w:pPr>
      <w:r>
        <w:rPr>
          <w:rFonts w:ascii="Arial" w:cs="Arial" w:eastAsia="Arial" w:hAnsi="Arial"/>
          <w:sz w:val="16"/>
          <w:szCs w:val="16"/>
          <w:color w:val="auto"/>
        </w:rPr>
        <w:t>Years ended December 31, 2018, 2017 and 2016</w:t>
      </w: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2120" w:type="dxa"/>
            <w:vAlign w:val="bottom"/>
            <w:gridSpan w:val="2"/>
          </w:tcPr>
          <w:p>
            <w:pPr>
              <w:jc w:val="right"/>
              <w:ind w:right="1219"/>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0"/>
        </w:trPr>
        <w:tc>
          <w:tcPr>
            <w:tcW w:w="528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21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w w:val="93"/>
              </w:rPr>
              <w:t>Adjustments to reconcile net earnings to cash flows from operating activities: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 of property, plant and equipment</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6"/>
                <w:szCs w:val="16"/>
                <w:color w:val="auto"/>
              </w:rPr>
              <w:t>Non-cash stock compensation</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debt extinguishment</w:t>
            </w:r>
          </w:p>
        </w:tc>
        <w:tc>
          <w:tcPr>
            <w:tcW w:w="1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6"/>
                <w:szCs w:val="16"/>
                <w:color w:val="auto"/>
              </w:rPr>
              <w:t>Gain on sale of assets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7"/>
              </w:rPr>
              <w:t>Changes in operating assets and liabilities, net of acquired businesses: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Unbilled receivables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net</w:t>
            </w:r>
          </w:p>
        </w:tc>
        <w:tc>
          <w:tcPr>
            <w:tcW w:w="18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provided by operating activities</w:t>
            </w:r>
          </w:p>
        </w:tc>
        <w:tc>
          <w:tcPr>
            <w:tcW w:w="1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963.8</w:t>
            </w:r>
          </w:p>
        </w:tc>
        <w:tc>
          <w:tcPr>
            <w:tcW w:w="0" w:type="dxa"/>
            <w:vAlign w:val="bottom"/>
          </w:tcPr>
          <w:p>
            <w:pPr>
              <w:spacing w:after="0"/>
              <w:rPr>
                <w:sz w:val="1"/>
                <w:szCs w:val="1"/>
                <w:color w:val="auto"/>
              </w:rPr>
            </w:pPr>
          </w:p>
        </w:tc>
      </w:tr>
      <w:tr>
        <w:trPr>
          <w:trHeight w:val="217"/>
        </w:trPr>
        <w:tc>
          <w:tcPr>
            <w:tcW w:w="52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of businesses, net of cash acquired</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(3,721.8)</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 expenditures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Cash used in investing activities</w:t>
            </w:r>
          </w:p>
        </w:tc>
        <w:tc>
          <w:tcPr>
            <w:tcW w:w="18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Proceeds from senior notes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senior notes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Borrowings/(payments) under revolving line of credit, net</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1,750.0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payments on convertible notes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 premium for debt extinguishment</w:t>
            </w:r>
          </w:p>
        </w:tc>
        <w:tc>
          <w:tcPr>
            <w:tcW w:w="1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Cash dividends to stockholders</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sales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Proceeds from stock based compensation, net</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 premium on convertible debt</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provided by/(used in) financing activities</w:t>
            </w:r>
          </w:p>
        </w:tc>
        <w:tc>
          <w:tcPr>
            <w:tcW w:w="1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18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778.5</w:t>
            </w:r>
          </w:p>
        </w:tc>
        <w:tc>
          <w:tcPr>
            <w:tcW w:w="0" w:type="dxa"/>
            <w:vAlign w:val="bottom"/>
          </w:tcPr>
          <w:p>
            <w:pPr>
              <w:spacing w:after="0"/>
              <w:rPr>
                <w:sz w:val="1"/>
                <w:szCs w:val="1"/>
                <w:color w:val="auto"/>
              </w:rPr>
            </w:pPr>
          </w:p>
        </w:tc>
      </w:tr>
      <w:tr>
        <w:trPr>
          <w:trHeight w:val="244"/>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2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disclosures:</w:t>
            </w: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6"/>
                <w:szCs w:val="16"/>
                <w:color w:val="auto"/>
              </w:rPr>
              <w:t>Interest</w:t>
            </w:r>
          </w:p>
        </w:tc>
        <w:tc>
          <w:tcPr>
            <w:tcW w:w="2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169.0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net of refunds received</w:t>
            </w:r>
          </w:p>
        </w:tc>
        <w:tc>
          <w:tcPr>
            <w:tcW w:w="21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224"/>
        </w:trPr>
        <w:tc>
          <w:tcPr>
            <w:tcW w:w="5280" w:type="dxa"/>
            <w:vAlign w:val="bottom"/>
          </w:tcPr>
          <w:p>
            <w:pPr>
              <w:ind w:left="380"/>
              <w:spacing w:after="0"/>
              <w:rPr>
                <w:sz w:val="20"/>
                <w:szCs w:val="20"/>
                <w:color w:val="auto"/>
              </w:rPr>
            </w:pPr>
            <w:r>
              <w:rPr>
                <w:rFonts w:ascii="Arial" w:cs="Arial" w:eastAsia="Arial" w:hAnsi="Arial"/>
                <w:sz w:val="16"/>
                <w:szCs w:val="16"/>
                <w:color w:val="auto"/>
              </w:rPr>
              <w:t>Noncash investing activities: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assets of businesses acquired:</w:t>
            </w:r>
          </w:p>
        </w:tc>
        <w:tc>
          <w:tcPr>
            <w:tcW w:w="1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6"/>
                <w:szCs w:val="16"/>
                <w:color w:val="auto"/>
              </w:rPr>
              <w:t>Fair value of assets, including goodwill</w:t>
            </w:r>
          </w:p>
        </w:tc>
        <w:tc>
          <w:tcPr>
            <w:tcW w:w="2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1,505.1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4,433.1</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Liabilities assumed</w:t>
            </w:r>
          </w:p>
        </w:tc>
        <w:tc>
          <w:tcPr>
            <w:tcW w:w="1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tcPr>
          <w:p>
            <w:pPr>
              <w:ind w:left="500"/>
              <w:spacing w:after="0"/>
              <w:rPr>
                <w:sz w:val="20"/>
                <w:szCs w:val="20"/>
                <w:color w:val="auto"/>
              </w:rPr>
            </w:pPr>
            <w:r>
              <w:rPr>
                <w:rFonts w:ascii="Arial" w:cs="Arial" w:eastAsia="Arial" w:hAnsi="Arial"/>
                <w:sz w:val="16"/>
                <w:szCs w:val="16"/>
                <w:color w:val="auto"/>
              </w:rPr>
              <w:t>Cash paid, net of cash acquired</w:t>
            </w:r>
          </w:p>
        </w:tc>
        <w:tc>
          <w:tcPr>
            <w:tcW w:w="18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1,275.8</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20955</wp:posOffset>
            </wp:positionV>
            <wp:extent cx="2752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-130175</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589"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9" w:right="239" w:bottom="0" w:gutter="0" w:footer="0" w:header="0"/>
          <w:type w:val="continuous"/>
        </w:sectPr>
      </w:pPr>
    </w:p>
    <w:bookmarkStart w:id="35" w:name="page36"/>
    <w:bookmarkEnd w:id="35"/>
    <w:p>
      <w:pPr>
        <w:jc w:val="center"/>
        <w:ind w:right="-59"/>
        <w:spacing w:after="0"/>
        <w:rPr>
          <w:sz w:val="20"/>
          <w:szCs w:val="20"/>
          <w:color w:val="auto"/>
        </w:rPr>
      </w:pPr>
      <w:r>
        <w:rPr>
          <w:rFonts w:ascii="Arial" w:cs="Arial" w:eastAsia="Arial" w:hAnsi="Arial"/>
          <w:sz w:val="18"/>
          <w:szCs w:val="18"/>
          <w:color w:val="auto"/>
        </w:rPr>
        <w:t>ROPER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2017 and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 and share amounts in millions unless specified, except per share data)</w:t>
      </w:r>
    </w:p>
    <w:p>
      <w:pPr>
        <w:spacing w:after="0" w:line="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Basis of Presentation</w:t>
      </w:r>
      <w:r>
        <w:rPr>
          <w:rFonts w:ascii="Arial" w:cs="Arial" w:eastAsia="Arial" w:hAnsi="Arial"/>
          <w:sz w:val="18"/>
          <w:szCs w:val="18"/>
          <w:color w:val="auto"/>
        </w:rPr>
        <w:t xml:space="preserve"> - These financial statements present consolidated information for Roper Technologies, Inc. and its subsidiaries (“Roper,” the “Company,” “we,” “our” or “us”). All significant intercompany accounts and transactions have been eliminated.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Nature of the Business</w:t>
      </w:r>
      <w:r>
        <w:rPr>
          <w:rFonts w:ascii="Arial" w:cs="Arial" w:eastAsia="Arial" w:hAnsi="Arial"/>
          <w:sz w:val="18"/>
          <w:szCs w:val="18"/>
          <w:color w:val="auto"/>
        </w:rPr>
        <w:t xml:space="preserve"> - Roper is a diversified technology company. The Company operates businesses that design and develop software (both license and software-as-a-service) and engineered products and solutions for a variety of niche end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Recent Accounting Pronouncements</w:t>
      </w:r>
      <w:r>
        <w:rPr>
          <w:rFonts w:ascii="Arial" w:cs="Arial" w:eastAsia="Arial" w:hAnsi="Arial"/>
          <w:sz w:val="18"/>
          <w:szCs w:val="18"/>
          <w:color w:val="auto"/>
        </w:rPr>
        <w:t xml:space="preserve"> - The Financial Accounting Standards Board (“FASB”) establishes changes to accounting principles under GAAP in the form of accounting standards updates (“ASUs”) to the FASB’s Accounting Standards Codification. The Company considers the applicability and impact of all ASUs. Any ASUs not listed below were assessed and determined to be either not applicable or are expected to have an immaterial impact on the Company’s results of operations, financial position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2014, the FASB issued ASC 606, which created a single, comprehensive revenue recognition model for all contracts with customers. The Company adopted the FASB Accounting Standards Codification (“ASC”) Topic 606, Revenue from Contracts with Customers (“ASC 606”), as of January 1, 2018 using the modified retrospective transition method for all contracts not substantially completed as of the date of adoption.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increase to opening retained earnings of $14.3 due to the cumulative impact of adopting ASC 606. The impact of adopting ASC 606 was not material to the Company’s results of operations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impact of the adoption of ASC 606 to the consolidated balance sheet as of January 1, 2018 was as follows:</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As reported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3"/>
                <w:szCs w:val="23"/>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Impact of</w:t>
            </w:r>
          </w:p>
        </w:tc>
        <w:tc>
          <w:tcPr>
            <w:tcW w:w="16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ASC 606 Adoption</w:t>
            </w:r>
          </w:p>
        </w:tc>
        <w:tc>
          <w:tcPr>
            <w:tcW w:w="16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5,478.9</w:t>
            </w: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 &amp; Unbilled Receivables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Roper’s businesses sell perpetual and term licenses of their software to customers in conjunction with other products and services, primarily PCS and implementation services. In some cases, under the previous revenue guidance, vendor-specific objective evidence (“VSOE”) was unavailable for perpetual and term licenses and associated implementation services, and revenue recognition was deferred until all elements were delivered, all services had been performed, or until fair value could be objectively determined. The revenues associated with these licenses and implementation was generally deferred over the contractual term of the PCS services. Under ASC 606, VSOE is no longer a requirement for a deliverable in a multiple-element software arrangement to be considered a separate performance obligation. The reduction in deferred revenues as well as the increase in unbilled receivables is due primarily to the acceleration of revenue recognition associated with certain perpetual and term licenses and associated implementation services as a result of the adoption of ASC 606.</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Other Current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reduction in other current assets is due primarily to the recognition of previously deferred software licensing costs associated with the acceleration of revenue recognition associated with certain perpetual and term software licenses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other assets is due primarily to the acceleration of revenue recognition for which we do not expect to bill customers within the next 12 months as well as deferred commissions previously expensed as incurred associated with our software sales. These deferred commissions are amortized on a straight-line basis over the period of contract performance or a longer period, generally the estimated life of the customer relationship, if renewals are expected and the renewal commission is not commensurate with the initial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resulted in the acceleration of revenue recognition, which generated additional net deferred tax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the Company’s accounting policies below for details.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2016, the FASB issued an update on stock compensation. The ASU simplifies several aspects of the accounting for employee share-based payment awards, including the accounting for income taxes, forfeitures, and statutory tax withholding requirements, as well as classification in the statement of cash flows. This standard is effective for annual reporting periods beginning after December 15, 2016. The Company elected to early adopt this standard on a prospective basis in the quarter ended March 31, 2016. The impact of the early adoption resulted in the following:</w:t>
      </w:r>
    </w:p>
    <w:p>
      <w:pPr>
        <w:spacing w:after="0" w:line="171" w:lineRule="exact"/>
        <w:rPr>
          <w:sz w:val="20"/>
          <w:szCs w:val="20"/>
          <w:color w:val="auto"/>
        </w:rPr>
      </w:pPr>
    </w:p>
    <w:p>
      <w:pPr>
        <w:jc w:val="both"/>
        <w:ind w:left="840" w:hanging="332"/>
        <w:spacing w:after="0" w:line="256"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recorded tax benefits of $15.3 within income tax expense for the year ended December 31, 2016 related to the excess tax benefit on share-based awards. Prior to adoption this amount would have been recorded as a reduction of additional paid-in capital. This change adds volatility to the Company’s effective tax rate.</w:t>
      </w:r>
    </w:p>
    <w:p>
      <w:pPr>
        <w:ind w:left="840" w:hanging="332"/>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no longer reclassifies the excess tax benefit from operating activities to financing activities in the statement of cash flows. The Company elected to apply this change in presentation prospectively and thus prior periods have not been adjusted.</w:t>
      </w:r>
    </w:p>
    <w:p>
      <w:pPr>
        <w:ind w:left="840" w:hanging="332"/>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continued to estimate the total number of awards for which the requisite service period will not be rendered.</w:t>
      </w:r>
    </w:p>
    <w:p>
      <w:pPr>
        <w:jc w:val="both"/>
        <w:ind w:left="840" w:hanging="332"/>
        <w:spacing w:after="0" w:line="255"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excluded the excess tax benefits from the assumed proceeds available to repurchase shares in the computation of its diluted earnings per share since adoption. This resulted in an increase in diluted weighted average common shares outstanding of 0.279 shares for the year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Released Accounting Pronouncements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2018, the FASB issued an update which clarifies the accounting for implementation costs in cloud computing arrangements. This update is effective for annual periods, including interim periods within those annual periods, beginning after December 15, 2019. Early adoption is permitted. The Company is evaluating the impact of the update on its results of operations and financial condition.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FASB issued an update which amends the measurement of credit losses on financial instruments by requiring entities to use a forward-looking approach based on expected losses rather than incurred losses to estimate credit losses on certain types of financial instruments, including trade receivables. This update is effective for public entities for fiscal years beginning after December 15, 2019, with early adoption permitted. The Company is evaluating the impact of the update on its results of operations and financial condition.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an update on lease accounting. This update, effective for annual reporting periods after December 15, 2018, including interim periods within those annual periods, provides amendments to current lease accounting. These amendments include the recognition of right-of-use lease assets and lease liabilities on the balance sheet and disclosing other key information about leasing arrangements. We are currently designing and implementing processes, policies, and controls to comply with the update on lease accounting. While we have not yet finalized our assessment, we currently believe the primary impact of adoption will be the recognition of a material right-of-use asset and an offsetting lease liability for our real estate leases. We will adopt this standard as of January 1, 2019 using the modified retrospective transition approach with a cumulative effect adjustment to the opening balance of retained earnings as of the date of adoption.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Roper considers highly liquid financial instruments with remaining maturities at acquisition of three months or less to be cash equivalents. Roper had no cash equivalents at December 31, 2018 and December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6"/>
          <w:szCs w:val="16"/>
          <w:u w:val="single" w:color="auto"/>
          <w:color w:val="auto"/>
        </w:rPr>
        <w:t>Contingencies</w:t>
      </w:r>
      <w:r>
        <w:rPr>
          <w:rFonts w:ascii="Arial" w:cs="Arial" w:eastAsia="Arial" w:hAnsi="Arial"/>
          <w:sz w:val="16"/>
          <w:szCs w:val="16"/>
          <w:color w:val="auto"/>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2018, management concluded that there were no matters for which there was a reasonable possibility of a material loss.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Earnings per Share</w:t>
      </w:r>
      <w:r>
        <w:rPr>
          <w:rFonts w:ascii="Arial" w:cs="Arial" w:eastAsia="Arial" w:hAnsi="Arial"/>
          <w:sz w:val="16"/>
          <w:szCs w:val="16"/>
          <w:color w:val="auto"/>
        </w:rPr>
        <w:t xml:space="preserve"> - Basic earnings per share were calculated using net earnings and the weighted-average number of shares of common stock outstanding during the respective year. Diluted earnings per share were calculated using net earnings and the weighted-average number of shares of common stock and potential common stock outstanding during the respective year. Potentially dilutive common stock consisted of stock options and the premium over the conversion price on Roper’s senior subordinated convertible notes based upon the trading price of the Company’s common stock. Effective January 1, 2016, Roper adopted the provisions of an accounting standards update on a prospective basis which increased the number of potentially dilutive stock options as there is no longer a tax benefit in the calculation of dilutive stock options. See the caption “Recent Accounting Pronouncements” elsewhere in this Note for additional information regarding the ASU. The effects of potential common stock were determined using the treasury stock method:</w:t>
      </w:r>
    </w:p>
    <w:p>
      <w:pPr>
        <w:spacing w:after="0" w:line="114"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37465</wp:posOffset>
            </wp:positionV>
            <wp:extent cx="27527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gridSpan w:val="2"/>
          </w:tcPr>
          <w:p>
            <w:pPr>
              <w:ind w:left="7620"/>
              <w:spacing w:after="0"/>
              <w:rPr>
                <w:sz w:val="20"/>
                <w:szCs w:val="20"/>
                <w:color w:val="auto"/>
              </w:rPr>
            </w:pPr>
            <w:r>
              <w:rPr>
                <w:rFonts w:ascii="Arial" w:cs="Arial" w:eastAsia="Arial" w:hAnsi="Arial"/>
                <w:sz w:val="16"/>
                <w:szCs w:val="16"/>
                <w:b w:val="1"/>
                <w:bCs w:val="1"/>
                <w:color w:val="auto"/>
                <w:w w:val="84"/>
              </w:rPr>
              <w:t>2018</w:t>
            </w: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w:t>
            </w: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Effect of potential common stock:</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stock awards</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8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Senior subordinated convertible notes</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r>
      <w:tr>
        <w:trPr>
          <w:trHeight w:val="257"/>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4"/>
              </w:rPr>
              <w:t>104.4</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103.5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and for the years ended December 31, 2018, 2017 and 2016, there were 0.724, 0.478 and 1.144 outstanding stock options, respectively, that were not included in the determination of diluted earnings per share because doing so would have been antidilutive.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Estimates</w:t>
      </w:r>
      <w:r>
        <w:rPr>
          <w:rFonts w:ascii="Arial" w:cs="Arial" w:eastAsia="Arial" w:hAnsi="Arial"/>
          <w:sz w:val="18"/>
          <w:szCs w:val="18"/>
          <w:color w:val="auto"/>
        </w:rPr>
        <w:t xml:space="preserve"> - The preparation of financial statements in conformity with generally accepted accounting principles in the United States (“GAAP”) requires management to make estimates and assumptions that affect the reported amounts of assets and liabilities and the disclosure of contingent assets and liabilities. Actual results could differ from those estimates.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Foreign Currency Translation and Transactions</w:t>
      </w:r>
      <w:r>
        <w:rPr>
          <w:rFonts w:ascii="Arial" w:cs="Arial" w:eastAsia="Arial" w:hAnsi="Arial"/>
          <w:sz w:val="17"/>
          <w:szCs w:val="17"/>
          <w:color w:val="auto"/>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as a component of other comprehensive income. Foreign currency transaction gains and losses are recorded in the consolidated statement of earnings as other income/(expense). Foreign currency transaction gains/(losses) were $0.2, $(1.4) and $(2.9) for the years ended December 31, 2018, 2017 and 2016.</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Goodwill and Other Intangibles</w:t>
      </w:r>
      <w:r>
        <w:rPr>
          <w:rFonts w:ascii="Arial" w:cs="Arial" w:eastAsia="Arial" w:hAnsi="Arial"/>
          <w:sz w:val="17"/>
          <w:szCs w:val="17"/>
          <w:color w:val="auto"/>
        </w:rPr>
        <w:t xml:space="preserve"> - Roper accounts for goodwill in a purchase business combination as the excess of the cost over the estimated fair value of net assets acquired. Business combinations can also result in other intangible assets being recognized.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quantitative impairment test is required. The quantitative process utilizes both an income approach (discounted cash flows)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performing the quantitative assessment, key assumptions used in the income and market methodologies are updated when the analysis is performed for each reporting unit. Various assumptions are utilized including forecasted operating results, strategic plans, economic projections, anticipated future cash flows, the weighted-average cost of capital, comparable transactions, market data and earnings multiples. The assumptions that have the most significant effect on the fair value calculations are the anticipated future cash flows, discount rates, and the earnings multiples. While the Company uses reasonable and timely information to prepare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its cash flow and discount rate assumptions, actual future cash flows or market conditions could differ significantly resulting in future impairment charges related to recorded goodwill balances.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Roper has 33 reporting units with individual goodwill amounts ranging from zero to $2.4 billion. In 2018, the Company performed its annual impairment test in the fourth quarter for all reporting units. The Company conducted its analysis qualitatively and assessed whether it was more likely than not that the respective fair value of these reporting units was less than the carrying amount. The Company determined that impairment of goodwill was not likely in 30 of its reporting units and thus was not required to perform a quantitative analysis for these reporting units. For the remaining three reporting units, the Company performed its quantitative analysis and concluded that the fair value of each of these three reporting units was substantially in excess of its carrying value, with no impairment indicated as of October 1, 2018.</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Recently acquired reporting units generally represent a higher inherent risk of impairment, which typically decreases as the businesses are integrated into the enterprise.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events or circumstances, although not comprehensive, would be considered to determine whether interim testing of goodwill would be required:</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testing for recoverability under the Impairment or Disposal of Long-Lived Assets of a significant asset group within a reporting unit;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recognition of a goodwill impairment loss in the financial statements of a subsidiary that is a component of a reporting unit.</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combinations can also result in other intangible assets being recognized. Amortization of intangible assets, if applicable, occurs over their estimated useful lives. 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Roper first qualitatively assesses whether the existence of events or circumstances leads to a determination that it is more likely than not that the estimated fair value of an indefinite-lived trade name is less than its carrying amount. If necessary, Roper conducts a quantitative review using the relief-from-royalty method. This methodology assumes that, in lieu of ownership, a third party would be willing to pay a royalty in order to exploit the related benefits of these assets. The fair value of each trade name is determined by applying a royalty rate to a projection of net revenues discounted using a risk adjusted rate of capital.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Roper’s enterprise. The Company performed a quantitative analysis over the fair values of four of its trade names and concluded that the fair value exceeded its carrying value, with no impairment indicated as of October 1, 2018.</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assessment of fair value for impairment purposes requires significant judgments to be made by management. Although forecasts are based on assumptions that are considered reasonable by management and consistent with the plans and estimates management uses to operate the underlying businesses, there is significant judgment in determining the expected results attributable to the reporting units. Changes in estimates or the application of alternative assumptions could produce significantly different results. No impairment resulted from the annual testing performed in 2018.</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lives after considering customer attrition and contributory asset charges.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 The Company determines whether there has been an impairment of long-lived assets, excluding goodwill and identifiable intangible assets that are determined to have indefinite useful economic lives, when certain indicators of impairment are present. In the event that facts and circumstances indicate that the cost or life of any long-lived assets may be impaired, an evaluation of recoverability would be performed. If an evaluation is required, the estimated future gross, undiscounted cash flows associated with the asset would be compared to the asset’s carrying amount to determine if a write-down to fair value or revision to remaining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 valuation allowance to reduce its deferred tax assets if, based on the weight of available evidence, both positive and negative, for each respective tax jurisdiction,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tax-planning strategies.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assets and liabilities have different bases for financial reporting and income tax purposes. Deferred income taxes have been provided for these differences at the enacted tax rates expected to be paid. See Note 7 for information regarding income taxes.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xml:space="preserve"> - The Company manages interest rate risk by maintaining a combination of fixed-rate and variable-rate debt, which may include interest rate swaps to convert fixed-rate debt to variable-rate debt, or to convert variable-rate debt to fixed-rate debt. Interest rate swaps are recorded at fair value in the balance sheet as an asset or liability, and the changes in fair values of both the swap and the hedged item are recorded as interest expense in current earnings. There were no interest rate swaps outstanding at December 31, 2018 or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 Inventories are valued at the lower of cost and net realizable value. Cost is determined using the first-in, first-out method. The Company writes down its inventory for estimated obsolescence or excess inventory equal to the difference between the cost of inventory and the estimated net realizable value based upon assumptions about future demand and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Comprehensive Income</w:t>
      </w:r>
      <w:r>
        <w:rPr>
          <w:rFonts w:ascii="Arial" w:cs="Arial" w:eastAsia="Arial" w:hAnsi="Arial"/>
          <w:sz w:val="17"/>
          <w:szCs w:val="17"/>
          <w:color w:val="auto"/>
        </w:rPr>
        <w:t xml:space="preserve"> - Comprehensive income includes net earnings and all other non-owner sources of changes in a company’s net assets.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Product Warranties</w:t>
      </w:r>
      <w:r>
        <w:rPr>
          <w:rFonts w:ascii="Arial" w:cs="Arial" w:eastAsia="Arial" w:hAnsi="Arial"/>
          <w:sz w:val="18"/>
          <w:szCs w:val="18"/>
          <w:color w:val="auto"/>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Property, Plant and Equipment and Depreciation and Amortization</w:t>
      </w:r>
      <w:r>
        <w:rPr>
          <w:rFonts w:ascii="Arial" w:cs="Arial" w:eastAsia="Arial" w:hAnsi="Arial"/>
          <w:sz w:val="16"/>
          <w:szCs w:val="16"/>
          <w:color w:val="auto"/>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7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 years</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Machinery</w:t>
            </w:r>
          </w:p>
        </w:tc>
        <w:tc>
          <w:tcPr>
            <w:tcW w:w="7980" w:type="dxa"/>
            <w:vAlign w:val="bottom"/>
          </w:tcPr>
          <w:p>
            <w:pPr>
              <w:jc w:val="right"/>
              <w:spacing w:after="0"/>
              <w:rPr>
                <w:sz w:val="20"/>
                <w:szCs w:val="20"/>
                <w:color w:val="auto"/>
              </w:rPr>
            </w:pPr>
            <w:r>
              <w:rPr>
                <w:rFonts w:ascii="Arial" w:cs="Arial" w:eastAsia="Arial" w:hAnsi="Arial"/>
                <w:sz w:val="18"/>
                <w:szCs w:val="18"/>
                <w:color w:val="auto"/>
              </w:rPr>
              <w:t>8-12 years</w:t>
            </w:r>
          </w:p>
        </w:tc>
      </w:tr>
      <w:tr>
        <w:trPr>
          <w:trHeight w:val="27"/>
        </w:trPr>
        <w:tc>
          <w:tcPr>
            <w:tcW w:w="344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equipment</w:t>
            </w:r>
          </w:p>
        </w:tc>
        <w:tc>
          <w:tcPr>
            <w:tcW w:w="7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675"/>
        </w:trPr>
        <w:tc>
          <w:tcPr>
            <w:tcW w:w="3440" w:type="dxa"/>
            <w:vAlign w:val="bottom"/>
          </w:tcPr>
          <w:p>
            <w:pPr>
              <w:spacing w:after="0"/>
              <w:rPr>
                <w:sz w:val="24"/>
                <w:szCs w:val="24"/>
                <w:color w:val="auto"/>
              </w:rPr>
            </w:pPr>
          </w:p>
        </w:tc>
        <w:tc>
          <w:tcPr>
            <w:tcW w:w="7980" w:type="dxa"/>
            <w:vAlign w:val="bottom"/>
          </w:tcPr>
          <w:p>
            <w:pPr>
              <w:jc w:val="right"/>
              <w:ind w:right="553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xml:space="preserve"> - Research and development (“R&amp;D”) costs include salaries and benefits, rents, supplies, and other costs related to products under development. Research and development costs are expensed in the period incurred and totaled $316.8, $281.1 and $195.4 for the years ended December 31, 2018, 2017 and 2016,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xml:space="preserve"> - The Company adopted ASC 606 as of January 1, 2018 using the modified retrospective method for all contracts not substantially completed as of the date of adoption. The reported results for 2018 reflect the application of ASC 606 guidance, while the reported results for 2017 and 2016 were prepared under the guidance of ASC Topic 605, Revenue Recognition. The adoption of ASC 606 represents a change in accounting principle that is intended to more closely align revenue recognition with the transfer of control of the Company’s products and services to the customer. The amount of revenue recognized reflects the consideration which the Company expects to be entitled to receive in exchange for these products and/or services. To achieve this principle, the Company applies the following five steps:</w:t>
      </w:r>
    </w:p>
    <w:p>
      <w:pPr>
        <w:spacing w:after="0" w:line="1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Disaggregated Revenue - </w:t>
      </w:r>
      <w:r>
        <w:rPr>
          <w:rFonts w:ascii="Arial" w:cs="Arial" w:eastAsia="Arial" w:hAnsi="Arial"/>
          <w:sz w:val="17"/>
          <w:szCs w:val="17"/>
          <w:color w:val="auto"/>
        </w:rPr>
        <w:t>We disaggregate our revenues into two categories: (i) software and related services; and (ii) engineered products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Software and related services revenues are primarily derived from our RF Technology and Medical &amp; Scientific Imaging reportable segments. Engineered products and related services revenues are derived from all of our reportable segments and comprise substantially all of the revenues generated in our Energy Systems &amp; Controls and Industrial Technology reportable segments. See details in the table below.</w:t>
      </w:r>
    </w:p>
    <w:p>
      <w:pPr>
        <w:spacing w:after="0" w:line="196" w:lineRule="exact"/>
        <w:rPr>
          <w:sz w:val="20"/>
          <w:szCs w:val="20"/>
          <w:color w:val="auto"/>
        </w:rPr>
      </w:pPr>
    </w:p>
    <w:tbl>
      <w:tblPr>
        <w:tblLayout w:type="fixed"/>
        <w:tblInd w:w="200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5900" w:type="dxa"/>
            <w:vAlign w:val="bottom"/>
          </w:tcPr>
          <w:p>
            <w:pPr>
              <w:spacing w:after="0"/>
              <w:rPr>
                <w:sz w:val="18"/>
                <w:szCs w:val="18"/>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related services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Engineered products and related services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3,025.3</w:t>
            </w:r>
          </w:p>
        </w:tc>
      </w:tr>
      <w:tr>
        <w:trPr>
          <w:trHeight w:val="27"/>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5,191.2</w:t>
            </w: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and related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Software-as-a-Service (“SaaS”) - </w:t>
      </w:r>
      <w:r>
        <w:rPr>
          <w:rFonts w:ascii="Arial" w:cs="Arial" w:eastAsia="Arial" w:hAnsi="Arial"/>
          <w:sz w:val="18"/>
          <w:szCs w:val="18"/>
          <w:color w:val="auto"/>
        </w:rPr>
        <w:t>SaaS subscriptions and ongoing related support are generally accounted for as a single performance obligation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ratably over the contractual term. In addition, SaaS arrangements may include implementation services which are accounted for as a separate performance obligation and recognized over time, using the input method. Payment is generally required within 30 days of the commencement of the SaaS subscription period, which is primarily offered to customers over a one-year timeframe.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Licensed Software - </w:t>
      </w:r>
      <w:r>
        <w:rPr>
          <w:rFonts w:ascii="Arial" w:cs="Arial" w:eastAsia="Arial" w:hAnsi="Arial"/>
          <w:sz w:val="18"/>
          <w:szCs w:val="18"/>
          <w:color w:val="auto"/>
        </w:rPr>
        <w:t>Performance obligations in our customer contracts may include: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Perpetual or time-based (“term”) software licenses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Post contract support (“PCS”)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Implementation/installation services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licenses may be combined with implementation/installation services as a single performance obligation if the implementation/installation significantly modifies or customizes the functionality of the software license.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 revenue over time or at a point in time depending on our evaluation of when the customer obtains control over the promised products or services. For software arrangements that include multiple performance obligations, we allocate revenue to each performance obligation based on estimates of the price that we would charge the customer for each promised product or service if it were sold on a standalone basis.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for software licenses is generally required within 30 to 60 days of the transfer of control. Payment for PCS is generally required within 30 to 60 days of the commencement of the service period, which is primarily offered to customers over a one-year timeframe. Payment terms do not contain a significant financing component. Payment for implementation/installation services that are recognized over time are typically commensurate with milestones defined in the contract, or billable hours incurred.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Engineered products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from product sales is recognized when control transfers to the customer, which is generally when the product is shipped.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Non-project-based installation and repair services are performed by certain of our businesses for which revenue is recognized upon completion.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are generally 30 to 60 days from the transfer of control. Payment terms do not contain a significant financing component.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Preventative maintenance service revenues are recognized over time using the input method. If we determine our efforts or inputs are expended evenly throughout the performance period, we generally recognize revenue on a straight-line basis. Payment for preventative maintenance services are typically commensurate with milestones defined in the contract.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offer customers return rights and other credits subject to certain restrictions. We estimate variable consideration generally based on historical experience to arrive at the transaction price, or the amount to which we ultimately expect to be entitled from the customer.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from our project-based businesses, including toll and traffic systems and control systems, are generally recognized over time using the input method, primarily utilizing the ratio of costs incurred to total estimated costs, as the measure of performance. For these projects, payment is typically commensurate with certain performance milestones defined in the contract. Retention and down payments are also customary in these contracts. Estimated losses on any projects are recognized as soon as such losses become probable and reasonably estimable. The impact on revenues due to changes in estimates was immaterial for the year ended December 31, 2018. The Company recognized revenues of $245.9, $249.3 and $241.3 for the years ended December 31, 2018, 2017 and 2016, respectively, using this method.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Accounts receivable, net</w:t>
      </w:r>
      <w:r>
        <w:rPr>
          <w:rFonts w:ascii="Arial" w:cs="Arial" w:eastAsia="Arial" w:hAnsi="Arial"/>
          <w:sz w:val="18"/>
          <w:szCs w:val="18"/>
          <w:color w:val="auto"/>
        </w:rPr>
        <w:t xml:space="preserve"> - Accounts receivable, net includes amounts billed and currently due from customers. The amounts due are stated at their net estimated realizable value. Accounts receivable are stated net of an allowance for doubtful accounts and sales allowances of $23.1 and $12.7 at December 31, 2018 and 2017, respectively. Outstanding accounts receivable balances are reviewed periodically, and allowances are provided at such time that management believes it is probable that an account receivable is uncollectible.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Unbilled receivables</w:t>
      </w:r>
      <w:r>
        <w:rPr>
          <w:rFonts w:ascii="Arial" w:cs="Arial" w:eastAsia="Arial" w:hAnsi="Arial"/>
          <w:sz w:val="18"/>
          <w:szCs w:val="18"/>
          <w:color w:val="auto"/>
        </w:rPr>
        <w:t xml:space="preserve"> - Our unbilled receivables include unbilled amounts typically resulting from sales under project-based contracts when the input method of revenue recognition is utilized and revenue recognized exceeds the amount billed to the customer, and right to payment is not solely due to the passage of time. Amounts may not exceed their net realizable value.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Deferred revenues</w:t>
      </w:r>
      <w:r>
        <w:rPr>
          <w:rFonts w:ascii="Arial" w:cs="Arial" w:eastAsia="Arial" w:hAnsi="Arial"/>
          <w:sz w:val="17"/>
          <w:szCs w:val="17"/>
          <w:color w:val="auto"/>
        </w:rPr>
        <w:t xml:space="preserve"> - We record deferred revenues when cash payments are received or due in advance of our performance. Our deferred revenues relate primarily to software and related services. In most cases, we recognize these deferred revenues ratably over time as the SaaS or PCS performance obligation is satisfied. The non-current portion of deferred revenue is included in “Other liabilities” in our consolidated balance sheets.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unbilled receivables and deferred revenues are reported in a net position on a contract-by-contract basis at the end of each reporting period. We classify these balances as current or non-current based on the timing of when we expect to recognize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Deferred commissions</w:t>
      </w:r>
      <w:r>
        <w:rPr>
          <w:rFonts w:ascii="Arial" w:cs="Arial" w:eastAsia="Arial" w:hAnsi="Arial"/>
          <w:sz w:val="18"/>
          <w:szCs w:val="18"/>
          <w:color w:val="auto"/>
        </w:rPr>
        <w:t xml:space="preserve"> - Our incremental direct costs of obtaining a contract, which consist of sales commissions primarily for our software sales, are deferred and amortized on a straight-line basis over the period of contract performance or a longer period, depending on facts and circumstances. We classify deferred commissions as current or non-current based on the timing of when we expect to recognize the expense. The current and non-current portions of deferred commissions are included in “Other current assets” and “Other assets,” respectively, in our consolidated balance sheets. At December 31, 2018 and January 1, 2018, we had $28.0 and $20.7 of deferred commissions, respectively. We recognized $24.5 of expense related to deferred commissions in the year ended December 31, 2018.</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Remaining performance obligations</w:t>
      </w:r>
      <w:r>
        <w:rPr>
          <w:rFonts w:ascii="Arial" w:cs="Arial" w:eastAsia="Arial" w:hAnsi="Arial"/>
          <w:sz w:val="18"/>
          <w:szCs w:val="18"/>
          <w:color w:val="auto"/>
        </w:rPr>
        <w:t xml:space="preserve"> - Remaining performance obligations represents the transaction price of firm orders for which work has not been performed and excludes unexercised contract options. As of December 31, 2018, the aggregate amount of the transaction price allocated to remaining performance obligations was $2,818.7. We expect to recognize revenue on approximately 60% of our remaining performance obligations over the next 12 months, with the remainder to be recognized thereafter.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Capitalized Software</w:t>
      </w:r>
      <w:r>
        <w:rPr>
          <w:rFonts w:ascii="Arial" w:cs="Arial" w:eastAsia="Arial" w:hAnsi="Arial"/>
          <w:sz w:val="18"/>
          <w:szCs w:val="18"/>
          <w:color w:val="auto"/>
        </w:rPr>
        <w:t xml:space="preserve"> - The Company accounts for capitalized software under applicable accounting guidance which, among other provisions, requires capitalization of certain internal-use software costs once certain criteria are met. Overhead, general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administrative and training costs are not capitalized. Capitalized software balances, net of accumulated amortization, were $22.0 and $14.0 at December 31, 2018 and 2017,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xml:space="preserve"> - The Company recognizes expense for the grant date fair value of its employee stock awards on a straight-line basis (or, in the case of performance-based awards, on a graded basis) over the employee’s requisite service period (generally the vesting period of the award). The fair value of option awards is estimated using the Black-Scholes option valuation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Business Acquisitions and Assets and Liabilities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Roper completed seven business acquisitions in the year ended December 31, 2018, with an aggregate purchase price of $1,279.0, net of cash acquired. The results of operations of the acquired businesses are included in Roper’s consolidated results of operations since the date of each acquisition. Supplemental pro forma information has not been provided as the acquisitions did not have a material impact on Roper’s consolidated results of operations individually or in aggregate.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RF Technology segment: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Roper completed three business acquisitions which provide software solutions that support the development of cost estimates in the construction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Quote Software, PlanSwift Software, and Smartbid.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Acquisition of PowerPlan - On June 4, 2018, Roper acquired 100% of the shares of PowerPlan, a provider of financial and compliance management software and solutions to large complex companies in asset-intensive industries, for a purchase price of $1,111.4, net of cash acquired.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of ConceptShare - On June 7, 2018, Roper acquired 100% of the shares of ConceptShare, a provider of cloud-based software for marketing agencies, marketing departments and other creative teams to streamline the review and approval of online work and content.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of BillBlast - On July 10, 2018, Roper acquired 100% of the shares of BillBlast, a provider of software and ancillary services for the automation of invoicing and reporting for law firms.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of Avitru - On December 31, 2018, Roper acquired 100% of the shares of Avitru, a provider of software that supports the design, development and/or delivery of construction specification solutions and related services.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initially recorded $717.5 in goodwill and $711.3 of other identifiable intangibles in connection with the acquisitions; however, purchase price allocations are preliminary pending final tax-related adjustments. The majority of the goodwill is not expected to be deductible for tax purposes. The amortizable intangible assets include customer relationships of $635.1 (19 year weighted average useful life) and technology of $48.6 (7 year weighted average useful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Roper and Thermo Fisher Scientific, Inc. (“Thermo Fisher”) entered into a definitive agreement under which Thermo Fisher will acquire 100% of the shares of Gatan, Inc. (“Gatan”), a wholly-owned subsidiary of Roper, for approximately $925.0 in cash. The transaction, which is expected to be completed in 2019, is subject to customary closing conditions, including regulatory approvals.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2018, Roper and Teledyne Technologies Incorporated (“Teledyne”) entered into a definitive agreement under which Teledyne will acquire Roper’s remaining scientific imaging businesses for $225.0 in cash. These businesses include primarily Princeton Instruments, Photometrics and Lumenera, as well as other brands (collectively, the “Imaging” businesses).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December 31, 2018, the assets and liabilities of Gatan and the Imaging businesses (collectively, the “Scientific Imaging” businesses) were reclassified as held for sale on Roper’s consolidated balance sheet. The Scientific Imaging businesses are reported in the Medical &amp; Scientific Imaging segment.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 deferred tax liability of $10.0 associated with the excess of book basis over tax basis in the shares of Gatan during the second quarter of 2018. The Company recognized a deferred tax asset of $1.8 associated with the excess of tax basis over book basis in the shares of the Imaging businesses during the fourth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closed on its sale of the Imaging businesses to Teledyne on February 5,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342" w:lineRule="auto"/>
        <w:rPr>
          <w:sz w:val="20"/>
          <w:szCs w:val="20"/>
          <w:color w:val="auto"/>
        </w:rPr>
      </w:pPr>
      <w:r>
        <w:rPr>
          <w:rFonts w:ascii="Arial" w:cs="Arial" w:eastAsia="Arial" w:hAnsi="Arial"/>
          <w:sz w:val="16"/>
          <w:szCs w:val="16"/>
          <w:i w:val="1"/>
          <w:iCs w:val="1"/>
          <w:color w:val="auto"/>
        </w:rPr>
        <w:t xml:space="preserve">2017 Acquisitions </w:t>
      </w:r>
      <w:r>
        <w:rPr>
          <w:rFonts w:ascii="Arial" w:cs="Arial" w:eastAsia="Arial" w:hAnsi="Arial"/>
          <w:sz w:val="16"/>
          <w:szCs w:val="16"/>
          <w:color w:val="auto"/>
        </w:rPr>
        <w:t>– During the year ended December 31, 2017, Roper completed four business acquisitions, with an aggregate purchase price of $152.0, net</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acquired. The results of operations of the acquired businesses did not have a material impact on Roper’s consolidated results of operations.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Acquisition of Phase Technology </w:t>
      </w:r>
      <w:r>
        <w:rPr>
          <w:rFonts w:ascii="Arial" w:cs="Arial" w:eastAsia="Arial" w:hAnsi="Arial"/>
          <w:sz w:val="18"/>
          <w:szCs w:val="18"/>
          <w:color w:val="auto"/>
        </w:rPr>
        <w:t>- On June 21, 2017, Roper acquired the assets of Phase Technology, a business engaged in the design, manufacture,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sales of test instruments. Phase Technology is reported in the Energy Systems &amp; Controls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RF Technology segment: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Acquisition of Handshake Software, Inc. </w:t>
      </w:r>
      <w:r>
        <w:rPr>
          <w:rFonts w:ascii="Arial" w:cs="Arial" w:eastAsia="Arial" w:hAnsi="Arial"/>
          <w:sz w:val="18"/>
          <w:szCs w:val="18"/>
          <w:color w:val="auto"/>
        </w:rPr>
        <w:t>- On August 4, 2017, Roper acquired 100% of the shares of Handshake Software, Inc., a provider of search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portals and services for legal professionals.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Acquisition of Workbook Software A/S </w:t>
      </w:r>
      <w:r>
        <w:rPr>
          <w:rFonts w:ascii="Arial" w:cs="Arial" w:eastAsia="Arial" w:hAnsi="Arial"/>
          <w:sz w:val="18"/>
          <w:szCs w:val="18"/>
          <w:color w:val="auto"/>
        </w:rPr>
        <w:t>- On September 15, 2017, Roper acquired 100% of the shares of Workbook Software A/S, a provider of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customer relationship management, project management and finance/accounting.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Acquisition of Onvia, Inc. </w:t>
      </w:r>
      <w:r>
        <w:rPr>
          <w:rFonts w:ascii="Arial" w:cs="Arial" w:eastAsia="Arial" w:hAnsi="Arial"/>
          <w:sz w:val="18"/>
          <w:szCs w:val="18"/>
          <w:color w:val="auto"/>
        </w:rPr>
        <w:t>- On November 17, 2017, Roper acquired 100% of the outstanding shares of Onvia, Inc. (“Onvia”) common stock for $9.00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in an all-cash tender offer. Onvia provides enterprise, mid-market and small business customers with sales lead generation technologies into federal, state and local government markets.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recorded $82.7 in goodwill and $85.0 of other identifiable intangibles in connection with the acquisitions. The amortizable intangible assets include primarily customer relationships of $68.0 (15 year weighted average useful life) and technology of $13.0 (6 year weighted average useful life).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Sale of Product Line </w:t>
      </w:r>
      <w:r>
        <w:rPr>
          <w:rFonts w:ascii="Arial" w:cs="Arial" w:eastAsia="Arial" w:hAnsi="Arial"/>
          <w:sz w:val="18"/>
          <w:szCs w:val="18"/>
          <w:color w:val="auto"/>
        </w:rPr>
        <w:t>- On May 15, 2017, Roper completed the sale of a product line in our Energy Systems &amp; Controls segment for $10.4. The pretax gain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was $9.4, which is reported in Other income/(expense), net in the consolidated statements of earnings.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2016 Acquisitions </w:t>
      </w:r>
      <w:r>
        <w:rPr>
          <w:rFonts w:ascii="Arial" w:cs="Arial" w:eastAsia="Arial" w:hAnsi="Arial"/>
          <w:sz w:val="18"/>
          <w:szCs w:val="18"/>
          <w:color w:val="auto"/>
        </w:rPr>
        <w:t>– During the year ended December 31, 2016, Roper completed six business combinations. Roper acquired the businesses to both expand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complement its existing technologies. The results of operations of the acquired companies have been included in Roper’s consolidated results since the date of each acquisition.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largest of the 2016 acquisitions was Deltek Inc., a global provider of enterprise software and information solutions for government contractors, professional services firms and other project-based businesses. Roper acquired 100% of the shares of Project Diamond Holdings Corp. (the parent company of Deltek) on December 27, 2016, in a $2,800.0 all-cash transaction. Deltek is reported in the RF Technology segment.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expensed transaction costs of $4.3 related to the Deltek acquisition as corporate general and administrative expenses, as incurred.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Roper’s results for the year ended December 31, 2016 included results from Deltek between December 28, 2016 and December 31, 2016. In that period, Deltek contributed $7.9 in revenue and $0.8 of earnings to Roper’s results. The following unaudited pro forma summary presents consolidated information as if the acquisition of Deltek had occurred on January 1,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ind w:right="194"/>
              <w:spacing w:after="0"/>
              <w:rPr>
                <w:sz w:val="20"/>
                <w:szCs w:val="20"/>
                <w:color w:val="auto"/>
              </w:rPr>
            </w:pPr>
            <w:r>
              <w:rPr>
                <w:rFonts w:ascii="Arial" w:cs="Arial" w:eastAsia="Arial" w:hAnsi="Arial"/>
                <w:sz w:val="16"/>
                <w:szCs w:val="16"/>
                <w:b w:val="1"/>
                <w:bCs w:val="1"/>
                <w:color w:val="auto"/>
                <w:w w:val="92"/>
              </w:rPr>
              <w:t>Pro forma</w:t>
            </w:r>
          </w:p>
        </w:tc>
      </w:t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center"/>
              <w:ind w:right="194"/>
              <w:spacing w:after="0"/>
              <w:rPr>
                <w:sz w:val="20"/>
                <w:szCs w:val="20"/>
                <w:color w:val="auto"/>
              </w:rPr>
            </w:pPr>
            <w:r>
              <w:rPr>
                <w:rFonts w:ascii="Arial" w:cs="Arial" w:eastAsia="Arial" w:hAnsi="Arial"/>
                <w:sz w:val="16"/>
                <w:szCs w:val="16"/>
                <w:b w:val="1"/>
                <w:bCs w:val="1"/>
                <w:color w:val="auto"/>
                <w:w w:val="91"/>
              </w:rPr>
              <w:t>Year ended December 31,</w:t>
            </w:r>
          </w:p>
        </w:tc>
      </w:tr>
      <w:tr>
        <w:trPr>
          <w:trHeight w:val="40"/>
        </w:trPr>
        <w:tc>
          <w:tcPr>
            <w:tcW w:w="88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24"/>
        </w:trPr>
        <w:tc>
          <w:tcPr>
            <w:tcW w:w="8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ind w:right="194"/>
              <w:spacing w:after="0"/>
              <w:rPr>
                <w:sz w:val="20"/>
                <w:szCs w:val="20"/>
                <w:color w:val="auto"/>
              </w:rPr>
            </w:pPr>
            <w:r>
              <w:rPr>
                <w:rFonts w:ascii="Arial" w:cs="Arial" w:eastAsia="Arial" w:hAnsi="Arial"/>
                <w:sz w:val="16"/>
                <w:szCs w:val="16"/>
                <w:b w:val="1"/>
                <w:bCs w:val="1"/>
                <w:color w:val="auto"/>
                <w:w w:val="95"/>
              </w:rPr>
              <w:t>2016</w:t>
            </w:r>
          </w:p>
        </w:tc>
      </w:tr>
      <w:tr>
        <w:trPr>
          <w:trHeight w:val="40"/>
        </w:trPr>
        <w:tc>
          <w:tcPr>
            <w:tcW w:w="88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Arial" w:cs="Arial" w:eastAsia="Arial" w:hAnsi="Arial"/>
                <w:sz w:val="18"/>
                <w:szCs w:val="18"/>
                <w:color w:val="auto"/>
              </w:rPr>
              <w:t>656.4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8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Arial" w:cs="Arial" w:eastAsia="Arial" w:hAnsi="Arial"/>
                <w:sz w:val="18"/>
                <w:szCs w:val="18"/>
                <w:color w:val="auto"/>
              </w:rPr>
              <w:t>6.41</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earnings were adjusted by $47.4 for the year ended December 31, 2016 for non-recurring acquisition and other costs. Adjustments were also made for recurring changes in amortization, interest expense and taxes related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Roper completed five other acquisitions which were immaterial. The aggregate purchase price of these acquisitions totaled $920.0 of cash. The Company recorded $372.0 in other identifiable intangibles and $642.0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goodwill in connection with these acquisitions. Supplemental pro forma information has not been provided as the acquisitions did not have a material impact on Roper’s consolidated results of operations individually or in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following acquisitions are reported in the Medical &amp; Scientific Imaging segment:</w:t>
      </w:r>
    </w:p>
    <w:p>
      <w:pPr>
        <w:spacing w:after="0" w:line="225" w:lineRule="exact"/>
        <w:rPr>
          <w:sz w:val="20"/>
          <w:szCs w:val="20"/>
          <w:color w:val="auto"/>
        </w:rPr>
      </w:pPr>
    </w:p>
    <w:p>
      <w:pPr>
        <w:ind w:left="840" w:hanging="324"/>
        <w:spacing w:after="0" w:line="277" w:lineRule="auto"/>
        <w:rPr>
          <w:sz w:val="20"/>
          <w:szCs w:val="20"/>
          <w:color w:val="auto"/>
        </w:rPr>
      </w:pPr>
      <w:r>
        <w:rPr>
          <w:rFonts w:ascii="Arial" w:cs="Arial" w:eastAsia="Arial" w:hAnsi="Arial"/>
          <w:sz w:val="18"/>
          <w:szCs w:val="18"/>
          <w:color w:val="auto"/>
        </w:rPr>
        <w:t>– Clinisys - On January 7, 2016, Roper acquired 100% of the shares of CliniSys Group Ltd. (“CliniSys”), a provider of clinical laboratory software headquartered in the United Kingdom.</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PCI Medical - On March 17, 2016, Roper acquired the assets of PCI Medical Inc., a provider of medical probe and scope disinfection products.</w:t>
      </w:r>
    </w:p>
    <w:p>
      <w:pPr>
        <w:spacing w:after="0" w:line="140" w:lineRule="exact"/>
        <w:rPr>
          <w:sz w:val="20"/>
          <w:szCs w:val="20"/>
          <w:color w:val="auto"/>
        </w:rPr>
      </w:pPr>
    </w:p>
    <w:p>
      <w:pPr>
        <w:ind w:left="840" w:right="20" w:hanging="324"/>
        <w:spacing w:after="0" w:line="277" w:lineRule="auto"/>
        <w:rPr>
          <w:sz w:val="20"/>
          <w:szCs w:val="20"/>
          <w:color w:val="auto"/>
        </w:rPr>
      </w:pPr>
      <w:r>
        <w:rPr>
          <w:rFonts w:ascii="Arial" w:cs="Arial" w:eastAsia="Arial" w:hAnsi="Arial"/>
          <w:sz w:val="18"/>
          <w:szCs w:val="18"/>
          <w:color w:val="auto"/>
        </w:rPr>
        <w:t>– GeneInsight - On April 1, 2016, the Company acquired 100% of the shares of GeneInsight Inc., a provider of software for managing the analysis, interpretation and reporting of genetic tests.</w:t>
      </w:r>
    </w:p>
    <w:p>
      <w:pPr>
        <w:spacing w:after="0" w:line="62" w:lineRule="exact"/>
        <w:rPr>
          <w:sz w:val="20"/>
          <w:szCs w:val="20"/>
          <w:color w:val="auto"/>
        </w:rPr>
      </w:pPr>
    </w:p>
    <w:p>
      <w:pPr>
        <w:ind w:left="840" w:hanging="324"/>
        <w:spacing w:after="0" w:line="277" w:lineRule="auto"/>
        <w:rPr>
          <w:sz w:val="20"/>
          <w:szCs w:val="20"/>
          <w:color w:val="auto"/>
        </w:rPr>
      </w:pPr>
      <w:r>
        <w:rPr>
          <w:rFonts w:ascii="Arial" w:cs="Arial" w:eastAsia="Arial" w:hAnsi="Arial"/>
          <w:sz w:val="18"/>
          <w:szCs w:val="18"/>
          <w:color w:val="auto"/>
        </w:rPr>
        <w:t>– UNIConnect - On November 10, 2016, Roper acquired the assets of UNIConnect LC, a provider of process management software for molecular laboratories.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ConstructConnect - On October 31, 2016, Roper acquired 100% of the shares of iSqFt Holdings Inc. (d/b/a ConstructConnect), a provider of cloud-based data, collaboration, and workflow automation solutions to the commercial construction industry. ConstructConnect is reported in the RF Technology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expensed transaction costs of $4.2 related to the acquisitions as corporate general and administrative expenses,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at December 31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0"/>
        </w:trPr>
        <w:tc>
          <w:tcPr>
            <w:tcW w:w="26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6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Inventory reserves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69"/>
        </w:trPr>
        <w:tc>
          <w:tcPr>
            <w:tcW w:w="26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(4) Property, Plant and Equipment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80" w:type="dxa"/>
            <w:vAlign w:val="bottom"/>
            <w:gridSpan w:val="3"/>
          </w:tcPr>
          <w:p>
            <w:pPr>
              <w:spacing w:after="0"/>
              <w:rPr>
                <w:sz w:val="20"/>
                <w:szCs w:val="20"/>
                <w:color w:val="auto"/>
              </w:rPr>
            </w:pPr>
            <w:r>
              <w:rPr>
                <w:rFonts w:ascii="Arial" w:cs="Arial" w:eastAsia="Arial" w:hAnsi="Arial"/>
                <w:sz w:val="18"/>
                <w:szCs w:val="18"/>
                <w:color w:val="auto"/>
              </w:rPr>
              <w:t>The components of property, plant and equipment at December 31 were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0"/>
        </w:trPr>
        <w:tc>
          <w:tcPr>
            <w:tcW w:w="26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6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was $49.5, $49.5 and $37.3 for the years ended December 31, 2018,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by segment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Medical &amp;</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Industrial</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Energy Systems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RF Technology</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Scientific Imaging</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Technology</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&amp; Controls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40"/>
        </w:trPr>
        <w:tc>
          <w:tcPr>
            <w:tcW w:w="3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4,687.7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8,647.1</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Goodwill acquired</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82.7</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84"/>
        </w:trPr>
        <w:tc>
          <w:tcPr>
            <w:tcW w:w="3780" w:type="dxa"/>
            <w:vAlign w:val="bottom"/>
          </w:tcPr>
          <w:p>
            <w:pPr>
              <w:ind w:left="280"/>
              <w:spacing w:after="0"/>
              <w:rPr>
                <w:sz w:val="20"/>
                <w:szCs w:val="20"/>
                <w:color w:val="auto"/>
              </w:rPr>
            </w:pPr>
            <w:r>
              <w:rPr>
                <w:rFonts w:ascii="Arial" w:cs="Arial" w:eastAsia="Arial" w:hAnsi="Arial"/>
                <w:sz w:val="18"/>
                <w:szCs w:val="18"/>
                <w:color w:val="auto"/>
              </w:rPr>
              <w:t>Reclassifications and other</w:t>
            </w:r>
          </w:p>
        </w:tc>
        <w:tc>
          <w:tcPr>
            <w:tcW w:w="180" w:type="dxa"/>
            <w:vAlign w:val="bottom"/>
          </w:tcPr>
          <w:p>
            <w:pPr>
              <w:spacing w:after="0"/>
              <w:rPr>
                <w:sz w:val="24"/>
                <w:szCs w:val="24"/>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57"/>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4,798.9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8,820.3</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Pr>
          <w:p>
            <w:pPr>
              <w:ind w:left="280"/>
              <w:spacing w:after="0"/>
              <w:rPr>
                <w:sz w:val="20"/>
                <w:szCs w:val="20"/>
                <w:color w:val="auto"/>
              </w:rPr>
            </w:pPr>
            <w:r>
              <w:rPr>
                <w:rFonts w:ascii="Arial" w:cs="Arial" w:eastAsia="Arial" w:hAnsi="Arial"/>
                <w:sz w:val="18"/>
                <w:szCs w:val="18"/>
                <w:color w:val="auto"/>
              </w:rPr>
              <w:t>Goodwill acquired</w:t>
            </w:r>
          </w:p>
        </w:tc>
        <w:tc>
          <w:tcPr>
            <w:tcW w:w="1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717.5</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related to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7"/>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Reclassifications and other</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64"/>
        </w:trPr>
        <w:tc>
          <w:tcPr>
            <w:tcW w:w="37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Balances at December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5,506.6</w:t>
            </w:r>
          </w:p>
        </w:tc>
        <w:tc>
          <w:tcPr>
            <w:tcW w:w="14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3,037.2</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370.9</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432.1</w:t>
            </w: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9,346.8</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and other during the year ended December 31, 2018 were due primarily to tax adjustments for 2017 acquisitions. See Note 2 for information regarding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were comprised 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 amort.</w:t>
            </w:r>
          </w:p>
        </w:tc>
        <w:tc>
          <w:tcPr>
            <w:tcW w:w="200" w:type="dxa"/>
            <w:vAlign w:val="bottom"/>
          </w:tcPr>
          <w:p>
            <w:pPr>
              <w:spacing w:after="0"/>
              <w:rPr>
                <w:sz w:val="18"/>
                <w:szCs w:val="18"/>
                <w:color w:val="auto"/>
              </w:rPr>
            </w:pPr>
          </w:p>
        </w:tc>
        <w:tc>
          <w:tcPr>
            <w:tcW w:w="14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Net book value</w:t>
            </w:r>
          </w:p>
        </w:tc>
        <w:tc>
          <w:tcPr>
            <w:tcW w:w="0" w:type="dxa"/>
            <w:vAlign w:val="bottom"/>
          </w:tcPr>
          <w:p>
            <w:pPr>
              <w:spacing w:after="0"/>
              <w:rPr>
                <w:sz w:val="1"/>
                <w:szCs w:val="1"/>
                <w:color w:val="auto"/>
              </w:rPr>
            </w:pPr>
          </w:p>
        </w:tc>
      </w:tr>
      <w:tr>
        <w:trPr>
          <w:trHeight w:val="4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Assets subject to amortization:</w:t>
            </w:r>
          </w:p>
        </w:tc>
        <w:tc>
          <w:tcPr>
            <w:tcW w:w="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related intangibles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3,355.2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2,441.5</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Unpatented technology</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Patents and other protective rights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not subject to amortization:</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84"/>
        </w:trPr>
        <w:tc>
          <w:tcPr>
            <w:tcW w:w="6400" w:type="dxa"/>
            <w:vAlign w:val="bottom"/>
          </w:tcPr>
          <w:p>
            <w:pPr>
              <w:ind w:left="280"/>
              <w:spacing w:after="0"/>
              <w:rPr>
                <w:sz w:val="20"/>
                <w:szCs w:val="20"/>
                <w:color w:val="auto"/>
              </w:rPr>
            </w:pPr>
            <w:r>
              <w:rPr>
                <w:rFonts w:ascii="Arial" w:cs="Arial" w:eastAsia="Arial" w:hAnsi="Arial"/>
                <w:sz w:val="18"/>
                <w:szCs w:val="18"/>
                <w:color w:val="auto"/>
              </w:rPr>
              <w:t>In process research and development</w:t>
            </w:r>
          </w:p>
        </w:tc>
        <w:tc>
          <w:tcPr>
            <w:tcW w:w="9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9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4,705.8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3,475.2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subject to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Customer related intangibles</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3,926.8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2,843.2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Unpatented technology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Software</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 and other protective rights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Trade names</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not subject to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400" w:type="dxa"/>
            <w:vAlign w:val="bottom"/>
          </w:tcPr>
          <w:p>
            <w:pPr>
              <w:ind w:left="280"/>
              <w:spacing w:after="0"/>
              <w:rPr>
                <w:sz w:val="20"/>
                <w:szCs w:val="20"/>
                <w:color w:val="auto"/>
              </w:rPr>
            </w:pPr>
            <w:r>
              <w:rPr>
                <w:rFonts w:ascii="Arial" w:cs="Arial" w:eastAsia="Arial" w:hAnsi="Arial"/>
                <w:sz w:val="18"/>
                <w:szCs w:val="18"/>
                <w:color w:val="auto"/>
              </w:rPr>
              <w:t>Trade names</w:t>
            </w:r>
          </w:p>
        </w:tc>
        <w:tc>
          <w:tcPr>
            <w:tcW w:w="9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5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2018</w:t>
            </w:r>
          </w:p>
        </w:tc>
        <w:tc>
          <w:tcPr>
            <w:tcW w:w="9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5,228.7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of other intangible assets was $316.5, $294.3, and $201.4 during the years ended December 31, 2018,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$330 in 2019, $316 in 2020, $304 in 2021, $300 in 2022 and $269 in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at December 31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40"/>
        </w:trPr>
        <w:tc>
          <w:tcPr>
            <w:tcW w:w="85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Warranty</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Rebates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in excess of revenues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100.3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102.2</w:t>
            </w: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for the years ended December 31, 2018, 2017 and 2016 consisted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0"/>
        </w:trPr>
        <w:tc>
          <w:tcPr>
            <w:tcW w:w="70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4"/>
          </w:tcPr>
          <w:p>
            <w:pPr>
              <w:spacing w:after="0"/>
              <w:rPr>
                <w:sz w:val="20"/>
                <w:szCs w:val="20"/>
                <w:color w:val="auto"/>
              </w:rPr>
            </w:pPr>
            <w:r>
              <w:rPr>
                <w:rFonts w:ascii="Arial" w:cs="Arial" w:eastAsia="Arial" w:hAnsi="Arial"/>
                <w:sz w:val="18"/>
                <w:szCs w:val="18"/>
                <w:color w:val="auto"/>
                <w:w w:val="97"/>
              </w:rPr>
              <w:t>Components of income tax expense for the years ended December 31, 2018, 2017 and 2016 were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between the statutory federal income tax rate and the effective income tax rate for the years ended December 31, 2018, 2017 and 2016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4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40"/>
        </w:trPr>
        <w:tc>
          <w:tcPr>
            <w:tcW w:w="68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(3.2)</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tax credits</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199 deduction</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(1.6)</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Tax Cuts and Jobs Act of 2017 - enactment date and measurement period adjustments</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Global intangible low taxed income (GILTI) inclusion</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Foreign-derived intangible income (FDII) deduction</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 on planned remittances of foreign earnings</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43"/>
        </w:trPr>
        <w:tc>
          <w:tcPr>
            <w:tcW w:w="68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7"/>
        </w:trPr>
        <w:tc>
          <w:tcPr>
            <w:tcW w:w="68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deferred income tax balance sheet accounts arise from temporary differences between the amount of assets and liabilities recognized for financial reporting and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deferred tax assets and liabilities at December 31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and 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R&amp;D credits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Outside basis difference on investments held for sale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and 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Amortizable intangible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tax on unremitted foreign earnings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basis difference on investments held for sale</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1,090.2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2018, the Company had approximately $19.7 of tax-effected U.S. federal net operating loss carryforwards. Some of these net operating loss carryforwards have an indefinite carryforward period, and those that do not will begin to expire in 2021 if not utilized. The majority of the U.S. federal net operating loss carryforwards are subject to limitation under the Internal Revenue Code of 1986, as amended (“IRC”) Section 382; however, the Company expects to utilize such losses in their entirety prior to expiration. The U.S. federal net operating loss carryforwards decreased from 2017 to 2018 primarily due to current year utilization. The Company has approximately $32.2 of tax-effected state net operating loss carryforwards (without regard to federal benefit of state). Some of these net operating loss carryforwards have an indefinite carryforward period, and those that do not will begin to expire in 2019 if not utilized. The state net operating loss carryforwards are primarily related to Florida and New Jersey, but the Company has smaller net operating losses in various other states. The Company has approximately $22.8 of tax-effected foreign net operating loss carryforwards. Some of these net operating loss carryforwards have an indefinite carryforward period, and those that do not will begin to expire in 2019 if not utilized. Additionally, the Company has $8.0 of U.S. federal and state research and development tax credit carryforwards (without regard to federal benefit of state). Some of these research and development credit carryforwards have an indefinite carryforward period, and those that do not will begin to expire in 2019 if not utilized.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the Company determined that a total valuation allowance of $26.4 was necessary to reduce U.S. federal and state deferred tax assets by $9.1 and foreign deferred tax assets by $17.3, where it was more likely than not that all of such</w:t>
      </w:r>
    </w:p>
    <w:p>
      <w:pPr>
        <w:sectPr>
          <w:pgSz w:w="11900" w:h="16838" w:orient="portrait"/>
          <w:cols w:equalWidth="0" w:num="1">
            <w:col w:w="11420"/>
          </w:cols>
          <w:pgMar w:left="240" w:top="74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747" w:right="239" w:bottom="1440" w:gutter="0" w:footer="0" w:header="0"/>
          <w:type w:val="continuous"/>
        </w:sectPr>
      </w:pPr>
    </w:p>
    <w:bookmarkStart w:id="48" w:name="page49"/>
    <w:bookmarkEnd w:id="48"/>
    <w:p>
      <w:pPr>
        <w:jc w:val="both"/>
        <w:spacing w:after="0" w:line="342" w:lineRule="auto"/>
        <w:rPr>
          <w:sz w:val="20"/>
          <w:szCs w:val="20"/>
          <w:color w:val="auto"/>
        </w:rPr>
      </w:pPr>
      <w:r>
        <w:rPr>
          <w:rFonts w:ascii="Arial" w:cs="Arial" w:eastAsia="Arial" w:hAnsi="Arial"/>
          <w:sz w:val="16"/>
          <w:szCs w:val="16"/>
          <w:color w:val="auto"/>
        </w:rPr>
        <w:t>deferred tax assets will not be realized. As of December 31, 2018, the Company believes it is more likely than not that the remaining net deferred tax assets will be realized based on the Company’s estimates of future taxable income and any applicable tax-planning strategies within various tax jurisdictions.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in the consolidated financial statements only those tax positions determined to be “more likely than not” of being sustained upon examination based on the technical merits of the positions. A reconciliation of the beginning and ending amount of unrecognized tax benefits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52.2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periods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 for tax positions of the current period</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due to acquisitions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Reductions for tax positions of prior periods</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attributable to settlements with taxing authorities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8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Reductions attributable to lapses of applicable statute of limitations</w:t>
            </w: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that, if recognized, would impact the effective tax rate is $62.0. Interest and penalties related to unrecognized tax benefits were $1.7 in 2018 and are classified as a component of income tax expense. Accrued interest and penalties were $6.9 at December 31, 2018 and $5.1 at December 31, 2017. During the next twelve months, it is reasonably possible that the unrecognized tax benefits may decrease by a net $2.3, mainly due to anticipated statute of limitations lapses in various jurisdictions.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its subsidiaries are subject to examinations for U.S. federal income tax as well as income tax in various state, city and foreign jurisdictions. The Company’s federal income tax returns for 2015 through the current period remain open to examination and the relevant state, city and foreign statutes vary. The Company does not expect the assessment of any significant additional tax in excess of amounts reserved.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Act was signed into U.S. law on December 22, 2017. The Tax Act contains provisions which impact the Company’s income taxes including a reduction in the U.S. federal corporate income tax rate from 35% to 21%, a one-time deemed mandatory repatriation tax imposed on all undistributed foreign earnings, and the introduction of a modified territorial taxation system.</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SEC released Staff Accounting Bulletin No. 118 (“SAB 118”) on December 22, 2017 to provide guidance where the accounting under ASC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is incomplete for certain income tax effects of the Tax Act upon issuance of financial statements for the reporting period in which the Tax Act was</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SAB 118 provides that if a company could determine a reasonable estimate, that estimate should be reported as a provisional amount and adjusted during a measurement period. If a company is unable to determine a reasonable estimate, no related provisional amounts would be recorded until a reasonable estimate can be determined, within the measurement period. The measurement period extends until all necessary information has been obtained, prepared, and analyzed, but no longer than 12-months from the date of enactment of the Tax Act.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22, 2018, the Company has completed the accounting for all income tax effects of the Tax Act. The total impact is a one-time benefit of $229.5, of which $215.4 benefit was recorded as a provisional amount in 2017 and $14.1 benefit was recorded during the measurement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reduction in the U.S. federal corporate income tax rate from 35% to 21% and certain immaterial changes in tax basis required a remeasurement of the Company’s deferred taxes. The impact of this remeasurement was a one-time benefit of $379.0, of which the entirety was recorded as a provisional amount in 2017 with no adjustment recorded during the measurement period.</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one-time deemed mandatory repatriation tax on all undistributed foreign earnings resulted in a one-time charge of $102.4, of which $110.7 charge was recorded as a provisional amount in 2017 and $8.3 benefit was recorded during the measurement period. The Company has elected to pay this liability over 8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introduction of a modified territorial taxation system resulted in a change to the Company’s indefinite reinvestment assertion with respect to its unremitted foreign earnings, including those unremitted foreign earnings that were taxed in the U.S. as part of the one-time deemed mandatory repatriation tax. The Company now intends to distribute all historical unremitted foreign earnings up to the amount of excess foreign cash, as well as all future foreign earnings that can be repatriated without incremental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97" w:lineRule="auto"/>
        <w:rPr>
          <w:sz w:val="20"/>
          <w:szCs w:val="20"/>
          <w:color w:val="auto"/>
        </w:rPr>
      </w:pPr>
      <w:r>
        <w:rPr>
          <w:rFonts w:ascii="Arial" w:cs="Arial" w:eastAsia="Arial" w:hAnsi="Arial"/>
          <w:sz w:val="16"/>
          <w:szCs w:val="16"/>
          <w:color w:val="auto"/>
        </w:rPr>
        <w:t>federal tax cost. Any remaining outside basis differences relating to the Company’s investments in foreign subsidiaries are no longer expected to be material and will be indefinitely reinvested. As a result of this change in assertion, the Company recorded a one-time charge of $22.8, of which $28.7 charge was recorded as a provisional amount in 2017 and $5.8 benefit was recorded during the measurement period. This charge represents the future U.S. state and foreign tax cost of repatriation. The Company also incurred a one-time charge of $24.2 resulting from the write-off of indirect benefits associated with uncertain tax positions. The entirety of this charge was recorded as a provisional amount in 2017 with no adjustment recorded during the measurement period.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2018, the FASB released guidance on accounting for taxes on the global intangible low-taxed income (“GILTI”) provisions of the Tax Act. The guidance provides that a company can, subject to an accounting policy election, either record the tax impacts of GILTI inclusions as a period cost, or account for GILTI in deferred taxes. The Company has now finalized its election and will account for the tax impacts of GILTI inclusions as a period cost.</w:t>
      </w:r>
    </w:p>
    <w:p>
      <w:pPr>
        <w:spacing w:after="0" w:line="10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23, 2016, Roper entered into a five-year $2.5 billion unsecured credit facility (the “2016 Facility”) with JPMorgan Chase Bank, N.A., as administrative agent, and a syndicate of lenders, which replaced its previous $1.85 billion unsecured credit facility dated as of July 27, 2012, as amended as of October 28, 2015 (the “2012 Facility”). The 2016 Facility comprises a five year $2.5 billion revolving credit facility, which includes availability of up to $150 for letters of credit. Roper may also, subject to compliance with specified conditions, request term loans or additional revolving credit commitments in an aggregate amount not to exceed $500. At December 31, 2018, there were $865 of outstanding borrowings under the 2016 Facility.</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2016 Facility contains affirmative and negative covenants which, among other things, limit Roper’s ability to incur new debt, enter into certain mergers and acquisitions, sell assets and grant liens, make restricted payments (including the payment of dividends on our common stock) and capital expenditures, or change its line of business. Roper is also subject to financial covenants which require the Company to limit its consolidated total leverage ratio and to maintain a consolidated interest coverage ratio. The most restrictive covenant is the consolidated total leverage ratio which is limited to 3.5 to 1.</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 2016, Roper amended the 2016 Facility to allow the consolidated total leverage ratio be increased, no more than twice during the term of the 2016 Facility, to 4.0 to 1 for a consecutive four quarter fiscal period per increase (or, for any portion of such four quarter fiscal period in which the maximum would be 4.25 to 1 pursuant to the 2016 facility amendment, 4.25 to 1). In conjunction with the Deltek acquisition (see Note 2), the Company increased the maximum consolidated total leverage ratio covenant to 4.25 to 1 through June 30, 2017 and 4.00 to 1 through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debt covenants throughout the years ended December 31, 2018 and 2017.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28, 2018, the Company completed a public offering of $700 aggregate principal amount of 3.65% senior unsecured notes due September 15, 2023 and $800 aggregate principal amount of 4.20% senior unsecured notes due September 15, 2028 (the “2018 Offering”). The notes bear interest at a fixed rate of 3.65% and 4.20% per year, respectively, payable semi-annually in arrears on March 15 and September 15 of each year, beginning March 15, 2019.</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19, 2016, the Company completed a public offering of $500 aggregate principal amount of 2.80% senior unsecured notes due December 15, 2021 and $700 aggregate principal amount of 3.80% senior unsecured notes due December 15, 2026. The notes bear interest at a fixed rate of 2.80% and 3.80% per year, respectively, payable semi-annually in arrears on June 15 and December 15 of each year, beginning June 15, 2017.</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7, 2015, the Company completed a public offering of $600 aggregate principal amount of 3.00% senior unsecured notes due December 15, 2020 and $300 aggregate principal amount of 3.85% senior unsecured notes due December 15, 2025. The notes bear interest at a fixed rate of 3.00% and 3.85% per year, respectively, payable semi-annually in arrears on June 15 and December 15 of each year, beginning June 15, 2016.</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June 6, 2013, the Company completed a public offering of $800 aggregate principal amount of 2.05% senior unsecured notes due October 1, 2018. The notes bear interest at a fixed rate of 2.05% per year, payable semi-annually in arrears on April 1 and October 1 of each year, beginning October 1, 2013.</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21, 2012, the Company completed a public offering of $500 aggregate principal amount of 3.125% senior unsecured notes due November 15, 2022. The notes bear interest at a fixed rate of 3.125% per year, payable semi-annually in arrears on May 15 and November 15 of each year, beginning May 15,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In September 2009, the Company completed a public offering of $500 aggregate principal amount of 6.25% senior unsecured notes due September 1, 2019 (the “2019 Notes”). The 2019 Notes bear interest at a fixed rate of 6.25% per year, payable semi-annually in arrears on March 1 and September 1 of each year, beginning March 1, 2010.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2018, $800 of 2.05% senior unsecured notes matured and were repaid using cash on hand and revolver borrowings from the 2016 Facility.</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net proceeds of the 2018 Offering were used to redeem all of the $500 of outstanding 2019 Notes. The Company incurred a debt extinguishment charge in connection with the redemption of the 2019 Notes of $15.9, which represents the make-whole premium and unamortized deferred financing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Roper may redeem some or all of these notes at any time or from time to time, at 100% of their principal amount, plus a make-whole premium based on a spread to U.S. Treasury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senior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debt at December 31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40"/>
        </w:trPr>
        <w:tc>
          <w:tcPr>
            <w:tcW w:w="420" w:type="dxa"/>
            <w:vAlign w:val="bottom"/>
            <w:tcBorders>
              <w:bottom w:val="single" w:sz="8" w:color="CCEEFF"/>
            </w:tcBorders>
          </w:tcPr>
          <w:p>
            <w:pPr>
              <w:spacing w:after="0"/>
              <w:rPr>
                <w:sz w:val="3"/>
                <w:szCs w:val="3"/>
                <w:color w:val="auto"/>
              </w:rPr>
            </w:pPr>
          </w:p>
        </w:tc>
        <w:tc>
          <w:tcPr>
            <w:tcW w:w="8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$800 2.050% senior notes due 2018</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800.0</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$500 6.250% senior notes due 2019</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$600 3.000% senior notes due 2020</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$500 2.800% senior notes due 2021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$500 3.125% senior notes due 2022</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$700 3.650% senior notes due 2023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$300</w:t>
            </w:r>
          </w:p>
        </w:tc>
        <w:tc>
          <w:tcPr>
            <w:tcW w:w="8160" w:type="dxa"/>
            <w:vAlign w:val="bottom"/>
          </w:tcPr>
          <w:p>
            <w:pPr>
              <w:ind w:left="20"/>
              <w:spacing w:after="0"/>
              <w:rPr>
                <w:sz w:val="20"/>
                <w:szCs w:val="20"/>
                <w:color w:val="auto"/>
              </w:rPr>
            </w:pPr>
            <w:r>
              <w:rPr>
                <w:rFonts w:ascii="Arial" w:cs="Arial" w:eastAsia="Arial" w:hAnsi="Arial"/>
                <w:sz w:val="18"/>
                <w:szCs w:val="18"/>
                <w:color w:val="auto"/>
              </w:rPr>
              <w:t>3.850% senior notes due 2025</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300.0</w:t>
            </w:r>
          </w:p>
        </w:tc>
      </w:tr>
      <w:tr>
        <w:trPr>
          <w:trHeight w:val="27"/>
        </w:trPr>
        <w:tc>
          <w:tcPr>
            <w:tcW w:w="4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$700</w:t>
            </w: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3.800% senior notes due 2026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$800</w:t>
            </w:r>
          </w:p>
        </w:tc>
        <w:tc>
          <w:tcPr>
            <w:tcW w:w="8160" w:type="dxa"/>
            <w:vAlign w:val="bottom"/>
          </w:tcPr>
          <w:p>
            <w:pPr>
              <w:ind w:left="20"/>
              <w:spacing w:after="0"/>
              <w:rPr>
                <w:sz w:val="20"/>
                <w:szCs w:val="20"/>
                <w:color w:val="auto"/>
              </w:rPr>
            </w:pPr>
            <w:r>
              <w:rPr>
                <w:rFonts w:ascii="Arial" w:cs="Arial" w:eastAsia="Arial" w:hAnsi="Arial"/>
                <w:sz w:val="18"/>
                <w:szCs w:val="18"/>
                <w:color w:val="auto"/>
              </w:rPr>
              <w:t>4.200% senior notes due 2028</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800.9</w:t>
            </w:r>
          </w:p>
        </w:tc>
      </w:tr>
      <w:tr>
        <w:trPr>
          <w:trHeight w:val="27"/>
        </w:trPr>
        <w:tc>
          <w:tcPr>
            <w:tcW w:w="85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4,940.2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4,354.6</w:t>
            </w:r>
          </w:p>
        </w:tc>
      </w:tr>
      <w:tr>
        <w:trPr>
          <w:trHeight w:val="20"/>
        </w:trPr>
        <w:tc>
          <w:tcPr>
            <w:tcW w:w="4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2016 Facility and Roper’s $4.1 billion senior notes provide substantially all of Roper’s daily external financing requirements. The interest rate on the borrowings under the 2016 Facility is calculated based upon various recognized indices plus a margin as defined in the credit agreement. At December 31, 2018, Roper’s fixed debt consisted of $4.1 billion of senior notes, $3.0 of other debt in the form of capital leases, several smaller facilities that allow for borrowings or the issuance of letters of credit in foreign locations to support Roper’s non-U.S. businesses and $78.7 of outstanding letters of credit at December 31,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Future maturities of total debt during each of the next five years ending December 31 and thereafter were as follows: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601.5</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8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1,800.0</w:t>
            </w: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4,968.0</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84"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440" w:type="dxa"/>
            <w:vAlign w:val="bottom"/>
            <w:gridSpan w:val="3"/>
          </w:tcPr>
          <w:p>
            <w:pPr>
              <w:spacing w:after="0"/>
              <w:rPr>
                <w:sz w:val="20"/>
                <w:szCs w:val="20"/>
                <w:color w:val="auto"/>
              </w:rPr>
            </w:pPr>
            <w:r>
              <w:rPr>
                <w:rFonts w:ascii="Arial" w:cs="Arial" w:eastAsia="Arial" w:hAnsi="Arial"/>
                <w:sz w:val="18"/>
                <w:szCs w:val="18"/>
                <w:color w:val="auto"/>
              </w:rPr>
              <w:t>(9) Fair Value</w:t>
            </w:r>
          </w:p>
        </w:tc>
        <w:tc>
          <w:tcPr>
            <w:tcW w:w="198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53"/>
        </w:trPr>
        <w:tc>
          <w:tcPr>
            <w:tcW w:w="9440" w:type="dxa"/>
            <w:vAlign w:val="bottom"/>
            <w:gridSpan w:val="3"/>
          </w:tcPr>
          <w:p>
            <w:pPr>
              <w:spacing w:after="0"/>
              <w:rPr>
                <w:sz w:val="20"/>
                <w:szCs w:val="20"/>
                <w:color w:val="auto"/>
              </w:rPr>
            </w:pPr>
            <w:r>
              <w:rPr>
                <w:rFonts w:ascii="Arial" w:cs="Arial" w:eastAsia="Arial" w:hAnsi="Arial"/>
                <w:sz w:val="18"/>
                <w:szCs w:val="18"/>
                <w:color w:val="auto"/>
              </w:rPr>
              <w:t>Roper’s debt at December 31, 2018 included $4,100 of fixed-rate senior notes with the following fair values:</w:t>
            </w:r>
          </w:p>
        </w:tc>
        <w:tc>
          <w:tcPr>
            <w:tcW w:w="1980" w:type="dxa"/>
            <w:vAlign w:val="bottom"/>
          </w:tcPr>
          <w:p>
            <w:pPr>
              <w:spacing w:after="0"/>
              <w:rPr>
                <w:sz w:val="24"/>
                <w:szCs w:val="24"/>
                <w:color w:val="auto"/>
              </w:rPr>
            </w:pPr>
          </w:p>
        </w:tc>
      </w:tr>
      <w:tr>
        <w:trPr>
          <w:trHeight w:val="135"/>
        </w:trPr>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50"/>
        </w:trPr>
        <w:tc>
          <w:tcPr>
            <w:tcW w:w="9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$600 3.000% senior notes due 2020</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43"/>
        </w:trPr>
        <w:tc>
          <w:tcPr>
            <w:tcW w:w="9440" w:type="dxa"/>
            <w:vAlign w:val="bottom"/>
            <w:gridSpan w:val="3"/>
          </w:tcPr>
          <w:p>
            <w:pPr>
              <w:ind w:left="40"/>
              <w:spacing w:after="0"/>
              <w:rPr>
                <w:sz w:val="20"/>
                <w:szCs w:val="20"/>
                <w:color w:val="auto"/>
              </w:rPr>
            </w:pPr>
            <w:r>
              <w:rPr>
                <w:rFonts w:ascii="Arial" w:cs="Arial" w:eastAsia="Arial" w:hAnsi="Arial"/>
                <w:sz w:val="18"/>
                <w:szCs w:val="18"/>
                <w:color w:val="auto"/>
              </w:rPr>
              <w:t>$500 2.800% senior notes due 2021</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$500 3.125% senior notes due 2022</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43"/>
        </w:trPr>
        <w:tc>
          <w:tcPr>
            <w:tcW w:w="9440" w:type="dxa"/>
            <w:vAlign w:val="bottom"/>
            <w:gridSpan w:val="3"/>
          </w:tcPr>
          <w:p>
            <w:pPr>
              <w:ind w:left="40"/>
              <w:spacing w:after="0"/>
              <w:rPr>
                <w:sz w:val="20"/>
                <w:szCs w:val="20"/>
                <w:color w:val="auto"/>
              </w:rPr>
            </w:pPr>
            <w:r>
              <w:rPr>
                <w:rFonts w:ascii="Arial" w:cs="Arial" w:eastAsia="Arial" w:hAnsi="Arial"/>
                <w:sz w:val="18"/>
                <w:szCs w:val="18"/>
                <w:color w:val="auto"/>
              </w:rPr>
              <w:t>$700 3.650% senior notes due 2023</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697</w:t>
            </w:r>
          </w:p>
        </w:tc>
      </w:tr>
      <w:tr>
        <w:trPr>
          <w:trHeight w:val="27"/>
        </w:trPr>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$300 3.850% senior notes due 2025</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9440" w:type="dxa"/>
            <w:vAlign w:val="bottom"/>
            <w:gridSpan w:val="3"/>
          </w:tcPr>
          <w:p>
            <w:pPr>
              <w:ind w:left="40"/>
              <w:spacing w:after="0"/>
              <w:rPr>
                <w:sz w:val="20"/>
                <w:szCs w:val="20"/>
                <w:color w:val="auto"/>
              </w:rPr>
            </w:pPr>
            <w:r>
              <w:rPr>
                <w:rFonts w:ascii="Arial" w:cs="Arial" w:eastAsia="Arial" w:hAnsi="Arial"/>
                <w:sz w:val="18"/>
                <w:szCs w:val="18"/>
                <w:color w:val="auto"/>
              </w:rPr>
              <w:t>$700 3.800% senior notes due 2026</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9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$800 4.200% senior notes due 2028</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7"/>
        </w:trPr>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4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values of the senior notes are based on the trading prices of the notes, which the Company has determined to be Level 2 in the FASB fair value hierarchy. Most of Roper’s other borrowings at December 31, 2018 were at various interest rates that adjust relatively frequently under its credit facility. The estimated fair value for these borrowings at December 31, 2018 approximated the carrying value of these borrowings.</w:t>
      </w:r>
    </w:p>
    <w:p>
      <w:pPr>
        <w:spacing w:after="0" w:line="16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Retirement and Other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Roper maintains four defined contribution retirement plans under the provisions of Section 401(k) of the IRC covering substantially all U.S.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Roper partially matches employee contributions. Costs related to all such plans were $31.2, $27.6 and $23.7 for 2018, 2017 and 2016, respectively.</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Roper also maintains various defined benefit retirement plans covering employees of non-U.S. and certain U.S. subsidiaries and a plan that supplements certain employees for the contribution ceiling applicable to the Section 401(k) plans. The costs and accumulated benefit obligations associated with each of these plans were not material.</w:t>
      </w:r>
    </w:p>
    <w:p>
      <w:pPr>
        <w:spacing w:after="0" w:line="18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Roper Technologies, Inc. 2016 Incentive Plan (“2016 Plan”) is a stock-based compensation plan used to grant incentive stock options, nonqualified stock options, restricted stock, stock appreciation rights or equivalent instruments to Roper’s employees, officers and directors. At December 31, 2018, 6.019 shares were available to grant under the 2016 Plan.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Roper Technologies, Inc., Employee Stock Purchase Plan (“ESPP”), all employees in the U.S. and Canada are eligible to designate up to 10% of eligible earnings to purchase Roper’s common stock at a 5% discount to the average closing price of its common stock at the beginning and end of a quarterly offering period. Common stock sold to the employees may be either treasury stock, stock purchased on the open market, or newly issued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for the years ended December 31, 2018, 2017 and 2016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benefit recognized in net earnings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2018, this expense included $29.4 associated with accelerated vesting due to the passing of our former executive chairman.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typically granted at prices not less than 100% of market value of the underlying stock at the date of grant.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vest over a period of three to five years from the grant date and expire ten years after the grant date. The Company recorded $23.2, $18.3, and $20.1 of compensation expense relating to outstanding options during 2018, 2017 and 2016, respectively, as a component of general and administrative expenses, primarily at corporate.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its option awards using the Black-Scholes option valuation model. The stock volatility for each grant is measured using the weighted-average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for periods within the contractual life of the option is based on the U.S. Treasury yield curve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67"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effect at the time of grant. The weighted-average fair value of options granted in 2018, 2017 and 2016 were calculated using the following weighted-average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gridSpan w:val="2"/>
          </w:tcPr>
          <w:p>
            <w:pPr>
              <w:ind w:left="7620"/>
              <w:spacing w:after="0"/>
              <w:rPr>
                <w:sz w:val="20"/>
                <w:szCs w:val="20"/>
                <w:color w:val="auto"/>
              </w:rPr>
            </w:pPr>
            <w:r>
              <w:rPr>
                <w:rFonts w:ascii="Arial" w:cs="Arial" w:eastAsia="Arial" w:hAnsi="Arial"/>
                <w:sz w:val="16"/>
                <w:szCs w:val="16"/>
                <w:b w:val="1"/>
                <w:bCs w:val="1"/>
                <w:color w:val="auto"/>
                <w:w w:val="84"/>
              </w:rPr>
              <w:t>2018</w:t>
            </w: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fair value ($)</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57.75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w:t>
            </w: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Risk-free interest rate (%)</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option life (years)</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Expected volatility (%)</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18.05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18.74</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21.35</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 (%)</w:t>
            </w:r>
          </w:p>
        </w:tc>
        <w:tc>
          <w:tcPr>
            <w:tcW w:w="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r>
      <w:tr>
        <w:trPr>
          <w:trHeight w:val="27"/>
        </w:trPr>
        <w:tc>
          <w:tcPr>
            <w:tcW w:w="7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activities with respect to its share-based compensation plans for the years ended December 31,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 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Weighted-average</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Aggregate intrinsic</w:t>
            </w:r>
          </w:p>
        </w:tc>
      </w:tr>
      <w:tr>
        <w:trPr>
          <w:trHeight w:val="210"/>
        </w:trPr>
        <w:tc>
          <w:tcPr>
            <w:tcW w:w="5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 term</w:t>
            </w:r>
          </w:p>
        </w:tc>
        <w:tc>
          <w:tcPr>
            <w:tcW w:w="140" w:type="dxa"/>
            <w:vAlign w:val="bottom"/>
          </w:tcPr>
          <w:p>
            <w:pPr>
              <w:spacing w:after="0"/>
              <w:rPr>
                <w:sz w:val="18"/>
                <w:szCs w:val="18"/>
                <w:color w:val="auto"/>
              </w:rPr>
            </w:pPr>
          </w:p>
        </w:tc>
        <w:tc>
          <w:tcPr>
            <w:tcW w:w="1460" w:type="dxa"/>
            <w:vAlign w:val="bottom"/>
          </w:tcPr>
          <w:p>
            <w:pPr>
              <w:jc w:val="right"/>
              <w:ind w:right="534"/>
              <w:spacing w:after="0"/>
              <w:rPr>
                <w:sz w:val="20"/>
                <w:szCs w:val="20"/>
                <w:color w:val="auto"/>
              </w:rPr>
            </w:pPr>
            <w:r>
              <w:rPr>
                <w:rFonts w:ascii="Arial" w:cs="Arial" w:eastAsia="Arial" w:hAnsi="Arial"/>
                <w:sz w:val="16"/>
                <w:szCs w:val="16"/>
                <w:b w:val="1"/>
                <w:bCs w:val="1"/>
                <w:color w:val="auto"/>
              </w:rPr>
              <w:t>value</w:t>
            </w:r>
          </w:p>
        </w:tc>
      </w:tr>
      <w:tr>
        <w:trPr>
          <w:trHeight w:val="40"/>
        </w:trPr>
        <w:tc>
          <w:tcPr>
            <w:tcW w:w="53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0.609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210.56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8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170.75</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368.6</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53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0.723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279.10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8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211.57</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284.0</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1"/>
        </w:trPr>
        <w:tc>
          <w:tcPr>
            <w:tcW w:w="538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223.1</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stock options outstanding at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center"/>
              <w:ind w:right="1599"/>
              <w:spacing w:after="0"/>
              <w:rPr>
                <w:sz w:val="20"/>
                <w:szCs w:val="20"/>
                <w:color w:val="auto"/>
              </w:rPr>
            </w:pPr>
            <w:r>
              <w:rPr>
                <w:rFonts w:ascii="Arial" w:cs="Arial" w:eastAsia="Arial" w:hAnsi="Arial"/>
                <w:sz w:val="16"/>
                <w:szCs w:val="16"/>
                <w:b w:val="1"/>
                <w:bCs w:val="1"/>
                <w:color w:val="auto"/>
                <w:w w:val="89"/>
              </w:rPr>
              <w:t>Outstanding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gridSpan w:val="3"/>
          </w:tcPr>
          <w:p>
            <w:pPr>
              <w:jc w:val="right"/>
              <w:ind w:right="477"/>
              <w:spacing w:after="0"/>
              <w:rPr>
                <w:sz w:val="20"/>
                <w:szCs w:val="20"/>
                <w:color w:val="auto"/>
              </w:rPr>
            </w:pPr>
            <w:r>
              <w:rPr>
                <w:rFonts w:ascii="Arial" w:cs="Arial" w:eastAsia="Arial" w:hAnsi="Arial"/>
                <w:sz w:val="16"/>
                <w:szCs w:val="16"/>
                <w:b w:val="1"/>
                <w:bCs w:val="1"/>
                <w:color w:val="auto"/>
                <w:w w:val="88"/>
              </w:rPr>
              <w:t>Exercisable options</w:t>
            </w:r>
          </w:p>
        </w:tc>
        <w:tc>
          <w:tcPr>
            <w:tcW w:w="620" w:type="dxa"/>
            <w:vAlign w:val="bottom"/>
          </w:tcPr>
          <w:p>
            <w:pPr>
              <w:spacing w:after="0"/>
              <w:rPr>
                <w:sz w:val="18"/>
                <w:szCs w:val="18"/>
                <w:color w:val="auto"/>
              </w:rPr>
            </w:pPr>
          </w:p>
        </w:tc>
      </w:tr>
      <w:tr>
        <w:trPr>
          <w:trHeight w:val="40"/>
        </w:trPr>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537"/>
              <w:spacing w:after="0"/>
              <w:rPr>
                <w:sz w:val="20"/>
                <w:szCs w:val="20"/>
                <w:color w:val="auto"/>
              </w:rPr>
            </w:pPr>
            <w:r>
              <w:rPr>
                <w:rFonts w:ascii="Arial" w:cs="Arial" w:eastAsia="Arial" w:hAnsi="Arial"/>
                <w:sz w:val="16"/>
                <w:szCs w:val="16"/>
                <w:b w:val="1"/>
                <w:bCs w:val="1"/>
                <w:color w:val="auto"/>
                <w:w w:val="88"/>
              </w:rPr>
              <w:t>Average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537"/>
              <w:spacing w:after="0"/>
              <w:rPr>
                <w:sz w:val="20"/>
                <w:szCs w:val="20"/>
                <w:color w:val="auto"/>
              </w:rPr>
            </w:pPr>
            <w:r>
              <w:rPr>
                <w:rFonts w:ascii="Arial" w:cs="Arial" w:eastAsia="Arial" w:hAnsi="Arial"/>
                <w:sz w:val="16"/>
                <w:szCs w:val="16"/>
                <w:b w:val="1"/>
                <w:bCs w:val="1"/>
                <w:color w:val="auto"/>
                <w:w w:val="91"/>
              </w:rPr>
              <w:t>Average</w:t>
            </w:r>
          </w:p>
        </w:tc>
        <w:tc>
          <w:tcPr>
            <w:tcW w:w="62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left="537"/>
              <w:spacing w:after="0"/>
              <w:rPr>
                <w:sz w:val="20"/>
                <w:szCs w:val="20"/>
                <w:color w:val="auto"/>
              </w:rPr>
            </w:pPr>
            <w:r>
              <w:rPr>
                <w:rFonts w:ascii="Arial" w:cs="Arial" w:eastAsia="Arial" w:hAnsi="Arial"/>
                <w:sz w:val="16"/>
                <w:szCs w:val="16"/>
                <w:b w:val="1"/>
                <w:bCs w:val="1"/>
                <w:color w:val="auto"/>
                <w:w w:val="87"/>
              </w:rPr>
              <w:t>exercise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left="179"/>
              <w:spacing w:after="0"/>
              <w:rPr>
                <w:sz w:val="20"/>
                <w:szCs w:val="20"/>
                <w:color w:val="auto"/>
              </w:rPr>
            </w:pPr>
            <w:r>
              <w:rPr>
                <w:rFonts w:ascii="Arial" w:cs="Arial" w:eastAsia="Arial" w:hAnsi="Arial"/>
                <w:sz w:val="16"/>
                <w:szCs w:val="16"/>
                <w:b w:val="1"/>
                <w:bCs w:val="1"/>
                <w:color w:val="auto"/>
                <w:w w:val="91"/>
              </w:rPr>
              <w:t>Average remaining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left="537"/>
              <w:spacing w:after="0"/>
              <w:rPr>
                <w:sz w:val="20"/>
                <w:szCs w:val="20"/>
                <w:color w:val="auto"/>
              </w:rPr>
            </w:pPr>
            <w:r>
              <w:rPr>
                <w:rFonts w:ascii="Arial" w:cs="Arial" w:eastAsia="Arial" w:hAnsi="Arial"/>
                <w:sz w:val="16"/>
                <w:szCs w:val="16"/>
                <w:b w:val="1"/>
                <w:bCs w:val="1"/>
                <w:color w:val="auto"/>
                <w:w w:val="84"/>
              </w:rPr>
              <w:t>exercise</w:t>
            </w:r>
          </w:p>
        </w:tc>
        <w:tc>
          <w:tcPr>
            <w:tcW w:w="620" w:type="dxa"/>
            <w:vAlign w:val="bottom"/>
          </w:tcPr>
          <w:p>
            <w:pPr>
              <w:spacing w:after="0"/>
              <w:rPr>
                <w:sz w:val="17"/>
                <w:szCs w:val="17"/>
                <w:color w:val="auto"/>
              </w:rPr>
            </w:pPr>
          </w:p>
        </w:tc>
      </w:tr>
      <w:tr>
        <w:trPr>
          <w:trHeight w:val="210"/>
        </w:trPr>
        <w:tc>
          <w:tcPr>
            <w:tcW w:w="1840" w:type="dxa"/>
            <w:vAlign w:val="bottom"/>
            <w:gridSpan w:val="2"/>
          </w:tcPr>
          <w:p>
            <w:pPr>
              <w:ind w:left="380"/>
              <w:spacing w:after="0"/>
              <w:rPr>
                <w:sz w:val="20"/>
                <w:szCs w:val="20"/>
                <w:color w:val="auto"/>
              </w:rPr>
            </w:pPr>
            <w:r>
              <w:rPr>
                <w:rFonts w:ascii="Arial" w:cs="Arial" w:eastAsia="Arial" w:hAnsi="Arial"/>
                <w:sz w:val="16"/>
                <w:szCs w:val="16"/>
                <w:b w:val="1"/>
                <w:bCs w:val="1"/>
                <w:color w:val="auto"/>
              </w:rPr>
              <w:t>Exercise price</w:t>
            </w:r>
          </w:p>
        </w:tc>
        <w:tc>
          <w:tcPr>
            <w:tcW w:w="1840" w:type="dxa"/>
            <w:vAlign w:val="bottom"/>
          </w:tcPr>
          <w:p>
            <w:pPr>
              <w:jc w:val="right"/>
              <w:ind w:right="531"/>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1220" w:type="dxa"/>
            <w:vAlign w:val="bottom"/>
          </w:tcPr>
          <w:p>
            <w:pPr>
              <w:jc w:val="center"/>
              <w:ind w:left="537"/>
              <w:spacing w:after="0"/>
              <w:rPr>
                <w:sz w:val="20"/>
                <w:szCs w:val="20"/>
                <w:color w:val="auto"/>
              </w:rPr>
            </w:pPr>
            <w:r>
              <w:rPr>
                <w:rFonts w:ascii="Arial" w:cs="Arial" w:eastAsia="Arial" w:hAnsi="Arial"/>
                <w:sz w:val="16"/>
                <w:szCs w:val="16"/>
                <w:b w:val="1"/>
                <w:bCs w:val="1"/>
                <w:color w:val="auto"/>
                <w:w w:val="94"/>
              </w:rPr>
              <w:t>price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left="179"/>
              <w:spacing w:after="0"/>
              <w:rPr>
                <w:sz w:val="20"/>
                <w:szCs w:val="20"/>
                <w:color w:val="auto"/>
              </w:rPr>
            </w:pPr>
            <w:r>
              <w:rPr>
                <w:rFonts w:ascii="Arial" w:cs="Arial" w:eastAsia="Arial" w:hAnsi="Arial"/>
                <w:sz w:val="16"/>
                <w:szCs w:val="16"/>
                <w:b w:val="1"/>
                <w:bCs w:val="1"/>
                <w:color w:val="auto"/>
                <w:w w:val="89"/>
              </w:rPr>
              <w:t>life (years)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ind w:left="620"/>
              <w:spacing w:after="0"/>
              <w:rPr>
                <w:sz w:val="20"/>
                <w:szCs w:val="20"/>
                <w:color w:val="auto"/>
              </w:rPr>
            </w:pPr>
            <w:r>
              <w:rPr>
                <w:rFonts w:ascii="Arial" w:cs="Arial" w:eastAsia="Arial" w:hAnsi="Arial"/>
                <w:sz w:val="16"/>
                <w:szCs w:val="16"/>
                <w:b w:val="1"/>
                <w:bCs w:val="1"/>
                <w:color w:val="auto"/>
                <w:w w:val="92"/>
              </w:rPr>
              <w:t>Number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537"/>
              <w:spacing w:after="0"/>
              <w:rPr>
                <w:sz w:val="20"/>
                <w:szCs w:val="20"/>
                <w:color w:val="auto"/>
              </w:rPr>
            </w:pPr>
            <w:r>
              <w:rPr>
                <w:rFonts w:ascii="Arial" w:cs="Arial" w:eastAsia="Arial" w:hAnsi="Arial"/>
                <w:sz w:val="16"/>
                <w:szCs w:val="16"/>
                <w:b w:val="1"/>
                <w:bCs w:val="1"/>
                <w:color w:val="auto"/>
                <w:w w:val="88"/>
              </w:rPr>
              <w:t>price</w:t>
            </w:r>
          </w:p>
        </w:tc>
        <w:tc>
          <w:tcPr>
            <w:tcW w:w="620" w:type="dxa"/>
            <w:vAlign w:val="bottom"/>
          </w:tcPr>
          <w:p>
            <w:pPr>
              <w:spacing w:after="0"/>
              <w:rPr>
                <w:sz w:val="18"/>
                <w:szCs w:val="18"/>
                <w:color w:val="auto"/>
              </w:rPr>
            </w:pPr>
          </w:p>
        </w:tc>
      </w:tr>
      <w:tr>
        <w:trPr>
          <w:trHeight w:val="40"/>
        </w:trPr>
        <w:tc>
          <w:tcPr>
            <w:tcW w:w="1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0"/>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$41.78 - $60.80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0.121</w:t>
            </w:r>
          </w:p>
        </w:tc>
        <w:tc>
          <w:tcPr>
            <w:tcW w:w="1340" w:type="dxa"/>
            <w:vAlign w:val="bottom"/>
            <w:tcBorders>
              <w:bottom w:val="single" w:sz="8" w:color="CCEEFF"/>
            </w:tcBorders>
            <w:gridSpan w:val="2"/>
            <w:shd w:val="clear" w:color="auto" w:fill="CCEEFF"/>
          </w:tcPr>
          <w:p>
            <w:pPr>
              <w:jc w:val="right"/>
              <w:ind w:right="1017"/>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0.121</w:t>
            </w:r>
          </w:p>
        </w:tc>
        <w:tc>
          <w:tcPr>
            <w:tcW w:w="1320" w:type="dxa"/>
            <w:vAlign w:val="bottom"/>
            <w:tcBorders>
              <w:bottom w:val="single" w:sz="8" w:color="CCEEFF"/>
            </w:tcBorders>
            <w:gridSpan w:val="2"/>
            <w:shd w:val="clear" w:color="auto" w:fill="CCEEFF"/>
          </w:tcPr>
          <w:p>
            <w:pPr>
              <w:jc w:val="right"/>
              <w:ind w:right="997"/>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48.49</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$60.80 - $91.21</w:t>
            </w:r>
          </w:p>
        </w:tc>
        <w:tc>
          <w:tcPr>
            <w:tcW w:w="12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0.149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0.149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72.06</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$91.21 - $121.61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107.23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107.23</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$121.61 - $152.01</w:t>
            </w:r>
          </w:p>
        </w:tc>
        <w:tc>
          <w:tcPr>
            <w:tcW w:w="12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0.436</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136.54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0.436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136.54</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$152.01 - $182.41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169.01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167.63</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$182.41 - $212.81</w:t>
            </w:r>
          </w:p>
        </w:tc>
        <w:tc>
          <w:tcPr>
            <w:tcW w:w="12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0.534</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201.40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0.055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186.22</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$212.81 - $243.22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230.02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0.008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227.94</w:t>
            </w:r>
          </w:p>
        </w:tc>
      </w:tr>
      <w:tr>
        <w:trPr>
          <w:trHeight w:val="243"/>
        </w:trPr>
        <w:tc>
          <w:tcPr>
            <w:tcW w:w="1720" w:type="dxa"/>
            <w:vAlign w:val="bottom"/>
          </w:tcPr>
          <w:p>
            <w:pPr>
              <w:jc w:val="right"/>
              <w:spacing w:after="0"/>
              <w:rPr>
                <w:sz w:val="20"/>
                <w:szCs w:val="20"/>
                <w:color w:val="auto"/>
              </w:rPr>
            </w:pPr>
            <w:r>
              <w:rPr>
                <w:rFonts w:ascii="Arial" w:cs="Arial" w:eastAsia="Arial" w:hAnsi="Arial"/>
                <w:sz w:val="18"/>
                <w:szCs w:val="18"/>
                <w:color w:val="auto"/>
              </w:rPr>
              <w:t>$243.22 - $273.62</w:t>
            </w:r>
          </w:p>
        </w:tc>
        <w:tc>
          <w:tcPr>
            <w:tcW w:w="12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0.027</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258.82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9.0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260.01</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82"/>
        </w:trPr>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$273.62 - $304.02</w:t>
            </w:r>
          </w:p>
        </w:tc>
        <w:tc>
          <w:tcPr>
            <w:tcW w:w="1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0.699</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279.24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9.2</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$41.78 - 304.02</w:t>
            </w:r>
          </w:p>
        </w:tc>
        <w:tc>
          <w:tcPr>
            <w:tcW w:w="120" w:type="dxa"/>
            <w:vAlign w:val="bottom"/>
            <w:tcBorders>
              <w:top w:val="single" w:sz="8" w:color="CCEEFF"/>
            </w:tcBorders>
          </w:tcPr>
          <w:p>
            <w:pPr>
              <w:spacing w:after="0"/>
              <w:rPr>
                <w:sz w:val="22"/>
                <w:szCs w:val="22"/>
                <w:color w:val="auto"/>
              </w:rPr>
            </w:pPr>
          </w:p>
        </w:tc>
        <w:tc>
          <w:tcPr>
            <w:tcW w:w="1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3.205</w:t>
            </w:r>
          </w:p>
        </w:tc>
        <w:tc>
          <w:tcPr>
            <w:tcW w:w="120" w:type="dxa"/>
            <w:vAlign w:val="bottom"/>
            <w:tcBorders>
              <w:top w:val="single" w:sz="8" w:color="CCEEFF"/>
            </w:tcBorders>
          </w:tcPr>
          <w:p>
            <w:pPr>
              <w:spacing w:after="0"/>
              <w:rPr>
                <w:sz w:val="22"/>
                <w:szCs w:val="22"/>
                <w:color w:val="auto"/>
              </w:rPr>
            </w:pPr>
          </w:p>
        </w:tc>
        <w:tc>
          <w:tcPr>
            <w:tcW w:w="1220" w:type="dxa"/>
            <w:vAlign w:val="bottom"/>
            <w:tcBorders>
              <w:top w:val="single" w:sz="8" w:color="auto"/>
            </w:tcBorders>
          </w:tcPr>
          <w:p>
            <w:pPr>
              <w:jc w:val="right"/>
              <w:ind w:right="101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180.69</w:t>
            </w:r>
          </w:p>
        </w:tc>
        <w:tc>
          <w:tcPr>
            <w:tcW w:w="100" w:type="dxa"/>
            <w:vAlign w:val="bottom"/>
            <w:tcBorders>
              <w:top w:val="single" w:sz="8" w:color="CCEEFF"/>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6.6</w:t>
            </w:r>
          </w:p>
        </w:tc>
        <w:tc>
          <w:tcPr>
            <w:tcW w:w="100" w:type="dxa"/>
            <w:vAlign w:val="bottom"/>
            <w:tcBorders>
              <w:top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Borders>
              <w:top w:val="single" w:sz="8" w:color="CCEEFF"/>
            </w:tcBorders>
          </w:tcPr>
          <w:p>
            <w:pPr>
              <w:spacing w:after="0"/>
              <w:rPr>
                <w:sz w:val="22"/>
                <w:szCs w:val="22"/>
                <w:color w:val="auto"/>
              </w:rPr>
            </w:pPr>
          </w:p>
        </w:tc>
        <w:tc>
          <w:tcPr>
            <w:tcW w:w="1200" w:type="dxa"/>
            <w:vAlign w:val="bottom"/>
            <w:tcBorders>
              <w:top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129.39</w:t>
            </w: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there was $45.4 of total unrecognized compensation expense related to nonvested options granted under the Company’s share-based compensation plans. That cost is expected to be recognized over a weighted-average period of 2.5 years. The total intrinsic value of options exercised in 2018, 2017 and 2016 was $124.6, $90.6 and $38.9, respectively. Cash received from option exercises under all plans in 2018 and 2017 was $58.8 and $61.3, respectively.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Restricted Stock Grants </w:t>
      </w:r>
      <w:r>
        <w:rPr>
          <w:rFonts w:ascii="Arial" w:cs="Arial" w:eastAsia="Arial" w:hAnsi="Arial"/>
          <w:sz w:val="18"/>
          <w:szCs w:val="18"/>
          <w:color w:val="auto"/>
        </w:rPr>
        <w:t>- During 2018 and 2017, the Company granted 0.410 and 0.410 shares, respectively, of restricted stock to certain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participants under its share-based compensation plans. Restricted stock grants generally vest over a period of 1 to 4 years. The Company recorded $109.7, $63.0 and $57.8 of compensation expense related to outstanding shares of restricted stock held by employees and directors during 2018, 2017 and 2016, respectively. In 2018, this expense included $29.4</w:t>
      </w:r>
    </w:p>
    <w:p>
      <w:pPr>
        <w:sectPr>
          <w:pgSz w:w="11900" w:h="16838" w:orient="portrait"/>
          <w:cols w:equalWidth="0" w:num="1">
            <w:col w:w="11420"/>
          </w:cols>
          <w:pgMar w:left="240" w:top="58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84" w:right="239" w:bottom="1440" w:gutter="0" w:footer="0" w:header="0"/>
          <w:type w:val="continuous"/>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associated with accelerated vesting due to the passing of our former executive chairman. A summary of the Company’s nonvested shares activity for 2018 and 2017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Weighted-average</w:t>
            </w:r>
          </w:p>
        </w:tc>
      </w:tr>
      <w:tr>
        <w:trPr>
          <w:trHeight w:val="203"/>
        </w:trPr>
        <w:tc>
          <w:tcPr>
            <w:tcW w:w="82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4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grant date</w:t>
            </w:r>
          </w:p>
        </w:tc>
      </w:tr>
      <w:tr>
        <w:trPr>
          <w:trHeight w:val="210"/>
        </w:trPr>
        <w:tc>
          <w:tcPr>
            <w:tcW w:w="82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8"/>
                <w:szCs w:val="18"/>
                <w:color w:val="auto"/>
              </w:rPr>
            </w:pPr>
          </w:p>
        </w:tc>
        <w:tc>
          <w:tcPr>
            <w:tcW w:w="144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fair value</w:t>
            </w:r>
          </w:p>
        </w:tc>
      </w:tr>
      <w:tr>
        <w:trPr>
          <w:trHeight w:val="40"/>
        </w:trPr>
        <w:tc>
          <w:tcPr>
            <w:tcW w:w="8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205.88</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155.95</w:t>
            </w:r>
          </w:p>
        </w:tc>
      </w:tr>
      <w:tr>
        <w:trPr>
          <w:trHeight w:val="284"/>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173.53</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187.01</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278.29</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204.24</w:t>
            </w:r>
          </w:p>
        </w:tc>
      </w:tr>
      <w:tr>
        <w:trPr>
          <w:trHeight w:val="284"/>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191.51</w:t>
            </w: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225.93</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there was $86.6 of total unrecognized compensation expense related to nonvested awards granted to both employees and directors under the Company’s share-based compensation plans. That cost is expected to be recognized over a weighted-average period of 2.1 years. Unrecognized compensation expense related to nonvested shares of restricted stock grants is recorded as a reduction to additional paid-in capital in stockholder’s equity at December 31, 2018.</w:t>
      </w:r>
    </w:p>
    <w:p>
      <w:pPr>
        <w:spacing w:after="0" w:line="18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 During 2018, 2017 and 2016, participants of the ESPP purchased 0.020, 0.020 and 0.019 shares, respectively, of Roper’s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for total consideration of $5.4, $4.2, and $3.3, respectively. All of these shares were purchased from Roper’s treasury shares.</w:t>
      </w:r>
    </w:p>
    <w:p>
      <w:pPr>
        <w:spacing w:after="0" w:line="142"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Roper, in the ordinary course of business, is the subject of, or a party to, various pending or threatened legal actions, including product liability and employment practices that, in general, are based upon claims of the kind that have been customary over the past several years and which the Company is vigorously defending. After analyzing the Company’s contingent liabilities on a gross basis and, based upon past experience with resolution of its product liability and employment practices claims and the limits of the primary, excess, and umbrella liability insurance coverages that are available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Roper or its subsidiaries have been named defendants along with numerous industrial companies in asbestos-related litigation claims in certain U.S. states. No significant resources have been required by Roper to respond to these cases and Roper believes it has valid defenses to such claims and, if required, intends to defend them vigorously. Given the state of these claims it is not possible to determine the potential liability, if any. In April 2018, a stockholder derivative complaint was filed in Sarasota County, Florida against the Company, nominally, and its directors and former chairman &amp; chief executive officer (“CEO”), alleging the directors breached their fiduciary duties and were unjustly enriched by the compensation earned by the nonexecutive directors and the CEO in 2015 and 2016. A motion to dismiss the complaint is pending.</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Roper’s rent expense was $61.7, $58.6 and $44.9 for 2018, 2017 and 2016, respectively. Roper’s future minimum property lease commitments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6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2022</w:t>
            </w:r>
          </w:p>
        </w:tc>
        <w:tc>
          <w:tcPr>
            <w:tcW w:w="6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8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8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7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Arial" w:cs="Arial" w:eastAsia="Arial" w:hAnsi="Arial"/>
                <w:sz w:val="18"/>
                <w:szCs w:val="18"/>
                <w:color w:val="auto"/>
              </w:rPr>
              <w:t>54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 summary of the Company’s warranty accrual activity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40"/>
        </w:trPr>
        <w:tc>
          <w:tcPr>
            <w:tcW w:w="70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Additions charged to costs and expenses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Deductions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Warranty related to liabilities held for sale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included warranty balances at acquired businesses at the dates of acquisition, the effects of foreign currency translation adjustments, reclassifications and other.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December 31, 2018</w:t>
      </w:r>
      <w:r>
        <w:rPr>
          <w:rFonts w:ascii="Arial" w:cs="Arial" w:eastAsia="Arial" w:hAnsi="Arial"/>
          <w:sz w:val="18"/>
          <w:szCs w:val="18"/>
          <w:color w:val="252525"/>
        </w:rPr>
        <w:t xml:space="preserve">, Roper had </w:t>
      </w:r>
      <w:r>
        <w:rPr>
          <w:rFonts w:ascii="Arial" w:cs="Arial" w:eastAsia="Arial" w:hAnsi="Arial"/>
          <w:sz w:val="18"/>
          <w:szCs w:val="18"/>
          <w:color w:val="000000"/>
        </w:rPr>
        <w:t>$78.7</w:t>
      </w:r>
      <w:r>
        <w:rPr>
          <w:rFonts w:ascii="Arial" w:cs="Arial" w:eastAsia="Arial" w:hAnsi="Arial"/>
          <w:sz w:val="18"/>
          <w:szCs w:val="18"/>
          <w:color w:val="252525"/>
        </w:rPr>
        <w:t xml:space="preserve"> of letters of credit issued to guarantee its performance under certain services contracts or to support certain insurance programs and </w:t>
      </w:r>
      <w:r>
        <w:rPr>
          <w:rFonts w:ascii="Arial" w:cs="Arial" w:eastAsia="Arial" w:hAnsi="Arial"/>
          <w:sz w:val="18"/>
          <w:szCs w:val="18"/>
          <w:color w:val="000000"/>
        </w:rPr>
        <w:t>$582.6</w:t>
      </w:r>
      <w:r>
        <w:rPr>
          <w:rFonts w:ascii="Arial" w:cs="Arial" w:eastAsia="Arial" w:hAnsi="Arial"/>
          <w:sz w:val="18"/>
          <w:szCs w:val="18"/>
          <w:color w:val="252525"/>
        </w:rPr>
        <w:t xml:space="preserve"> of outstanding surety bonds. Certain contracts, primarily those involving public sector customers, require Roper to provide a surety bond as a guarantee of its performance of contractual obligations.</w:t>
      </w:r>
    </w:p>
    <w:p>
      <w:pPr>
        <w:spacing w:after="0" w:line="18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and Geographic Area Information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Roper’s operations are reported in four segments around common customers, markets, sales channels, technologies and common cost opportunities. The segments are: RF Technology, Medical &amp; Scientific Imaging, Industrial Technology and Energy Systems &amp; Controls. The RF Technology segment provides comprehensive application management software, software-as-a-service applications and products and systems that utilize RFID communication technology. The Medical &amp; Scientific Imaging segment offers medical products and software and high performance digital imaging products and software. Products included within the Industrial Technology segment are water and fluid handling pumps, flow measurement and metering equipment, industrial valves and controls, materials analysis equipment and consumables and industrial leak testing. The Energy Systems &amp; Controls segment’s products include control systems, equipment and consumables for fluid properties testing, vibration sensors and other non-destructive inspection and measurement products and services. Roper’s management structure and internal reporting are aligned consistently with these four segments.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end of the first quarter of 2019, Roper’s management expects to finalize the realignment of the Company’s reportable segments. Roper’s management believes the new reporting structure continues to provide a transparent view into the operations of the Company while more closely aligning the structure with management’s view given the evolution the Company’s portfolio has undergone in recent years. The Company expects to report the first quarter 2019 interim financial statements under the new segment structure with prior periods recasted to reflect the change.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material transactions between Roper’s business segments during 2018, 2017 and 2016. Sales between geographic areas are primarily of finished products and are accounted for at prices intended to represent third-party prices. Operating profit by business segment and by geographic area is defined as net revenues less operating costs and expenses. These costs and expenses do not include unallocated corporate administrative expenses. Items below income from operations on Roper’s statement of earnings are not allocated to business segments.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assets are those assets used primarily in the operations of each business segment or geographic area. Corporate assets are principally comprised of cash and cash equivalents, deferred tax assets, recoverable insurance claims, deferred compensation assets and property and equipment.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Selected financial information by business segment for 2018, 2017 and 2016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Medical &amp;</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Scientific</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Industrial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Energy Systems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RF Technology</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Imaging</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Technology</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&amp; Controls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Operating assets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13,188.9</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assets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1,206.2</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6,660.9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12,295.5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14,316.4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Capitalized software expenditures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other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Operating assets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12,303.0</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14,324.9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232" w:lineRule="auto"/>
        <w:tabs>
          <w:tab w:leader="none" w:pos="94"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Includes Operating assets of $91.8 and Intangible assets, net of $159.4 associated with the Scientific Imaging businesses classified as held for sale. See Note 2 of the Notes to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Summarized data for Roper’s U.S. and foreign operations (principally in Canada, Europe and Asia) for 2018, 2017 and 2016, based upon the country of origin of the Roper entity making the sale,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United States</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Non-U.S.</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to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5,191.2</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Sales between geographic areas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2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1"/>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to unaffiliated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3,679.1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4,607.5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between geographic areas</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3,812.3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1,116.1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4,607.5</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to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3,789.9</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Sales between geographic areas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3,789.9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0" w:firstLine="8"/>
        <w:spacing w:after="0" w:line="232" w:lineRule="auto"/>
        <w:tabs>
          <w:tab w:leader="none" w:pos="94" w:val="left"/>
        </w:tabs>
        <w:numPr>
          <w:ilvl w:val="0"/>
          <w:numId w:val="23"/>
        </w:numPr>
        <w:rPr>
          <w:rFonts w:ascii="Arial" w:cs="Arial" w:eastAsia="Arial" w:hAnsi="Arial"/>
          <w:sz w:val="23"/>
          <w:szCs w:val="23"/>
          <w:color w:val="auto"/>
          <w:vertAlign w:val="superscript"/>
        </w:rPr>
      </w:pPr>
      <w:r>
        <w:rPr>
          <w:rFonts w:ascii="Arial" w:cs="Arial" w:eastAsia="Arial" w:hAnsi="Arial"/>
          <w:sz w:val="15"/>
          <w:szCs w:val="15"/>
          <w:color w:val="auto"/>
        </w:rPr>
        <w:t>Excludes Long-lived assets of $7.6 associated with the Scientific Imaging businesses classified as held for sale. See Note 2 of the Notes to Consolidated Financial Statements included in this Annual Report.</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Export sales from the U.S. during the years ended December 31, 2018, 2017 and 2016 were $578, $513 and $460, respectively. In the year ended December 31, 2018, these exports were shipped primarily to Asia (34%), Europe (27%), Canada (16%), Middle East (13%) and other (10%).</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to customers outside the U.S. accounted for a significant portion of Roper’s revenues. Sales are attributed to geographic areas based upon the location where the product is ultimately shipped. Roper’s net revenues for the years ended December 31, 2018, 2017 and 2016 are shown below by region, except for Canada, which is presented separately as it is the only country in which Roper has had greater than 4% of total revenues for any of the three years presented: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Medical &amp;</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Energy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Scientific</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Industrial</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Systems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RF Technology</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Imaging</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Technology</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&amp; Controls</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Middle East</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30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Canada</w:t>
            </w: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8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Middle East</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64"/>
        </w:trPr>
        <w:tc>
          <w:tcPr>
            <w:tcW w:w="49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1440" w:gutter="0" w:footer="0" w:header="0"/>
        </w:sectPr>
      </w:pPr>
    </w:p>
    <w:bookmarkStart w:id="58" w:name="page59"/>
    <w:bookmarkEnd w:id="58"/>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Concentration of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credit risk consist primarily of cash, trade receivables and unbilled receivables.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maintains cash with various major financial institutions around the world. The Company limits the amount of credit exposure with any one financial institution and believes that no significant concentration of credit risk exists with respect to cash balances.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Trade and unbilled receivables subject the Company to the potential for credit risk with customers. To reduce credit risk, the Company performs ongoing evaluations of its customers’ financial condition.</w:t>
      </w:r>
    </w:p>
    <w:p>
      <w:pPr>
        <w:spacing w:after="0" w:line="170"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set forth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Balance Sheet Account</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2018</w:t>
            </w:r>
          </w:p>
        </w:tc>
        <w:tc>
          <w:tcPr>
            <w:tcW w:w="1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January 1, 2018</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6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 current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Contract liabilities - current </w:t>
            </w:r>
            <w:r>
              <w:rPr>
                <w:rFonts w:ascii="Arial" w:cs="Arial" w:eastAsia="Arial" w:hAnsi="Arial"/>
                <w:sz w:val="25"/>
                <w:szCs w:val="25"/>
                <w:color w:val="auto"/>
                <w:vertAlign w:val="superscript"/>
              </w:rPr>
              <w:t>(1)</w:t>
            </w:r>
          </w:p>
        </w:tc>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 non-current</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contract assets/(liabilities)</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r>
      <w:tr>
        <w:trPr>
          <w:trHeight w:val="20"/>
        </w:trPr>
        <w:tc>
          <w:tcPr>
            <w:tcW w:w="6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firstLine="8"/>
        <w:spacing w:after="0" w:line="309" w:lineRule="auto"/>
        <w:tabs>
          <w:tab w:leader="none" w:pos="178" w:val="left"/>
        </w:tabs>
        <w:numPr>
          <w:ilvl w:val="0"/>
          <w:numId w:val="26"/>
        </w:numPr>
        <w:rPr>
          <w:rFonts w:ascii="Arial" w:cs="Arial" w:eastAsia="Arial" w:hAnsi="Arial"/>
          <w:sz w:val="20"/>
          <w:szCs w:val="20"/>
          <w:color w:val="auto"/>
          <w:vertAlign w:val="superscript"/>
        </w:rPr>
      </w:pPr>
      <w:r>
        <w:rPr>
          <w:rFonts w:ascii="Arial" w:cs="Arial" w:eastAsia="Arial" w:hAnsi="Arial"/>
          <w:sz w:val="13"/>
          <w:szCs w:val="13"/>
          <w:color w:val="auto"/>
        </w:rPr>
        <w:t>Consists of “Deferred revenue,” billings in-excess of revenues (“BIE”) and customer deposits. BIE and customer deposits are reported in “Other accrued liabilities” in our consolidated balance sheets.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our net contract assets/(liabilities) from January 1, 2018 to December 31, 2018 was due primarily to the timing of payments and invoicing relating to SaaS and PCS renewals, partially offset by revenues recognized in the year ended December 31, 2018 of $605.5, related to our contract liability balances at January 1, 2018. In addition, the impact of the 2018 business acquisitions increased net contract liabilities by $35.8, partially offset by the classification of our scientific imaging businesses as held for sale, which decreased net contract liabilities by $10.7.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determine revenues recognized in the period from contract liabilities, we allocate revenue to the individual deferred revenue, BIE or customer deposit balance outstanding at the beginning of the year until the revenue exceeds that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recognized on our accounts receivable and unbilled receivables were immaterial in the year ended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Second Quarter</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Third Quarter</w:t>
            </w:r>
          </w:p>
        </w:tc>
        <w:tc>
          <w:tcPr>
            <w:tcW w:w="14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5"/>
              </w:rPr>
              <w:t>Fourth Quarter</w:t>
            </w:r>
          </w:p>
        </w:tc>
        <w:tc>
          <w:tcPr>
            <w:tcW w:w="0" w:type="dxa"/>
            <w:vAlign w:val="bottom"/>
          </w:tcPr>
          <w:p>
            <w:pPr>
              <w:spacing w:after="0"/>
              <w:rPr>
                <w:sz w:val="1"/>
                <w:szCs w:val="1"/>
                <w:color w:val="auto"/>
              </w:rPr>
            </w:pPr>
          </w:p>
        </w:tc>
      </w:tr>
      <w:tr>
        <w:trPr>
          <w:trHeight w:val="40"/>
        </w:trPr>
        <w:tc>
          <w:tcPr>
            <w:tcW w:w="5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1,376.3</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agree with the total for the year due to rounding.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584" w:right="29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ROPER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Consolidated Valuation and Qualifying Accounts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2018, 2017 and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ind w:right="174"/>
              <w:spacing w:after="0"/>
              <w:rPr>
                <w:sz w:val="20"/>
                <w:szCs w:val="20"/>
                <w:color w:val="auto"/>
              </w:rPr>
            </w:pPr>
            <w:r>
              <w:rPr>
                <w:rFonts w:ascii="Arial" w:cs="Arial" w:eastAsia="Arial" w:hAnsi="Arial"/>
                <w:sz w:val="16"/>
                <w:szCs w:val="16"/>
                <w:b w:val="1"/>
                <w:bCs w:val="1"/>
                <w:color w:val="auto"/>
                <w:w w:val="92"/>
              </w:rPr>
              <w:t>Additions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center"/>
              <w:ind w:right="273"/>
              <w:spacing w:after="0"/>
              <w:rPr>
                <w:sz w:val="20"/>
                <w:szCs w:val="20"/>
                <w:color w:val="auto"/>
              </w:rPr>
            </w:pPr>
            <w:r>
              <w:rPr>
                <w:rFonts w:ascii="Arial" w:cs="Arial" w:eastAsia="Arial" w:hAnsi="Arial"/>
                <w:sz w:val="16"/>
                <w:szCs w:val="16"/>
                <w:b w:val="1"/>
                <w:bCs w:val="1"/>
                <w:color w:val="auto"/>
                <w:w w:val="89"/>
              </w:rPr>
              <w:t>Balance at</w:t>
            </w:r>
          </w:p>
        </w:tc>
        <w:tc>
          <w:tcPr>
            <w:tcW w:w="340" w:type="dxa"/>
            <w:vAlign w:val="bottom"/>
          </w:tcPr>
          <w:p>
            <w:pPr>
              <w:spacing w:after="0"/>
              <w:rPr>
                <w:sz w:val="17"/>
                <w:szCs w:val="17"/>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0"/>
              </w:rPr>
              <w:t>charged to</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center"/>
              <w:ind w:right="273"/>
              <w:spacing w:after="0"/>
              <w:rPr>
                <w:sz w:val="20"/>
                <w:szCs w:val="20"/>
                <w:color w:val="auto"/>
              </w:rPr>
            </w:pPr>
            <w:r>
              <w:rPr>
                <w:rFonts w:ascii="Arial" w:cs="Arial" w:eastAsia="Arial" w:hAnsi="Arial"/>
                <w:sz w:val="16"/>
                <w:szCs w:val="16"/>
                <w:b w:val="1"/>
                <w:bCs w:val="1"/>
                <w:color w:val="auto"/>
                <w:w w:val="88"/>
              </w:rPr>
              <w:t>beginning</w:t>
            </w:r>
          </w:p>
        </w:tc>
        <w:tc>
          <w:tcPr>
            <w:tcW w:w="340" w:type="dxa"/>
            <w:vAlign w:val="bottom"/>
          </w:tcPr>
          <w:p>
            <w:pPr>
              <w:spacing w:after="0"/>
              <w:rPr>
                <w:sz w:val="17"/>
                <w:szCs w:val="17"/>
                <w:color w:val="auto"/>
              </w:rPr>
            </w:pPr>
          </w:p>
        </w:tc>
        <w:tc>
          <w:tcPr>
            <w:tcW w:w="1260" w:type="dxa"/>
            <w:vAlign w:val="bottom"/>
          </w:tcPr>
          <w:p>
            <w:pPr>
              <w:jc w:val="center"/>
              <w:ind w:right="174"/>
              <w:spacing w:after="0"/>
              <w:rPr>
                <w:sz w:val="20"/>
                <w:szCs w:val="20"/>
                <w:color w:val="auto"/>
              </w:rPr>
            </w:pPr>
            <w:r>
              <w:rPr>
                <w:rFonts w:ascii="Arial" w:cs="Arial" w:eastAsia="Arial" w:hAnsi="Arial"/>
                <w:sz w:val="16"/>
                <w:szCs w:val="16"/>
                <w:b w:val="1"/>
                <w:bCs w:val="1"/>
                <w:color w:val="auto"/>
                <w:w w:val="85"/>
              </w:rPr>
              <w:t>costs and</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Arial" w:cs="Arial" w:eastAsia="Arial" w:hAnsi="Arial"/>
                <w:sz w:val="16"/>
                <w:szCs w:val="16"/>
                <w:b w:val="1"/>
                <w:bCs w:val="1"/>
                <w:color w:val="auto"/>
                <w:w w:val="91"/>
              </w:rPr>
              <w:t>end</w:t>
            </w:r>
          </w:p>
        </w:tc>
      </w:t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273"/>
              <w:spacing w:after="0"/>
              <w:rPr>
                <w:sz w:val="20"/>
                <w:szCs w:val="20"/>
                <w:color w:val="auto"/>
              </w:rPr>
            </w:pPr>
            <w:r>
              <w:rPr>
                <w:rFonts w:ascii="Arial" w:cs="Arial" w:eastAsia="Arial" w:hAnsi="Arial"/>
                <w:sz w:val="16"/>
                <w:szCs w:val="16"/>
                <w:b w:val="1"/>
                <w:bCs w:val="1"/>
                <w:color w:val="auto"/>
                <w:w w:val="91"/>
              </w:rPr>
              <w:t>of year</w:t>
            </w:r>
          </w:p>
        </w:tc>
        <w:tc>
          <w:tcPr>
            <w:tcW w:w="340" w:type="dxa"/>
            <w:vAlign w:val="bottom"/>
          </w:tcPr>
          <w:p>
            <w:pPr>
              <w:spacing w:after="0"/>
              <w:rPr>
                <w:sz w:val="18"/>
                <w:szCs w:val="18"/>
                <w:color w:val="auto"/>
              </w:rPr>
            </w:pPr>
          </w:p>
        </w:tc>
        <w:tc>
          <w:tcPr>
            <w:tcW w:w="1260" w:type="dxa"/>
            <w:vAlign w:val="bottom"/>
          </w:tcPr>
          <w:p>
            <w:pPr>
              <w:jc w:val="center"/>
              <w:ind w:right="174"/>
              <w:spacing w:after="0"/>
              <w:rPr>
                <w:sz w:val="20"/>
                <w:szCs w:val="20"/>
                <w:color w:val="auto"/>
              </w:rPr>
            </w:pPr>
            <w:r>
              <w:rPr>
                <w:rFonts w:ascii="Arial" w:cs="Arial" w:eastAsia="Arial" w:hAnsi="Arial"/>
                <w:sz w:val="16"/>
                <w:szCs w:val="16"/>
                <w:b w:val="1"/>
                <w:bCs w:val="1"/>
                <w:color w:val="auto"/>
                <w:w w:val="82"/>
              </w:rPr>
              <w:t>expenses</w:t>
            </w:r>
          </w:p>
        </w:tc>
        <w:tc>
          <w:tcPr>
            <w:tcW w:w="300" w:type="dxa"/>
            <w:vAlign w:val="bottom"/>
          </w:tcPr>
          <w:p>
            <w:pPr>
              <w:spacing w:after="0"/>
              <w:rPr>
                <w:sz w:val="18"/>
                <w:szCs w:val="18"/>
                <w:color w:val="auto"/>
              </w:rPr>
            </w:pP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Deductions</w:t>
            </w:r>
          </w:p>
        </w:tc>
        <w:tc>
          <w:tcPr>
            <w:tcW w:w="36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8"/>
                <w:szCs w:val="18"/>
                <w:color w:val="auto"/>
              </w:rPr>
            </w:pPr>
          </w:p>
        </w:tc>
        <w:tc>
          <w:tcPr>
            <w:tcW w:w="1220" w:type="dxa"/>
            <w:vAlign w:val="bottom"/>
          </w:tcPr>
          <w:p>
            <w:pPr>
              <w:jc w:val="center"/>
              <w:ind w:right="173"/>
              <w:spacing w:after="0"/>
              <w:rPr>
                <w:sz w:val="20"/>
                <w:szCs w:val="20"/>
                <w:color w:val="auto"/>
              </w:rPr>
            </w:pPr>
            <w:r>
              <w:rPr>
                <w:rFonts w:ascii="Arial" w:cs="Arial" w:eastAsia="Arial" w:hAnsi="Arial"/>
                <w:sz w:val="16"/>
                <w:szCs w:val="16"/>
                <w:b w:val="1"/>
                <w:bCs w:val="1"/>
                <w:color w:val="auto"/>
                <w:w w:val="91"/>
              </w:rPr>
              <w:t>of year</w:t>
            </w:r>
          </w:p>
        </w:tc>
      </w:tr>
      <w:tr>
        <w:trPr>
          <w:trHeight w:val="40"/>
        </w:trPr>
        <w:tc>
          <w:tcPr>
            <w:tcW w:w="3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5"/>
        </w:trPr>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000" w:type="dxa"/>
            <w:vAlign w:val="bottom"/>
            <w:gridSpan w:val="2"/>
          </w:tcPr>
          <w:p>
            <w:pPr>
              <w:ind w:left="40"/>
              <w:spacing w:after="0"/>
              <w:rPr>
                <w:sz w:val="20"/>
                <w:szCs w:val="20"/>
                <w:color w:val="auto"/>
              </w:rPr>
            </w:pPr>
            <w:r>
              <w:rPr>
                <w:rFonts w:ascii="Arial" w:cs="Arial" w:eastAsia="Arial" w:hAnsi="Arial"/>
                <w:sz w:val="18"/>
                <w:szCs w:val="18"/>
                <w:color w:val="auto"/>
                <w:w w:val="91"/>
              </w:rPr>
              <w:t>Allowance for doubtful accounts and sales allowances</w:t>
            </w: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r>
      <w:tr>
        <w:trPr>
          <w:trHeight w:val="243"/>
        </w:trPr>
        <w:tc>
          <w:tcPr>
            <w:tcW w:w="3660" w:type="dxa"/>
            <w:vAlign w:val="bottom"/>
          </w:tcPr>
          <w:p>
            <w:pPr>
              <w:jc w:val="right"/>
              <w:ind w:right="303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12.7</w:t>
            </w: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Reserve for inventory obsolescence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r>
      <w:tr>
        <w:trPr>
          <w:trHeight w:val="243"/>
        </w:trPr>
        <w:tc>
          <w:tcPr>
            <w:tcW w:w="3660" w:type="dxa"/>
            <w:vAlign w:val="bottom"/>
          </w:tcPr>
          <w:p>
            <w:pPr>
              <w:jc w:val="right"/>
              <w:ind w:right="303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38.1</w:t>
            </w: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660" w:type="dxa"/>
            <w:vAlign w:val="bottom"/>
            <w:shd w:val="clear" w:color="auto" w:fill="CCEEFF"/>
          </w:tcPr>
          <w:p>
            <w:pPr>
              <w:jc w:val="right"/>
              <w:ind w:right="303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r>
      <w:tr>
        <w:trPr>
          <w:trHeight w:val="27"/>
        </w:trPr>
        <w:tc>
          <w:tcPr>
            <w:tcW w:w="3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Deductions from the allowance for doubtful accounts represented the net write-off of uncollectible accounts receivable. Deductions from the inventory obsolescence reserve represented the disposal of obsolete items.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included the allowance for doubtful accounts and reserve for inventory obsolescence of acquired businesses, the effects of foreign currency translation adjustments for those companies whose functional currency was not the U.S. dollar, reclassifications as held for sale and other.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accountants or disagreements with accountants on accounting and financial disclosures.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Based on our evaluation under the framework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Control-Integrated Framework, our management concluded that our internal control over financial reporting was effective as of December 31, 2018. Our internal control over financial reporting as of December 31, 2018 has been audited by PricewaterhouseCoopers LLP, an independent registered public accounting firm, as stated in their report which is included herein.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excluded acquisitions completed during 2018 from its assessment of internal control over financial reporting as of December 31, 2018. These acquisitions are wholly-owned subsidiaries whose excluded aggregate assets represent less than 1%, and whose aggregate total revenues represent less than 2% of the related consolidated financial statement amounts as of and for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were effective as of December 31, 2018.</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2018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disclosures of any information required to be filed on Form 8-K during the fourth quarter of 2018 that were not filed.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9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indicated, the following information required by the Instructions to Form 10-K is incorporated herein by reference from the sections of the Roper Proxy Statement for the annual meeting of shareholders (“2019 Proxy Statement”), as specified below:</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2019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2019 Proxy Statement.</w:t>
      </w:r>
    </w:p>
    <w:p>
      <w:pPr>
        <w:spacing w:after="0" w:line="22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share amounts are in millions)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information set forth below, we incorporate the information required by this item by reference to our 2019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information as of December 31, 2018 regarding compensation plans (including individual compensation arrangements) under which our equity securities are authorized for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03"/>
        </w:trPr>
        <w:tc>
          <w:tcPr>
            <w:tcW w:w="52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203"/>
        </w:trPr>
        <w:tc>
          <w:tcPr>
            <w:tcW w:w="52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 to</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(b)</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Available for</w:t>
            </w:r>
          </w:p>
        </w:tc>
      </w:tr>
      <w:tr>
        <w:trPr>
          <w:trHeight w:val="203"/>
        </w:trPr>
        <w:tc>
          <w:tcPr>
            <w:tcW w:w="52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be Issued Upon</w:t>
            </w:r>
          </w:p>
        </w:tc>
        <w:tc>
          <w:tcPr>
            <w:tcW w:w="14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Weighted-Average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Future Issuance Under</w:t>
            </w:r>
          </w:p>
        </w:tc>
      </w:tr>
      <w:tr>
        <w:trPr>
          <w:trHeight w:val="203"/>
        </w:trPr>
        <w:tc>
          <w:tcPr>
            <w:tcW w:w="52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 of Outstanding</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 of</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Equity Compensation Plans</w:t>
            </w:r>
          </w:p>
        </w:tc>
      </w:tr>
      <w:tr>
        <w:trPr>
          <w:trHeight w:val="203"/>
        </w:trPr>
        <w:tc>
          <w:tcPr>
            <w:tcW w:w="52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Options, Warrants and</w:t>
            </w:r>
          </w:p>
        </w:tc>
        <w:tc>
          <w:tcPr>
            <w:tcW w:w="140" w:type="dxa"/>
            <w:vAlign w:val="bottom"/>
          </w:tcPr>
          <w:p>
            <w:pPr>
              <w:spacing w:after="0"/>
              <w:rPr>
                <w:sz w:val="17"/>
                <w:szCs w:val="17"/>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Outstanding Options,</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(Excluding Securities</w:t>
            </w:r>
          </w:p>
        </w:tc>
      </w:tr>
      <w:tr>
        <w:trPr>
          <w:trHeight w:val="250"/>
        </w:trPr>
        <w:tc>
          <w:tcPr>
            <w:tcW w:w="5260" w:type="dxa"/>
            <w:vAlign w:val="bottom"/>
          </w:tcPr>
          <w:p>
            <w:pPr>
              <w:ind w:left="2140"/>
              <w:spacing w:after="0"/>
              <w:rPr>
                <w:sz w:val="20"/>
                <w:szCs w:val="20"/>
                <w:color w:val="auto"/>
              </w:rPr>
            </w:pPr>
            <w:r>
              <w:rPr>
                <w:rFonts w:ascii="Arial" w:cs="Arial" w:eastAsia="Arial" w:hAnsi="Arial"/>
                <w:sz w:val="16"/>
                <w:szCs w:val="16"/>
                <w:b w:val="1"/>
                <w:bCs w:val="1"/>
                <w:color w:val="auto"/>
              </w:rPr>
              <w:t>Plan Category</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Rights</w:t>
            </w:r>
          </w:p>
        </w:tc>
        <w:tc>
          <w:tcPr>
            <w:tcW w:w="140" w:type="dxa"/>
            <w:vAlign w:val="bottom"/>
          </w:tcPr>
          <w:p>
            <w:pPr>
              <w:spacing w:after="0"/>
              <w:rPr>
                <w:sz w:val="21"/>
                <w:szCs w:val="21"/>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Warrants and Rights</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2"/>
              </w:rPr>
              <w:t>Reflected in Column (a))</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(1)</w:t>
            </w: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Borders>
              <w:top w:val="single" w:sz="8" w:color="auto"/>
            </w:tcBorders>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180.69</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77"/>
        </w:trPr>
        <w:tc>
          <w:tcPr>
            <w:tcW w:w="52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Restricted stock awards </w:t>
            </w:r>
            <w:r>
              <w:rPr>
                <w:rFonts w:ascii="Arial" w:cs="Arial" w:eastAsia="Arial" w:hAnsi="Arial"/>
                <w:sz w:val="25"/>
                <w:szCs w:val="25"/>
                <w:color w:val="auto"/>
                <w:vertAlign w:val="superscript"/>
              </w:rPr>
              <w:t>(2)</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0.739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tcPr>
          <w:p>
            <w:pPr>
              <w:spacing w:after="0"/>
              <w:rPr>
                <w:sz w:val="24"/>
                <w:szCs w:val="24"/>
                <w:color w:val="auto"/>
              </w:rPr>
            </w:pPr>
          </w:p>
        </w:tc>
      </w:tr>
      <w:tr>
        <w:trPr>
          <w:trHeight w:val="27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6.019</w:t>
            </w:r>
          </w:p>
        </w:tc>
      </w:tr>
      <w:tr>
        <w:trPr>
          <w:trHeight w:val="28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6.019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380" w:hanging="328"/>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Consists of the Amended and Restated 2006 Incentive Plan (no additional equity awards may be granted under this plan) and the 2016 Incentive Plan.</w:t>
      </w:r>
    </w:p>
    <w:p>
      <w:pPr>
        <w:spacing w:after="0" w:line="1" w:lineRule="exact"/>
        <w:rPr>
          <w:rFonts w:ascii="Arial" w:cs="Arial" w:eastAsia="Arial" w:hAnsi="Arial"/>
          <w:sz w:val="25"/>
          <w:szCs w:val="25"/>
          <w:color w:val="auto"/>
          <w:vertAlign w:val="superscript"/>
        </w:rPr>
      </w:pPr>
    </w:p>
    <w:p>
      <w:pPr>
        <w:ind w:left="660" w:hanging="328"/>
        <w:spacing w:after="0" w:line="180"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weighted-average exercise price is not applicable to restricted stock awards.</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2019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2019 Proxy Statement.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96" w:right="239" w:bottom="1440" w:gutter="0" w:footer="0" w:header="0"/>
        </w:sectPr>
      </w:pPr>
    </w:p>
    <w:bookmarkStart w:id="63" w:name="page64"/>
    <w:bookmarkEnd w:id="6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225" w:lineRule="exact"/>
        <w:rPr>
          <w:rFonts w:ascii="Arial" w:cs="Arial" w:eastAsia="Arial" w:hAnsi="Arial"/>
          <w:sz w:val="18"/>
          <w:szCs w:val="18"/>
          <w:color w:val="auto"/>
        </w:rPr>
      </w:pPr>
    </w:p>
    <w:p>
      <w:pPr>
        <w:ind w:left="1960" w:right="760" w:hanging="1304"/>
        <w:spacing w:after="0" w:line="501" w:lineRule="auto"/>
        <w:tabs>
          <w:tab w:leader="none" w:pos="13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Financial Statements: The following consolidated financial statements are included in Part II, Item 8 of this report. Consolidated Balance Sheets as of December 31, 2018 and 2017</w:t>
      </w:r>
    </w:p>
    <w:p>
      <w:pPr>
        <w:ind w:left="1960"/>
        <w:spacing w:after="0"/>
        <w:rPr>
          <w:rFonts w:ascii="Arial" w:cs="Arial" w:eastAsia="Arial" w:hAnsi="Arial"/>
          <w:sz w:val="18"/>
          <w:szCs w:val="18"/>
          <w:color w:val="auto"/>
        </w:rPr>
      </w:pPr>
      <w:r>
        <w:rPr>
          <w:rFonts w:ascii="Arial" w:cs="Arial" w:eastAsia="Arial" w:hAnsi="Arial"/>
          <w:sz w:val="18"/>
          <w:szCs w:val="18"/>
          <w:color w:val="auto"/>
        </w:rPr>
        <w:t>Consolidated Statements of Earnings for the Years ended December 31, 2018, 2017 and 2016</w:t>
      </w:r>
    </w:p>
    <w:p>
      <w:pPr>
        <w:spacing w:after="0" w:line="225" w:lineRule="exact"/>
        <w:rPr>
          <w:rFonts w:ascii="Arial" w:cs="Arial" w:eastAsia="Arial" w:hAnsi="Arial"/>
          <w:sz w:val="18"/>
          <w:szCs w:val="18"/>
          <w:color w:val="auto"/>
        </w:rPr>
      </w:pPr>
    </w:p>
    <w:p>
      <w:pPr>
        <w:ind w:left="1960" w:right="1600"/>
        <w:spacing w:after="0" w:line="563" w:lineRule="auto"/>
        <w:rPr>
          <w:rFonts w:ascii="Arial" w:cs="Arial" w:eastAsia="Arial" w:hAnsi="Arial"/>
          <w:sz w:val="18"/>
          <w:szCs w:val="18"/>
          <w:color w:val="auto"/>
        </w:rPr>
      </w:pPr>
      <w:r>
        <w:rPr>
          <w:rFonts w:ascii="Arial" w:cs="Arial" w:eastAsia="Arial" w:hAnsi="Arial"/>
          <w:sz w:val="16"/>
          <w:szCs w:val="16"/>
          <w:color w:val="auto"/>
        </w:rPr>
        <w:t>Consolidated Statements of Comprehensive Income for the Years ended December 31, 2018, 2017 and 2016 Consolidated Statements of Stockholders' Equity for the Years ended December 31, 2018, 2017 and 2016 Consolidated Statements of Cash Flows for the Years ended December 31, 2018, 2017 and 2016</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Valuation and Qualifying Accounts for the Years ended December 31, 2018, 2017 and 2016</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w w:val="93"/>
              </w:rPr>
              <w:t>Exhibit No.</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40" w:type="dxa"/>
            <w:vAlign w:val="bottom"/>
            <w:gridSpan w:val="23"/>
          </w:tcPr>
          <w:p>
            <w:pPr>
              <w:ind w:left="4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(a)3.1</w:t>
            </w:r>
          </w:p>
        </w:tc>
        <w:tc>
          <w:tcPr>
            <w:tcW w:w="530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Restated Certificate of Incorporation as amended through April 24, 2015.</w:t>
              </w:r>
            </w:hyperlink>
          </w:p>
        </w:tc>
        <w:tc>
          <w:tcPr>
            <w:tcW w:w="4380" w:type="dxa"/>
            <w:vAlign w:val="bottom"/>
            <w:tcBorders>
              <w:bottom w:val="single" w:sz="8" w:color="CCEEFF"/>
            </w:tcBorders>
            <w:gridSpan w:val="1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(b)3.2</w:t>
            </w:r>
          </w:p>
        </w:tc>
        <w:tc>
          <w:tcPr>
            <w:tcW w:w="9680" w:type="dxa"/>
            <w:vAlign w:val="bottom"/>
            <w:gridSpan w:val="37"/>
          </w:tcPr>
          <w:p>
            <w:pPr>
              <w:spacing w:after="0" w:line="202" w:lineRule="exact"/>
              <w:rPr>
                <w:rFonts w:ascii="Arial" w:cs="Arial" w:eastAsia="Arial" w:hAnsi="Arial"/>
                <w:sz w:val="18"/>
                <w:szCs w:val="18"/>
                <w:color w:val="0000FF"/>
              </w:rPr>
            </w:pPr>
            <w:hyperlink r:id="rId13">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(c)4.1</w:t>
            </w:r>
          </w:p>
        </w:tc>
        <w:tc>
          <w:tcPr>
            <w:tcW w:w="584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Indenture between Registrant and Wells Fargo Bank, dated as of August 4, 2008.</w:t>
              </w:r>
            </w:hyperlink>
          </w:p>
        </w:tc>
        <w:tc>
          <w:tcPr>
            <w:tcW w:w="3840" w:type="dxa"/>
            <w:vAlign w:val="bottom"/>
            <w:tcBorders>
              <w:bottom w:val="single" w:sz="8" w:color="CCEEFF"/>
            </w:tcBorders>
            <w:gridSpan w:val="1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(d)4.2</w:t>
            </w:r>
          </w:p>
        </w:tc>
        <w:tc>
          <w:tcPr>
            <w:tcW w:w="9680" w:type="dxa"/>
            <w:vAlign w:val="bottom"/>
            <w:gridSpan w:val="37"/>
          </w:tcPr>
          <w:p>
            <w:pPr>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Indenture between Registrant and Wells Fargo Bank, dated as of November 26, 2018.</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(e)4.7</w:t>
            </w:r>
          </w:p>
        </w:tc>
        <w:tc>
          <w:tcPr>
            <w:tcW w:w="104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Form of Note.</w:t>
              </w:r>
            </w:hyperlink>
          </w:p>
        </w:tc>
        <w:tc>
          <w:tcPr>
            <w:tcW w:w="8640" w:type="dxa"/>
            <w:vAlign w:val="bottom"/>
            <w:tcBorders>
              <w:bottom w:val="single" w:sz="8" w:color="CCEEFF"/>
            </w:tcBorders>
            <w:gridSpan w:val="3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(f)4.8</w:t>
            </w:r>
          </w:p>
        </w:tc>
        <w:tc>
          <w:tcPr>
            <w:tcW w:w="9680" w:type="dxa"/>
            <w:vAlign w:val="bottom"/>
            <w:gridSpan w:val="37"/>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Form of 3.650% Senior Notes due 2023.</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4.9</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Form of 4.200% Senior Notes due 2028 (included in Exhibit 4.8).</w:t>
              </w:r>
            </w:hyperlink>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(g)4.10</w:t>
            </w:r>
          </w:p>
        </w:tc>
        <w:tc>
          <w:tcPr>
            <w:tcW w:w="4740" w:type="dxa"/>
            <w:vAlign w:val="bottom"/>
            <w:tcBorders>
              <w:top w:val="single" w:sz="8" w:color="0000FF"/>
            </w:tcBorders>
            <w:gridSpan w:val="19"/>
          </w:tcPr>
          <w:p>
            <w:pPr>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Form of 3.125% Senior Notes due 2022.</w:t>
              </w:r>
            </w:hyperlink>
          </w:p>
        </w:tc>
        <w:tc>
          <w:tcPr>
            <w:tcW w:w="4940" w:type="dxa"/>
            <w:vAlign w:val="bottom"/>
            <w:tcBorders>
              <w:top w:val="single" w:sz="8" w:color="CCEEFF"/>
            </w:tcBorders>
            <w:gridSpan w:val="1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tcBorders>
              <w:bottom w:val="single" w:sz="8" w:color="CCEEFF"/>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(h)4.11</w:t>
            </w:r>
          </w:p>
        </w:tc>
        <w:tc>
          <w:tcPr>
            <w:tcW w:w="284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Form of 3.00% Senior Notes due 2020.</w:t>
              </w:r>
            </w:hyperlink>
          </w:p>
        </w:tc>
        <w:tc>
          <w:tcPr>
            <w:tcW w:w="6840" w:type="dxa"/>
            <w:vAlign w:val="bottom"/>
            <w:tcBorders>
              <w:bottom w:val="single" w:sz="8" w:color="CCEEFF"/>
            </w:tcBorders>
            <w:gridSpan w:val="29"/>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4.12</w:t>
            </w:r>
          </w:p>
        </w:tc>
        <w:tc>
          <w:tcPr>
            <w:tcW w:w="9680" w:type="dxa"/>
            <w:vAlign w:val="bottom"/>
            <w:gridSpan w:val="37"/>
          </w:tcPr>
          <w:p>
            <w:pPr>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Form of 3.85% Senior Notes due 2025 (included in Exhibit 4.11).</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(i)4.13</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Form of 2.800% Senior Notes due 2021.</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4.14</w:t>
            </w:r>
          </w:p>
        </w:tc>
        <w:tc>
          <w:tcPr>
            <w:tcW w:w="9680" w:type="dxa"/>
            <w:vAlign w:val="bottom"/>
            <w:gridSpan w:val="37"/>
          </w:tcPr>
          <w:p>
            <w:pPr>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Form of 3.800% Senior Notes due 2026 (included in Exhibit 4.13).</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(j)10.01</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21">
              <w:r>
                <w:rPr>
                  <w:rFonts w:ascii="Arial" w:cs="Arial" w:eastAsia="Arial" w:hAnsi="Arial"/>
                  <w:sz w:val="18"/>
                  <w:szCs w:val="18"/>
                  <w:color w:val="0000FF"/>
                </w:rPr>
                <w:t>Form of Amended and Restated Indemnification Agreement. †</w:t>
              </w:r>
            </w:hyperlink>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(k)10.02</w:t>
            </w:r>
          </w:p>
        </w:tc>
        <w:tc>
          <w:tcPr>
            <w:tcW w:w="4520" w:type="dxa"/>
            <w:vAlign w:val="bottom"/>
            <w:tcBorders>
              <w:top w:val="single" w:sz="8" w:color="0000FF"/>
            </w:tcBorders>
            <w:gridSpan w:val="18"/>
          </w:tcPr>
          <w:p>
            <w:pPr>
              <w:spacing w:after="0" w:line="202"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Employee Stock Purchase Plan, as amended and restated. †</w:t>
              </w:r>
            </w:hyperlink>
          </w:p>
        </w:tc>
        <w:tc>
          <w:tcPr>
            <w:tcW w:w="5160" w:type="dxa"/>
            <w:vAlign w:val="bottom"/>
            <w:tcBorders>
              <w:top w:val="single" w:sz="8" w:color="CCEEFF"/>
            </w:tcBorders>
            <w:gridSpan w:val="19"/>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(l)10.03</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Non-Qualified Retirement Plan, as amended. †</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(m)10.04</w:t>
            </w:r>
          </w:p>
        </w:tc>
        <w:tc>
          <w:tcPr>
            <w:tcW w:w="9680" w:type="dxa"/>
            <w:vAlign w:val="bottom"/>
            <w:gridSpan w:val="37"/>
          </w:tcPr>
          <w:p>
            <w:pPr>
              <w:spacing w:after="0" w:line="202" w:lineRule="exact"/>
              <w:rPr>
                <w:rFonts w:ascii="Arial" w:cs="Arial" w:eastAsia="Arial" w:hAnsi="Arial"/>
                <w:sz w:val="18"/>
                <w:szCs w:val="18"/>
                <w:color w:val="0000FF"/>
              </w:rPr>
            </w:pPr>
            <w:hyperlink r:id="rId24">
              <w:r>
                <w:rPr>
                  <w:rFonts w:ascii="Arial" w:cs="Arial" w:eastAsia="Arial" w:hAnsi="Arial"/>
                  <w:sz w:val="18"/>
                  <w:szCs w:val="18"/>
                  <w:color w:val="0000FF"/>
                </w:rPr>
                <w:t>Brian D. Jellison Employment Agreement, dated as of December 29, 2008. †</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rPr>
                <w:sz w:val="17"/>
                <w:szCs w:val="17"/>
                <w:color w:val="auto"/>
              </w:rPr>
            </w:pPr>
          </w:p>
        </w:tc>
        <w:tc>
          <w:tcPr>
            <w:tcW w:w="9680" w:type="dxa"/>
            <w:vAlign w:val="bottom"/>
            <w:gridSpan w:val="37"/>
            <w:shd w:val="clear" w:color="auto" w:fill="CCEEFF"/>
          </w:tcPr>
          <w:p>
            <w:pPr>
              <w:spacing w:after="0" w:line="202"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Credit Agreement, dated as of September 23, 2016 among Registrant, the financial institutions from time to time party thereto,</w:t>
              </w:r>
            </w:hyperlink>
          </w:p>
        </w:tc>
        <w:tc>
          <w:tcPr>
            <w:tcW w:w="0" w:type="dxa"/>
            <w:vAlign w:val="bottom"/>
          </w:tcPr>
          <w:p>
            <w:pPr>
              <w:spacing w:after="0"/>
              <w:rPr>
                <w:sz w:val="1"/>
                <w:szCs w:val="1"/>
                <w:color w:val="auto"/>
              </w:rPr>
            </w:pPr>
          </w:p>
        </w:tc>
      </w:tr>
      <w:tr>
        <w:trPr>
          <w:trHeight w:val="20"/>
        </w:trPr>
        <w:tc>
          <w:tcPr>
            <w:tcW w:w="160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(n)10.05</w:t>
            </w:r>
          </w:p>
        </w:tc>
        <w:tc>
          <w:tcPr>
            <w:tcW w:w="9680" w:type="dxa"/>
            <w:vAlign w:val="bottom"/>
            <w:gridSpan w:val="37"/>
            <w:shd w:val="clear" w:color="auto" w:fill="CCEEFF"/>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JPMorgan Chase Bank, N.A., as administrative agent, Wells Fargo Bank, N.A. and Bank of America, N.A. as syndication agents, and</w:t>
              </w:r>
            </w:hyperlink>
          </w:p>
        </w:tc>
        <w:tc>
          <w:tcPr>
            <w:tcW w:w="0" w:type="dxa"/>
            <w:vAlign w:val="bottom"/>
          </w:tcPr>
          <w:p>
            <w:pPr>
              <w:spacing w:after="0"/>
              <w:rPr>
                <w:sz w:val="1"/>
                <w:szCs w:val="1"/>
                <w:color w:val="auto"/>
              </w:rPr>
            </w:pPr>
          </w:p>
        </w:tc>
      </w:tr>
      <w:tr>
        <w:trPr>
          <w:trHeight w:val="129"/>
        </w:trPr>
        <w:tc>
          <w:tcPr>
            <w:tcW w:w="1600" w:type="dxa"/>
            <w:vAlign w:val="bottom"/>
            <w:tcBorders>
              <w:top w:val="single" w:sz="8" w:color="CCEEFF"/>
            </w:tcBorders>
            <w:vMerge w:val="continue"/>
            <w:shd w:val="clear" w:color="auto" w:fill="CCEEFF"/>
          </w:tcPr>
          <w:p>
            <w:pPr>
              <w:spacing w:after="0"/>
              <w:rPr>
                <w:sz w:val="11"/>
                <w:szCs w:val="11"/>
                <w:color w:val="auto"/>
              </w:rPr>
            </w:pPr>
          </w:p>
        </w:tc>
        <w:tc>
          <w:tcPr>
            <w:tcW w:w="9620" w:type="dxa"/>
            <w:vAlign w:val="bottom"/>
            <w:tcBorders>
              <w:top w:val="single" w:sz="8" w:color="0000FF"/>
            </w:tcBorders>
            <w:gridSpan w:val="36"/>
            <w:vMerge w:val="restart"/>
            <w:shd w:val="clear" w:color="auto" w:fill="CCEEFF"/>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The Bank of Tokyo-Mitsubishi UFJ, Ltd. and Mizuho Bank, Ltd., PNC Bank, National Association, SunTrust Bank and TD Bank,</w:t>
              </w:r>
            </w:hyperlink>
          </w:p>
        </w:tc>
        <w:tc>
          <w:tcPr>
            <w:tcW w:w="60" w:type="dxa"/>
            <w:vAlign w:val="bottom"/>
            <w:tcBorders>
              <w:top w:val="single" w:sz="8" w:color="CCEEFF"/>
            </w:tcBorders>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CCEEFF"/>
          </w:tcPr>
          <w:p>
            <w:pPr>
              <w:spacing w:after="0"/>
              <w:rPr>
                <w:sz w:val="5"/>
                <w:szCs w:val="5"/>
                <w:color w:val="auto"/>
              </w:rPr>
            </w:pPr>
          </w:p>
        </w:tc>
        <w:tc>
          <w:tcPr>
            <w:tcW w:w="9620" w:type="dxa"/>
            <w:vAlign w:val="bottom"/>
            <w:gridSpan w:val="36"/>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FF"/>
            </w:tcBorders>
            <w:gridSpan w:val="33"/>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N.A. as co-documentation agents.</w:t>
              </w:r>
            </w:hyperlink>
          </w:p>
        </w:tc>
        <w:tc>
          <w:tcPr>
            <w:tcW w:w="30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9680" w:type="dxa"/>
            <w:vAlign w:val="bottom"/>
            <w:gridSpan w:val="37"/>
          </w:tcPr>
          <w:p>
            <w:pPr>
              <w:spacing w:after="0" w:line="202"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Amendment No. 1 to Credit Agreement dated December 2, 2016, to Credit Agreement dated as of September 23, 2016 by and among</w:t>
              </w:r>
            </w:hyperlink>
          </w:p>
        </w:tc>
        <w:tc>
          <w:tcPr>
            <w:tcW w:w="0" w:type="dxa"/>
            <w:vAlign w:val="bottom"/>
          </w:tcPr>
          <w:p>
            <w:pPr>
              <w:spacing w:after="0"/>
              <w:rPr>
                <w:sz w:val="1"/>
                <w:szCs w:val="1"/>
                <w:color w:val="auto"/>
              </w:rPr>
            </w:pPr>
          </w:p>
        </w:tc>
      </w:tr>
      <w:tr>
        <w:trPr>
          <w:trHeight w:val="196"/>
        </w:trPr>
        <w:tc>
          <w:tcPr>
            <w:tcW w:w="16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(o)10.06</w:t>
            </w:r>
          </w:p>
        </w:tc>
        <w:tc>
          <w:tcPr>
            <w:tcW w:w="9620" w:type="dxa"/>
            <w:vAlign w:val="bottom"/>
            <w:tcBorders>
              <w:top w:val="single" w:sz="8" w:color="0000FF"/>
            </w:tcBorders>
            <w:gridSpan w:val="36"/>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Registrant, the foreign subsidiary borrowers party thereto from time to time, the lenders party thereto from time to time, JP Morgan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946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Chase Bank, N.A., as Administrative Agent, and the other agents and parties thereto.</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(p)10.07</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Amended and Restated 2006 Incentive Plan. †</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(q)10.08</w:t>
            </w:r>
          </w:p>
        </w:tc>
        <w:tc>
          <w:tcPr>
            <w:tcW w:w="9680" w:type="dxa"/>
            <w:vAlign w:val="bottom"/>
            <w:gridSpan w:val="37"/>
          </w:tcPr>
          <w:p>
            <w:pPr>
              <w:spacing w:after="0" w:line="202" w:lineRule="exact"/>
              <w:rPr>
                <w:rFonts w:ascii="Arial" w:cs="Arial" w:eastAsia="Arial" w:hAnsi="Arial"/>
                <w:sz w:val="18"/>
                <w:szCs w:val="18"/>
                <w:color w:val="0000FF"/>
              </w:rPr>
            </w:pPr>
            <w:hyperlink r:id="rId28">
              <w:r>
                <w:rPr>
                  <w:rFonts w:ascii="Arial" w:cs="Arial" w:eastAsia="Arial" w:hAnsi="Arial"/>
                  <w:sz w:val="18"/>
                  <w:szCs w:val="18"/>
                  <w:color w:val="0000FF"/>
                </w:rPr>
                <w:t>Form of Restricted Stock Agreement for Non-Employee Directors. †</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(q)10.9</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29">
              <w:r>
                <w:rPr>
                  <w:rFonts w:ascii="Arial" w:cs="Arial" w:eastAsia="Arial" w:hAnsi="Arial"/>
                  <w:sz w:val="18"/>
                  <w:szCs w:val="18"/>
                  <w:color w:val="0000FF"/>
                </w:rPr>
                <w:t>Form of Restricted Stock Agreement for Employees. †</w:t>
              </w:r>
            </w:hyperlink>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(q)10.10</w:t>
            </w:r>
          </w:p>
        </w:tc>
        <w:tc>
          <w:tcPr>
            <w:tcW w:w="3940" w:type="dxa"/>
            <w:vAlign w:val="bottom"/>
            <w:tcBorders>
              <w:top w:val="single" w:sz="8" w:color="0000FF"/>
            </w:tcBorders>
            <w:gridSpan w:val="14"/>
          </w:tcPr>
          <w:p>
            <w:pPr>
              <w:spacing w:after="0" w:line="202" w:lineRule="exact"/>
              <w:rPr>
                <w:rFonts w:ascii="Arial" w:cs="Arial" w:eastAsia="Arial" w:hAnsi="Arial"/>
                <w:sz w:val="18"/>
                <w:szCs w:val="18"/>
                <w:color w:val="0000FF"/>
                <w:w w:val="98"/>
              </w:rPr>
            </w:pPr>
            <w:hyperlink r:id="rId30">
              <w:r>
                <w:rPr>
                  <w:rFonts w:ascii="Arial" w:cs="Arial" w:eastAsia="Arial" w:hAnsi="Arial"/>
                  <w:sz w:val="18"/>
                  <w:szCs w:val="18"/>
                  <w:color w:val="0000FF"/>
                  <w:w w:val="98"/>
                </w:rPr>
                <w:t>Form of Non-Statutory Stock Option Agreement. †</w:t>
              </w:r>
            </w:hyperlink>
          </w:p>
        </w:tc>
        <w:tc>
          <w:tcPr>
            <w:tcW w:w="5740" w:type="dxa"/>
            <w:vAlign w:val="bottom"/>
            <w:tcBorders>
              <w:top w:val="single" w:sz="8" w:color="CCEEFF"/>
            </w:tcBorders>
            <w:gridSpan w:val="23"/>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(r)10.11</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31">
              <w:r>
                <w:rPr>
                  <w:rFonts w:ascii="Arial" w:cs="Arial" w:eastAsia="Arial" w:hAnsi="Arial"/>
                  <w:sz w:val="18"/>
                  <w:szCs w:val="18"/>
                  <w:color w:val="0000FF"/>
                </w:rPr>
                <w:t>Offer letter to John K. Stipancich. †</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(s)10.12</w:t>
            </w:r>
          </w:p>
        </w:tc>
        <w:tc>
          <w:tcPr>
            <w:tcW w:w="9680" w:type="dxa"/>
            <w:vAlign w:val="bottom"/>
            <w:gridSpan w:val="37"/>
          </w:tcPr>
          <w:p>
            <w:pPr>
              <w:spacing w:after="0" w:line="202" w:lineRule="exact"/>
              <w:rPr>
                <w:rFonts w:ascii="Arial" w:cs="Arial" w:eastAsia="Arial" w:hAnsi="Arial"/>
                <w:sz w:val="18"/>
                <w:szCs w:val="18"/>
                <w:color w:val="0000FF"/>
              </w:rPr>
            </w:pPr>
            <w:hyperlink r:id="rId32">
              <w:r>
                <w:rPr>
                  <w:rFonts w:ascii="Arial" w:cs="Arial" w:eastAsia="Arial" w:hAnsi="Arial"/>
                  <w:sz w:val="18"/>
                  <w:szCs w:val="18"/>
                  <w:color w:val="0000FF"/>
                </w:rPr>
                <w:t>Form of director and officer indemnification agreement. †</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(t)10.13</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33">
              <w:r>
                <w:rPr>
                  <w:rFonts w:ascii="Arial" w:cs="Arial" w:eastAsia="Arial" w:hAnsi="Arial"/>
                  <w:sz w:val="18"/>
                  <w:szCs w:val="18"/>
                  <w:color w:val="0000FF"/>
                </w:rPr>
                <w:t>2016 Incentive Plan. †</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(u)10.14</w:t>
            </w:r>
          </w:p>
        </w:tc>
        <w:tc>
          <w:tcPr>
            <w:tcW w:w="9680" w:type="dxa"/>
            <w:vAlign w:val="bottom"/>
            <w:gridSpan w:val="37"/>
          </w:tcPr>
          <w:p>
            <w:pPr>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Amendment No. 1 to the 2016 Incentive Plan.†</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(v)10.15</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Form of Cash Settled Restricted Stock Unit Award Agreement for Non-US Employees, under the 2016 Incentive Plan.</w:t>
              </w:r>
            </w:hyperlink>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10.16</w:t>
            </w:r>
          </w:p>
        </w:tc>
        <w:tc>
          <w:tcPr>
            <w:tcW w:w="8540" w:type="dxa"/>
            <w:vAlign w:val="bottom"/>
            <w:tcBorders>
              <w:top w:val="single" w:sz="8" w:color="0000FF"/>
            </w:tcBorders>
            <w:gridSpan w:val="31"/>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Form of Non-Statutory Stock Option Agreement, under the 2016 Incentive Plan, filed herewith.†</w:t>
              </w:r>
            </w:hyperlink>
          </w:p>
        </w:tc>
        <w:tc>
          <w:tcPr>
            <w:tcW w:w="1140" w:type="dxa"/>
            <w:vAlign w:val="bottom"/>
            <w:tcBorders>
              <w:top w:val="single" w:sz="8" w:color="CCEEFF"/>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10.17</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Form of Restricted Stock Award Agreement, under the 2016 Incentive Plan, filed herewith.†</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10.18</w:t>
            </w:r>
          </w:p>
        </w:tc>
        <w:tc>
          <w:tcPr>
            <w:tcW w:w="9680" w:type="dxa"/>
            <w:vAlign w:val="bottom"/>
            <w:gridSpan w:val="37"/>
          </w:tcPr>
          <w:p>
            <w:pPr>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Form of Performance Based Restricted Stock Award Agreement, under the 2016 Incentive Plan, filed herewith.†</w:t>
              </w:r>
            </w:hyperlink>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(w)10.19</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36">
              <w:r>
                <w:rPr>
                  <w:rFonts w:ascii="Arial" w:cs="Arial" w:eastAsia="Arial" w:hAnsi="Arial"/>
                  <w:sz w:val="18"/>
                  <w:szCs w:val="18"/>
                  <w:color w:val="0000FF"/>
                </w:rPr>
                <w:t>Director Compensation Plan, under 2016 Incentive Plan. †</w:t>
              </w:r>
            </w:hyperlink>
          </w:p>
        </w:tc>
        <w:tc>
          <w:tcPr>
            <w:tcW w:w="0" w:type="dxa"/>
            <w:vAlign w:val="bottom"/>
          </w:tcPr>
          <w:p>
            <w:pPr>
              <w:spacing w:after="0"/>
              <w:rPr>
                <w:sz w:val="1"/>
                <w:szCs w:val="1"/>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vMerge w:val="restart"/>
          </w:tcPr>
          <w:p>
            <w:pPr>
              <w:jc w:val="right"/>
              <w:ind w:right="270"/>
              <w:spacing w:after="0"/>
              <w:rPr>
                <w:sz w:val="20"/>
                <w:szCs w:val="20"/>
                <w:color w:val="auto"/>
              </w:rPr>
            </w:pPr>
            <w:r>
              <w:rPr>
                <w:rFonts w:ascii="Arial" w:cs="Arial" w:eastAsia="Arial" w:hAnsi="Arial"/>
                <w:sz w:val="18"/>
                <w:szCs w:val="18"/>
                <w:color w:val="auto"/>
              </w:rPr>
              <w:t>10.20</w:t>
            </w:r>
          </w:p>
        </w:tc>
        <w:tc>
          <w:tcPr>
            <w:tcW w:w="9680" w:type="dxa"/>
            <w:vAlign w:val="bottom"/>
            <w:gridSpan w:val="37"/>
          </w:tcPr>
          <w:p>
            <w:pPr>
              <w:spacing w:after="0" w:line="202"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Form of Restricted Stock Unit Award Agreement for Non-Employee Directors, under the 2016 Incentive Plan (included in Exhibit</w:t>
              </w:r>
            </w:hyperlink>
          </w:p>
        </w:tc>
        <w:tc>
          <w:tcPr>
            <w:tcW w:w="0" w:type="dxa"/>
            <w:vAlign w:val="bottom"/>
          </w:tcPr>
          <w:p>
            <w:pPr>
              <w:spacing w:after="0"/>
              <w:rPr>
                <w:sz w:val="1"/>
                <w:szCs w:val="1"/>
                <w:color w:val="auto"/>
              </w:rPr>
            </w:pPr>
          </w:p>
        </w:tc>
      </w:tr>
      <w:tr>
        <w:trPr>
          <w:trHeight w:val="129"/>
        </w:trPr>
        <w:tc>
          <w:tcPr>
            <w:tcW w:w="1600" w:type="dxa"/>
            <w:vAlign w:val="bottom"/>
            <w:vMerge w:val="continue"/>
          </w:tcPr>
          <w:p>
            <w:pPr>
              <w:spacing w:after="0"/>
              <w:rPr>
                <w:sz w:val="11"/>
                <w:szCs w:val="11"/>
                <w:color w:val="auto"/>
              </w:rPr>
            </w:pPr>
          </w:p>
        </w:tc>
        <w:tc>
          <w:tcPr>
            <w:tcW w:w="1040" w:type="dxa"/>
            <w:vAlign w:val="bottom"/>
            <w:tcBorders>
              <w:top w:val="single" w:sz="8" w:color="0000FF"/>
            </w:tcBorders>
            <w:gridSpan w:val="2"/>
            <w:vMerge w:val="restart"/>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19)</w:t>
              </w:r>
              <w:r>
                <w:rPr>
                  <w:rFonts w:ascii="Arial" w:cs="Arial" w:eastAsia="Arial" w:hAnsi="Arial"/>
                  <w:sz w:val="18"/>
                  <w:szCs w:val="18"/>
                  <w:color w:val="0000FF"/>
                </w:rPr>
                <w:t>.</w:t>
              </w:r>
            </w:hyperlink>
          </w:p>
        </w:tc>
        <w:tc>
          <w:tcPr>
            <w:tcW w:w="5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6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(x)10.21</w:t>
            </w:r>
          </w:p>
        </w:tc>
        <w:tc>
          <w:tcPr>
            <w:tcW w:w="9680" w:type="dxa"/>
            <w:vAlign w:val="bottom"/>
            <w:gridSpan w:val="37"/>
            <w:shd w:val="clear" w:color="auto" w:fill="CCEEFF"/>
          </w:tcPr>
          <w:p>
            <w:pPr>
              <w:spacing w:after="0" w:line="202" w:lineRule="exact"/>
              <w:rPr>
                <w:rFonts w:ascii="Arial" w:cs="Arial" w:eastAsia="Arial" w:hAnsi="Arial"/>
                <w:sz w:val="18"/>
                <w:szCs w:val="18"/>
                <w:color w:val="0000FF"/>
              </w:rPr>
            </w:pPr>
            <w:hyperlink r:id="rId37">
              <w:r>
                <w:rPr>
                  <w:rFonts w:ascii="Arial" w:cs="Arial" w:eastAsia="Arial" w:hAnsi="Arial"/>
                  <w:sz w:val="18"/>
                  <w:szCs w:val="18"/>
                  <w:color w:val="0000FF"/>
                </w:rPr>
                <w:t>First Amendment to the Roper Technologies, Inc. Director Compensation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(y)10.22</w:t>
            </w:r>
          </w:p>
        </w:tc>
        <w:tc>
          <w:tcPr>
            <w:tcW w:w="5680" w:type="dxa"/>
            <w:vAlign w:val="bottom"/>
            <w:tcBorders>
              <w:top w:val="single" w:sz="8" w:color="0000FF"/>
            </w:tcBorders>
            <w:gridSpan w:val="24"/>
          </w:tcPr>
          <w:p>
            <w:pPr>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Offer Letter to Neil Hunn. †</w:t>
              </w:r>
            </w:hyperlink>
          </w:p>
        </w:tc>
        <w:tc>
          <w:tcPr>
            <w:tcW w:w="4000" w:type="dxa"/>
            <w:vAlign w:val="bottom"/>
            <w:tcBorders>
              <w:top w:val="single" w:sz="8" w:color="CCEEFF"/>
            </w:tcBorders>
            <w:gridSpan w:val="13"/>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1600" w:type="dxa"/>
            <w:vAlign w:val="bottom"/>
            <w:tcBorders>
              <w:bottom w:val="single" w:sz="8" w:color="CCEEFF"/>
            </w:tcBorders>
          </w:tcPr>
          <w:p>
            <w:pPr>
              <w:spacing w:after="0"/>
              <w:rPr>
                <w:sz w:val="4"/>
                <w:szCs w:val="4"/>
                <w:color w:val="auto"/>
              </w:rPr>
            </w:pPr>
          </w:p>
        </w:tc>
        <w:tc>
          <w:tcPr>
            <w:tcW w:w="520" w:type="dxa"/>
            <w:vAlign w:val="bottom"/>
            <w:tcBorders>
              <w:top w:val="single" w:sz="8" w:color="0000FF"/>
              <w:bottom w:val="single" w:sz="8" w:color="CCEEFF"/>
            </w:tcBorders>
          </w:tcPr>
          <w:p>
            <w:pPr>
              <w:spacing w:after="0"/>
              <w:rPr>
                <w:sz w:val="4"/>
                <w:szCs w:val="4"/>
                <w:color w:val="auto"/>
              </w:rPr>
            </w:pPr>
          </w:p>
        </w:tc>
        <w:tc>
          <w:tcPr>
            <w:tcW w:w="520" w:type="dxa"/>
            <w:vAlign w:val="bottom"/>
            <w:tcBorders>
              <w:top w:val="single" w:sz="8" w:color="0000FF"/>
              <w:bottom w:val="single" w:sz="8" w:color="CCEEFF"/>
            </w:tcBorders>
          </w:tcPr>
          <w:p>
            <w:pPr>
              <w:spacing w:after="0"/>
              <w:rPr>
                <w:sz w:val="4"/>
                <w:szCs w:val="4"/>
                <w:color w:val="auto"/>
              </w:rPr>
            </w:pPr>
          </w:p>
        </w:tc>
        <w:tc>
          <w:tcPr>
            <w:tcW w:w="580" w:type="dxa"/>
            <w:vAlign w:val="bottom"/>
            <w:tcBorders>
              <w:top w:val="single" w:sz="8" w:color="0000FF"/>
              <w:bottom w:val="single" w:sz="8" w:color="CCEEFF"/>
            </w:tcBorders>
          </w:tcPr>
          <w:p>
            <w:pPr>
              <w:spacing w:after="0"/>
              <w:rPr>
                <w:sz w:val="4"/>
                <w:szCs w:val="4"/>
                <w:color w:val="auto"/>
              </w:rPr>
            </w:pPr>
          </w:p>
        </w:tc>
        <w:tc>
          <w:tcPr>
            <w:tcW w:w="420" w:type="dxa"/>
            <w:vAlign w:val="bottom"/>
            <w:tcBorders>
              <w:top w:val="single" w:sz="8" w:color="0000FF"/>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580" w:right="299" w:bottom="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(y)10.23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101.PRE</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q)</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Offer Letter to Robert Crisci.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-121920</wp:posOffset>
            </wp:positionV>
            <wp:extent cx="716915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extLst>
                    </a:blip>
                    <a:srcRect/>
                    <a:stretch>
                      <a:fillRect/>
                    </a:stretch>
                  </pic:blipFill>
                  <pic:spPr bwMode="auto">
                    <a:xfrm>
                      <a:off x="0" y="0"/>
                      <a:ext cx="7169150" cy="154305"/>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List of Subsidiaries,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Consent of Independent Registered Public Accountants, filed herewith.</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Rule 13a-14(a)/15d-14(a) Certification of Chief Executive Officer,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Rule 13a-14(a)/15d-14(a) Certification of Chief Financial Officer, filed herewith.</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Section 1350 Certification of Chief Executive and Chief Financial Officers,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 furnished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 furnished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 furnished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7169150" cy="205740"/>
                    </a:xfrm>
                    <a:prstGeom prst="rect">
                      <a:avLst/>
                    </a:prstGeom>
                    <a:noFill/>
                  </pic:spPr>
                </pic:pic>
              </a:graphicData>
            </a:graphic>
          </wp:anchor>
        </w:drawing>
      </w:r>
    </w:p>
    <w:p>
      <w:pPr>
        <w:spacing w:after="0" w:line="3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Incorporated herein by reference to Exhibit 3.1 to the Company’s Current Report on Form 8-K filed on April 24, 2015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Incorporated herein by reference to Exhibit 3.1 to the Company’s Current Report on Form 8-K filed June 8, 2018 (file no. 1-12273).</w:t>
      </w:r>
    </w:p>
    <w:p>
      <w:pPr>
        <w:spacing w:after="0" w:line="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Incorporated herein by reference to Exhibit 4.2 to the Company’s Quarterly Report on Form 10-Q filed on November 7, 2008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Incorporated herein by reference to Exhibit 4.1 to the Registration Statement on Form S-3/ASR filed November 26, 2018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333-228532).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Incorporated herein by reference to Exhibit 4.2 to the Registration Statement on Form S-3/ASR filed November 25, 2015 (file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333-208200).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22860</wp:posOffset>
            </wp:positionV>
            <wp:extent cx="716915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Incorporated herein by reference to Exhibit 4.1 to the Roper Technologies, Inc. Current Report on Form 8-K filed August 28, 2018 (file no. 1-12273).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4.1 to the Company’s Current Report on Form 8-K filed November 21, 2012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46355</wp:posOffset>
            </wp:positionV>
            <wp:extent cx="716915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Incorporated herein by reference to Exhibit 4.1 to the Company’s Current Report on Form 8-K filed December 7, 2015 (file no. 1-12273).</w:t>
      </w:r>
    </w:p>
    <w:p>
      <w:pPr>
        <w:spacing w:after="0" w:line="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Incorporated herein by reference to Exhibit 4.1 to the Company’s Current Report on Form 8-K filed December 19,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Incorporated herein by reference to Exhibit 10.04 to the Company’s Quarterly Report on Form 10-Q filed August 31, 1999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1-12273).</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Incorporated herein by reference to Exhibit 10.1 to the Company’s Quarterly Report on Form 10-Q filed March 5, 2017.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ind w:right="280"/>
        <w:spacing w:after="0" w:line="277" w:lineRule="auto"/>
        <w:rPr>
          <w:sz w:val="20"/>
          <w:szCs w:val="20"/>
          <w:color w:val="auto"/>
        </w:rPr>
      </w:pPr>
      <w:r>
        <w:rPr>
          <w:rFonts w:ascii="Arial" w:cs="Arial" w:eastAsia="Arial" w:hAnsi="Arial"/>
          <w:sz w:val="18"/>
          <w:szCs w:val="18"/>
          <w:color w:val="auto"/>
        </w:rPr>
        <w:t>Incorporated herein by reference to Exhibit 10.06 to the Company’s Annual Report on Form 10-K filed March 2, 2009 (file no. 1-12273).</w:t>
      </w:r>
    </w:p>
    <w:p>
      <w:pPr>
        <w:spacing w:after="0" w:line="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Incorporated herein by reference to Exhibit 10.07 to the Company’s Annual Report on Form 10-K filed March 2, 2009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Incorporated by reference to Exhibit 10.1 to the Company’s Current Report on Form 8-K filed September 23, 2016 (file no. 1-12273).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10.1 to the Company’s Current Report on Form 8-K filed December 7,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46355</wp:posOffset>
            </wp:positionV>
            <wp:extent cx="716915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Incorporated herein by reference to Appendix A to the Company’s Definitive Proxy Statement on Schedule 14A filed April 30, 2012 (file no. 1-12273).</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Incorporated herein by reference to Exhibits 10.2, 10.3 and 10.4 to the Company’s Current Report on Form 8-K filed December 6, 2006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8"/>
          <w:szCs w:val="18"/>
          <w:color w:val="auto"/>
        </w:rPr>
        <w:t>Incorporated herein by reference to Exhibit 10.17 to the Company’s Annual Report on Form 10-K filed on February 27, 2017 (file no. 1-12273).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herein by reference to Exhibit 10.1 to the Company’s Quarterly Report on Form 10-Q filed November 5, 2018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22860</wp:posOffset>
            </wp:positionV>
            <wp:extent cx="716915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Incorporated by reference to Appendix B to the Company’s Definitive Proxy Statement on Schedule 14A filed April 26, 2016 (file no. 1-12273).</w:t>
      </w:r>
    </w:p>
    <w:p>
      <w:pPr>
        <w:spacing w:after="0" w:line="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Incorporated herein by reference to Exhibit 10.20 to the Company’s Annual Report on Form 10-K filed on February 27, 2017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8"/>
          <w:szCs w:val="18"/>
          <w:color w:val="auto"/>
        </w:rPr>
        <w:t>Incorporated herein by reference to Exhibit 10.21 to the Company’s Annual Report on Form 10-K filed on February 27, 2017 (file no. 1-12273).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10.2 to the Company’s Form 10-Q filed August 5,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31750</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the Company’s Form 10-Q filed May 4, 2018 (file no. 1-12273).</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Incorporated herein by reference to Exhibits 10.22 and 10.23 to the Company’s Annual Report on Form 10-K filed on February 23, 2018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-1905</wp:posOffset>
            </wp:positionV>
            <wp:extent cx="71691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ectPr>
          <w:pgSz w:w="11900" w:h="16838" w:orient="portrait"/>
          <w:cols w:equalWidth="0" w:num="2">
            <w:col w:w="1320" w:space="360"/>
            <w:col w:w="9640"/>
          </w:cols>
          <w:pgMar w:left="240" w:top="125" w:right="339" w:bottom="0" w:gutter="0" w:footer="0" w:header="0"/>
        </w:sectPr>
      </w:pPr>
    </w:p>
    <w:p>
      <w:pPr>
        <w:spacing w:after="0" w:line="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20"/>
          </w:cols>
          <w:pgMar w:left="240" w:top="125" w:right="3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20"/>
          </w:cols>
          <w:pgMar w:left="240" w:top="125" w:right="339" w:bottom="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Roper has duly caused this Report to be signed on its behalf by the undersigned, therewith duly authorized</w:t>
      </w:r>
      <w:r>
        <w:rPr>
          <w:rFonts w:ascii="Arial" w:cs="Arial" w:eastAsia="Arial" w:hAnsi="Arial"/>
          <w:sz w:val="18"/>
          <w:szCs w:val="18"/>
          <w:b w:val="1"/>
          <w:bCs w:val="1"/>
          <w:color w:val="auto"/>
        </w:rPr>
        <w:t>.</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100" w:type="dxa"/>
            <w:vAlign w:val="bottom"/>
          </w:tcPr>
          <w:p>
            <w:pPr>
              <w:jc w:val="center"/>
              <w:ind w:left="230"/>
              <w:spacing w:after="0"/>
              <w:rPr>
                <w:sz w:val="20"/>
                <w:szCs w:val="20"/>
                <w:color w:val="auto"/>
              </w:rPr>
            </w:pPr>
            <w:r>
              <w:rPr>
                <w:rFonts w:ascii="Arial" w:cs="Arial" w:eastAsia="Arial" w:hAnsi="Arial"/>
                <w:sz w:val="18"/>
                <w:szCs w:val="18"/>
                <w:b w:val="1"/>
                <w:bCs w:val="1"/>
                <w:color w:val="auto"/>
              </w:rPr>
              <w:t>ROPER TECHNOLOGIES, INC.</w:t>
            </w:r>
          </w:p>
        </w:tc>
        <w:tc>
          <w:tcPr>
            <w:tcW w:w="158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810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(Registrant)</w:t>
            </w:r>
          </w:p>
        </w:tc>
        <w:tc>
          <w:tcPr>
            <w:tcW w:w="1580" w:type="dxa"/>
            <w:vAlign w:val="bottom"/>
          </w:tcPr>
          <w:p>
            <w:pPr>
              <w:spacing w:after="0"/>
              <w:rPr>
                <w:sz w:val="20"/>
                <w:szCs w:val="20"/>
                <w:color w:val="auto"/>
              </w:rPr>
            </w:pPr>
          </w:p>
        </w:tc>
      </w:tr>
      <w:tr>
        <w:trPr>
          <w:trHeight w:val="37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100" w:type="dxa"/>
            <w:vAlign w:val="bottom"/>
          </w:tcPr>
          <w:p>
            <w:pPr>
              <w:ind w:left="40"/>
              <w:spacing w:after="0"/>
              <w:rPr>
                <w:sz w:val="20"/>
                <w:szCs w:val="20"/>
                <w:color w:val="auto"/>
              </w:rPr>
            </w:pPr>
            <w:r>
              <w:rPr>
                <w:rFonts w:ascii="Arial" w:cs="Arial" w:eastAsia="Arial" w:hAnsi="Arial"/>
                <w:sz w:val="18"/>
                <w:szCs w:val="18"/>
                <w:color w:val="auto"/>
              </w:rPr>
              <w:t>/S/ L. Neil Hunn</w:t>
            </w:r>
          </w:p>
        </w:tc>
        <w:tc>
          <w:tcPr>
            <w:tcW w:w="1580" w:type="dxa"/>
            <w:vAlign w:val="bottom"/>
          </w:tcPr>
          <w:p>
            <w:pPr>
              <w:ind w:left="240"/>
              <w:spacing w:after="0"/>
              <w:rPr>
                <w:sz w:val="20"/>
                <w:szCs w:val="20"/>
                <w:color w:val="auto"/>
              </w:rPr>
            </w:pPr>
            <w:r>
              <w:rPr>
                <w:rFonts w:ascii="Arial" w:cs="Arial" w:eastAsia="Arial" w:hAnsi="Arial"/>
                <w:sz w:val="18"/>
                <w:szCs w:val="18"/>
                <w:color w:val="auto"/>
                <w:w w:val="89"/>
              </w:rPr>
              <w:t>February 25, 2019</w:t>
            </w:r>
          </w:p>
        </w:tc>
      </w:tr>
      <w:tr>
        <w:trPr>
          <w:trHeight w:val="34"/>
        </w:trPr>
        <w:tc>
          <w:tcPr>
            <w:tcW w:w="64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40" w:type="dxa"/>
            <w:vAlign w:val="bottom"/>
          </w:tcPr>
          <w:p>
            <w:pPr>
              <w:spacing w:after="0"/>
              <w:rPr>
                <w:sz w:val="21"/>
                <w:szCs w:val="21"/>
                <w:color w:val="auto"/>
              </w:rPr>
            </w:pPr>
          </w:p>
        </w:tc>
        <w:tc>
          <w:tcPr>
            <w:tcW w:w="8100" w:type="dxa"/>
            <w:vAlign w:val="bottom"/>
          </w:tcPr>
          <w:p>
            <w:pPr>
              <w:ind w:left="40"/>
              <w:spacing w:after="0"/>
              <w:rPr>
                <w:sz w:val="20"/>
                <w:szCs w:val="20"/>
                <w:color w:val="auto"/>
              </w:rPr>
            </w:pPr>
            <w:r>
              <w:rPr>
                <w:rFonts w:ascii="Arial" w:cs="Arial" w:eastAsia="Arial" w:hAnsi="Arial"/>
                <w:sz w:val="18"/>
                <w:szCs w:val="18"/>
                <w:color w:val="auto"/>
              </w:rPr>
              <w:t>L. Neil Hunn, President and Chief Executive Officer</w:t>
            </w:r>
          </w:p>
        </w:tc>
        <w:tc>
          <w:tcPr>
            <w:tcW w:w="158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Roper and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 L. NEIL HUNN</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President and Chief Executive Officer</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 Neil Hunn</w:t>
            </w:r>
          </w:p>
        </w:tc>
        <w:tc>
          <w:tcPr>
            <w:tcW w:w="5140" w:type="dxa"/>
            <w:vAlign w:val="bottom"/>
          </w:tcPr>
          <w:p>
            <w:pPr>
              <w:ind w:left="50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8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C. CRISCI</w:t>
            </w:r>
          </w:p>
        </w:tc>
        <w:tc>
          <w:tcPr>
            <w:tcW w:w="5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Executive Vice President and Chief Financial Officer</w:t>
            </w:r>
          </w:p>
        </w:tc>
        <w:tc>
          <w:tcPr>
            <w:tcW w:w="2620" w:type="dxa"/>
            <w:vAlign w:val="bottom"/>
            <w:tcBorders>
              <w:bottom w:val="single" w:sz="8" w:color="CCEEFF"/>
            </w:tcBorders>
          </w:tcPr>
          <w:p>
            <w:pPr>
              <w:spacing w:after="0"/>
              <w:rPr>
                <w:sz w:val="24"/>
                <w:szCs w:val="24"/>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C. Crisci</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(Principal Financial Officer)</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270"/>
        </w:trPr>
        <w:tc>
          <w:tcPr>
            <w:tcW w:w="36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77"/>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 JASON P. CONLEY</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Vice President and Controller</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Jason P. Conley</w:t>
            </w:r>
          </w:p>
        </w:tc>
        <w:tc>
          <w:tcPr>
            <w:tcW w:w="5140" w:type="dxa"/>
            <w:vAlign w:val="bottom"/>
          </w:tcPr>
          <w:p>
            <w:pPr>
              <w:ind w:left="500"/>
              <w:spacing w:after="0"/>
              <w:rPr>
                <w:sz w:val="20"/>
                <w:szCs w:val="20"/>
                <w:color w:val="auto"/>
              </w:rPr>
            </w:pPr>
            <w:r>
              <w:rPr>
                <w:rFonts w:ascii="Arial" w:cs="Arial" w:eastAsia="Arial" w:hAnsi="Arial"/>
                <w:sz w:val="18"/>
                <w:szCs w:val="18"/>
                <w:color w:val="auto"/>
              </w:rPr>
              <w:t>(Principal Accounting Officer)</w:t>
            </w:r>
          </w:p>
        </w:tc>
        <w:tc>
          <w:tcPr>
            <w:tcW w:w="2620" w:type="dxa"/>
            <w:vAlign w:val="bottom"/>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 WILBUR J. PREZZANO</w:t>
            </w:r>
          </w:p>
        </w:tc>
        <w:tc>
          <w:tcPr>
            <w:tcW w:w="5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Wilbur J. Prezzano</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Chairman of the Board of Directors</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324"/>
        </w:trPr>
        <w:tc>
          <w:tcPr>
            <w:tcW w:w="3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8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SHELLYE L. ARCHAMBEAU</w:t>
            </w:r>
          </w:p>
        </w:tc>
        <w:tc>
          <w:tcPr>
            <w:tcW w:w="514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Shellye L. Archambeau</w:t>
            </w:r>
          </w:p>
        </w:tc>
        <w:tc>
          <w:tcPr>
            <w:tcW w:w="514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51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 AMY WOODS BRINKLEY</w:t>
            </w:r>
          </w:p>
        </w:tc>
        <w:tc>
          <w:tcPr>
            <w:tcW w:w="5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Amy Woods Brinkley</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270"/>
        </w:trPr>
        <w:tc>
          <w:tcPr>
            <w:tcW w:w="36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8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JOHN F. FORT, III</w:t>
            </w:r>
          </w:p>
        </w:tc>
        <w:tc>
          <w:tcPr>
            <w:tcW w:w="514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John F. Fort, III</w:t>
            </w:r>
          </w:p>
        </w:tc>
        <w:tc>
          <w:tcPr>
            <w:tcW w:w="514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 ROBERT D. JOHNSON</w:t>
            </w:r>
          </w:p>
        </w:tc>
        <w:tc>
          <w:tcPr>
            <w:tcW w:w="5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D. Johnson</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270"/>
        </w:trPr>
        <w:tc>
          <w:tcPr>
            <w:tcW w:w="36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8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ROBERT E. KNOWLING</w:t>
            </w:r>
          </w:p>
        </w:tc>
        <w:tc>
          <w:tcPr>
            <w:tcW w:w="514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Robert E. Knowling</w:t>
            </w:r>
          </w:p>
        </w:tc>
        <w:tc>
          <w:tcPr>
            <w:tcW w:w="514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 LAURA G. THATCHER</w:t>
            </w:r>
          </w:p>
        </w:tc>
        <w:tc>
          <w:tcPr>
            <w:tcW w:w="5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Laura G. Thatcher</w:t>
            </w:r>
          </w:p>
        </w:tc>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270"/>
        </w:trPr>
        <w:tc>
          <w:tcPr>
            <w:tcW w:w="36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8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RICHARD F. WALLMAN</w:t>
            </w:r>
          </w:p>
        </w:tc>
        <w:tc>
          <w:tcPr>
            <w:tcW w:w="514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Richard F. Wallman</w:t>
            </w:r>
          </w:p>
        </w:tc>
        <w:tc>
          <w:tcPr>
            <w:tcW w:w="514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 CHRISTOPHER WRIGHT</w:t>
            </w:r>
          </w:p>
        </w:tc>
        <w:tc>
          <w:tcPr>
            <w:tcW w:w="51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Christopher Wright</w:t>
            </w:r>
          </w:p>
        </w:tc>
        <w:tc>
          <w:tcPr>
            <w:tcW w:w="5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26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February 25, 2019</w:t>
            </w:r>
          </w:p>
        </w:tc>
      </w:tr>
      <w:tr>
        <w:trPr>
          <w:trHeight w:val="27"/>
        </w:trPr>
        <w:tc>
          <w:tcPr>
            <w:tcW w:w="366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80" w:right="2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ROPER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Taxpayer Identification No.: 51-0263969</w:t>
      </w:r>
    </w:p>
    <w:p>
      <w:pPr>
        <w:jc w:val="center"/>
        <w:spacing w:after="0"/>
        <w:rPr>
          <w:sz w:val="20"/>
          <w:szCs w:val="20"/>
          <w:color w:val="auto"/>
        </w:rPr>
      </w:pPr>
      <w:r>
        <w:rPr>
          <w:rFonts w:ascii="Arial" w:cs="Arial" w:eastAsia="Arial" w:hAnsi="Arial"/>
          <w:sz w:val="20"/>
          <w:szCs w:val="20"/>
          <w:b w:val="1"/>
          <w:bCs w:val="1"/>
          <w:color w:val="auto"/>
        </w:rPr>
        <w:t>6901 Professional Parkway East, Suite 200</w:t>
      </w:r>
    </w:p>
    <w:p>
      <w:pPr>
        <w:jc w:val="center"/>
        <w:spacing w:after="0"/>
        <w:rPr>
          <w:sz w:val="20"/>
          <w:szCs w:val="20"/>
          <w:color w:val="auto"/>
        </w:rPr>
      </w:pPr>
      <w:r>
        <w:rPr>
          <w:rFonts w:ascii="Arial" w:cs="Arial" w:eastAsia="Arial" w:hAnsi="Arial"/>
          <w:sz w:val="20"/>
          <w:szCs w:val="20"/>
          <w:b w:val="1"/>
          <w:bCs w:val="1"/>
          <w:color w:val="auto"/>
        </w:rPr>
        <w:t>Sarasota, Florida 34240</w:t>
      </w:r>
    </w:p>
    <w:p>
      <w:pPr>
        <w:jc w:val="center"/>
        <w:spacing w:after="0"/>
        <w:rPr>
          <w:sz w:val="20"/>
          <w:szCs w:val="20"/>
          <w:color w:val="auto"/>
        </w:rPr>
      </w:pPr>
      <w:r>
        <w:rPr>
          <w:rFonts w:ascii="Arial" w:cs="Arial" w:eastAsia="Arial" w:hAnsi="Arial"/>
          <w:sz w:val="20"/>
          <w:szCs w:val="20"/>
          <w:b w:val="1"/>
          <w:bCs w:val="1"/>
          <w:color w:val="auto"/>
        </w:rPr>
        <w:t>Nonstatutory Stock Option Award Certificate (“Award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Non-transferable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 R A N T TO</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u w:val="single" w:color="auto"/>
          <w:color w:val="auto"/>
        </w:rPr>
        <w:t>________________________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right to purchase from Roper Technologies,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tabs>
          <w:tab w:leader="none" w:pos="2020" w:val="left"/>
          <w:tab w:leader="none" w:pos="2500" w:val="left"/>
          <w:tab w:leader="none" w:pos="3340" w:val="left"/>
          <w:tab w:leader="none" w:pos="4220" w:val="left"/>
          <w:tab w:leader="none" w:pos="4540" w:val="left"/>
          <w:tab w:leader="none" w:pos="5400" w:val="left"/>
          <w:tab w:leader="none" w:pos="5980" w:val="left"/>
          <w:tab w:leader="none" w:pos="6280" w:val="left"/>
          <w:tab w:leader="none" w:pos="6680" w:val="left"/>
          <w:tab w:leader="none" w:pos="7240" w:val="left"/>
          <w:tab w:leader="none" w:pos="7580" w:val="left"/>
          <w:tab w:leader="none" w:pos="9140" w:val="left"/>
          <w:tab w:leader="none" w:pos="9720" w:val="left"/>
          <w:tab w:leader="none" w:pos="10200" w:val="left"/>
          <w:tab w:leader="none" w:pos="11200" w:val="left"/>
        </w:tabs>
        <w:rPr>
          <w:sz w:val="20"/>
          <w:szCs w:val="20"/>
          <w:color w:val="auto"/>
        </w:rPr>
      </w:pPr>
      <w:r>
        <w:rPr>
          <w:rFonts w:ascii="Arial" w:cs="Arial" w:eastAsia="Arial" w:hAnsi="Arial"/>
          <w:sz w:val="20"/>
          <w:szCs w:val="20"/>
          <w:color w:val="auto"/>
        </w:rPr>
        <w:t>______________shares</w:t>
        <w:tab/>
        <w:t>(the</w:t>
        <w:tab/>
        <w:t>“</w:t>
      </w:r>
      <w:r>
        <w:rPr>
          <w:rFonts w:ascii="Arial" w:cs="Arial" w:eastAsia="Arial" w:hAnsi="Arial"/>
          <w:sz w:val="20"/>
          <w:szCs w:val="20"/>
          <w:b w:val="1"/>
          <w:bCs w:val="1"/>
          <w:color w:val="auto"/>
        </w:rPr>
        <w:t>Option</w:t>
      </w:r>
      <w:r>
        <w:rPr>
          <w:sz w:val="20"/>
          <w:szCs w:val="20"/>
          <w:color w:val="auto"/>
        </w:rPr>
        <w:tab/>
      </w:r>
      <w:r>
        <w:rPr>
          <w:rFonts w:ascii="Arial" w:cs="Arial" w:eastAsia="Arial" w:hAnsi="Arial"/>
          <w:sz w:val="20"/>
          <w:szCs w:val="20"/>
          <w:b w:val="1"/>
          <w:bCs w:val="1"/>
          <w:color w:val="auto"/>
        </w:rPr>
        <w:t>Shares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of</w:t>
        <w:tab/>
        <w:t>common</w:t>
        <w:tab/>
        <w:t>stock</w:t>
        <w:tab/>
        <w:t>at</w:t>
        <w:tab/>
        <w:t>the</w:t>
        <w:tab/>
        <w:t>price</w:t>
        <w:tab/>
        <w:t>of</w:t>
      </w:r>
      <w:r>
        <w:rPr>
          <w:sz w:val="20"/>
          <w:szCs w:val="20"/>
          <w:color w:val="auto"/>
        </w:rPr>
        <w:tab/>
      </w:r>
      <w:r>
        <w:rPr>
          <w:rFonts w:ascii="Arial" w:cs="Arial" w:eastAsia="Arial" w:hAnsi="Arial"/>
          <w:sz w:val="20"/>
          <w:szCs w:val="20"/>
          <w:b w:val="1"/>
          <w:bCs w:val="1"/>
          <w:color w:val="auto"/>
        </w:rPr>
        <w:t xml:space="preserve">$_________  </w:t>
      </w:r>
      <w:r>
        <w:rPr>
          <w:rFonts w:ascii="Arial" w:cs="Arial" w:eastAsia="Arial" w:hAnsi="Arial"/>
          <w:sz w:val="20"/>
          <w:szCs w:val="20"/>
          <w:color w:val="auto"/>
        </w:rPr>
        <w:t>per</w:t>
      </w:r>
      <w:r>
        <w:rPr>
          <w:sz w:val="20"/>
          <w:szCs w:val="20"/>
          <w:color w:val="auto"/>
        </w:rPr>
        <w:tab/>
      </w:r>
      <w:r>
        <w:rPr>
          <w:rFonts w:ascii="Arial" w:cs="Arial" w:eastAsia="Arial" w:hAnsi="Arial"/>
          <w:sz w:val="20"/>
          <w:szCs w:val="20"/>
          <w:color w:val="auto"/>
        </w:rPr>
        <w:t>share</w:t>
        <w:tab/>
        <w:t>(the</w:t>
        <w:tab/>
        <w:t>“</w:t>
      </w:r>
      <w:r>
        <w:rPr>
          <w:rFonts w:ascii="Arial" w:cs="Arial" w:eastAsia="Arial" w:hAnsi="Arial"/>
          <w:sz w:val="20"/>
          <w:szCs w:val="20"/>
          <w:b w:val="1"/>
          <w:bCs w:val="1"/>
          <w:color w:val="auto"/>
        </w:rPr>
        <w:t>Option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b w:val="1"/>
          <w:bCs w:val="1"/>
          <w:color w:val="auto"/>
        </w:rPr>
        <w:t>__________________</w:t>
      </w:r>
      <w:r>
        <w:rPr>
          <w:rFonts w:ascii="Arial" w:cs="Arial" w:eastAsia="Arial" w:hAnsi="Arial"/>
          <w:sz w:val="20"/>
          <w:szCs w:val="20"/>
          <w:color w:val="auto"/>
        </w:rPr>
        <w:t>, 20</w:t>
      </w:r>
      <w:r>
        <w:rPr>
          <w:rFonts w:ascii="Arial" w:cs="Arial" w:eastAsia="Arial" w:hAnsi="Arial"/>
          <w:sz w:val="20"/>
          <w:szCs w:val="20"/>
          <w:b w:val="1"/>
          <w:bCs w:val="1"/>
          <w:color w:val="auto"/>
        </w:rPr>
        <w:t>____</w:t>
      </w:r>
      <w:r>
        <w:rPr>
          <w:rFonts w:ascii="Arial" w:cs="Arial" w:eastAsia="Arial" w:hAnsi="Arial"/>
          <w:sz w:val="20"/>
          <w:szCs w:val="20"/>
          <w:color w:val="auto"/>
        </w:rPr>
        <w:t xml:space="preserve"> (the “</w:t>
      </w:r>
      <w:r>
        <w:rPr>
          <w:rFonts w:ascii="Arial" w:cs="Arial" w:eastAsia="Arial" w:hAnsi="Arial"/>
          <w:sz w:val="20"/>
          <w:szCs w:val="20"/>
          <w:b w:val="1"/>
          <w:bCs w:val="1"/>
          <w:color w:val="auto"/>
        </w:rPr>
        <w:t>Grant Date</w:t>
      </w:r>
      <w:r>
        <w:rPr>
          <w:rFonts w:ascii="Arial" w:cs="Arial" w:eastAsia="Arial" w:hAnsi="Arial"/>
          <w:sz w:val="20"/>
          <w:szCs w:val="20"/>
          <w:color w:val="auto"/>
        </w:rPr>
        <w: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Option shall be pursuant to and subject to the provisions of the Roper Technologies, Inc. 2016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 to the terms and conditions set forth on the following page (the “</w:t>
      </w:r>
      <w:r>
        <w:rPr>
          <w:rFonts w:ascii="Arial" w:cs="Arial" w:eastAsia="Arial" w:hAnsi="Arial"/>
          <w:sz w:val="20"/>
          <w:szCs w:val="20"/>
          <w:b w:val="1"/>
          <w:bCs w:val="1"/>
          <w:color w:val="auto"/>
        </w:rPr>
        <w:t>Terms and Conditions</w:t>
      </w:r>
      <w:r>
        <w:rPr>
          <w:rFonts w:ascii="Arial" w:cs="Arial" w:eastAsia="Arial" w:hAnsi="Arial"/>
          <w:sz w:val="20"/>
          <w:szCs w:val="20"/>
          <w:color w:val="auto"/>
        </w:rPr>
        <w:t>”). Capitalized terms used herein and not otherwise defined shall have the meanings assigned to such terms in the Plan.</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vesting is accelerated in accordance with the Plan or in the discretion of the Committee, the Option shall vest (become exercisable) in accordance with the following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217170</wp:posOffset>
            </wp:positionV>
            <wp:extent cx="6140450" cy="934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6140450" cy="934720"/>
                    </a:xfrm>
                    <a:prstGeom prst="rect">
                      <a:avLst/>
                    </a:prstGeom>
                    <a:noFill/>
                  </pic:spPr>
                </pic:pic>
              </a:graphicData>
            </a:graphic>
          </wp:anchor>
        </w:drawing>
      </w:r>
    </w:p>
    <w:p>
      <w:pPr>
        <w:spacing w:after="0" w:line="34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3800" w:type="dxa"/>
            <w:vAlign w:val="bottom"/>
          </w:tcPr>
          <w:p>
            <w:pPr>
              <w:jc w:val="center"/>
              <w:ind w:right="1001"/>
              <w:spacing w:after="0"/>
              <w:rPr>
                <w:sz w:val="20"/>
                <w:szCs w:val="20"/>
                <w:color w:val="auto"/>
              </w:rPr>
            </w:pPr>
            <w:r>
              <w:rPr>
                <w:rFonts w:ascii="Arial" w:cs="Arial" w:eastAsia="Arial" w:hAnsi="Arial"/>
                <w:sz w:val="20"/>
                <w:szCs w:val="20"/>
                <w:color w:val="auto"/>
                <w:w w:val="87"/>
              </w:rPr>
              <w:t>Continuous Status as a Participant</w:t>
            </w:r>
          </w:p>
        </w:tc>
        <w:tc>
          <w:tcPr>
            <w:tcW w:w="3700" w:type="dxa"/>
            <w:vAlign w:val="bottom"/>
          </w:tcPr>
          <w:p>
            <w:pPr>
              <w:spacing w:after="0"/>
              <w:rPr>
                <w:sz w:val="19"/>
                <w:szCs w:val="19"/>
                <w:color w:val="auto"/>
              </w:rPr>
            </w:pPr>
          </w:p>
        </w:tc>
      </w:tr>
      <w:tr>
        <w:trPr>
          <w:trHeight w:val="250"/>
        </w:trPr>
        <w:tc>
          <w:tcPr>
            <w:tcW w:w="3800" w:type="dxa"/>
            <w:vAlign w:val="bottom"/>
          </w:tcPr>
          <w:p>
            <w:pPr>
              <w:jc w:val="center"/>
              <w:ind w:right="981"/>
              <w:spacing w:after="0"/>
              <w:rPr>
                <w:sz w:val="20"/>
                <w:szCs w:val="20"/>
                <w:color w:val="auto"/>
              </w:rPr>
            </w:pPr>
            <w:r>
              <w:rPr>
                <w:rFonts w:ascii="Arial" w:cs="Arial" w:eastAsia="Arial" w:hAnsi="Arial"/>
                <w:sz w:val="20"/>
                <w:szCs w:val="20"/>
                <w:u w:val="single" w:color="auto"/>
                <w:color w:val="auto"/>
                <w:w w:val="89"/>
              </w:rPr>
              <w:t>after Grant Date</w:t>
            </w:r>
          </w:p>
        </w:tc>
        <w:tc>
          <w:tcPr>
            <w:tcW w:w="3700" w:type="dxa"/>
            <w:vAlign w:val="bottom"/>
          </w:tcPr>
          <w:p>
            <w:pPr>
              <w:ind w:left="1080"/>
              <w:spacing w:after="0"/>
              <w:rPr>
                <w:sz w:val="20"/>
                <w:szCs w:val="20"/>
                <w:color w:val="auto"/>
              </w:rPr>
            </w:pPr>
            <w:r>
              <w:rPr>
                <w:rFonts w:ascii="Arial" w:cs="Arial" w:eastAsia="Arial" w:hAnsi="Arial"/>
                <w:sz w:val="20"/>
                <w:szCs w:val="20"/>
                <w:u w:val="single" w:color="auto"/>
                <w:color w:val="auto"/>
                <w:w w:val="88"/>
              </w:rPr>
              <w:t>Number of Option Shares Vested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By your electronic signature of this Award Agreement (including your acceptance of the terms set forth in </w:t>
      </w:r>
      <w:r>
        <w:rPr>
          <w:rFonts w:ascii="Arial" w:cs="Arial" w:eastAsia="Arial" w:hAnsi="Arial"/>
          <w:sz w:val="20"/>
          <w:szCs w:val="20"/>
          <w:b w:val="1"/>
          <w:bCs w:val="1"/>
          <w:color w:val="auto"/>
        </w:rPr>
        <w:t>Appendix A - Confidentiality,</w:t>
      </w:r>
      <w:r>
        <w:rPr>
          <w:rFonts w:ascii="Arial" w:cs="Arial" w:eastAsia="Arial" w:hAnsi="Arial"/>
          <w:sz w:val="20"/>
          <w:szCs w:val="20"/>
          <w:color w:val="auto"/>
        </w:rPr>
        <w:t xml:space="preserve"> </w:t>
      </w:r>
      <w:r>
        <w:rPr>
          <w:rFonts w:ascii="Arial" w:cs="Arial" w:eastAsia="Arial" w:hAnsi="Arial"/>
          <w:sz w:val="20"/>
          <w:szCs w:val="20"/>
          <w:b w:val="1"/>
          <w:bCs w:val="1"/>
          <w:color w:val="auto"/>
        </w:rPr>
        <w:t>Intellectual Property, Noncompetition and Nonsolicitation Agreement)</w:t>
      </w:r>
      <w:r>
        <w:rPr>
          <w:rFonts w:ascii="Arial" w:cs="Arial" w:eastAsia="Arial" w:hAnsi="Arial"/>
          <w:sz w:val="20"/>
          <w:szCs w:val="20"/>
          <w:color w:val="auto"/>
        </w:rPr>
        <w:t>, you and the Company agree that this Option is granted under and</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the terms and conditions of the Plan and this Award Agreement (including PART I and PART II hereof), all of which are made a part of this document.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Option</w:t>
      </w:r>
    </w:p>
    <w:p>
      <w:pPr>
        <w:sectPr>
          <w:pgSz w:w="11900" w:h="16838" w:orient="portrait"/>
          <w:cols w:equalWidth="0" w:num="1">
            <w:col w:w="11420"/>
          </w:cols>
          <w:pgMar w:left="240" w:top="36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u w:val="single" w:color="auto"/>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TERMS AND CONDITIONS</w:t>
      </w:r>
    </w:p>
    <w:p>
      <w:pPr>
        <w:spacing w:after="0" w:line="227" w:lineRule="exact"/>
        <w:rPr>
          <w:sz w:val="20"/>
          <w:szCs w:val="20"/>
          <w:color w:val="auto"/>
        </w:rPr>
      </w:pPr>
    </w:p>
    <w:p>
      <w:pPr>
        <w:jc w:val="both"/>
        <w:ind w:firstLine="8"/>
        <w:spacing w:after="0" w:line="286" w:lineRule="auto"/>
        <w:tabs>
          <w:tab w:leader="none" w:pos="797"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Vesting of Option</w:t>
      </w:r>
      <w:r>
        <w:rPr>
          <w:rFonts w:ascii="Arial" w:cs="Arial" w:eastAsia="Arial" w:hAnsi="Arial"/>
          <w:sz w:val="19"/>
          <w:szCs w:val="19"/>
          <w:color w:val="auto"/>
        </w:rPr>
        <w:t>. The Option and Option Shares are listed in Part I of this Award Agreement and are subject to all of the terms and conditions of the Plan. The Option shall vest (become exercisable) in accordance with the vesting schedule shown in Part I. Notwithstanding the foregoing vesting schedule, the Option shall become fully vested and exercisable upon: (i) Optionee’s death or Disability during his or her Continuous Status as a Participant, (ii) a Change in Control, unless the Option is assumed by the surviving entity or otherwise equitably converted or substituted in connection with the Change in Control, or (iii) if the Option is assumed by the surviving entity or otherwise equitably converted or substituted in connection with a Change in Control, the termination of Optionee’s employment by the Company without Cause (or Optionee’s resignation for Good Reason as provided in any employment, severance or similar agreement between Optionee and the Company or an Affiliate) within two years after the effective date of the Change in Control.</w:t>
      </w:r>
    </w:p>
    <w:p>
      <w:pPr>
        <w:spacing w:after="0" w:line="145" w:lineRule="exact"/>
        <w:rPr>
          <w:rFonts w:ascii="Arial" w:cs="Arial" w:eastAsia="Arial" w:hAnsi="Arial"/>
          <w:sz w:val="19"/>
          <w:szCs w:val="19"/>
          <w:color w:val="auto"/>
        </w:rPr>
      </w:pPr>
    </w:p>
    <w:p>
      <w:pPr>
        <w:jc w:val="both"/>
        <w:ind w:firstLine="8"/>
        <w:spacing w:after="0" w:line="278" w:lineRule="auto"/>
        <w:tabs>
          <w:tab w:leader="none" w:pos="797"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Term of Option and Limitations on Right to Exercise</w:t>
      </w:r>
      <w:r>
        <w:rPr>
          <w:rFonts w:ascii="Arial" w:cs="Arial" w:eastAsia="Arial" w:hAnsi="Arial"/>
          <w:sz w:val="20"/>
          <w:szCs w:val="20"/>
          <w:color w:val="auto"/>
        </w:rPr>
        <w:t>. The term of the Option will be for a period of ten (10) years, expiring at 5:00 p.m., Eastern Time, on the tenth anniversary of the Grant Date (the “</w:t>
      </w:r>
      <w:r>
        <w:rPr>
          <w:rFonts w:ascii="Arial" w:cs="Arial" w:eastAsia="Arial" w:hAnsi="Arial"/>
          <w:sz w:val="20"/>
          <w:szCs w:val="20"/>
          <w:b w:val="1"/>
          <w:bCs w:val="1"/>
          <w:color w:val="auto"/>
        </w:rPr>
        <w:t>Expiration Date</w:t>
      </w:r>
      <w:r>
        <w:rPr>
          <w:rFonts w:ascii="Arial" w:cs="Arial" w:eastAsia="Arial" w:hAnsi="Arial"/>
          <w:sz w:val="20"/>
          <w:szCs w:val="20"/>
          <w:color w:val="auto"/>
        </w:rPr>
        <w:t>”). To the extent not previously exercised, the Option will lapse prior to the Expiration Date upon the earliest to occur of the following circumstances:</w:t>
      </w:r>
    </w:p>
    <w:p>
      <w:pPr>
        <w:spacing w:after="0" w:line="132" w:lineRule="exact"/>
        <w:rPr>
          <w:rFonts w:ascii="Arial" w:cs="Arial" w:eastAsia="Arial" w:hAnsi="Arial"/>
          <w:sz w:val="20"/>
          <w:szCs w:val="20"/>
          <w:color w:val="auto"/>
        </w:rPr>
      </w:pPr>
    </w:p>
    <w:p>
      <w:pPr>
        <w:ind w:firstLine="656"/>
        <w:spacing w:after="0" w:line="260" w:lineRule="auto"/>
        <w:tabs>
          <w:tab w:leader="none" w:pos="1062"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Three (3) months after the date of the termination of Optionee’s Continuous Status as a Participant for any reason other than (i) for Cause or (ii) by reason of Optionee’s death, Disability or Retirement.</w:t>
      </w:r>
    </w:p>
    <w:p>
      <w:pPr>
        <w:spacing w:after="0" w:line="136" w:lineRule="exact"/>
        <w:rPr>
          <w:rFonts w:ascii="Arial" w:cs="Arial" w:eastAsia="Arial" w:hAnsi="Arial"/>
          <w:sz w:val="20"/>
          <w:szCs w:val="20"/>
          <w:color w:val="auto"/>
        </w:rPr>
      </w:pPr>
    </w:p>
    <w:p>
      <w:pPr>
        <w:ind w:left="1140" w:hanging="484"/>
        <w:spacing w:after="0"/>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Thirty-six (36) months after the date of the termination of Optionee’s Continuous Status as a Participant by reason of Retirement.</w:t>
      </w:r>
    </w:p>
    <w:p>
      <w:pPr>
        <w:spacing w:after="0" w:line="198" w:lineRule="exact"/>
        <w:rPr>
          <w:rFonts w:ascii="Arial" w:cs="Arial" w:eastAsia="Arial" w:hAnsi="Arial"/>
          <w:sz w:val="18"/>
          <w:szCs w:val="18"/>
          <w:color w:val="auto"/>
        </w:rPr>
      </w:pPr>
    </w:p>
    <w:p>
      <w:pPr>
        <w:ind w:left="1080" w:hanging="424"/>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Twelve (12) months after the date of the termination of Optionee’s Continuous Status as a Participant by reason of Disability.</w:t>
      </w:r>
    </w:p>
    <w:p>
      <w:pPr>
        <w:spacing w:after="0" w:line="198" w:lineRule="exact"/>
        <w:rPr>
          <w:rFonts w:ascii="Arial" w:cs="Arial" w:eastAsia="Arial" w:hAnsi="Arial"/>
          <w:sz w:val="18"/>
          <w:szCs w:val="18"/>
          <w:color w:val="auto"/>
        </w:rPr>
      </w:pPr>
    </w:p>
    <w:p>
      <w:pPr>
        <w:jc w:val="both"/>
        <w:ind w:firstLine="656"/>
        <w:spacing w:after="0" w:line="246" w:lineRule="auto"/>
        <w:tabs>
          <w:tab w:leader="none" w:pos="1212" w:val="left"/>
        </w:tabs>
        <w:numPr>
          <w:ilvl w:val="1"/>
          <w:numId w:val="30"/>
        </w:numPr>
        <w:rPr>
          <w:rFonts w:ascii="Arial" w:cs="Arial" w:eastAsia="Arial" w:hAnsi="Arial"/>
          <w:sz w:val="20"/>
          <w:szCs w:val="20"/>
          <w:color w:val="auto"/>
        </w:rPr>
      </w:pPr>
      <w:r>
        <w:rPr>
          <w:rFonts w:ascii="Arial" w:cs="Arial" w:eastAsia="Arial" w:hAnsi="Arial"/>
          <w:sz w:val="20"/>
          <w:szCs w:val="20"/>
          <w:color w:val="auto"/>
        </w:rPr>
        <w:t>Twelve months after the date of Optionee’s death, if Optionee dies while employed, or during the three (3) month period described in subsection (a) above, during the thirty-six (36) month period described in subsection (b) above or during the twelve-month period described in subsection (c) above and before the Option otherwise lapse. Upon Optionee’s death, the Option may be exercised by Optionee’s beneficiary designated pursuant to the Plan.</w:t>
      </w:r>
    </w:p>
    <w:p>
      <w:pPr>
        <w:spacing w:after="0" w:line="151" w:lineRule="exact"/>
        <w:rPr>
          <w:rFonts w:ascii="Arial" w:cs="Arial" w:eastAsia="Arial" w:hAnsi="Arial"/>
          <w:sz w:val="20"/>
          <w:szCs w:val="20"/>
          <w:color w:val="auto"/>
        </w:rPr>
      </w:pPr>
    </w:p>
    <w:p>
      <w:pPr>
        <w:ind w:left="1080" w:hanging="424"/>
        <w:spacing w:after="0"/>
        <w:tabs>
          <w:tab w:leader="none" w:pos="10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5:00 p.m., Eastern Time, on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business day after the date of the termination of Optionee’s Continuous Status as a Participant</w:t>
      </w:r>
    </w:p>
    <w:p>
      <w:pPr>
        <w:spacing w:after="0" w:line="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for Cause.</w:t>
      </w:r>
    </w:p>
    <w:p>
      <w:pPr>
        <w:spacing w:after="0" w:line="159" w:lineRule="exact"/>
        <w:rPr>
          <w:sz w:val="20"/>
          <w:szCs w:val="20"/>
          <w:color w:val="auto"/>
        </w:rPr>
      </w:pPr>
    </w:p>
    <w:p>
      <w:pPr>
        <w:jc w:val="both"/>
        <w:ind w:firstLine="392"/>
        <w:spacing w:after="0" w:line="244" w:lineRule="auto"/>
        <w:rPr>
          <w:sz w:val="20"/>
          <w:szCs w:val="20"/>
          <w:color w:val="auto"/>
        </w:rPr>
      </w:pPr>
      <w:r>
        <w:rPr>
          <w:rFonts w:ascii="Arial" w:cs="Arial" w:eastAsia="Arial" w:hAnsi="Arial"/>
          <w:sz w:val="20"/>
          <w:szCs w:val="20"/>
          <w:color w:val="auto"/>
        </w:rPr>
        <w:t>If Optionee returns to employment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 may be exercised only with respect to the Shares that were otherwise vested on Optionee’s termination of service, including Option Shares vested by acceleration under section 1.</w:t>
      </w:r>
    </w:p>
    <w:p>
      <w:pPr>
        <w:spacing w:after="0" w:line="168" w:lineRule="exact"/>
        <w:rPr>
          <w:sz w:val="20"/>
          <w:szCs w:val="20"/>
          <w:color w:val="auto"/>
        </w:rPr>
      </w:pPr>
    </w:p>
    <w:p>
      <w:pPr>
        <w:jc w:val="both"/>
        <w:ind w:firstLine="8"/>
        <w:spacing w:after="0" w:line="314" w:lineRule="auto"/>
        <w:tabs>
          <w:tab w:leader="none" w:pos="79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Option shall be exercised by (a) notice directed to the Corporate Secretary of the Company or his or her designee at the address and in the form specified by the Corporate Secretary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Option</w:t>
      </w:r>
    </w:p>
    <w:p>
      <w:pPr>
        <w:sectPr>
          <w:pgSz w:w="11900" w:h="16838" w:orient="portrait"/>
          <w:cols w:equalWidth="0" w:num="1">
            <w:col w:w="11420"/>
          </w:cols>
          <w:pgMar w:left="240" w:top="360" w:right="239" w:bottom="1440" w:gutter="0" w:footer="0" w:header="0"/>
        </w:sectPr>
      </w:pPr>
    </w:p>
    <w:bookmarkStart w:id="68" w:name="page69"/>
    <w:bookmarkEnd w:id="68"/>
    <w:p>
      <w:pPr>
        <w:jc w:val="both"/>
        <w:spacing w:after="0" w:line="345" w:lineRule="auto"/>
        <w:rPr>
          <w:sz w:val="20"/>
          <w:szCs w:val="20"/>
          <w:color w:val="auto"/>
        </w:rPr>
      </w:pPr>
      <w:r>
        <w:rPr>
          <w:rFonts w:ascii="Arial" w:cs="Arial" w:eastAsia="Arial" w:hAnsi="Arial"/>
          <w:sz w:val="16"/>
          <w:szCs w:val="16"/>
          <w:color w:val="auto"/>
        </w:rPr>
        <w:t>to exercise the Option. Payment for such Shares shall be in (a) cash, (b) Shares previously acquired by the purchaser, or (c) any combination thereof, for the number of Shares specified in such written notice. The value of surrendered Shares for this purpose shall be the Fair Market Value as of the last trading day immediately prior to the exercise date. Alternatively, the Company may permit Optionee to exercise the Option through a “net” exercise, whereby the Company shall retain from the Option that number of Option shares having a Fair Market Value on the date of exercise equal to some or all of the exercise price. To the extent permitted under Regulation T of the Federal Reserve Board, and subject to applicable securities laws and any limitations as may be applied from time to time by the Committee (which need not be uniform), the Option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105" w:lineRule="exact"/>
        <w:rPr>
          <w:sz w:val="20"/>
          <w:szCs w:val="20"/>
          <w:color w:val="auto"/>
        </w:rPr>
      </w:pPr>
    </w:p>
    <w:p>
      <w:pPr>
        <w:jc w:val="both"/>
        <w:ind w:firstLine="8"/>
        <w:spacing w:after="0" w:line="270"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Taxes/Withholding</w:t>
      </w:r>
      <w:r>
        <w:rPr>
          <w:rFonts w:ascii="Arial" w:cs="Arial" w:eastAsia="Arial" w:hAnsi="Arial"/>
          <w:sz w:val="20"/>
          <w:szCs w:val="20"/>
          <w:color w:val="auto"/>
        </w:rPr>
        <w:t>. The Company or any employer Affiliate has the authority and the right to deduct or withhold, or require you to remit to the employer, an amount sufficient to satisfy federal, state, and local taxes (including your FICA obligation) required by law to be withheld with respect to any taxable event arising as a result of the exercise of an Option. The withholding requirement may be satisfied, in whole or in part, at the election of the Corporate Secretary, by withholding from the Option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Corporate Secretary establishes. Section 17.3 of the Plan is incorporated by reference herein.</w:t>
      </w:r>
    </w:p>
    <w:p>
      <w:pPr>
        <w:spacing w:after="0" w:line="158" w:lineRule="exact"/>
        <w:rPr>
          <w:rFonts w:ascii="Arial" w:cs="Arial" w:eastAsia="Arial" w:hAnsi="Arial"/>
          <w:sz w:val="20"/>
          <w:szCs w:val="20"/>
          <w:color w:val="auto"/>
        </w:rPr>
      </w:pPr>
    </w:p>
    <w:p>
      <w:pPr>
        <w:jc w:val="both"/>
        <w:ind w:firstLine="8"/>
        <w:spacing w:after="0" w:line="274"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The Option does not confer to Optionee or Optionee’s beneficiary any rights of a shareholder of the Company unless and until Shares are in fact issued to such person in connection with the exercise of the Option. Nothing in this Certificate shall interfere with or limit in any way the right of the Company or any Affiliate to terminate Optionee’s service at any time, nor confer upon Optionee any right to continue in the service of the Company or any Affiliate.</w:t>
      </w:r>
    </w:p>
    <w:p>
      <w:pPr>
        <w:spacing w:after="0" w:line="151" w:lineRule="exact"/>
        <w:rPr>
          <w:rFonts w:ascii="Arial" w:cs="Arial" w:eastAsia="Arial" w:hAnsi="Arial"/>
          <w:sz w:val="20"/>
          <w:szCs w:val="20"/>
          <w:color w:val="auto"/>
        </w:rPr>
      </w:pPr>
    </w:p>
    <w:p>
      <w:pPr>
        <w:jc w:val="both"/>
        <w:ind w:firstLine="8"/>
        <w:spacing w:after="0" w:line="273"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and Pledge</w:t>
      </w:r>
      <w:r>
        <w:rPr>
          <w:rFonts w:ascii="Arial" w:cs="Arial" w:eastAsia="Arial" w:hAnsi="Arial"/>
          <w:sz w:val="20"/>
          <w:szCs w:val="20"/>
          <w:color w:val="auto"/>
        </w:rPr>
        <w:t>. No right or interest of Optionee in the Option may be pledged, encumbered, or hypothecated to or in favor of any party other than the Company or an Affiliate, or shall be subject to any lien, obligation, or liability of Optionee to any other party other than the Company or an Affiliate. The Option is not assignable or transferable by Optionee other than by will or the laws of descent and distribution, but the Committee may (but need not) permit other transfers. The Option may be exercised during the lifetime of Optionee only by Optionee or any permitted transferee.</w:t>
      </w:r>
    </w:p>
    <w:p>
      <w:pPr>
        <w:spacing w:after="0" w:line="150" w:lineRule="exact"/>
        <w:rPr>
          <w:rFonts w:ascii="Arial" w:cs="Arial" w:eastAsia="Arial" w:hAnsi="Arial"/>
          <w:sz w:val="20"/>
          <w:szCs w:val="20"/>
          <w:color w:val="auto"/>
        </w:rPr>
      </w:pPr>
    </w:p>
    <w:p>
      <w:pPr>
        <w:jc w:val="both"/>
        <w:ind w:firstLine="8"/>
        <w:spacing w:after="0" w:line="273" w:lineRule="auto"/>
        <w:tabs>
          <w:tab w:leader="none" w:pos="79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Restrictions on Issuance of Shares</w:t>
      </w:r>
      <w:r>
        <w:rPr>
          <w:rFonts w:ascii="Arial" w:cs="Arial" w:eastAsia="Arial" w:hAnsi="Arial"/>
          <w:sz w:val="20"/>
          <w:szCs w:val="20"/>
          <w:color w:val="auto"/>
        </w:rPr>
        <w:t>. If at any time the Committee shall determine in its discretion, that registration, listing or qualification of the Shares covered by the Option upon any Exchange or under any foreign, federal, or local law or practice, or the consent or approval of any governmental regulatory body, is necessary or desirable as a condition to the exercise of the Option, the Option may not be exercised in whole or in part unless and until such registration, listing, qualification, consent or approval shall have been effected or obtained free of any conditions not acceptable to the Committee.</w:t>
      </w:r>
    </w:p>
    <w:p>
      <w:pPr>
        <w:spacing w:after="0" w:line="150" w:lineRule="exact"/>
        <w:rPr>
          <w:rFonts w:ascii="Arial" w:cs="Arial" w:eastAsia="Arial" w:hAnsi="Arial"/>
          <w:sz w:val="20"/>
          <w:szCs w:val="20"/>
          <w:color w:val="auto"/>
        </w:rPr>
      </w:pPr>
    </w:p>
    <w:p>
      <w:pPr>
        <w:jc w:val="both"/>
        <w:ind w:firstLine="8"/>
        <w:spacing w:after="0" w:line="290" w:lineRule="auto"/>
        <w:tabs>
          <w:tab w:leader="none" w:pos="79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Plan Controls</w:t>
      </w:r>
      <w:r>
        <w:rPr>
          <w:rFonts w:ascii="Arial" w:cs="Arial" w:eastAsia="Arial" w:hAnsi="Arial"/>
          <w:sz w:val="19"/>
          <w:szCs w:val="19"/>
          <w:color w:val="auto"/>
        </w:rPr>
        <w:t>. This Award Agreement and the rights and obligations created hereunder shall be subject to all of the terms and conditions of the Plan. In the event of any conflict between the provisions of the Plan and the provisions of this Award Agreement, the terms of the Plan, which are incorporated herein by reference, shall control. By signing this Award Agreement, you acknowledge receipt of a copy of the Plan. You acknowledge that you may not and will not rely on any statement of account or other communication or document issued in connection with the Award other than the Plan, this Award Agreement, or any document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Option</w:t>
      </w:r>
    </w:p>
    <w:p>
      <w:pPr>
        <w:sectPr>
          <w:pgSz w:w="11900" w:h="16838" w:orient="portrait"/>
          <w:cols w:equalWidth="0" w:num="1">
            <w:col w:w="11420"/>
          </w:cols>
          <w:pgMar w:left="240" w:top="379"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signed by an authorized representative of the Company that is designated as an amendment of the Plan or this Award Agreement.</w:t>
      </w:r>
    </w:p>
    <w:p>
      <w:pPr>
        <w:spacing w:after="0" w:line="214"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Certificate shall be binding upon any successor of the Company, in accordance with the terms of this Certificate and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Plan.</w:t>
      </w:r>
    </w:p>
    <w:p>
      <w:pPr>
        <w:spacing w:after="0" w:line="202" w:lineRule="exact"/>
        <w:rPr>
          <w:rFonts w:ascii="Arial" w:cs="Arial" w:eastAsia="Arial" w:hAnsi="Arial"/>
          <w:sz w:val="16"/>
          <w:szCs w:val="16"/>
          <w:color w:val="auto"/>
        </w:rPr>
      </w:pPr>
    </w:p>
    <w:p>
      <w:pPr>
        <w:jc w:val="both"/>
        <w:ind w:firstLine="8"/>
        <w:spacing w:after="0" w:line="288" w:lineRule="auto"/>
        <w:tabs>
          <w:tab w:leader="none" w:pos="8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Any communication required or permitted to be given under the Plan, including any notice, direction, designation, comment, instruction, objection or waiver, shall be in writing and shall be deemed to have been given at such time as it is delivered personally or five (5) days after mailing if mailed, postage prepaid, by registered or certified mail, return receipt requested, addressed to such party at the address listed below, or at such other address as one such party may by written notice specify to the other party: If to the Participant, to the Participant’s address as shown in the Company’s records. If to the Committee: Roper Technologies, Inc., 6901 Professional Parkway East, Suite 200, Sarasota, FL 34240, Attention: Compensation Committee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 Option</w:t>
      </w:r>
    </w:p>
    <w:p>
      <w:pPr>
        <w:sectPr>
          <w:pgSz w:w="11900" w:h="16838" w:orient="portrait"/>
          <w:cols w:equalWidth="0" w:num="1">
            <w:col w:w="11420"/>
          </w:cols>
          <w:pgMar w:left="240" w:top="379"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APPENDIX A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NONSTATUTORY STOCK OPTION AWARD CERTIFICATE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CONFIDENTIALITY, INTELLECTUAL PROPERTY,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NON-COMPETITION AND NON-SOLICITATION AGREEMENT</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This Confidentiality, Intellectual Property, Non-Competition and Non-Solicitation Agreement (“</w:t>
      </w:r>
      <w:r>
        <w:rPr>
          <w:rFonts w:ascii="Arial" w:cs="Arial" w:eastAsia="Arial" w:hAnsi="Arial"/>
          <w:sz w:val="20"/>
          <w:szCs w:val="20"/>
          <w:b w:val="1"/>
          <w:bCs w:val="1"/>
          <w:color w:val="auto"/>
        </w:rPr>
        <w:t>Agreement</w:t>
      </w:r>
      <w:r>
        <w:rPr>
          <w:rFonts w:ascii="Arial" w:cs="Arial" w:eastAsia="Arial" w:hAnsi="Arial"/>
          <w:sz w:val="20"/>
          <w:szCs w:val="20"/>
          <w:color w:val="auto"/>
        </w:rPr>
        <w:t>”) is by and between Roper Technologies, Inc. and the Participant.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Roper Technologies, Inc.’s grant of a Nonstatutory Stock Option Award with a grant date specified in the Award Agreement (“</w:t>
      </w:r>
      <w:r>
        <w:rPr>
          <w:rFonts w:ascii="Arial" w:cs="Arial" w:eastAsia="Arial" w:hAnsi="Arial"/>
          <w:sz w:val="20"/>
          <w:szCs w:val="20"/>
          <w:b w:val="1"/>
          <w:bCs w:val="1"/>
          <w:color w:val="auto"/>
        </w:rPr>
        <w:t>Grant Date</w:t>
      </w:r>
      <w:r>
        <w:rPr>
          <w:rFonts w:ascii="Arial" w:cs="Arial" w:eastAsia="Arial" w:hAnsi="Arial"/>
          <w:sz w:val="20"/>
          <w:szCs w:val="20"/>
          <w:color w:val="auto"/>
        </w:rPr>
        <w:t>”), is conditioned upon my execution of this Agreement, in consideration of Roper Technologies, Inc.’s grant of such Time-Based Restricted Stock and the mutual promises contained in this Agreement, Roper Technologies, Inc. and I agree to the following terms and conditions:</w:t>
      </w:r>
    </w:p>
    <w:p>
      <w:pPr>
        <w:spacing w:after="0" w:line="186" w:lineRule="exact"/>
        <w:rPr>
          <w:sz w:val="20"/>
          <w:szCs w:val="20"/>
          <w:color w:val="auto"/>
        </w:rPr>
      </w:pPr>
    </w:p>
    <w:p>
      <w:pPr>
        <w:jc w:val="both"/>
        <w:ind w:firstLine="8"/>
        <w:spacing w:after="0" w:line="255" w:lineRule="auto"/>
        <w:tabs>
          <w:tab w:leader="none" w:pos="423"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 of Trust</w:t>
      </w:r>
      <w:r>
        <w:rPr>
          <w:rFonts w:ascii="Arial" w:cs="Arial" w:eastAsia="Arial" w:hAnsi="Arial"/>
          <w:sz w:val="19"/>
          <w:szCs w:val="19"/>
          <w:color w:val="auto"/>
        </w:rPr>
        <w:t>. As used herein: “</w:t>
      </w:r>
      <w:r>
        <w:rPr>
          <w:rFonts w:ascii="Arial" w:cs="Arial" w:eastAsia="Arial" w:hAnsi="Arial"/>
          <w:sz w:val="19"/>
          <w:szCs w:val="19"/>
          <w:b w:val="1"/>
          <w:bCs w:val="1"/>
          <w:color w:val="auto"/>
        </w:rPr>
        <w:t>Company</w:t>
      </w:r>
      <w:r>
        <w:rPr>
          <w:rFonts w:ascii="Arial" w:cs="Arial" w:eastAsia="Arial" w:hAnsi="Arial"/>
          <w:sz w:val="19"/>
          <w:szCs w:val="19"/>
          <w:color w:val="auto"/>
        </w:rPr>
        <w:t>” means Roper Technologies, Inc., and any Affiliate that I am transferred to, am entrusted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Confidential Information about, or am required to provide services to in the course of my employment or services.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is any corporation, entity or organization that Roper Technologies, Inc. owns a controlling interest in or that is under common ownership and 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 relationships with existing and potential customers, clients, referral sources and vendors. Through my position, the Company will provide me with one or more of the following: </w:t>
      </w:r>
      <w:r>
        <w:rPr>
          <w:rFonts w:ascii="Arial" w:cs="Arial" w:eastAsia="Arial" w:hAnsi="Arial"/>
          <w:sz w:val="19"/>
          <w:szCs w:val="19"/>
          <w:b w:val="1"/>
          <w:bCs w:val="1"/>
          <w:color w:val="auto"/>
        </w:rPr>
        <w:t>(a)</w:t>
      </w:r>
      <w:r>
        <w:rPr>
          <w:rFonts w:ascii="Arial" w:cs="Arial" w:eastAsia="Arial" w:hAnsi="Arial"/>
          <w:sz w:val="19"/>
          <w:szCs w:val="19"/>
          <w:color w:val="auto"/>
        </w:rPr>
        <w:t xml:space="preserve"> Confidential Information; </w:t>
      </w:r>
      <w:r>
        <w:rPr>
          <w:rFonts w:ascii="Arial" w:cs="Arial" w:eastAsia="Arial" w:hAnsi="Arial"/>
          <w:sz w:val="19"/>
          <w:szCs w:val="19"/>
          <w:b w:val="1"/>
          <w:bCs w:val="1"/>
          <w:color w:val="auto"/>
        </w:rPr>
        <w:t>(b)</w:t>
      </w:r>
      <w:r>
        <w:rPr>
          <w:rFonts w:ascii="Arial" w:cs="Arial" w:eastAsia="Arial" w:hAnsi="Arial"/>
          <w:sz w:val="19"/>
          <w:szCs w:val="19"/>
          <w:color w:val="auto"/>
        </w:rPr>
        <w:t xml:space="preserve"> authorization to develop and expand relationships with customers, prospective customers, and others involved in the Company’s business that are key to the development of goodwill for the Company; and/or </w:t>
      </w:r>
      <w:r>
        <w:rPr>
          <w:rFonts w:ascii="Arial" w:cs="Arial" w:eastAsia="Arial" w:hAnsi="Arial"/>
          <w:sz w:val="19"/>
          <w:szCs w:val="19"/>
          <w:b w:val="1"/>
          <w:bCs w:val="1"/>
          <w:color w:val="auto"/>
        </w:rPr>
        <w:t>(c)</w:t>
      </w:r>
      <w:r>
        <w:rPr>
          <w:rFonts w:ascii="Arial" w:cs="Arial" w:eastAsia="Arial" w:hAnsi="Arial"/>
          <w:sz w:val="19"/>
          <w:szCs w:val="19"/>
          <w:color w:val="auto"/>
        </w:rPr>
        <w:t xml:space="preserve"> specialized training related to the Company’s business and customers. I understand that the Company will provide me with one or more of these items in reliance upon my promise to abide by all of the restrictions in this Agreement. I agree that the business in which the Company 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7" w:lineRule="exact"/>
        <w:rPr>
          <w:rFonts w:ascii="Arial" w:cs="Arial" w:eastAsia="Arial" w:hAnsi="Arial"/>
          <w:sz w:val="19"/>
          <w:szCs w:val="19"/>
          <w:b w:val="1"/>
          <w:bCs w:val="1"/>
          <w:color w:val="auto"/>
        </w:rPr>
      </w:pPr>
    </w:p>
    <w:p>
      <w:pPr>
        <w:jc w:val="both"/>
        <w:ind w:firstLine="8"/>
        <w:spacing w:after="0" w:line="273" w:lineRule="auto"/>
        <w:tabs>
          <w:tab w:leader="none" w:pos="39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Nondisclosure Obligation</w:t>
      </w:r>
      <w:r>
        <w:rPr>
          <w:rFonts w:ascii="Arial" w:cs="Arial" w:eastAsia="Arial" w:hAnsi="Arial"/>
          <w:sz w:val="18"/>
          <w:szCs w:val="18"/>
          <w:color w:val="auto"/>
        </w:rPr>
        <w:t>. I agree not to engage in any unauthorized use or disclosure of Confidential Information and to limit my 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to purposes that further the Company’s business interests consistent with my assigned job duties. As used herein,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refers to an item of information or a compilation of information in any form (tangible or intangible) related to the Company’s business that Company has not made public or authorized public disclosure of, and that is not generally known to the public through proper means. Confidential Information includes, but is not limited to: </w:t>
      </w:r>
      <w:r>
        <w:rPr>
          <w:rFonts w:ascii="Arial" w:cs="Arial" w:eastAsia="Arial" w:hAnsi="Arial"/>
          <w:sz w:val="18"/>
          <w:szCs w:val="18"/>
          <w:b w:val="1"/>
          <w:bCs w:val="1"/>
          <w:color w:val="auto"/>
        </w:rPr>
        <w:t>(a)</w:t>
      </w:r>
      <w:r>
        <w:rPr>
          <w:rFonts w:ascii="Arial" w:cs="Arial" w:eastAsia="Arial" w:hAnsi="Arial"/>
          <w:sz w:val="18"/>
          <w:szCs w:val="18"/>
          <w:color w:val="auto"/>
        </w:rPr>
        <w:t xml:space="preserve"> Company’s business plans and analysis, customer and prospective customer lists, marketing plans and strategies, research and development data, buying practices, financial data, operational data, methods, techniques, technical data, know-how, innovations, computer programs, un-patented inventions, and trade secrets; and </w:t>
      </w:r>
      <w:r>
        <w:rPr>
          <w:rFonts w:ascii="Arial" w:cs="Arial" w:eastAsia="Arial" w:hAnsi="Arial"/>
          <w:sz w:val="18"/>
          <w:szCs w:val="18"/>
          <w:b w:val="1"/>
          <w:bCs w:val="1"/>
          <w:color w:val="auto"/>
        </w:rPr>
        <w:t>(b)</w:t>
      </w:r>
      <w:r>
        <w:rPr>
          <w:rFonts w:ascii="Arial" w:cs="Arial" w:eastAsia="Arial" w:hAnsi="Arial"/>
          <w:sz w:val="18"/>
          <w:szCs w:val="18"/>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w:t>
      </w:r>
    </w:p>
    <w:p>
      <w:pPr>
        <w:spacing w:after="0" w:line="203"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675" w:right="239" w:bottom="1440" w:gutter="0" w:footer="0" w:header="0"/>
        </w:sectPr>
      </w:pPr>
    </w:p>
    <w:bookmarkStart w:id="71" w:name="page72"/>
    <w:bookmarkEnd w:id="71"/>
    <w:p>
      <w:pPr>
        <w:jc w:val="both"/>
        <w:spacing w:after="0" w:line="273" w:lineRule="auto"/>
        <w:rPr>
          <w:sz w:val="20"/>
          <w:szCs w:val="20"/>
          <w:color w:val="auto"/>
        </w:rPr>
      </w:pPr>
      <w:r>
        <w:rPr>
          <w:rFonts w:ascii="Arial" w:cs="Arial" w:eastAsia="Arial" w:hAnsi="Arial"/>
          <w:sz w:val="18"/>
          <w:szCs w:val="18"/>
          <w:color w:val="auto"/>
        </w:rPr>
        <w:t>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Arial" w:cs="Arial" w:eastAsia="Arial" w:hAnsi="Arial"/>
          <w:sz w:val="18"/>
          <w:szCs w:val="18"/>
          <w:b w:val="1"/>
          <w:bCs w:val="1"/>
          <w:color w:val="auto"/>
        </w:rPr>
        <w:t>Act</w:t>
      </w:r>
      <w:r>
        <w:rPr>
          <w:rFonts w:ascii="Arial" w:cs="Arial" w:eastAsia="Arial" w:hAnsi="Arial"/>
          <w:sz w:val="18"/>
          <w:szCs w:val="18"/>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63" w:lineRule="exact"/>
        <w:rPr>
          <w:sz w:val="20"/>
          <w:szCs w:val="20"/>
          <w:color w:val="auto"/>
        </w:rPr>
      </w:pPr>
    </w:p>
    <w:p>
      <w:pPr>
        <w:jc w:val="both"/>
        <w:ind w:firstLine="8"/>
        <w:spacing w:after="0" w:line="271" w:lineRule="auto"/>
        <w:tabs>
          <w:tab w:leader="none" w:pos="44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Obligations</w:t>
      </w:r>
      <w:r>
        <w:rPr>
          <w:rFonts w:ascii="Arial" w:cs="Arial" w:eastAsia="Arial" w:hAnsi="Arial"/>
          <w:sz w:val="18"/>
          <w:szCs w:val="18"/>
          <w:color w:val="auto"/>
        </w:rPr>
        <w:t>. I understand that I am expected, through my position with the Company, to use my creative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inventive capacities to assist the Company. I agree that during my employment I will promptly disclose to the Company any Intellectual Property that I create, conceive, or contribute to.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item that would qualify as an Invention or Copyrightable Work. “</w:t>
      </w:r>
      <w:r>
        <w:rPr>
          <w:rFonts w:ascii="Arial" w:cs="Arial" w:eastAsia="Arial" w:hAnsi="Arial"/>
          <w:sz w:val="18"/>
          <w:szCs w:val="18"/>
          <w:b w:val="1"/>
          <w:bCs w:val="1"/>
          <w:color w:val="auto"/>
        </w:rPr>
        <w:t>Copyrightable Works</w:t>
      </w:r>
      <w:r>
        <w:rPr>
          <w:rFonts w:ascii="Arial" w:cs="Arial" w:eastAsia="Arial" w:hAnsi="Arial"/>
          <w:sz w:val="18"/>
          <w:szCs w:val="18"/>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means all intellectual property, inventions, designs, discoveries, innovations, ideas, know-how and/or improvements, whether patentable or not, and whether made by me alone or jointly with others, which </w:t>
      </w:r>
      <w:r>
        <w:rPr>
          <w:rFonts w:ascii="Arial" w:cs="Arial" w:eastAsia="Arial" w:hAnsi="Arial"/>
          <w:sz w:val="18"/>
          <w:szCs w:val="18"/>
          <w:b w:val="1"/>
          <w:bCs w:val="1"/>
          <w:color w:val="auto"/>
        </w:rPr>
        <w:t>(a)</w:t>
      </w:r>
      <w:r>
        <w:rPr>
          <w:rFonts w:ascii="Arial" w:cs="Arial" w:eastAsia="Arial" w:hAnsi="Arial"/>
          <w:sz w:val="18"/>
          <w:szCs w:val="18"/>
          <w:color w:val="auto"/>
        </w:rPr>
        <w:t xml:space="preserve"> relate to the existing or foreseeable business interests of Company, </w:t>
      </w:r>
      <w:r>
        <w:rPr>
          <w:rFonts w:ascii="Arial" w:cs="Arial" w:eastAsia="Arial" w:hAnsi="Arial"/>
          <w:sz w:val="18"/>
          <w:szCs w:val="18"/>
          <w:b w:val="1"/>
          <w:bCs w:val="1"/>
          <w:color w:val="auto"/>
        </w:rPr>
        <w:t>(b)</w:t>
      </w:r>
      <w:r>
        <w:rPr>
          <w:rFonts w:ascii="Arial" w:cs="Arial" w:eastAsia="Arial" w:hAnsi="Arial"/>
          <w:sz w:val="18"/>
          <w:szCs w:val="18"/>
          <w:color w:val="auto"/>
        </w:rPr>
        <w:t xml:space="preserve"> relate to Company’s actual or anticipated research or development, </w:t>
      </w:r>
      <w:r>
        <w:rPr>
          <w:rFonts w:ascii="Arial" w:cs="Arial" w:eastAsia="Arial" w:hAnsi="Arial"/>
          <w:sz w:val="18"/>
          <w:szCs w:val="18"/>
          <w:b w:val="1"/>
          <w:bCs w:val="1"/>
          <w:color w:val="auto"/>
        </w:rPr>
        <w:t>(c)</w:t>
      </w:r>
      <w:r>
        <w:rPr>
          <w:rFonts w:ascii="Arial" w:cs="Arial" w:eastAsia="Arial" w:hAnsi="Arial"/>
          <w:sz w:val="18"/>
          <w:szCs w:val="18"/>
          <w:color w:val="auto"/>
        </w:rPr>
        <w:t xml:space="preserve"> were developed or discovered with the assistance of Company tools, equipment, personnel or other resources, or </w:t>
      </w:r>
      <w:r>
        <w:rPr>
          <w:rFonts w:ascii="Arial" w:cs="Arial" w:eastAsia="Arial" w:hAnsi="Arial"/>
          <w:sz w:val="18"/>
          <w:szCs w:val="18"/>
          <w:b w:val="1"/>
          <w:bCs w:val="1"/>
          <w:color w:val="auto"/>
        </w:rPr>
        <w:t>(d)</w:t>
      </w:r>
      <w:r>
        <w:rPr>
          <w:rFonts w:ascii="Arial" w:cs="Arial" w:eastAsia="Arial" w:hAnsi="Arial"/>
          <w:sz w:val="18"/>
          <w:szCs w:val="18"/>
          <w:color w:val="auto"/>
        </w:rPr>
        <w:t xml:space="preserve"> are suggested by, related to or results from any task assigned to me, Confidential Information provided to me, or work performed by me for or on behalf of the Company.</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Ownership of Intellectual Property</w:t>
      </w:r>
      <w:r>
        <w:rPr>
          <w:rFonts w:ascii="Arial" w:cs="Arial" w:eastAsia="Arial" w:hAnsi="Arial"/>
          <w:sz w:val="20"/>
          <w:szCs w:val="20"/>
          <w:color w:val="auto"/>
        </w:rPr>
        <w:t>. I agree that all Inventions are and will remain the sole and exclusive property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 interest in and to any and all Copyrightable Works, and all registered and applied for copyrights therein, to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Cooperation Obligation</w:t>
      </w:r>
      <w:r>
        <w:rPr>
          <w:rFonts w:ascii="Arial" w:cs="Arial" w:eastAsia="Arial" w:hAnsi="Arial"/>
          <w:sz w:val="19"/>
          <w:szCs w:val="19"/>
          <w:color w:val="auto"/>
        </w:rPr>
        <w:t>. When requested to do so by Company, either during or subsequent to my employment with Company, 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will </w:t>
      </w:r>
      <w:r>
        <w:rPr>
          <w:rFonts w:ascii="Arial" w:cs="Arial" w:eastAsia="Arial" w:hAnsi="Arial"/>
          <w:sz w:val="19"/>
          <w:szCs w:val="19"/>
          <w:b w:val="1"/>
          <w:bCs w:val="1"/>
          <w:color w:val="auto"/>
        </w:rPr>
        <w:t>(a)</w:t>
      </w:r>
      <w:r>
        <w:rPr>
          <w:rFonts w:ascii="Arial" w:cs="Arial" w:eastAsia="Arial" w:hAnsi="Arial"/>
          <w:sz w:val="19"/>
          <w:szCs w:val="19"/>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Arial" w:cs="Arial" w:eastAsia="Arial" w:hAnsi="Arial"/>
          <w:sz w:val="19"/>
          <w:szCs w:val="19"/>
          <w:b w:val="1"/>
          <w:bCs w:val="1"/>
          <w:color w:val="auto"/>
        </w:rPr>
        <w:t>(b)</w:t>
      </w:r>
      <w:r>
        <w:rPr>
          <w:rFonts w:ascii="Arial" w:cs="Arial" w:eastAsia="Arial" w:hAnsi="Arial"/>
          <w:sz w:val="19"/>
          <w:szCs w:val="19"/>
          <w:color w:val="auto"/>
        </w:rPr>
        <w:t xml:space="preserve"> execute all documents requested by Company for filing and obtaining of patents or copyrights; and </w:t>
      </w:r>
      <w:r>
        <w:rPr>
          <w:rFonts w:ascii="Arial" w:cs="Arial" w:eastAsia="Arial" w:hAnsi="Arial"/>
          <w:sz w:val="19"/>
          <w:szCs w:val="19"/>
          <w:b w:val="1"/>
          <w:bCs w:val="1"/>
          <w:color w:val="auto"/>
        </w:rPr>
        <w:t>(c)</w:t>
      </w:r>
      <w:r>
        <w:rPr>
          <w:rFonts w:ascii="Arial" w:cs="Arial" w:eastAsia="Arial" w:hAnsi="Arial"/>
          <w:sz w:val="19"/>
          <w:szCs w:val="19"/>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w:t>
      </w: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582" w:right="2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20"/>
          <w:szCs w:val="20"/>
          <w:color w:val="auto"/>
        </w:rPr>
        <w:t>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189" w:lineRule="exact"/>
        <w:rPr>
          <w:sz w:val="20"/>
          <w:szCs w:val="20"/>
          <w:color w:val="auto"/>
        </w:rPr>
      </w:pPr>
    </w:p>
    <w:p>
      <w:pPr>
        <w:jc w:val="both"/>
        <w:ind w:firstLine="8"/>
        <w:spacing w:after="0" w:line="268" w:lineRule="auto"/>
        <w:tabs>
          <w:tab w:leader="none" w:pos="37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and Noncompete Obligations</w:t>
      </w:r>
      <w:r>
        <w:rPr>
          <w:rFonts w:ascii="Arial" w:cs="Arial" w:eastAsia="Arial" w:hAnsi="Arial"/>
          <w:sz w:val="18"/>
          <w:szCs w:val="18"/>
          <w:color w:val="auto"/>
        </w:rPr>
        <w:t>. As used herein, the following definitions shall apply: “</w:t>
      </w:r>
      <w:r>
        <w:rPr>
          <w:rFonts w:ascii="Arial" w:cs="Arial" w:eastAsia="Arial" w:hAnsi="Arial"/>
          <w:sz w:val="18"/>
          <w:szCs w:val="18"/>
          <w:b w:val="1"/>
          <w:bCs w:val="1"/>
          <w:color w:val="auto"/>
        </w:rPr>
        <w:t>Conflicting Product or Service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Arial" w:cs="Arial" w:eastAsia="Arial" w:hAnsi="Arial"/>
          <w:sz w:val="18"/>
          <w:szCs w:val="18"/>
          <w:b w:val="1"/>
          <w:bCs w:val="1"/>
          <w:color w:val="auto"/>
        </w:rPr>
        <w:t>X Look Back Period</w:t>
      </w:r>
      <w:r>
        <w:rPr>
          <w:rFonts w:ascii="Arial" w:cs="Arial" w:eastAsia="Arial" w:hAnsi="Arial"/>
          <w:sz w:val="18"/>
          <w:szCs w:val="18"/>
          <w:color w:val="auto"/>
        </w:rPr>
        <w:t>” refers to the last two (2) years of my employment with Company or such lesser period as I may have been employed with the Company and the “</w:t>
      </w:r>
      <w:r>
        <w:rPr>
          <w:rFonts w:ascii="Arial" w:cs="Arial" w:eastAsia="Arial" w:hAnsi="Arial"/>
          <w:sz w:val="18"/>
          <w:szCs w:val="18"/>
          <w:b w:val="1"/>
          <w:bCs w:val="1"/>
          <w:color w:val="auto"/>
        </w:rPr>
        <w:t>Y Look Back Period</w:t>
      </w:r>
      <w:r>
        <w:rPr>
          <w:rFonts w:ascii="Arial" w:cs="Arial" w:eastAsia="Arial" w:hAnsi="Arial"/>
          <w:sz w:val="18"/>
          <w:szCs w:val="18"/>
          <w:color w:val="auto"/>
        </w:rPr>
        <w:t>” refers to the last twelve (12) months of my employment with the Company or such lesser period as I may have been employed with the Company. “</w:t>
      </w:r>
      <w:r>
        <w:rPr>
          <w:rFonts w:ascii="Arial" w:cs="Arial" w:eastAsia="Arial" w:hAnsi="Arial"/>
          <w:sz w:val="18"/>
          <w:szCs w:val="18"/>
          <w:b w:val="1"/>
          <w:bCs w:val="1"/>
          <w:color w:val="auto"/>
        </w:rPr>
        <w:t>Conflicting Organization</w:t>
      </w:r>
      <w:r>
        <w:rPr>
          <w:rFonts w:ascii="Arial" w:cs="Arial" w:eastAsia="Arial" w:hAnsi="Arial"/>
          <w:sz w:val="18"/>
          <w:szCs w:val="18"/>
          <w:color w:val="auto"/>
        </w:rPr>
        <w:t>” means any person or organization which is engaged in or planning to became engaged in development, production, marketing, or selling of a Conflicting Product or Service. “</w:t>
      </w:r>
      <w:r>
        <w:rPr>
          <w:rFonts w:ascii="Arial" w:cs="Arial" w:eastAsia="Arial" w:hAnsi="Arial"/>
          <w:sz w:val="18"/>
          <w:szCs w:val="18"/>
          <w:b w:val="1"/>
          <w:bCs w:val="1"/>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is a Company customer (person or entity) that I, or persons under my supervision or management, had business-related contact or</w:t>
      </w:r>
      <w:r>
        <w:rPr>
          <w:rFonts w:ascii="Arial" w:cs="Arial" w:eastAsia="Arial" w:hAnsi="Arial"/>
          <w:sz w:val="18"/>
          <w:szCs w:val="18"/>
          <w:b w:val="1"/>
          <w:bCs w:val="1"/>
          <w:color w:val="auto"/>
        </w:rPr>
        <w:t xml:space="preserve"> </w:t>
      </w:r>
      <w:r>
        <w:rPr>
          <w:rFonts w:ascii="Arial" w:cs="Arial" w:eastAsia="Arial" w:hAnsi="Arial"/>
          <w:sz w:val="18"/>
          <w:szCs w:val="18"/>
          <w:color w:val="auto"/>
        </w:rPr>
        <w:t>dealings with on behalf of the Company in the Y Look Back Period. A customer is understood to include persons 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 “</w:t>
      </w:r>
      <w:r>
        <w:rPr>
          <w:rFonts w:ascii="Arial" w:cs="Arial" w:eastAsia="Arial" w:hAnsi="Arial"/>
          <w:sz w:val="18"/>
          <w:szCs w:val="18"/>
          <w:b w:val="1"/>
          <w:bCs w:val="1"/>
          <w:color w:val="auto"/>
        </w:rPr>
        <w:t>Assigned Territory</w:t>
      </w:r>
      <w:r>
        <w:rPr>
          <w:rFonts w:ascii="Arial" w:cs="Arial" w:eastAsia="Arial" w:hAnsi="Arial"/>
          <w:sz w:val="18"/>
          <w:szCs w:val="18"/>
          <w:color w:val="auto"/>
        </w:rPr>
        <w:t>” is the geographic area, by state, county, or other recognized geographic boundary that is assigned to me as a limitation on where I am to do business for the Company if my responsibilities for the Company are limited to, or confined to a specific geographic 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 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 During my employment with Company, I will avoid competing with the Company or providing unauthorized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to a Conflicting Organization. In order to protect the Company’s trade secrets and other business interests invested in me, for a period of twenty (24) months after the termination of my employment with Company, I will not engage in any “</w:t>
      </w:r>
      <w:r>
        <w:rPr>
          <w:rFonts w:ascii="Arial" w:cs="Arial" w:eastAsia="Arial" w:hAnsi="Arial"/>
          <w:sz w:val="19"/>
          <w:szCs w:val="19"/>
          <w:b w:val="1"/>
          <w:bCs w:val="1"/>
          <w:color w:val="auto"/>
        </w:rPr>
        <w:t>Competing Activities</w:t>
      </w:r>
      <w:r>
        <w:rPr>
          <w:rFonts w:ascii="Arial" w:cs="Arial" w:eastAsia="Arial" w:hAnsi="Arial"/>
          <w:sz w:val="19"/>
          <w:szCs w:val="19"/>
          <w:color w:val="auto"/>
        </w:rPr>
        <w:t>” within my Assigned Territory. “</w:t>
      </w:r>
      <w:r>
        <w:rPr>
          <w:rFonts w:ascii="Arial" w:cs="Arial" w:eastAsia="Arial" w:hAnsi="Arial"/>
          <w:sz w:val="19"/>
          <w:szCs w:val="19"/>
          <w:b w:val="1"/>
          <w:bCs w:val="1"/>
          <w:color w:val="auto"/>
        </w:rPr>
        <w:t>Competing Activities</w:t>
      </w:r>
      <w:r>
        <w:rPr>
          <w:rFonts w:ascii="Arial" w:cs="Arial" w:eastAsia="Arial" w:hAnsi="Arial"/>
          <w:sz w:val="19"/>
          <w:szCs w:val="19"/>
          <w:color w:val="auto"/>
        </w:rPr>
        <w:t xml:space="preserve">” are any activities or services for a Conflicting Organization (as an employee, consultant, contractor, officer, owner, director, or otherwise) that </w:t>
      </w:r>
      <w:r>
        <w:rPr>
          <w:rFonts w:ascii="Arial" w:cs="Arial" w:eastAsia="Arial" w:hAnsi="Arial"/>
          <w:sz w:val="19"/>
          <w:szCs w:val="19"/>
          <w:b w:val="1"/>
          <w:bCs w:val="1"/>
          <w:color w:val="auto"/>
        </w:rPr>
        <w:t>(a)</w:t>
      </w:r>
      <w:r>
        <w:rPr>
          <w:rFonts w:ascii="Arial" w:cs="Arial" w:eastAsia="Arial" w:hAnsi="Arial"/>
          <w:sz w:val="19"/>
          <w:szCs w:val="19"/>
          <w:color w:val="auto"/>
        </w:rPr>
        <w:t xml:space="preserve"> involve performing, supervising, or managing services that are the same as or similar in function or purpose to those I performed, supervised, or managed for the Company in the X Look Back Period, </w:t>
      </w:r>
      <w:r>
        <w:rPr>
          <w:rFonts w:ascii="Arial" w:cs="Arial" w:eastAsia="Arial" w:hAnsi="Arial"/>
          <w:sz w:val="19"/>
          <w:szCs w:val="19"/>
          <w:b w:val="1"/>
          <w:bCs w:val="1"/>
          <w:color w:val="auto"/>
        </w:rPr>
        <w:t>(b)</w:t>
      </w:r>
      <w:r>
        <w:rPr>
          <w:rFonts w:ascii="Arial" w:cs="Arial" w:eastAsia="Arial" w:hAnsi="Arial"/>
          <w:sz w:val="19"/>
          <w:szCs w:val="19"/>
          <w:color w:val="auto"/>
        </w:rPr>
        <w:t xml:space="preserve"> involve a Conflicting Product or Service, or (c) would be likely to involve the use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582" w:right="2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to Company that the position will not involve a Conflicting Product or Service or involve use of Confidential Information.</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In order to protect the Company’s trade secrets and other legitimate business interests, during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and for twenty-four (24) months after the termination of my employment for any reason, I will not, in person or through the direction or control of others, knowingly solicit business from, contact or communicate with a Covered Customer for the purpose of</w:t>
      </w:r>
    </w:p>
    <w:p>
      <w:pPr>
        <w:spacing w:after="0" w:line="2" w:lineRule="exact"/>
        <w:rPr>
          <w:sz w:val="20"/>
          <w:szCs w:val="20"/>
          <w:color w:val="auto"/>
        </w:rPr>
      </w:pPr>
    </w:p>
    <w:p>
      <w:pPr>
        <w:jc w:val="both"/>
        <w:ind w:firstLine="8"/>
        <w:spacing w:after="0"/>
        <w:tabs>
          <w:tab w:leader="none" w:pos="300"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 xml:space="preserve">selling or servicing a Conflicting Product or Service, or </w:t>
      </w:r>
      <w:r>
        <w:rPr>
          <w:rFonts w:ascii="Arial" w:cs="Arial" w:eastAsia="Arial" w:hAnsi="Arial"/>
          <w:sz w:val="20"/>
          <w:szCs w:val="20"/>
          <w:b w:val="1"/>
          <w:bCs w:val="1"/>
          <w:color w:val="auto"/>
        </w:rPr>
        <w:t>(b)</w:t>
      </w:r>
      <w:r>
        <w:rPr>
          <w:rFonts w:ascii="Arial" w:cs="Arial" w:eastAsia="Arial" w:hAnsi="Arial"/>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 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Nonsolicitation of Employees and Sales Representatives</w:t>
      </w:r>
      <w:r>
        <w:rPr>
          <w:rFonts w:ascii="Arial" w:cs="Arial" w:eastAsia="Arial" w:hAnsi="Arial"/>
          <w:sz w:val="20"/>
          <w:szCs w:val="20"/>
          <w:color w:val="auto"/>
        </w:rPr>
        <w:t>. During my employment with the Company,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 four (24) months after the termination of my employment, I will not solicit or communicate with, in person or through others, an employee or individual sales representative of the Company that I worked with or become familiar with as a result of my association with the Company, for the purpose of inducing or encouraging such person to end his or her relationship 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87"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Terms, Conditions, and Representations.</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No Violation of Agreements with Prior Employers</w:t>
      </w:r>
      <w:r>
        <w:rPr>
          <w:rFonts w:ascii="Arial" w:cs="Arial" w:eastAsia="Arial" w:hAnsi="Arial"/>
          <w:sz w:val="18"/>
          <w:szCs w:val="18"/>
          <w:color w:val="auto"/>
        </w:rPr>
        <w:t>. I am under no contractual obligations with a prior employer or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I understand that this Agreement does not obligate me to remain employed by the Company nor does it</w:t>
      </w:r>
      <w:r>
        <w:rPr>
          <w:rFonts w:ascii="Arial" w:cs="Arial" w:eastAsia="Arial" w:hAnsi="Arial"/>
          <w:sz w:val="18"/>
          <w:szCs w:val="18"/>
          <w:b w:val="1"/>
          <w:bCs w:val="1"/>
          <w:color w:val="auto"/>
        </w:rPr>
        <w:t xml:space="preserve"> </w:t>
      </w:r>
      <w:r>
        <w:rPr>
          <w:rFonts w:ascii="Arial" w:cs="Arial" w:eastAsia="Arial" w:hAnsi="Arial"/>
          <w:sz w:val="18"/>
          <w:szCs w:val="18"/>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5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b w:val="1"/>
          <w:bCs w:val="1"/>
          <w:u w:val="single" w:color="auto"/>
          <w:color w:val="auto"/>
        </w:rPr>
        <w:t>Provisions are Reasonable</w:t>
      </w:r>
      <w:r>
        <w:rPr>
          <w:rFonts w:ascii="Arial" w:cs="Arial" w:eastAsia="Arial" w:hAnsi="Arial"/>
          <w:sz w:val="20"/>
          <w:szCs w:val="20"/>
          <w:color w:val="auto"/>
        </w:rPr>
        <w:t>. I acknowledge and agree that it is reasonable and necessary for the protection of the goodwill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w:t>
      </w: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582" w:right="2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0"/>
          <w:szCs w:val="20"/>
          <w:color w:val="auto"/>
        </w:rPr>
        <w:t>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Notifications Related to New Employment</w:t>
      </w:r>
      <w:r>
        <w:rPr>
          <w:rFonts w:ascii="Arial" w:cs="Arial" w:eastAsia="Arial" w:hAnsi="Arial"/>
          <w:sz w:val="18"/>
          <w:szCs w:val="18"/>
          <w:color w:val="auto"/>
        </w:rPr>
        <w:t>. I acknowledge that I will have the responsibility to inform any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5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Special Remedies</w:t>
      </w:r>
      <w:r>
        <w:rPr>
          <w:rFonts w:ascii="Arial" w:cs="Arial" w:eastAsia="Arial" w:hAnsi="Arial"/>
          <w:sz w:val="18"/>
          <w:szCs w:val="18"/>
          <w:color w:val="auto"/>
        </w:rPr>
        <w:t>. I recognize that any breach by me of this Agreement will cause the Company irreparable harm that cannot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compensated adequately by an award of monetary damages. I agree that the 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Governing Law and Venue</w:t>
      </w:r>
      <w:r>
        <w:rPr>
          <w:rFonts w:ascii="Arial" w:cs="Arial" w:eastAsia="Arial" w:hAnsi="Arial"/>
          <w:sz w:val="19"/>
          <w:szCs w:val="19"/>
          <w:color w:val="auto"/>
        </w:rPr>
        <w:t>. In order to maintain uniformity in the interpretation of this Agreement across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Delaware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To the extent any portion of this Agreement or any portion of any provision of this Agreement is held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I agree and acknowledge that this Agreement supersedes prior agreements between me and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addressed in this Agreement. Notwithstanding the foregoing, in the event that this Agreement is found to be unenforceable by a court of law, then any prior agreement between the parties protecting the Company’s legitimate business interests (a</w:t>
      </w:r>
    </w:p>
    <w:p>
      <w:pPr>
        <w:spacing w:after="0" w:line="18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582" w:right="2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20"/>
          <w:szCs w:val="20"/>
          <w:color w:val="auto"/>
        </w:rPr>
        <w:t xml:space="preserve">“Prior Agreement”) may resume effect at the election of the Company; provided, however, that </w:t>
      </w:r>
      <w:r>
        <w:rPr>
          <w:rFonts w:ascii="Arial" w:cs="Arial" w:eastAsia="Arial" w:hAnsi="Arial"/>
          <w:sz w:val="20"/>
          <w:szCs w:val="20"/>
          <w:b w:val="1"/>
          <w:bCs w:val="1"/>
          <w:color w:val="auto"/>
        </w:rPr>
        <w:t>(a)</w:t>
      </w:r>
      <w:r>
        <w:rPr>
          <w:rFonts w:ascii="Arial" w:cs="Arial" w:eastAsia="Arial" w:hAnsi="Arial"/>
          <w:sz w:val="20"/>
          <w:szCs w:val="20"/>
          <w:color w:val="auto"/>
        </w:rPr>
        <w:t xml:space="preserve"> the Company must make such election within ten (10) business days of such ruling of unenforceability becoming final, and </w:t>
      </w:r>
      <w:r>
        <w:rPr>
          <w:rFonts w:ascii="Arial" w:cs="Arial" w:eastAsia="Arial" w:hAnsi="Arial"/>
          <w:sz w:val="20"/>
          <w:szCs w:val="20"/>
          <w:b w:val="1"/>
          <w:bCs w:val="1"/>
          <w:color w:val="auto"/>
        </w:rPr>
        <w:t>(b)</w:t>
      </w:r>
      <w:r>
        <w:rPr>
          <w:rFonts w:ascii="Arial" w:cs="Arial" w:eastAsia="Arial" w:hAnsi="Arial"/>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5.9 </w:t>
      </w:r>
      <w:r>
        <w:rPr>
          <w:rFonts w:ascii="Arial" w:cs="Arial" w:eastAsia="Arial" w:hAnsi="Arial"/>
          <w:sz w:val="19"/>
          <w:szCs w:val="19"/>
          <w:b w:val="1"/>
          <w:bCs w:val="1"/>
          <w:u w:val="single" w:color="auto"/>
          <w:color w:val="auto"/>
        </w:rPr>
        <w:t>Waiver or Modification / Assignability</w:t>
      </w:r>
      <w:r>
        <w:rPr>
          <w:rFonts w:ascii="Arial" w:cs="Arial" w:eastAsia="Arial" w:hAnsi="Arial"/>
          <w:sz w:val="19"/>
          <w:szCs w:val="19"/>
          <w:color w:val="auto"/>
        </w:rPr>
        <w:t>. Neither this Agreement, nor any term or provision hereof, may be waived or modified</w:t>
      </w:r>
      <w:r>
        <w:rPr>
          <w:rFonts w:ascii="Arial" w:cs="Arial" w:eastAsia="Arial" w:hAnsi="Arial"/>
          <w:sz w:val="19"/>
          <w:szCs w:val="19"/>
          <w:b w:val="1"/>
          <w:bCs w:val="1"/>
          <w:color w:val="auto"/>
        </w:rPr>
        <w:t xml:space="preserve"> </w:t>
      </w:r>
      <w:r>
        <w:rPr>
          <w:rFonts w:ascii="Arial" w:cs="Arial" w:eastAsia="Arial" w:hAnsi="Arial"/>
          <w:sz w:val="19"/>
          <w:szCs w:val="19"/>
          <w:color w:val="auto"/>
        </w:rPr>
        <w:t>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 including, but not limited to, an assignment in connection with any merger, sale, transfer or acquisition consummated by the Company relating to all or part of its assets.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5.10 </w:t>
      </w:r>
      <w:r>
        <w:rPr>
          <w:rFonts w:ascii="Arial" w:cs="Arial" w:eastAsia="Arial" w:hAnsi="Arial"/>
          <w:sz w:val="20"/>
          <w:szCs w:val="20"/>
          <w:b w:val="1"/>
          <w:bCs w:val="1"/>
          <w:u w:val="single" w:color="auto"/>
          <w:color w:val="auto"/>
        </w:rPr>
        <w:t>Transfer or Renewal of Employment</w:t>
      </w:r>
      <w:r>
        <w:rPr>
          <w:rFonts w:ascii="Arial" w:cs="Arial" w:eastAsia="Arial" w:hAnsi="Arial"/>
          <w:sz w:val="20"/>
          <w:szCs w:val="20"/>
          <w:color w:val="auto"/>
        </w:rPr>
        <w:t>. This Agreement will be deemed to continue during any periods of renewal of my</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including, but not limited to, periods of employment following promotions or transfers, or during any subsequent re-employment by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Arial" w:cs="Arial" w:eastAsia="Arial" w:hAnsi="Arial"/>
          <w:sz w:val="19"/>
          <w:szCs w:val="19"/>
          <w:b w:val="1"/>
          <w:bCs w:val="1"/>
          <w:i w:val="1"/>
          <w:iCs w:val="1"/>
          <w:color w:val="auto"/>
        </w:rPr>
        <w:t>DTSA</w:t>
      </w:r>
      <w:r>
        <w:rPr>
          <w:rFonts w:ascii="Arial" w:cs="Arial" w:eastAsia="Arial" w:hAnsi="Arial"/>
          <w:sz w:val="19"/>
          <w:szCs w:val="19"/>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3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Page 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Agreement</w:t>
      </w:r>
    </w:p>
    <w:p>
      <w:pPr>
        <w:sectPr>
          <w:pgSz w:w="11900" w:h="16838" w:orient="portrait"/>
          <w:cols w:equalWidth="0" w:num="1">
            <w:col w:w="11420"/>
          </w:cols>
          <w:pgMar w:left="240" w:top="57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10.17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ROPER TECHNOLOGIES,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Federal Taxpayer Identification No.: 51-0263969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6901 Professional Parkway East, Suite 200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Sarasota, Florida 34240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Time-Based Restricted Stock Award Notice and Award Certificate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 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Awarded: _______________</w:t>
      </w:r>
    </w:p>
    <w:p>
      <w:pPr>
        <w:spacing w:after="0"/>
        <w:rPr>
          <w:sz w:val="20"/>
          <w:szCs w:val="20"/>
          <w:color w:val="auto"/>
        </w:rPr>
      </w:pPr>
      <w:r>
        <w:rPr>
          <w:rFonts w:ascii="Arial" w:cs="Arial" w:eastAsia="Arial" w:hAnsi="Arial"/>
          <w:sz w:val="20"/>
          <w:szCs w:val="20"/>
          <w:color w:val="auto"/>
        </w:rPr>
        <w:t>Date of Award: _________________</w:t>
      </w:r>
    </w:p>
    <w:p>
      <w:pPr>
        <w:spacing w:after="0"/>
        <w:rPr>
          <w:sz w:val="20"/>
          <w:szCs w:val="20"/>
          <w:color w:val="auto"/>
        </w:rPr>
      </w:pPr>
      <w:r>
        <w:rPr>
          <w:rFonts w:ascii="Arial" w:cs="Arial" w:eastAsia="Arial" w:hAnsi="Arial"/>
          <w:sz w:val="20"/>
          <w:szCs w:val="20"/>
          <w:color w:val="auto"/>
        </w:rPr>
        <w:t>Plan: 2016 Incentive Plan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Effective as of the date referenced above, (“</w:t>
      </w:r>
      <w:r>
        <w:rPr>
          <w:rFonts w:ascii="Arial" w:cs="Arial" w:eastAsia="Arial" w:hAnsi="Arial"/>
          <w:sz w:val="20"/>
          <w:szCs w:val="20"/>
          <w:b w:val="1"/>
          <w:bCs w:val="1"/>
          <w:color w:val="auto"/>
        </w:rPr>
        <w:t>Grant Date</w:t>
      </w:r>
      <w:r>
        <w:rPr>
          <w:rFonts w:ascii="Arial" w:cs="Arial" w:eastAsia="Arial" w:hAnsi="Arial"/>
          <w:sz w:val="20"/>
          <w:szCs w:val="20"/>
          <w:color w:val="auto"/>
        </w:rPr>
        <w:t>”), you have been granted a Time-Based Restricted Stock Award of a fixed number of shares (“</w:t>
      </w:r>
      <w:r>
        <w:rPr>
          <w:rFonts w:ascii="Arial" w:cs="Arial" w:eastAsia="Arial" w:hAnsi="Arial"/>
          <w:sz w:val="20"/>
          <w:szCs w:val="20"/>
          <w:b w:val="1"/>
          <w:bCs w:val="1"/>
          <w:color w:val="auto"/>
        </w:rPr>
        <w:t>Awarded Shares</w:t>
      </w:r>
      <w:r>
        <w:rPr>
          <w:rFonts w:ascii="Arial" w:cs="Arial" w:eastAsia="Arial" w:hAnsi="Arial"/>
          <w:sz w:val="20"/>
          <w:szCs w:val="20"/>
          <w:color w:val="auto"/>
        </w:rPr>
        <w:t>”) of ROPER TECHNOLOGIES, INC. (the “</w:t>
      </w:r>
      <w:r>
        <w:rPr>
          <w:rFonts w:ascii="Arial" w:cs="Arial" w:eastAsia="Arial" w:hAnsi="Arial"/>
          <w:sz w:val="20"/>
          <w:szCs w:val="20"/>
          <w:b w:val="1"/>
          <w:bCs w:val="1"/>
          <w:color w:val="auto"/>
        </w:rPr>
        <w:t>Company</w:t>
      </w:r>
      <w:r>
        <w:rPr>
          <w:rFonts w:ascii="Arial" w:cs="Arial" w:eastAsia="Arial" w:hAnsi="Arial"/>
          <w:sz w:val="20"/>
          <w:szCs w:val="20"/>
          <w:color w:val="auto"/>
        </w:rPr>
        <w:t>”) common stock, par value $0.01 per share. These Awarded Shares are restricted until the Service Condition is satisfied.</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The Service Conditions are specified below (“</w:t>
      </w:r>
      <w:r>
        <w:rPr>
          <w:rFonts w:ascii="Arial" w:cs="Arial" w:eastAsia="Arial" w:hAnsi="Arial"/>
          <w:sz w:val="20"/>
          <w:szCs w:val="20"/>
          <w:b w:val="1"/>
          <w:bCs w:val="1"/>
          <w:color w:val="auto"/>
        </w:rPr>
        <w:t>Vesting Determination Dates</w:t>
      </w:r>
      <w:r>
        <w:rPr>
          <w:rFonts w:ascii="Arial" w:cs="Arial" w:eastAsia="Arial" w:hAnsi="Arial"/>
          <w:sz w:val="20"/>
          <w:szCs w:val="20"/>
          <w:color w:val="auto"/>
        </w:rPr>
        <w:t>”) with respect to the Awarded Shares.</w:t>
      </w:r>
    </w:p>
    <w:p>
      <w:pPr>
        <w:sectPr>
          <w:pgSz w:w="11900" w:h="16838" w:orient="portrait"/>
          <w:cols w:equalWidth="0" w:num="1">
            <w:col w:w="11420"/>
          </w:cols>
          <w:pgMar w:left="240" w:top="368" w:right="239" w:bottom="1440" w:gutter="0" w:footer="0" w:header="0"/>
        </w:sectPr>
      </w:pPr>
    </w:p>
    <w:p>
      <w:pPr>
        <w:spacing w:after="0" w:line="18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Vesting Determination Date(s)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Number of Awarded Shares Vesting</w:t>
      </w:r>
    </w:p>
    <w:p>
      <w:pPr>
        <w:spacing w:after="0" w:line="112" w:lineRule="exact"/>
        <w:rPr>
          <w:sz w:val="20"/>
          <w:szCs w:val="20"/>
          <w:color w:val="auto"/>
        </w:rPr>
      </w:pPr>
    </w:p>
    <w:p>
      <w:pPr>
        <w:sectPr>
          <w:pgSz w:w="11900" w:h="16838" w:orient="portrait"/>
          <w:cols w:equalWidth="0" w:num="2">
            <w:col w:w="5300" w:space="400"/>
            <w:col w:w="5720"/>
          </w:cols>
          <w:pgMar w:left="240" w:top="368"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sectPr>
          <w:pgSz w:w="11900" w:h="16838" w:orient="portrait"/>
          <w:cols w:equalWidth="0" w:num="2">
            <w:col w:w="3080" w:space="600"/>
            <w:col w:w="7740"/>
          </w:cols>
          <w:pgMar w:left="240" w:top="368" w:right="239" w:bottom="1440" w:gutter="0" w:footer="0" w:header="0"/>
          <w:type w:val="continuous"/>
        </w:sectPr>
      </w:pPr>
    </w:p>
    <w:p>
      <w:pPr>
        <w:ind w:left="3000"/>
        <w:spacing w:after="0"/>
        <w:rPr>
          <w:sz w:val="20"/>
          <w:szCs w:val="20"/>
          <w:color w:val="auto"/>
        </w:rPr>
      </w:pPr>
      <w:r>
        <w:rPr>
          <w:rFonts w:ascii="Arial" w:cs="Arial" w:eastAsia="Arial" w:hAnsi="Arial"/>
          <w:sz w:val="20"/>
          <w:szCs w:val="20"/>
          <w:color w:val="auto"/>
        </w:rPr>
        <w:t>_______________________________________________________</w:t>
      </w: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your electronic signature of this Award Agreement (including your acceptance of the terms set forth in Appendix A - your Confidentiality, Intellectual Property, Noncompetition and Nonsolicitation Agreement), you and the Company agree that this Award is granted under and governed by the terms and conditions of the Plan and this Award Agreement (including PART I and PART II hereof), all of which are made a part of this document.</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Time Based Restricted Stock</w:t>
      </w:r>
    </w:p>
    <w:p>
      <w:pPr>
        <w:sectPr>
          <w:pgSz w:w="11900" w:h="16838" w:orient="portrait"/>
          <w:cols w:equalWidth="0" w:num="1">
            <w:col w:w="11420"/>
          </w:cols>
          <w:pgMar w:left="240" w:top="368"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u w:val="single" w:color="auto"/>
          <w:color w:val="auto"/>
        </w:rPr>
        <w:t>PART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TERMS AND CONDITIONS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b w:val="1"/>
          <w:bCs w:val="1"/>
          <w:i w:val="1"/>
          <w:iCs w:val="1"/>
          <w:color w:val="auto"/>
        </w:rPr>
        <w:t>Section 1.</w:t>
      </w:r>
      <w:r>
        <w:rPr>
          <w:sz w:val="20"/>
          <w:szCs w:val="20"/>
          <w:color w:val="auto"/>
        </w:rPr>
        <w:tab/>
      </w:r>
      <w:r>
        <w:rPr>
          <w:rFonts w:ascii="Arial" w:cs="Arial" w:eastAsia="Arial" w:hAnsi="Arial"/>
          <w:sz w:val="16"/>
          <w:szCs w:val="16"/>
          <w:b w:val="1"/>
          <w:bCs w:val="1"/>
          <w:i w:val="1"/>
          <w:iCs w:val="1"/>
          <w:u w:val="single" w:color="auto"/>
          <w:color w:val="auto"/>
        </w:rPr>
        <w:t>General Terms</w:t>
      </w:r>
      <w:r>
        <w:rPr>
          <w:rFonts w:ascii="Arial" w:cs="Arial" w:eastAsia="Arial" w:hAnsi="Arial"/>
          <w:sz w:val="16"/>
          <w:szCs w:val="16"/>
          <w:b w:val="1"/>
          <w:bCs w:val="1"/>
          <w:color w:val="auto"/>
        </w:rPr>
        <w:t>.</w:t>
      </w:r>
    </w:p>
    <w:p>
      <w:pPr>
        <w:spacing w:after="0" w:line="262" w:lineRule="exact"/>
        <w:rPr>
          <w:sz w:val="20"/>
          <w:szCs w:val="20"/>
          <w:color w:val="auto"/>
        </w:rPr>
      </w:pPr>
    </w:p>
    <w:p>
      <w:pPr>
        <w:ind w:firstLine="656"/>
        <w:spacing w:after="0" w:line="291" w:lineRule="auto"/>
        <w:tabs>
          <w:tab w:leader="none" w:pos="1080" w:val="left"/>
        </w:tabs>
        <w:numPr>
          <w:ilvl w:val="0"/>
          <w:numId w:val="39"/>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Size and Type of Award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Shares covered by this Award (i.e., the Awarded Shares) are listed in Part I of this Award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are subject to all of the terms and conditions of the Roper Technologies, Inc. 2016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85" w:lineRule="exact"/>
        <w:rPr>
          <w:rFonts w:ascii="Arial" w:cs="Arial" w:eastAsia="Arial" w:hAnsi="Arial"/>
          <w:sz w:val="21"/>
          <w:szCs w:val="21"/>
          <w:b w:val="1"/>
          <w:bCs w:val="1"/>
          <w:color w:val="auto"/>
        </w:rPr>
      </w:pPr>
    </w:p>
    <w:p>
      <w:pPr>
        <w:jc w:val="both"/>
        <w:ind w:firstLine="656"/>
        <w:spacing w:after="0" w:line="282" w:lineRule="auto"/>
        <w:tabs>
          <w:tab w:leader="none" w:pos="1119" w:val="left"/>
        </w:tabs>
        <w:numPr>
          <w:ilvl w:val="0"/>
          <w:numId w:val="39"/>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Restrictions and Tax Election</w:t>
      </w:r>
      <w:r>
        <w:rPr>
          <w:rFonts w:ascii="Arial" w:cs="Arial" w:eastAsia="Arial" w:hAnsi="Arial"/>
          <w:sz w:val="19"/>
          <w:szCs w:val="19"/>
          <w:u w:val="single" w:color="auto"/>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certificate or book-entry registration evidencing the Awarded Shares will be issued to you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 include a restrictive legend incorporating the terms and conditions of this Award Agreement. You may elect (pursuant to Section 83(b) of the Internal Revenue Code) to be taxed on the Awarded Shares immediately upon their Grant Date instead of later when they vest, though if the Awarded Shares are forfeited, you may be unable to recover the taxes previously paid. If you make this Section 83(b) election, you will be required to include in ordinary income, for the taxable year in which the Grant Date occurs, an amount equal to the fair market value of the Awarded Shares on the Grant Date. The Company may be allowed to claim a tax deduction, for compensation expense, in a like amount. You make this Section 83(b) election by filing a statement of election containing specified items of information with the Internal Revenue Service within thirty (30) days after the Grant Date. You must give a copy of the statement of election you file with the Internal Revenue Service to the Company. If you make this Section 83(b) election, the vesting of your Awarded Shares will not subject you to further income tax upon their vesting.</w:t>
      </w:r>
    </w:p>
    <w:p>
      <w:pPr>
        <w:spacing w:after="0" w:line="201" w:lineRule="exact"/>
        <w:rPr>
          <w:rFonts w:ascii="Arial" w:cs="Arial" w:eastAsia="Arial" w:hAnsi="Arial"/>
          <w:sz w:val="21"/>
          <w:szCs w:val="21"/>
          <w:b w:val="1"/>
          <w:bCs w:val="1"/>
          <w:color w:val="auto"/>
        </w:rPr>
      </w:pPr>
    </w:p>
    <w:p>
      <w:pPr>
        <w:jc w:val="both"/>
        <w:ind w:right="20" w:firstLine="656"/>
        <w:spacing w:after="0" w:line="284" w:lineRule="auto"/>
        <w:tabs>
          <w:tab w:leader="none" w:pos="1082" w:val="left"/>
        </w:tabs>
        <w:numPr>
          <w:ilvl w:val="0"/>
          <w:numId w:val="39"/>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Your employment and/or other service with the Company and/or its Subsidiaries constitutes adequate consideration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the issuance of the Awarded Shares to you having a value at least equal to the par value of the Awarded Shares, but the vesting conditions described below will nevertheless determine your right to acquire unrestricted ownership of the Awarded Shares.</w:t>
      </w:r>
    </w:p>
    <w:p>
      <w:pPr>
        <w:spacing w:after="0" w:line="17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Section 2.</w:t>
      </w:r>
      <w:r>
        <w:rPr>
          <w:sz w:val="20"/>
          <w:szCs w:val="20"/>
          <w:color w:val="auto"/>
        </w:rPr>
        <w:tab/>
      </w:r>
      <w:r>
        <w:rPr>
          <w:rFonts w:ascii="Arial" w:cs="Arial" w:eastAsia="Arial" w:hAnsi="Arial"/>
          <w:sz w:val="16"/>
          <w:szCs w:val="16"/>
          <w:b w:val="1"/>
          <w:bCs w:val="1"/>
          <w:i w:val="1"/>
          <w:iCs w:val="1"/>
          <w:u w:val="single" w:color="auto"/>
          <w:color w:val="auto"/>
        </w:rPr>
        <w:t>Vesting</w:t>
      </w:r>
      <w:r>
        <w:rPr>
          <w:rFonts w:ascii="Arial" w:cs="Arial" w:eastAsia="Arial" w:hAnsi="Arial"/>
          <w:sz w:val="16"/>
          <w:szCs w:val="16"/>
          <w:color w:val="auto"/>
        </w:rPr>
        <w:t>.</w:t>
      </w:r>
    </w:p>
    <w:p>
      <w:pPr>
        <w:spacing w:after="0" w:line="251" w:lineRule="exact"/>
        <w:rPr>
          <w:sz w:val="20"/>
          <w:szCs w:val="20"/>
          <w:color w:val="auto"/>
        </w:rPr>
      </w:pPr>
    </w:p>
    <w:p>
      <w:pPr>
        <w:jc w:val="both"/>
        <w:ind w:firstLine="656"/>
        <w:spacing w:after="0" w:line="265" w:lineRule="auto"/>
        <w:tabs>
          <w:tab w:leader="none" w:pos="1121" w:val="left"/>
        </w:tabs>
        <w:numPr>
          <w:ilvl w:val="0"/>
          <w:numId w:val="40"/>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Vesting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Vesting Determination Dates for the vesting of your Awarded Shares are specified in this Award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each Vesting Determination Date, your Awarded Shares will, subject to the provisions of this Award Agreement (including Section 2(b) below), no longer be subject to a substantial risk of forfeiture.</w:t>
      </w:r>
    </w:p>
    <w:p>
      <w:pPr>
        <w:spacing w:after="0" w:line="212" w:lineRule="exact"/>
        <w:rPr>
          <w:rFonts w:ascii="Arial" w:cs="Arial" w:eastAsia="Arial" w:hAnsi="Arial"/>
          <w:sz w:val="22"/>
          <w:szCs w:val="22"/>
          <w:b w:val="1"/>
          <w:bCs w:val="1"/>
          <w:color w:val="auto"/>
        </w:rPr>
      </w:pPr>
    </w:p>
    <w:p>
      <w:pPr>
        <w:jc w:val="both"/>
        <w:ind w:firstLine="656"/>
        <w:spacing w:after="0" w:line="284" w:lineRule="auto"/>
        <w:tabs>
          <w:tab w:leader="none" w:pos="1227" w:val="left"/>
        </w:tabs>
        <w:numPr>
          <w:ilvl w:val="0"/>
          <w:numId w:val="40"/>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Vesting Conditions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Except as otherwise provided in this Part II of the Award Agreement, you must satisfy the following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conditions before your Awarded Shares will vest: You must, except as otherwise provided herein, remain in continuous service with the Company and/or its Subsidiaries from the Grant Date through the Vesting Determination Date (the “</w:t>
      </w:r>
      <w:r>
        <w:rPr>
          <w:rFonts w:ascii="Arial" w:cs="Arial" w:eastAsia="Arial" w:hAnsi="Arial"/>
          <w:sz w:val="19"/>
          <w:szCs w:val="19"/>
          <w:b w:val="1"/>
          <w:bCs w:val="1"/>
          <w:color w:val="auto"/>
        </w:rPr>
        <w:t>Service Condition</w:t>
      </w:r>
      <w:r>
        <w:rPr>
          <w:rFonts w:ascii="Arial" w:cs="Arial" w:eastAsia="Arial" w:hAnsi="Arial"/>
          <w:sz w:val="19"/>
          <w:szCs w:val="19"/>
          <w:color w:val="auto"/>
        </w:rPr>
        <w:t>”).</w:t>
      </w:r>
    </w:p>
    <w:p>
      <w:pPr>
        <w:spacing w:after="0" w:line="210" w:lineRule="exact"/>
        <w:rPr>
          <w:rFonts w:ascii="Arial" w:cs="Arial" w:eastAsia="Arial" w:hAnsi="Arial"/>
          <w:sz w:val="21"/>
          <w:szCs w:val="21"/>
          <w:b w:val="1"/>
          <w:bCs w:val="1"/>
          <w:color w:val="auto"/>
        </w:rPr>
      </w:pPr>
    </w:p>
    <w:p>
      <w:pPr>
        <w:jc w:val="both"/>
        <w:ind w:firstLine="656"/>
        <w:spacing w:after="0" w:line="282" w:lineRule="auto"/>
        <w:tabs>
          <w:tab w:leader="none" w:pos="1095" w:val="left"/>
        </w:tabs>
        <w:numPr>
          <w:ilvl w:val="0"/>
          <w:numId w:val="40"/>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Forfeitures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Except as otherwise provided herein, if you terminate service with the Company and/or its Subsidiaries prior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Vesting Determination Date, you will forfeit any Awarded Shares that are scheduled to vest on or after such termination of service date. When you forfeit Awarded Shares, all of your interest in the unvested Awarded Shares will be canceled and any stock certificate or other evidence of ownership must be returned to the Committee or to the Company. You agree to take any action and execute and deliver any document that the Company requests to effect the return of your unvested Awarded Shares. In the event you do not cooperate with the Company in this regard, you hereby appoint and designate the Company as your attorney-in-fact for the purpose of taking any action and signing any document, in your name, which the Company determines is necessary to enforce the forfeiture.</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Time Based Restricted Stock</w:t>
      </w:r>
    </w:p>
    <w:p>
      <w:pPr>
        <w:sectPr>
          <w:pgSz w:w="11900" w:h="16838" w:orient="portrait"/>
          <w:cols w:equalWidth="0" w:num="1">
            <w:col w:w="11420"/>
          </w:cols>
          <w:pgMar w:left="240" w:top="846" w:right="239" w:bottom="1440" w:gutter="0" w:footer="0" w:header="0"/>
        </w:sectPr>
      </w:pPr>
    </w:p>
    <w:bookmarkStart w:id="78" w:name="page79"/>
    <w:bookmarkEnd w:id="78"/>
    <w:p>
      <w:pPr>
        <w:jc w:val="both"/>
        <w:ind w:firstLine="656"/>
        <w:spacing w:after="0" w:line="266" w:lineRule="auto"/>
        <w:tabs>
          <w:tab w:leader="none" w:pos="1092"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Change in Control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with respect to any Awarded Shares assumed by the surviving entity or otherwise equitably converted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or substituted in connection with the Change in Control in a manner approved by the Committee or the Board, all of the Awarded Shares not previously vested or forfeited shall immediately vest in full and all other restrictions placed on the Awarded Shares shall be removed if both: (1) a Change in Control occurs,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(2) at any time after the Change in Control and during the twenty-four (24) month period following the Change in Control, your service with the Company and/or its Subsidiaries is terminated by the Company and/or any of its Subsidiaries (or any successors thereto) other than for Cause.</w:t>
      </w:r>
    </w:p>
    <w:p>
      <w:pPr>
        <w:spacing w:after="0" w:line="214" w:lineRule="exact"/>
        <w:rPr>
          <w:rFonts w:ascii="Arial" w:cs="Arial" w:eastAsia="Arial" w:hAnsi="Arial"/>
          <w:sz w:val="22"/>
          <w:szCs w:val="22"/>
          <w:b w:val="1"/>
          <w:bCs w:val="1"/>
          <w:color w:val="auto"/>
        </w:rPr>
      </w:pPr>
    </w:p>
    <w:p>
      <w:pPr>
        <w:ind w:right="20" w:firstLine="656"/>
        <w:spacing w:after="0" w:line="265" w:lineRule="auto"/>
        <w:tabs>
          <w:tab w:leader="none" w:pos="1095"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Death or Disability</w:t>
      </w:r>
      <w:r>
        <w:rPr>
          <w:rFonts w:ascii="Arial" w:cs="Arial" w:eastAsia="Arial" w:hAnsi="Arial"/>
          <w:sz w:val="20"/>
          <w:szCs w:val="20"/>
          <w:color w:val="auto"/>
        </w:rPr>
        <w:t>. If your service with the Company and/or its Subsidiaries ends due to death or Disability, all of the Awarded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Shares not previously vested or forfeited will vest on such date of termination of service.</w:t>
      </w:r>
    </w:p>
    <w:p>
      <w:pPr>
        <w:spacing w:after="0" w:line="203" w:lineRule="exact"/>
        <w:rPr>
          <w:rFonts w:ascii="Arial" w:cs="Arial" w:eastAsia="Arial" w:hAnsi="Arial"/>
          <w:sz w:val="22"/>
          <w:szCs w:val="22"/>
          <w:b w:val="1"/>
          <w:bCs w:val="1"/>
          <w:color w:val="auto"/>
        </w:rPr>
      </w:pPr>
    </w:p>
    <w:p>
      <w:pPr>
        <w:jc w:val="both"/>
        <w:ind w:firstLine="656"/>
        <w:spacing w:after="0" w:line="268" w:lineRule="auto"/>
        <w:tabs>
          <w:tab w:leader="none" w:pos="1044"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Definition of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purposes of determining the vesting of your Awarded Shares, you will be deemed to be in the “</w:t>
      </w:r>
      <w:r>
        <w:rPr>
          <w:rFonts w:ascii="Arial" w:cs="Arial" w:eastAsia="Arial" w:hAnsi="Arial"/>
          <w:sz w:val="20"/>
          <w:szCs w:val="20"/>
          <w:b w:val="1"/>
          <w:bCs w:val="1"/>
          <w:color w:val="auto"/>
        </w:rPr>
        <w:t>service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Company and/or its Subsidiaries for so long as you serve in any capacity as an employee, officer, non-employee director or consultant of the Company and/or its Subsidiaries and have Continuous Status as a Participant</w:t>
      </w:r>
    </w:p>
    <w:p>
      <w:pPr>
        <w:spacing w:after="0" w:line="209" w:lineRule="exact"/>
        <w:rPr>
          <w:rFonts w:ascii="Arial" w:cs="Arial" w:eastAsia="Arial" w:hAnsi="Arial"/>
          <w:sz w:val="22"/>
          <w:szCs w:val="22"/>
          <w:b w:val="1"/>
          <w:bCs w:val="1"/>
          <w:color w:val="auto"/>
        </w:rPr>
      </w:pPr>
    </w:p>
    <w:p>
      <w:pPr>
        <w:jc w:val="both"/>
        <w:ind w:firstLine="656"/>
        <w:spacing w:after="0" w:line="284" w:lineRule="auto"/>
        <w:tabs>
          <w:tab w:leader="none" w:pos="1188" w:val="left"/>
        </w:tabs>
        <w:numPr>
          <w:ilvl w:val="0"/>
          <w:numId w:val="41"/>
        </w:numPr>
        <w:rPr>
          <w:rFonts w:ascii="Arial" w:cs="Arial" w:eastAsia="Arial" w:hAnsi="Arial"/>
          <w:sz w:val="21"/>
          <w:szCs w:val="21"/>
          <w:b w:val="1"/>
          <w:bCs w:val="1"/>
          <w:color w:val="auto"/>
        </w:rPr>
      </w:pPr>
      <w:r>
        <w:rPr>
          <w:rFonts w:ascii="Arial" w:cs="Arial" w:eastAsia="Arial" w:hAnsi="Arial"/>
          <w:sz w:val="19"/>
          <w:szCs w:val="19"/>
          <w:b w:val="1"/>
          <w:bCs w:val="1"/>
          <w:i w:val="1"/>
          <w:iCs w:val="1"/>
          <w:u w:val="single" w:color="auto"/>
          <w:color w:val="auto"/>
        </w:rPr>
        <w:t>Forfeiture Events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Notwithstanding anything in this Award Agreement to the contrary, the Awarded Shares and any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shall be subject to reduction, cancelation, forfeiture and/or recoupment, in whole or in part, prior to or following the date on which they become vested if and to the extent any of the events described in Section 14.11(i) through (v) of the Plan occur.</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3. </w:t>
      </w:r>
      <w:r>
        <w:rPr>
          <w:rFonts w:ascii="Arial" w:cs="Arial" w:eastAsia="Arial" w:hAnsi="Arial"/>
          <w:sz w:val="19"/>
          <w:szCs w:val="19"/>
          <w:b w:val="1"/>
          <w:bCs w:val="1"/>
          <w:i w:val="1"/>
          <w:iCs w:val="1"/>
          <w:u w:val="single" w:color="auto"/>
          <w:color w:val="auto"/>
        </w:rPr>
        <w:t>Dividends</w:t>
      </w:r>
      <w:r>
        <w:rPr>
          <w:rFonts w:ascii="Arial" w:cs="Arial" w:eastAsia="Arial" w:hAnsi="Arial"/>
          <w:sz w:val="19"/>
          <w:szCs w:val="19"/>
          <w:color w:val="auto"/>
        </w:rPr>
        <w:t>. You shall have the right to receive any dividends declared by the Company with a record date that is after the Grant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Date specified in this Award Agreement but prior to the forfeiture of the related Awarded Shares. Timing of payment of such dividends will be as determined by the Committee.</w:t>
      </w:r>
    </w:p>
    <w:p>
      <w:pPr>
        <w:spacing w:after="0" w:line="187"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Section 4.</w:t>
      </w:r>
      <w:r>
        <w:rPr>
          <w:sz w:val="20"/>
          <w:szCs w:val="20"/>
          <w:color w:val="auto"/>
        </w:rPr>
        <w:tab/>
      </w:r>
      <w:r>
        <w:rPr>
          <w:rFonts w:ascii="Arial" w:cs="Arial" w:eastAsia="Arial" w:hAnsi="Arial"/>
          <w:sz w:val="18"/>
          <w:szCs w:val="18"/>
          <w:b w:val="1"/>
          <w:bCs w:val="1"/>
          <w:i w:val="1"/>
          <w:iCs w:val="1"/>
          <w:u w:val="single" w:color="auto"/>
          <w:color w:val="auto"/>
        </w:rPr>
        <w:t>Voting Rights</w:t>
      </w:r>
      <w:r>
        <w:rPr>
          <w:rFonts w:ascii="Arial" w:cs="Arial" w:eastAsia="Arial" w:hAnsi="Arial"/>
          <w:sz w:val="18"/>
          <w:szCs w:val="18"/>
          <w:color w:val="auto"/>
        </w:rPr>
        <w:t>. You will have the right to vote, or direct the voting of, Awarded Shares prior to their vesting or forfeiture.</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5. </w:t>
      </w:r>
      <w:r>
        <w:rPr>
          <w:rFonts w:ascii="Arial" w:cs="Arial" w:eastAsia="Arial" w:hAnsi="Arial"/>
          <w:sz w:val="19"/>
          <w:szCs w:val="19"/>
          <w:b w:val="1"/>
          <w:bCs w:val="1"/>
          <w:i w:val="1"/>
          <w:iCs w:val="1"/>
          <w:u w:val="single" w:color="auto"/>
          <w:color w:val="auto"/>
        </w:rPr>
        <w:t>No Right to Continued Service</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Nothing in this Award Agreement, or any action of the Board or Committee with respect to this</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Award Agreement, shall be held or construed to confer upon you any right to a continuation of service by the Company and/or its Subsidiaries. You may be dismissed or otherwise dealt with as though this Award Agreement had not been entered into.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22"/>
          <w:szCs w:val="22"/>
          <w:b w:val="1"/>
          <w:bCs w:val="1"/>
          <w:i w:val="1"/>
          <w:iCs w:val="1"/>
          <w:color w:val="auto"/>
        </w:rPr>
        <w:t xml:space="preserve">Section 6. </w:t>
      </w:r>
      <w:r>
        <w:rPr>
          <w:rFonts w:ascii="Arial" w:cs="Arial" w:eastAsia="Arial" w:hAnsi="Arial"/>
          <w:sz w:val="19"/>
          <w:szCs w:val="19"/>
          <w:b w:val="1"/>
          <w:bCs w:val="1"/>
          <w:i w:val="1"/>
          <w:iCs w:val="1"/>
          <w:u w:val="single" w:color="auto"/>
          <w:color w:val="auto"/>
        </w:rPr>
        <w:t>Taxes/Withholding</w:t>
      </w:r>
      <w:r>
        <w:rPr>
          <w:rFonts w:ascii="Arial" w:cs="Arial" w:eastAsia="Arial" w:hAnsi="Arial"/>
          <w:sz w:val="19"/>
          <w:szCs w:val="19"/>
          <w:color w:val="auto"/>
        </w:rPr>
        <w:t>. The Company or any employer Affiliate has the authority and the right to deduct or withhold, or require you</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to remit to the employer, an amount sufficient to satisfy federal, state, and local taxes (including your FICA obligation) required by law to be withheld with respect to any taxable event arising as a result of an Awarded Share. The withholding requirement may be satisfied, in whole or in part, at the election of the Corporate Secretary, by withholding or selling without notice a sufficient number of vested Awarded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Corporate Secretary establishes. Section 17.3 of the Plan is incorporated by reference herein.</w:t>
      </w:r>
    </w:p>
    <w:p>
      <w:pPr>
        <w:spacing w:after="0" w:line="200" w:lineRule="exact"/>
        <w:rPr>
          <w:sz w:val="20"/>
          <w:szCs w:val="20"/>
          <w:color w:val="auto"/>
        </w:rPr>
      </w:pP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22"/>
          <w:szCs w:val="22"/>
          <w:b w:val="1"/>
          <w:bCs w:val="1"/>
          <w:i w:val="1"/>
          <w:iCs w:val="1"/>
          <w:color w:val="auto"/>
        </w:rPr>
        <w:t xml:space="preserve">Section 7. </w:t>
      </w:r>
      <w:r>
        <w:rPr>
          <w:rFonts w:ascii="Arial" w:cs="Arial" w:eastAsia="Arial" w:hAnsi="Arial"/>
          <w:sz w:val="19"/>
          <w:szCs w:val="19"/>
          <w:b w:val="1"/>
          <w:bCs w:val="1"/>
          <w:i w:val="1"/>
          <w:iCs w:val="1"/>
          <w:u w:val="single" w:color="auto"/>
          <w:color w:val="auto"/>
        </w:rPr>
        <w:t>Notices</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Any communication required or permitted to be given under the Plan, including any notice, direction, designation,</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comment, instruction, objection or waiver, shall be in writing and shall be deemed to have been given at such time as it is delivered personally or five (5) days after mailing if mailed, postage prepaid, by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Time Based Restricted Stock</w:t>
      </w:r>
    </w:p>
    <w:p>
      <w:pPr>
        <w:sectPr>
          <w:pgSz w:w="11900" w:h="16838" w:orient="portrait"/>
          <w:cols w:equalWidth="0" w:num="1">
            <w:col w:w="11420"/>
          </w:cols>
          <w:pgMar w:left="240" w:top="649" w:right="2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registered or certified mail, return receipt requested, addressed to such party at the address listed below, or at such other address as one such party may by written notice specify to the other party: If to the Participant, to the Participant’s address as shown in the Company’s records. If to the Committee: Roper Technologies, Inc., 6901 Professional Parkway East, Suite 200, Sarasota, FL 34240, Attention: Compensation Committee and Corporate Secretary.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8. </w:t>
      </w:r>
      <w:r>
        <w:rPr>
          <w:rFonts w:ascii="Arial" w:cs="Arial" w:eastAsia="Arial" w:hAnsi="Arial"/>
          <w:sz w:val="19"/>
          <w:szCs w:val="19"/>
          <w:b w:val="1"/>
          <w:bCs w:val="1"/>
          <w:i w:val="1"/>
          <w:iCs w:val="1"/>
          <w:u w:val="single" w:color="auto"/>
          <w:color w:val="auto"/>
        </w:rPr>
        <w:t>Restrictions on Transfer</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The Awarded Shares granted hereunder shall not be subject in any manner to anticipation, alienation or</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assignment, nor shall such Award be liable for, or subject to, debts, contracts, liabilities, engagements or torts, nor shall it be transferable by the Participant other than by will or by the laws of descent and distribution or as otherwise permitted by the Plan.</w:t>
      </w:r>
    </w:p>
    <w:p>
      <w:pPr>
        <w:spacing w:after="0" w:line="187"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i w:val="1"/>
          <w:iCs w:val="1"/>
          <w:color w:val="auto"/>
        </w:rPr>
        <w:t xml:space="preserve">Section 9. </w:t>
      </w:r>
      <w:r>
        <w:rPr>
          <w:rFonts w:ascii="Arial" w:cs="Arial" w:eastAsia="Arial" w:hAnsi="Arial"/>
          <w:sz w:val="19"/>
          <w:szCs w:val="19"/>
          <w:b w:val="1"/>
          <w:bCs w:val="1"/>
          <w:i w:val="1"/>
          <w:iCs w:val="1"/>
          <w:u w:val="single" w:color="auto"/>
          <w:color w:val="auto"/>
        </w:rPr>
        <w:t>Successors and Assigns</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shall inure to the benefit of and shall be binding upon the Company and you and</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their respective heirs, successors and assigns.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22"/>
          <w:szCs w:val="22"/>
          <w:b w:val="1"/>
          <w:bCs w:val="1"/>
          <w:i w:val="1"/>
          <w:iCs w:val="1"/>
          <w:color w:val="auto"/>
        </w:rPr>
        <w:t xml:space="preserve">Section 10. </w:t>
      </w:r>
      <w:r>
        <w:rPr>
          <w:rFonts w:ascii="Arial" w:cs="Arial" w:eastAsia="Arial" w:hAnsi="Arial"/>
          <w:sz w:val="19"/>
          <w:szCs w:val="19"/>
          <w:b w:val="1"/>
          <w:bCs w:val="1"/>
          <w:i w:val="1"/>
          <w:iCs w:val="1"/>
          <w:u w:val="single" w:color="auto"/>
          <w:color w:val="auto"/>
        </w:rPr>
        <w:t>Construction of Language / Governing Law</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Whenever appropriate in this Award Agreement, words used in the singular may</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be read in the plural, words used in the plural may be read in the singular, and words importing the masculine gender may be read as referring equally to the feminine or the neuter. Any reference to a section shall be a reference to a section of this Award Agreement, unless the context clearly indicates otherwise. Capitalized terms not specifically defined herein shall have the meanings assigned to them under the Plan. This Award Agreement shall be construed, administered and enforced according to the laws of the State of Delaware without giving effect to the conflict of law principles thereof, except to the extent that such laws are preempted by federal law. The federal and state courts having jurisdiction in the State of Delaware shall have exclusive jurisdiction over any claim, action, complaint or lawsuit brought under the terms of the Plan. By accepting the Award granted under this Award Agreement, you, and any other person claiming any rights under this Award Agreement, agrees to submit himself or herself, and any such legal action as he or she shall bring under the Plan, to the sole jurisdiction of such courts for the adjudication and resolution of any such disputes.</w:t>
      </w:r>
    </w:p>
    <w:p>
      <w:pPr>
        <w:spacing w:after="0" w:line="185"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i w:val="1"/>
          <w:iCs w:val="1"/>
          <w:color w:val="auto"/>
        </w:rPr>
        <w:t xml:space="preserve">Section 11. </w:t>
      </w:r>
      <w:r>
        <w:rPr>
          <w:rFonts w:ascii="Arial" w:cs="Arial" w:eastAsia="Arial" w:hAnsi="Arial"/>
          <w:sz w:val="19"/>
          <w:szCs w:val="19"/>
          <w:b w:val="1"/>
          <w:bCs w:val="1"/>
          <w:i w:val="1"/>
          <w:iCs w:val="1"/>
          <w:u w:val="single" w:color="auto"/>
          <w:color w:val="auto"/>
        </w:rPr>
        <w:t>Amendment</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may be amended, in whole or in part and in any manner not inconsistent with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provisions of the Plan, at any time and from time to time, by written agreement between the Company and you.</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b w:val="1"/>
          <w:bCs w:val="1"/>
          <w:i w:val="1"/>
          <w:iCs w:val="1"/>
          <w:color w:val="auto"/>
        </w:rPr>
        <w:t xml:space="preserve">Section 12. </w:t>
      </w:r>
      <w:r>
        <w:rPr>
          <w:rFonts w:ascii="Arial" w:cs="Arial" w:eastAsia="Arial" w:hAnsi="Arial"/>
          <w:sz w:val="19"/>
          <w:szCs w:val="19"/>
          <w:b w:val="1"/>
          <w:bCs w:val="1"/>
          <w:i w:val="1"/>
          <w:iCs w:val="1"/>
          <w:u w:val="single" w:color="auto"/>
          <w:color w:val="auto"/>
        </w:rPr>
        <w:t>Plan Provisions Control</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and the rights and obligations created hereunder shall be subject to all of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terms and conditions of the Plan. In the event of any conflict between the provisions of the Plan and the provisions of this Award Agreement, the terms of the Plan, which are incorporated herein by reference, shall control. By signing this Award Agreement, you acknowledge receipt of a copy of the Plan. You acknowledge that you may not and will not rely on any statement of account or other communication or document issued in connection with the Award other than the Plan, this Award Agreement, or any document signed by an authorized representative of the Company that is designated as an amendment of the Plan or this Award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22"/>
          <w:szCs w:val="22"/>
          <w:b w:val="1"/>
          <w:bCs w:val="1"/>
          <w:i w:val="1"/>
          <w:iCs w:val="1"/>
          <w:color w:val="auto"/>
        </w:rPr>
        <w:t xml:space="preserve">Section 13. </w:t>
      </w:r>
      <w:r>
        <w:rPr>
          <w:rFonts w:ascii="Arial" w:cs="Arial" w:eastAsia="Arial" w:hAnsi="Arial"/>
          <w:sz w:val="19"/>
          <w:szCs w:val="19"/>
          <w:b w:val="1"/>
          <w:bCs w:val="1"/>
          <w:i w:val="1"/>
          <w:iCs w:val="1"/>
          <w:u w:val="single" w:color="auto"/>
          <w:color w:val="auto"/>
        </w:rPr>
        <w:t>Execution of Confidentiality, Intellectual Property, Non-Competition and Non-Solicitation Agreement</w:t>
      </w:r>
      <w:r>
        <w:rPr>
          <w:rFonts w:ascii="Arial" w:cs="Arial" w:eastAsia="Arial" w:hAnsi="Arial"/>
          <w:sz w:val="19"/>
          <w:szCs w:val="19"/>
          <w:color w:val="auto"/>
        </w:rPr>
        <w:t>. The grant of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Awarded Shares pursuant to this Award Agreement is contingent upon the execution by you, the Participant, of a Confidentiality, Intellectual Property, Noncompetition and Nonsolicitation Agreement with the Company in the form attached hereto as Appendix A, if such a Confidentiality, Intellectual Property, Noncompetition and Nonsolicitation Agreement has not already been executed and delivered to the Company.</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Time Based Restricted Stock</w:t>
      </w:r>
    </w:p>
    <w:p>
      <w:pPr>
        <w:sectPr>
          <w:pgSz w:w="11900" w:h="16838" w:orient="portrait"/>
          <w:cols w:equalWidth="0" w:num="1">
            <w:col w:w="11420"/>
          </w:cols>
          <w:pgMar w:left="240" w:top="59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A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TIME–BASED RESTRICTED STOCK AWARD NOTICE AND AWARD CERTIFICATE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CONFIDENTIALITY, INTELLECTUAL PROPERTY,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NON-COMPETITION AND NON-SOLICITATION AGREEMENT</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This Confidentiality, Intellectual Property, Non-Competition and Non-Solicitation Agreement (“</w:t>
      </w:r>
      <w:r>
        <w:rPr>
          <w:rFonts w:ascii="Arial" w:cs="Arial" w:eastAsia="Arial" w:hAnsi="Arial"/>
          <w:sz w:val="20"/>
          <w:szCs w:val="20"/>
          <w:b w:val="1"/>
          <w:bCs w:val="1"/>
          <w:color w:val="auto"/>
        </w:rPr>
        <w:t>Agreement</w:t>
      </w:r>
      <w:r>
        <w:rPr>
          <w:rFonts w:ascii="Arial" w:cs="Arial" w:eastAsia="Arial" w:hAnsi="Arial"/>
          <w:sz w:val="20"/>
          <w:szCs w:val="20"/>
          <w:color w:val="auto"/>
        </w:rPr>
        <w:t>”) is by and between Roper Technologies, Inc. and the Participant.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Roper Technologies, Inc.’s grant of a Time-Based Restricted Stock Award with a grant date specified in the Award Agreement (“</w:t>
      </w:r>
      <w:r>
        <w:rPr>
          <w:rFonts w:ascii="Arial" w:cs="Arial" w:eastAsia="Arial" w:hAnsi="Arial"/>
          <w:sz w:val="20"/>
          <w:szCs w:val="20"/>
          <w:b w:val="1"/>
          <w:bCs w:val="1"/>
          <w:color w:val="auto"/>
        </w:rPr>
        <w:t>Grant Date</w:t>
      </w:r>
      <w:r>
        <w:rPr>
          <w:rFonts w:ascii="Arial" w:cs="Arial" w:eastAsia="Arial" w:hAnsi="Arial"/>
          <w:sz w:val="20"/>
          <w:szCs w:val="20"/>
          <w:color w:val="auto"/>
        </w:rPr>
        <w:t>”), is conditioned upon my execution of this Agreement, in consideration of Roper Technologies, Inc.’s grant of such Time-Based Restricted Stock and the mutual promises contained in this Agreement, Roper Technologies, Inc. and I agree to the following terms and conditions:</w:t>
      </w:r>
    </w:p>
    <w:p>
      <w:pPr>
        <w:spacing w:after="0" w:line="186" w:lineRule="exact"/>
        <w:rPr>
          <w:sz w:val="20"/>
          <w:szCs w:val="20"/>
          <w:color w:val="auto"/>
        </w:rPr>
      </w:pPr>
    </w:p>
    <w:p>
      <w:pPr>
        <w:jc w:val="both"/>
        <w:ind w:firstLine="8"/>
        <w:spacing w:after="0" w:line="255" w:lineRule="auto"/>
        <w:tabs>
          <w:tab w:leader="none" w:pos="423"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 of Trust</w:t>
      </w:r>
      <w:r>
        <w:rPr>
          <w:rFonts w:ascii="Arial" w:cs="Arial" w:eastAsia="Arial" w:hAnsi="Arial"/>
          <w:sz w:val="19"/>
          <w:szCs w:val="19"/>
          <w:color w:val="auto"/>
        </w:rPr>
        <w:t>. As used herein: “</w:t>
      </w:r>
      <w:r>
        <w:rPr>
          <w:rFonts w:ascii="Arial" w:cs="Arial" w:eastAsia="Arial" w:hAnsi="Arial"/>
          <w:sz w:val="19"/>
          <w:szCs w:val="19"/>
          <w:b w:val="1"/>
          <w:bCs w:val="1"/>
          <w:color w:val="auto"/>
        </w:rPr>
        <w:t>Company</w:t>
      </w:r>
      <w:r>
        <w:rPr>
          <w:rFonts w:ascii="Arial" w:cs="Arial" w:eastAsia="Arial" w:hAnsi="Arial"/>
          <w:sz w:val="19"/>
          <w:szCs w:val="19"/>
          <w:color w:val="auto"/>
        </w:rPr>
        <w:t>” means Roper Technologies, Inc., and any Affiliate that I am transferred to, am entrusted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Confidential Information about, or am required to provide services to in the course of my employment or services.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is any corporation, entity or organization that Roper Technologies, Inc. owns a controlling interest in or that is under common ownership and 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 relationships with existing and potential customers, clients, referral sources and vendors. Through my position, the Company will provide me with one or more of the following: </w:t>
      </w:r>
      <w:r>
        <w:rPr>
          <w:rFonts w:ascii="Arial" w:cs="Arial" w:eastAsia="Arial" w:hAnsi="Arial"/>
          <w:sz w:val="19"/>
          <w:szCs w:val="19"/>
          <w:b w:val="1"/>
          <w:bCs w:val="1"/>
          <w:color w:val="auto"/>
        </w:rPr>
        <w:t>(a)</w:t>
      </w:r>
      <w:r>
        <w:rPr>
          <w:rFonts w:ascii="Arial" w:cs="Arial" w:eastAsia="Arial" w:hAnsi="Arial"/>
          <w:sz w:val="19"/>
          <w:szCs w:val="19"/>
          <w:color w:val="auto"/>
        </w:rPr>
        <w:t xml:space="preserve"> Confidential Information; </w:t>
      </w:r>
      <w:r>
        <w:rPr>
          <w:rFonts w:ascii="Arial" w:cs="Arial" w:eastAsia="Arial" w:hAnsi="Arial"/>
          <w:sz w:val="19"/>
          <w:szCs w:val="19"/>
          <w:b w:val="1"/>
          <w:bCs w:val="1"/>
          <w:color w:val="auto"/>
        </w:rPr>
        <w:t>(b)</w:t>
      </w:r>
      <w:r>
        <w:rPr>
          <w:rFonts w:ascii="Arial" w:cs="Arial" w:eastAsia="Arial" w:hAnsi="Arial"/>
          <w:sz w:val="19"/>
          <w:szCs w:val="19"/>
          <w:color w:val="auto"/>
        </w:rPr>
        <w:t xml:space="preserve"> authorization to develop and expand relationships with customers, prospective customers, and others involved in the Company’s business that are key to the development of goodwill for the Company; and/or </w:t>
      </w:r>
      <w:r>
        <w:rPr>
          <w:rFonts w:ascii="Arial" w:cs="Arial" w:eastAsia="Arial" w:hAnsi="Arial"/>
          <w:sz w:val="19"/>
          <w:szCs w:val="19"/>
          <w:b w:val="1"/>
          <w:bCs w:val="1"/>
          <w:color w:val="auto"/>
        </w:rPr>
        <w:t>(c)</w:t>
      </w:r>
      <w:r>
        <w:rPr>
          <w:rFonts w:ascii="Arial" w:cs="Arial" w:eastAsia="Arial" w:hAnsi="Arial"/>
          <w:sz w:val="19"/>
          <w:szCs w:val="19"/>
          <w:color w:val="auto"/>
        </w:rPr>
        <w:t xml:space="preserve"> specialized training related to the Company’s business and customers. I understand that the Company will provide me with one or more of these items in reliance upon my promise to abide by all of the restrictions in this Agreement. I agree that the business in which the Company 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7" w:lineRule="exact"/>
        <w:rPr>
          <w:rFonts w:ascii="Arial" w:cs="Arial" w:eastAsia="Arial" w:hAnsi="Arial"/>
          <w:sz w:val="19"/>
          <w:szCs w:val="19"/>
          <w:b w:val="1"/>
          <w:bCs w:val="1"/>
          <w:color w:val="auto"/>
        </w:rPr>
      </w:pPr>
    </w:p>
    <w:p>
      <w:pPr>
        <w:jc w:val="both"/>
        <w:ind w:firstLine="8"/>
        <w:spacing w:after="0" w:line="270" w:lineRule="auto"/>
        <w:tabs>
          <w:tab w:leader="none" w:pos="3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Nondisclosure Obligation</w:t>
      </w:r>
      <w:r>
        <w:rPr>
          <w:rFonts w:ascii="Arial" w:cs="Arial" w:eastAsia="Arial" w:hAnsi="Arial"/>
          <w:sz w:val="18"/>
          <w:szCs w:val="18"/>
          <w:color w:val="auto"/>
        </w:rPr>
        <w:t>. I agree not to engage in any unauthorized use or disclosure of Confidential Information and to limit my 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to purposes that further the Company’s business interests consistent with my assigned job duties. As used herein,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refers to an item of information or a compilation of information in any form (tangible or intangible) related to the Company’s business that Company has not made public or authorized public disclosure of, and that is not generally known to the public through proper means. Confidential Information includes, but is not limited to: </w:t>
      </w:r>
      <w:r>
        <w:rPr>
          <w:rFonts w:ascii="Arial" w:cs="Arial" w:eastAsia="Arial" w:hAnsi="Arial"/>
          <w:sz w:val="18"/>
          <w:szCs w:val="18"/>
          <w:b w:val="1"/>
          <w:bCs w:val="1"/>
          <w:color w:val="auto"/>
        </w:rPr>
        <w:t>(a)</w:t>
      </w:r>
      <w:r>
        <w:rPr>
          <w:rFonts w:ascii="Arial" w:cs="Arial" w:eastAsia="Arial" w:hAnsi="Arial"/>
          <w:sz w:val="18"/>
          <w:szCs w:val="18"/>
          <w:color w:val="auto"/>
        </w:rPr>
        <w:t xml:space="preserve"> Company’s business plans and analysis, customer and prospective customer lists, marketing plans and strategies, research and development data, buying practices, financial data, operational data, methods, techniques, technical data, know-how, innovations, computer programs, un-patented inventions, and trade secrets; and </w:t>
      </w:r>
      <w:r>
        <w:rPr>
          <w:rFonts w:ascii="Arial" w:cs="Arial" w:eastAsia="Arial" w:hAnsi="Arial"/>
          <w:sz w:val="18"/>
          <w:szCs w:val="18"/>
          <w:b w:val="1"/>
          <w:bCs w:val="1"/>
          <w:color w:val="auto"/>
        </w:rPr>
        <w:t>(b)</w:t>
      </w:r>
      <w:r>
        <w:rPr>
          <w:rFonts w:ascii="Arial" w:cs="Arial" w:eastAsia="Arial" w:hAnsi="Arial"/>
          <w:sz w:val="18"/>
          <w:szCs w:val="18"/>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 under the circumstances and will cooperate with Company in any legal action undertaken to protect the</w:t>
      </w:r>
    </w:p>
    <w:p>
      <w:pPr>
        <w:spacing w:after="0" w:line="209"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282" w:lineRule="auto"/>
        <w:rPr>
          <w:sz w:val="20"/>
          <w:szCs w:val="20"/>
          <w:color w:val="auto"/>
        </w:rPr>
      </w:pPr>
      <w:r>
        <w:rPr>
          <w:rFonts w:ascii="Arial" w:cs="Arial" w:eastAsia="Arial" w:hAnsi="Arial"/>
          <w:sz w:val="18"/>
          <w:szCs w:val="18"/>
          <w:color w:val="auto"/>
        </w:rPr>
        <w:t>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Arial" w:cs="Arial" w:eastAsia="Arial" w:hAnsi="Arial"/>
          <w:sz w:val="18"/>
          <w:szCs w:val="18"/>
          <w:b w:val="1"/>
          <w:bCs w:val="1"/>
          <w:color w:val="auto"/>
        </w:rPr>
        <w:t>Act</w:t>
      </w:r>
      <w:r>
        <w:rPr>
          <w:rFonts w:ascii="Arial" w:cs="Arial" w:eastAsia="Arial" w:hAnsi="Arial"/>
          <w:sz w:val="18"/>
          <w:szCs w:val="18"/>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56" w:lineRule="exact"/>
        <w:rPr>
          <w:sz w:val="20"/>
          <w:szCs w:val="20"/>
          <w:color w:val="auto"/>
        </w:rPr>
      </w:pPr>
    </w:p>
    <w:p>
      <w:pPr>
        <w:jc w:val="both"/>
        <w:ind w:firstLine="8"/>
        <w:spacing w:after="0" w:line="271" w:lineRule="auto"/>
        <w:tabs>
          <w:tab w:leader="none" w:pos="441"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Obligations</w:t>
      </w:r>
      <w:r>
        <w:rPr>
          <w:rFonts w:ascii="Arial" w:cs="Arial" w:eastAsia="Arial" w:hAnsi="Arial"/>
          <w:sz w:val="18"/>
          <w:szCs w:val="18"/>
          <w:color w:val="auto"/>
        </w:rPr>
        <w:t>. I understand that I am expected, through my position with the Company, to use my creative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inventive capacities to assist the Company. I agree that during my employment I will promptly disclose to the Company any Intellectual Property that I create, conceive, or contribute to.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item that would qualify as an Invention or Copyrightable Work. “</w:t>
      </w:r>
      <w:r>
        <w:rPr>
          <w:rFonts w:ascii="Arial" w:cs="Arial" w:eastAsia="Arial" w:hAnsi="Arial"/>
          <w:sz w:val="18"/>
          <w:szCs w:val="18"/>
          <w:b w:val="1"/>
          <w:bCs w:val="1"/>
          <w:color w:val="auto"/>
        </w:rPr>
        <w:t>Copyrightable Works</w:t>
      </w:r>
      <w:r>
        <w:rPr>
          <w:rFonts w:ascii="Arial" w:cs="Arial" w:eastAsia="Arial" w:hAnsi="Arial"/>
          <w:sz w:val="18"/>
          <w:szCs w:val="18"/>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means all intellectual property, inventions, designs, discoveries, innovations, ideas, know-how and/or improvements, whether patentable or not, and whether made by me alone or jointly with others, which </w:t>
      </w:r>
      <w:r>
        <w:rPr>
          <w:rFonts w:ascii="Arial" w:cs="Arial" w:eastAsia="Arial" w:hAnsi="Arial"/>
          <w:sz w:val="18"/>
          <w:szCs w:val="18"/>
          <w:b w:val="1"/>
          <w:bCs w:val="1"/>
          <w:color w:val="auto"/>
        </w:rPr>
        <w:t>(a)</w:t>
      </w:r>
      <w:r>
        <w:rPr>
          <w:rFonts w:ascii="Arial" w:cs="Arial" w:eastAsia="Arial" w:hAnsi="Arial"/>
          <w:sz w:val="18"/>
          <w:szCs w:val="18"/>
          <w:color w:val="auto"/>
        </w:rPr>
        <w:t xml:space="preserve"> relate to the existing or foreseeable business interests of Company, </w:t>
      </w:r>
      <w:r>
        <w:rPr>
          <w:rFonts w:ascii="Arial" w:cs="Arial" w:eastAsia="Arial" w:hAnsi="Arial"/>
          <w:sz w:val="18"/>
          <w:szCs w:val="18"/>
          <w:b w:val="1"/>
          <w:bCs w:val="1"/>
          <w:color w:val="auto"/>
        </w:rPr>
        <w:t>(b)</w:t>
      </w:r>
      <w:r>
        <w:rPr>
          <w:rFonts w:ascii="Arial" w:cs="Arial" w:eastAsia="Arial" w:hAnsi="Arial"/>
          <w:sz w:val="18"/>
          <w:szCs w:val="18"/>
          <w:color w:val="auto"/>
        </w:rPr>
        <w:t xml:space="preserve"> relate to Company’s actual or anticipated research or development, </w:t>
      </w:r>
      <w:r>
        <w:rPr>
          <w:rFonts w:ascii="Arial" w:cs="Arial" w:eastAsia="Arial" w:hAnsi="Arial"/>
          <w:sz w:val="18"/>
          <w:szCs w:val="18"/>
          <w:b w:val="1"/>
          <w:bCs w:val="1"/>
          <w:color w:val="auto"/>
        </w:rPr>
        <w:t>(c)</w:t>
      </w:r>
      <w:r>
        <w:rPr>
          <w:rFonts w:ascii="Arial" w:cs="Arial" w:eastAsia="Arial" w:hAnsi="Arial"/>
          <w:sz w:val="18"/>
          <w:szCs w:val="18"/>
          <w:color w:val="auto"/>
        </w:rPr>
        <w:t xml:space="preserve"> were developed or discovered with the assistance of Company tools, equipment, personnel or other resources, or </w:t>
      </w:r>
      <w:r>
        <w:rPr>
          <w:rFonts w:ascii="Arial" w:cs="Arial" w:eastAsia="Arial" w:hAnsi="Arial"/>
          <w:sz w:val="18"/>
          <w:szCs w:val="18"/>
          <w:b w:val="1"/>
          <w:bCs w:val="1"/>
          <w:color w:val="auto"/>
        </w:rPr>
        <w:t>(d)</w:t>
      </w:r>
      <w:r>
        <w:rPr>
          <w:rFonts w:ascii="Arial" w:cs="Arial" w:eastAsia="Arial" w:hAnsi="Arial"/>
          <w:sz w:val="18"/>
          <w:szCs w:val="18"/>
          <w:color w:val="auto"/>
        </w:rPr>
        <w:t xml:space="preserve"> are suggested by, related to or results from any task assigned to me, Confidential Information provided to me, or work performed by me for or on behalf of the Company.</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Ownership of Intellectual Property</w:t>
      </w:r>
      <w:r>
        <w:rPr>
          <w:rFonts w:ascii="Arial" w:cs="Arial" w:eastAsia="Arial" w:hAnsi="Arial"/>
          <w:sz w:val="20"/>
          <w:szCs w:val="20"/>
          <w:color w:val="auto"/>
        </w:rPr>
        <w:t>. I agree that all Inventions are and will remain the sole and exclusive property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 interest in and to any and all Copyrightable Works, and all registered and applied for copyrights therein, to the Company.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Cooperation Obligation</w:t>
      </w:r>
      <w:r>
        <w:rPr>
          <w:rFonts w:ascii="Arial" w:cs="Arial" w:eastAsia="Arial" w:hAnsi="Arial"/>
          <w:sz w:val="18"/>
          <w:szCs w:val="18"/>
          <w:color w:val="auto"/>
        </w:rPr>
        <w:t>. When requested to do so by Company, either during or subsequent to my employment with Company,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w:t>
      </w:r>
      <w:r>
        <w:rPr>
          <w:rFonts w:ascii="Arial" w:cs="Arial" w:eastAsia="Arial" w:hAnsi="Arial"/>
          <w:sz w:val="18"/>
          <w:szCs w:val="18"/>
          <w:b w:val="1"/>
          <w:bCs w:val="1"/>
          <w:color w:val="auto"/>
        </w:rPr>
        <w:t>(a)</w:t>
      </w:r>
      <w:r>
        <w:rPr>
          <w:rFonts w:ascii="Arial" w:cs="Arial" w:eastAsia="Arial" w:hAnsi="Arial"/>
          <w:sz w:val="18"/>
          <w:szCs w:val="18"/>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Arial" w:cs="Arial" w:eastAsia="Arial" w:hAnsi="Arial"/>
          <w:sz w:val="18"/>
          <w:szCs w:val="18"/>
          <w:b w:val="1"/>
          <w:bCs w:val="1"/>
          <w:color w:val="auto"/>
        </w:rPr>
        <w:t>(b)</w:t>
      </w:r>
      <w:r>
        <w:rPr>
          <w:rFonts w:ascii="Arial" w:cs="Arial" w:eastAsia="Arial" w:hAnsi="Arial"/>
          <w:sz w:val="18"/>
          <w:szCs w:val="18"/>
          <w:color w:val="auto"/>
        </w:rPr>
        <w:t xml:space="preserve"> execute all documents requested by Company for filing and obtaining of patents or copyrights; and </w:t>
      </w:r>
      <w:r>
        <w:rPr>
          <w:rFonts w:ascii="Arial" w:cs="Arial" w:eastAsia="Arial" w:hAnsi="Arial"/>
          <w:sz w:val="18"/>
          <w:szCs w:val="18"/>
          <w:b w:val="1"/>
          <w:bCs w:val="1"/>
          <w:color w:val="auto"/>
        </w:rPr>
        <w:t>(c)</w:t>
      </w:r>
      <w:r>
        <w:rPr>
          <w:rFonts w:ascii="Arial" w:cs="Arial" w:eastAsia="Arial" w:hAnsi="Arial"/>
          <w:sz w:val="18"/>
          <w:szCs w:val="18"/>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202"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838" w:right="239" w:bottom="1440" w:gutter="0" w:footer="0" w:header="0"/>
        </w:sectPr>
      </w:pPr>
    </w:p>
    <w:bookmarkStart w:id="82" w:name="page83"/>
    <w:bookmarkEnd w:id="82"/>
    <w:p>
      <w:pPr>
        <w:jc w:val="both"/>
        <w:ind w:firstLine="8"/>
        <w:spacing w:after="0" w:line="268" w:lineRule="auto"/>
        <w:tabs>
          <w:tab w:leader="none" w:pos="37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and Noncompete Obligations</w:t>
      </w:r>
      <w:r>
        <w:rPr>
          <w:rFonts w:ascii="Arial" w:cs="Arial" w:eastAsia="Arial" w:hAnsi="Arial"/>
          <w:sz w:val="18"/>
          <w:szCs w:val="18"/>
          <w:color w:val="auto"/>
        </w:rPr>
        <w:t>. As used herein, the following definitions shall apply: “</w:t>
      </w:r>
      <w:r>
        <w:rPr>
          <w:rFonts w:ascii="Arial" w:cs="Arial" w:eastAsia="Arial" w:hAnsi="Arial"/>
          <w:sz w:val="18"/>
          <w:szCs w:val="18"/>
          <w:b w:val="1"/>
          <w:bCs w:val="1"/>
          <w:color w:val="auto"/>
        </w:rPr>
        <w:t>Conflicting Product or Service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Arial" w:cs="Arial" w:eastAsia="Arial" w:hAnsi="Arial"/>
          <w:sz w:val="18"/>
          <w:szCs w:val="18"/>
          <w:b w:val="1"/>
          <w:bCs w:val="1"/>
          <w:color w:val="auto"/>
        </w:rPr>
        <w:t>X Look Back Period</w:t>
      </w:r>
      <w:r>
        <w:rPr>
          <w:rFonts w:ascii="Arial" w:cs="Arial" w:eastAsia="Arial" w:hAnsi="Arial"/>
          <w:sz w:val="18"/>
          <w:szCs w:val="18"/>
          <w:color w:val="auto"/>
        </w:rPr>
        <w:t>” refers to the last two (2) years of my employment with Company or such lesser period as I may have been employed with the Company and the “</w:t>
      </w:r>
      <w:r>
        <w:rPr>
          <w:rFonts w:ascii="Arial" w:cs="Arial" w:eastAsia="Arial" w:hAnsi="Arial"/>
          <w:sz w:val="18"/>
          <w:szCs w:val="18"/>
          <w:b w:val="1"/>
          <w:bCs w:val="1"/>
          <w:color w:val="auto"/>
        </w:rPr>
        <w:t>Y Look Back Period</w:t>
      </w:r>
      <w:r>
        <w:rPr>
          <w:rFonts w:ascii="Arial" w:cs="Arial" w:eastAsia="Arial" w:hAnsi="Arial"/>
          <w:sz w:val="18"/>
          <w:szCs w:val="18"/>
          <w:color w:val="auto"/>
        </w:rPr>
        <w:t>” refers to the last twelve (12) months of my employment with the Company or such lesser period as I may have been employed with the Company. “</w:t>
      </w:r>
      <w:r>
        <w:rPr>
          <w:rFonts w:ascii="Arial" w:cs="Arial" w:eastAsia="Arial" w:hAnsi="Arial"/>
          <w:sz w:val="18"/>
          <w:szCs w:val="18"/>
          <w:b w:val="1"/>
          <w:bCs w:val="1"/>
          <w:color w:val="auto"/>
        </w:rPr>
        <w:t>Conflicting Organization</w:t>
      </w:r>
      <w:r>
        <w:rPr>
          <w:rFonts w:ascii="Arial" w:cs="Arial" w:eastAsia="Arial" w:hAnsi="Arial"/>
          <w:sz w:val="18"/>
          <w:szCs w:val="18"/>
          <w:color w:val="auto"/>
        </w:rPr>
        <w:t>” means any person or organization which is engaged in or planning to become engaged in development, production, marketing, or selling of a Conflicting Product or Service. “</w:t>
      </w:r>
      <w:r>
        <w:rPr>
          <w:rFonts w:ascii="Arial" w:cs="Arial" w:eastAsia="Arial" w:hAnsi="Arial"/>
          <w:sz w:val="18"/>
          <w:szCs w:val="18"/>
          <w:b w:val="1"/>
          <w:bCs w:val="1"/>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is a Company customer (person or entity) that I, or persons under my supervision or management, had business-related contact or</w:t>
      </w:r>
      <w:r>
        <w:rPr>
          <w:rFonts w:ascii="Arial" w:cs="Arial" w:eastAsia="Arial" w:hAnsi="Arial"/>
          <w:sz w:val="18"/>
          <w:szCs w:val="18"/>
          <w:b w:val="1"/>
          <w:bCs w:val="1"/>
          <w:color w:val="auto"/>
        </w:rPr>
        <w:t xml:space="preserve"> </w:t>
      </w:r>
      <w:r>
        <w:rPr>
          <w:rFonts w:ascii="Arial" w:cs="Arial" w:eastAsia="Arial" w:hAnsi="Arial"/>
          <w:sz w:val="18"/>
          <w:szCs w:val="18"/>
          <w:color w:val="auto"/>
        </w:rPr>
        <w:t>dealings with on behalf of the Company in the Y Look Back Period. A customer is understood to include persons 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 “</w:t>
      </w:r>
      <w:r>
        <w:rPr>
          <w:rFonts w:ascii="Arial" w:cs="Arial" w:eastAsia="Arial" w:hAnsi="Arial"/>
          <w:sz w:val="18"/>
          <w:szCs w:val="18"/>
          <w:b w:val="1"/>
          <w:bCs w:val="1"/>
          <w:color w:val="auto"/>
        </w:rPr>
        <w:t>Assigned Territory</w:t>
      </w:r>
      <w:r>
        <w:rPr>
          <w:rFonts w:ascii="Arial" w:cs="Arial" w:eastAsia="Arial" w:hAnsi="Arial"/>
          <w:sz w:val="18"/>
          <w:szCs w:val="18"/>
          <w:color w:val="auto"/>
        </w:rPr>
        <w:t>” is the geographic area, by state, county, or other recognized geographic boundary that is assigned to me as a limitation on where I am to do business for the Company if my responsibilities for the Company are limited to, or confined to a specific geographic 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 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 During my employment with Company, I will avoid competing with the Company or providing unauthorized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to a Conflicting Organization. In order to protect the Company’s trade secrets and other business interests invested in me, for a period of twenty (24) months after the termination of my employment with Company, I will not engage in any “</w:t>
      </w:r>
      <w:r>
        <w:rPr>
          <w:rFonts w:ascii="Arial" w:cs="Arial" w:eastAsia="Arial" w:hAnsi="Arial"/>
          <w:sz w:val="19"/>
          <w:szCs w:val="19"/>
          <w:b w:val="1"/>
          <w:bCs w:val="1"/>
          <w:color w:val="auto"/>
        </w:rPr>
        <w:t>Competing Activities</w:t>
      </w:r>
      <w:r>
        <w:rPr>
          <w:rFonts w:ascii="Arial" w:cs="Arial" w:eastAsia="Arial" w:hAnsi="Arial"/>
          <w:sz w:val="19"/>
          <w:szCs w:val="19"/>
          <w:color w:val="auto"/>
        </w:rPr>
        <w:t>” within my Assigned Territory. “</w:t>
      </w:r>
      <w:r>
        <w:rPr>
          <w:rFonts w:ascii="Arial" w:cs="Arial" w:eastAsia="Arial" w:hAnsi="Arial"/>
          <w:sz w:val="19"/>
          <w:szCs w:val="19"/>
          <w:b w:val="1"/>
          <w:bCs w:val="1"/>
          <w:color w:val="auto"/>
        </w:rPr>
        <w:t>Competing Activities</w:t>
      </w:r>
      <w:r>
        <w:rPr>
          <w:rFonts w:ascii="Arial" w:cs="Arial" w:eastAsia="Arial" w:hAnsi="Arial"/>
          <w:sz w:val="19"/>
          <w:szCs w:val="19"/>
          <w:color w:val="auto"/>
        </w:rPr>
        <w:t xml:space="preserve">” are any activities or services for a Conflicting Organization (as an employee, consultant, contractor, officer, owner, director, or otherwise) that </w:t>
      </w:r>
      <w:r>
        <w:rPr>
          <w:rFonts w:ascii="Arial" w:cs="Arial" w:eastAsia="Arial" w:hAnsi="Arial"/>
          <w:sz w:val="19"/>
          <w:szCs w:val="19"/>
          <w:b w:val="1"/>
          <w:bCs w:val="1"/>
          <w:color w:val="auto"/>
        </w:rPr>
        <w:t>(a)</w:t>
      </w:r>
      <w:r>
        <w:rPr>
          <w:rFonts w:ascii="Arial" w:cs="Arial" w:eastAsia="Arial" w:hAnsi="Arial"/>
          <w:sz w:val="19"/>
          <w:szCs w:val="19"/>
          <w:color w:val="auto"/>
        </w:rPr>
        <w:t xml:space="preserve"> involve performing, supervising, or managing services that are the same as or similar in function or purpose to those I performed, supervised, or managed for the Company in the X Look Back Period, </w:t>
      </w:r>
      <w:r>
        <w:rPr>
          <w:rFonts w:ascii="Arial" w:cs="Arial" w:eastAsia="Arial" w:hAnsi="Arial"/>
          <w:sz w:val="19"/>
          <w:szCs w:val="19"/>
          <w:b w:val="1"/>
          <w:bCs w:val="1"/>
          <w:color w:val="auto"/>
        </w:rPr>
        <w:t>(b)</w:t>
      </w:r>
      <w:r>
        <w:rPr>
          <w:rFonts w:ascii="Arial" w:cs="Arial" w:eastAsia="Arial" w:hAnsi="Arial"/>
          <w:sz w:val="19"/>
          <w:szCs w:val="19"/>
          <w:color w:val="auto"/>
        </w:rPr>
        <w:t xml:space="preserve"> involve a Conflicting Product or Service, or (c) would be likely to involve the use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In order to protect the Company’s trade secrets and other legitimate business interests, during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and for twenty-four (24) months after the termination of my employment for any reason, I will not, in person or through the direction or control of others, knowingly solicit business from, contact or communicate with a Covered Customer for the purpose of</w:t>
      </w:r>
    </w:p>
    <w:p>
      <w:pPr>
        <w:spacing w:after="0" w:line="2" w:lineRule="exact"/>
        <w:rPr>
          <w:sz w:val="20"/>
          <w:szCs w:val="20"/>
          <w:color w:val="auto"/>
        </w:rPr>
      </w:pPr>
    </w:p>
    <w:p>
      <w:pPr>
        <w:jc w:val="both"/>
        <w:ind w:firstLine="8"/>
        <w:spacing w:after="0" w:line="241" w:lineRule="auto"/>
        <w:tabs>
          <w:tab w:leader="none" w:pos="30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 xml:space="preserve">selling or servicing a Conflicting Product or Service, or </w:t>
      </w:r>
      <w:r>
        <w:rPr>
          <w:rFonts w:ascii="Arial" w:cs="Arial" w:eastAsia="Arial" w:hAnsi="Arial"/>
          <w:sz w:val="20"/>
          <w:szCs w:val="20"/>
          <w:b w:val="1"/>
          <w:bCs w:val="1"/>
          <w:color w:val="auto"/>
        </w:rPr>
        <w:t>(b)</w:t>
      </w:r>
      <w:r>
        <w:rPr>
          <w:rFonts w:ascii="Arial" w:cs="Arial" w:eastAsia="Arial" w:hAnsi="Arial"/>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w:t>
      </w:r>
    </w:p>
    <w:p>
      <w:pPr>
        <w:spacing w:after="0" w:line="226"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832" w:right="239" w:bottom="1440" w:gutter="0" w:footer="0" w:header="0"/>
        </w:sectPr>
      </w:pPr>
    </w:p>
    <w:bookmarkStart w:id="83" w:name="page84"/>
    <w:bookmarkEnd w:id="83"/>
    <w:p>
      <w:pPr>
        <w:jc w:val="both"/>
        <w:spacing w:after="0" w:line="269" w:lineRule="auto"/>
        <w:rPr>
          <w:sz w:val="20"/>
          <w:szCs w:val="20"/>
          <w:color w:val="auto"/>
        </w:rPr>
      </w:pPr>
      <w:r>
        <w:rPr>
          <w:rFonts w:ascii="Arial" w:cs="Arial" w:eastAsia="Arial" w:hAnsi="Arial"/>
          <w:sz w:val="19"/>
          <w:szCs w:val="19"/>
          <w:color w:val="auto"/>
        </w:rPr>
        <w:t>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Nonsolicitation of Employees and Sales Representatives</w:t>
      </w:r>
      <w:r>
        <w:rPr>
          <w:rFonts w:ascii="Arial" w:cs="Arial" w:eastAsia="Arial" w:hAnsi="Arial"/>
          <w:sz w:val="20"/>
          <w:szCs w:val="20"/>
          <w:color w:val="auto"/>
        </w:rPr>
        <w:t>. During my employment with the Company,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 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 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87"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Terms, Conditions, and Representations.</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No Violation of Agreements with Prior Employers</w:t>
      </w:r>
      <w:r>
        <w:rPr>
          <w:rFonts w:ascii="Arial" w:cs="Arial" w:eastAsia="Arial" w:hAnsi="Arial"/>
          <w:sz w:val="18"/>
          <w:szCs w:val="18"/>
          <w:color w:val="auto"/>
        </w:rPr>
        <w:t>. I am under no contractual obligations with a prior employer or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I understand that this Agreement does not obligate me to remain employed by the Company nor does it</w:t>
      </w:r>
      <w:r>
        <w:rPr>
          <w:rFonts w:ascii="Arial" w:cs="Arial" w:eastAsia="Arial" w:hAnsi="Arial"/>
          <w:sz w:val="18"/>
          <w:szCs w:val="18"/>
          <w:b w:val="1"/>
          <w:bCs w:val="1"/>
          <w:color w:val="auto"/>
        </w:rPr>
        <w:t xml:space="preserve"> </w:t>
      </w:r>
      <w:r>
        <w:rPr>
          <w:rFonts w:ascii="Arial" w:cs="Arial" w:eastAsia="Arial" w:hAnsi="Arial"/>
          <w:sz w:val="18"/>
          <w:szCs w:val="18"/>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Provisions are Reasonable</w:t>
      </w:r>
      <w:r>
        <w:rPr>
          <w:rFonts w:ascii="Arial" w:cs="Arial" w:eastAsia="Arial" w:hAnsi="Arial"/>
          <w:sz w:val="19"/>
          <w:szCs w:val="19"/>
          <w:color w:val="auto"/>
        </w:rPr>
        <w:t>. I acknowledge and agree that it is reasonable and necessary for the protection of the goodwill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Notifications Related to New Employment</w:t>
      </w:r>
      <w:r>
        <w:rPr>
          <w:rFonts w:ascii="Arial" w:cs="Arial" w:eastAsia="Arial" w:hAnsi="Arial"/>
          <w:sz w:val="18"/>
          <w:szCs w:val="18"/>
          <w:color w:val="auto"/>
        </w:rPr>
        <w:t>. I acknowledge that I will have the responsibility to inform any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b w:val="1"/>
          <w:bCs w:val="1"/>
          <w:u w:val="single" w:color="auto"/>
          <w:color w:val="auto"/>
        </w:rPr>
        <w:t>Special Remedies</w:t>
      </w:r>
      <w:r>
        <w:rPr>
          <w:rFonts w:ascii="Arial" w:cs="Arial" w:eastAsia="Arial" w:hAnsi="Arial"/>
          <w:sz w:val="20"/>
          <w:szCs w:val="20"/>
          <w:color w:val="auto"/>
        </w:rPr>
        <w:t>. I recognize that any breach by me of this Agreement will cause the Company irreparable harm that cannot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compensated adequately by an award of monetary damages. I agree that the</w:t>
      </w:r>
    </w:p>
    <w:p>
      <w:pPr>
        <w:spacing w:after="0" w:line="199"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838" w:right="239" w:bottom="1440" w:gutter="0" w:footer="0" w:header="0"/>
        </w:sectPr>
      </w:pPr>
    </w:p>
    <w:bookmarkStart w:id="84" w:name="page85"/>
    <w:bookmarkEnd w:id="84"/>
    <w:p>
      <w:pPr>
        <w:jc w:val="both"/>
        <w:spacing w:after="0" w:line="243" w:lineRule="auto"/>
        <w:rPr>
          <w:sz w:val="20"/>
          <w:szCs w:val="20"/>
          <w:color w:val="auto"/>
        </w:rPr>
      </w:pPr>
      <w:r>
        <w:rPr>
          <w:rFonts w:ascii="Arial" w:cs="Arial" w:eastAsia="Arial" w:hAnsi="Arial"/>
          <w:sz w:val="20"/>
          <w:szCs w:val="20"/>
          <w:color w:val="auto"/>
        </w:rPr>
        <w:t>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Governing Law and Venue</w:t>
      </w:r>
      <w:r>
        <w:rPr>
          <w:rFonts w:ascii="Arial" w:cs="Arial" w:eastAsia="Arial" w:hAnsi="Arial"/>
          <w:sz w:val="19"/>
          <w:szCs w:val="19"/>
          <w:color w:val="auto"/>
        </w:rPr>
        <w:t>. In order to maintain uniformity in the interpretation of this Agreement across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Delaware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To the extent any portion of this Agreement or any portion of any provision of this Agreement is held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I agree and acknowledge that this Agreement supersedes prior agreements between me and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Arial" w:cs="Arial" w:eastAsia="Arial" w:hAnsi="Arial"/>
          <w:sz w:val="18"/>
          <w:szCs w:val="18"/>
          <w:b w:val="1"/>
          <w:bCs w:val="1"/>
          <w:color w:val="auto"/>
        </w:rPr>
        <w:t>(a)</w:t>
      </w:r>
      <w:r>
        <w:rPr>
          <w:rFonts w:ascii="Arial" w:cs="Arial" w:eastAsia="Arial" w:hAnsi="Arial"/>
          <w:sz w:val="18"/>
          <w:szCs w:val="18"/>
          <w:color w:val="auto"/>
        </w:rPr>
        <w:t xml:space="preserve"> the Company must make such election within ten</w:t>
      </w:r>
    </w:p>
    <w:p>
      <w:pPr>
        <w:spacing w:after="0" w:line="2" w:lineRule="exact"/>
        <w:rPr>
          <w:sz w:val="20"/>
          <w:szCs w:val="20"/>
          <w:color w:val="auto"/>
        </w:rPr>
      </w:pPr>
    </w:p>
    <w:p>
      <w:pPr>
        <w:jc w:val="both"/>
        <w:ind w:firstLine="8"/>
        <w:spacing w:after="0" w:line="241" w:lineRule="auto"/>
        <w:tabs>
          <w:tab w:leader="none" w:pos="381"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business days of such ruling of unenforceability becoming final, and </w:t>
      </w:r>
      <w:r>
        <w:rPr>
          <w:rFonts w:ascii="Arial" w:cs="Arial" w:eastAsia="Arial" w:hAnsi="Arial"/>
          <w:sz w:val="20"/>
          <w:szCs w:val="20"/>
          <w:b w:val="1"/>
          <w:bCs w:val="1"/>
          <w:color w:val="auto"/>
        </w:rPr>
        <w:t>(b)</w:t>
      </w:r>
      <w:r>
        <w:rPr>
          <w:rFonts w:ascii="Arial" w:cs="Arial" w:eastAsia="Arial" w:hAnsi="Arial"/>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5.9 </w:t>
      </w:r>
      <w:r>
        <w:rPr>
          <w:rFonts w:ascii="Arial" w:cs="Arial" w:eastAsia="Arial" w:hAnsi="Arial"/>
          <w:sz w:val="19"/>
          <w:szCs w:val="19"/>
          <w:b w:val="1"/>
          <w:bCs w:val="1"/>
          <w:u w:val="single" w:color="auto"/>
          <w:color w:val="auto"/>
        </w:rPr>
        <w:t>Waiver or Modification / Assignability</w:t>
      </w:r>
      <w:r>
        <w:rPr>
          <w:rFonts w:ascii="Arial" w:cs="Arial" w:eastAsia="Arial" w:hAnsi="Arial"/>
          <w:sz w:val="19"/>
          <w:szCs w:val="19"/>
          <w:color w:val="auto"/>
        </w:rPr>
        <w:t>. Neither this Agreement, nor any term or provision hereof, may be waived or modified</w:t>
      </w:r>
      <w:r>
        <w:rPr>
          <w:rFonts w:ascii="Arial" w:cs="Arial" w:eastAsia="Arial" w:hAnsi="Arial"/>
          <w:sz w:val="19"/>
          <w:szCs w:val="19"/>
          <w:b w:val="1"/>
          <w:bCs w:val="1"/>
          <w:color w:val="auto"/>
        </w:rPr>
        <w:t xml:space="preserve"> </w:t>
      </w:r>
      <w:r>
        <w:rPr>
          <w:rFonts w:ascii="Arial" w:cs="Arial" w:eastAsia="Arial" w:hAnsi="Arial"/>
          <w:sz w:val="19"/>
          <w:szCs w:val="19"/>
          <w:color w:val="auto"/>
        </w:rPr>
        <w:t>in whole or in part by either party without the party that holds the right to enforce such provision expressly waiving the right to enforce such provision in writing. In the event of such a waiver from the Company, the Company’s waiver must be in writing from an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 hereunder,</w:t>
      </w:r>
    </w:p>
    <w:p>
      <w:pPr>
        <w:spacing w:after="0" w:line="209"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838" w:right="2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including, but not limited to, an assignment in connection with any merger, sale, transfer or acquisition consummated by the Company relating to all or part of its assets.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5.10 </w:t>
      </w:r>
      <w:r>
        <w:rPr>
          <w:rFonts w:ascii="Arial" w:cs="Arial" w:eastAsia="Arial" w:hAnsi="Arial"/>
          <w:sz w:val="20"/>
          <w:szCs w:val="20"/>
          <w:b w:val="1"/>
          <w:bCs w:val="1"/>
          <w:u w:val="single" w:color="auto"/>
          <w:color w:val="auto"/>
        </w:rPr>
        <w:t>Transfer or Renewal of Employment</w:t>
      </w:r>
      <w:r>
        <w:rPr>
          <w:rFonts w:ascii="Arial" w:cs="Arial" w:eastAsia="Arial" w:hAnsi="Arial"/>
          <w:sz w:val="20"/>
          <w:szCs w:val="20"/>
          <w:color w:val="auto"/>
        </w:rPr>
        <w:t>. This Agreement will be deemed to continue during any periods of renewal of my</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including, but not limited to, periods of employment following promotions or transfers, or during any subsequent re-employment by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Arial" w:cs="Arial" w:eastAsia="Arial" w:hAnsi="Arial"/>
          <w:sz w:val="19"/>
          <w:szCs w:val="19"/>
          <w:b w:val="1"/>
          <w:bCs w:val="1"/>
          <w:i w:val="1"/>
          <w:iCs w:val="1"/>
          <w:color w:val="auto"/>
        </w:rPr>
        <w:t>DTSA</w:t>
      </w:r>
      <w:r>
        <w:rPr>
          <w:rFonts w:ascii="Arial" w:cs="Arial" w:eastAsia="Arial" w:hAnsi="Arial"/>
          <w:sz w:val="19"/>
          <w:szCs w:val="19"/>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838"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10.18</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ROPER TECHNOLOGIES,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Federal Taxpayer Identification No.: 51-0263969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6901 Professional Parkway East, Suite 200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Sarasota, Florida 34240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Award Notice and Award Certificate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 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Awarded: _______________</w:t>
      </w:r>
    </w:p>
    <w:p>
      <w:pPr>
        <w:spacing w:after="0"/>
        <w:rPr>
          <w:sz w:val="20"/>
          <w:szCs w:val="20"/>
          <w:color w:val="auto"/>
        </w:rPr>
      </w:pPr>
      <w:r>
        <w:rPr>
          <w:rFonts w:ascii="Arial" w:cs="Arial" w:eastAsia="Arial" w:hAnsi="Arial"/>
          <w:sz w:val="20"/>
          <w:szCs w:val="20"/>
          <w:color w:val="auto"/>
        </w:rPr>
        <w:t>Plan: 2016 Incentive Plan</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Effective as of the date specified in your award letter, (“</w:t>
      </w:r>
      <w:r>
        <w:rPr>
          <w:rFonts w:ascii="Arial" w:cs="Arial" w:eastAsia="Arial" w:hAnsi="Arial"/>
          <w:sz w:val="20"/>
          <w:szCs w:val="20"/>
          <w:b w:val="1"/>
          <w:bCs w:val="1"/>
          <w:color w:val="auto"/>
        </w:rPr>
        <w:t>Grant Date</w:t>
      </w:r>
      <w:r>
        <w:rPr>
          <w:rFonts w:ascii="Arial" w:cs="Arial" w:eastAsia="Arial" w:hAnsi="Arial"/>
          <w:sz w:val="20"/>
          <w:szCs w:val="20"/>
          <w:color w:val="auto"/>
        </w:rPr>
        <w:t>”), you have been granted a Performance-Based Restricted Stock Award of a fixed number of shares (“</w:t>
      </w:r>
      <w:r>
        <w:rPr>
          <w:rFonts w:ascii="Arial" w:cs="Arial" w:eastAsia="Arial" w:hAnsi="Arial"/>
          <w:sz w:val="20"/>
          <w:szCs w:val="20"/>
          <w:b w:val="1"/>
          <w:bCs w:val="1"/>
          <w:color w:val="auto"/>
        </w:rPr>
        <w:t>Awarded Performance Shares</w:t>
      </w:r>
      <w:r>
        <w:rPr>
          <w:rFonts w:ascii="Arial" w:cs="Arial" w:eastAsia="Arial" w:hAnsi="Arial"/>
          <w:sz w:val="20"/>
          <w:szCs w:val="20"/>
          <w:color w:val="auto"/>
        </w:rPr>
        <w:t>”) of ROPER TECHNOLOGIES, INC. (the “</w:t>
      </w:r>
      <w:r>
        <w:rPr>
          <w:rFonts w:ascii="Arial" w:cs="Arial" w:eastAsia="Arial" w:hAnsi="Arial"/>
          <w:sz w:val="20"/>
          <w:szCs w:val="20"/>
          <w:b w:val="1"/>
          <w:bCs w:val="1"/>
          <w:color w:val="auto"/>
        </w:rPr>
        <w:t>Company</w:t>
      </w:r>
      <w:r>
        <w:rPr>
          <w:rFonts w:ascii="Arial" w:cs="Arial" w:eastAsia="Arial" w:hAnsi="Arial"/>
          <w:sz w:val="20"/>
          <w:szCs w:val="20"/>
          <w:color w:val="auto"/>
        </w:rPr>
        <w:t>”) common stock, par value $0.01 per share. These Awarded Performance Shares are restricted, until both the Service Condition and the Performance Condition are satisfied.</w:t>
      </w:r>
    </w:p>
    <w:p>
      <w:pPr>
        <w:spacing w:after="0" w:line="37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Service Condition and the Performance Condition will be determined on the dates specified in your award letter (“</w:t>
      </w:r>
      <w:r>
        <w:rPr>
          <w:rFonts w:ascii="Arial" w:cs="Arial" w:eastAsia="Arial" w:hAnsi="Arial"/>
          <w:sz w:val="20"/>
          <w:szCs w:val="20"/>
          <w:b w:val="1"/>
          <w:bCs w:val="1"/>
          <w:color w:val="auto"/>
        </w:rPr>
        <w:t>Vesting Determination</w:t>
      </w:r>
      <w:r>
        <w:rPr>
          <w:rFonts w:ascii="Arial" w:cs="Arial" w:eastAsia="Arial" w:hAnsi="Arial"/>
          <w:sz w:val="20"/>
          <w:szCs w:val="20"/>
          <w:color w:val="auto"/>
        </w:rPr>
        <w:t xml:space="preserve"> </w:t>
      </w:r>
      <w:r>
        <w:rPr>
          <w:rFonts w:ascii="Arial" w:cs="Arial" w:eastAsia="Arial" w:hAnsi="Arial"/>
          <w:sz w:val="20"/>
          <w:szCs w:val="20"/>
          <w:b w:val="1"/>
          <w:bCs w:val="1"/>
          <w:color w:val="auto"/>
        </w:rPr>
        <w:t>Dates</w:t>
      </w:r>
      <w:r>
        <w:rPr>
          <w:rFonts w:ascii="Arial" w:cs="Arial" w:eastAsia="Arial" w:hAnsi="Arial"/>
          <w:sz w:val="20"/>
          <w:szCs w:val="20"/>
          <w:color w:val="auto"/>
        </w:rPr>
        <w:t>”) with respect to the Awarded Performance Shares.</w:t>
      </w:r>
    </w:p>
    <w:p>
      <w:pPr>
        <w:spacing w:after="0" w:line="129"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_______________________________________________________</w:t>
      </w: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your electronic signature of this Award Agreement (including your acceptance of the terms set forth in Appendix A - your Confidentiality, Intellectual Property, Noncompetition and Nonsolicitation Agreement), you and the Company agree that this Award is granted under and governed by the terms and conditions of the Plan and this Award Agreement (including PART I and PART II hereof), all of which are made a part of this document.</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Performance Restricted Stock</w:t>
      </w:r>
    </w:p>
    <w:p>
      <w:pPr>
        <w:sectPr>
          <w:pgSz w:w="11900" w:h="16838" w:orient="portrait"/>
          <w:cols w:equalWidth="0" w:num="1">
            <w:col w:w="11420"/>
          </w:cols>
          <w:pgMar w:left="240" w:top="36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b w:val="1"/>
          <w:bCs w:val="1"/>
          <w:u w:val="single" w:color="auto"/>
          <w:color w:val="auto"/>
        </w:rPr>
        <w:t>PART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GENERAL TERMS AND CONDITIONS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b w:val="1"/>
          <w:bCs w:val="1"/>
          <w:i w:val="1"/>
          <w:iCs w:val="1"/>
          <w:color w:val="auto"/>
        </w:rPr>
        <w:t>Section 1.</w:t>
      </w:r>
      <w:r>
        <w:rPr>
          <w:sz w:val="20"/>
          <w:szCs w:val="20"/>
          <w:color w:val="auto"/>
        </w:rPr>
        <w:tab/>
      </w:r>
      <w:r>
        <w:rPr>
          <w:rFonts w:ascii="Arial" w:cs="Arial" w:eastAsia="Arial" w:hAnsi="Arial"/>
          <w:sz w:val="16"/>
          <w:szCs w:val="16"/>
          <w:b w:val="1"/>
          <w:bCs w:val="1"/>
          <w:i w:val="1"/>
          <w:iCs w:val="1"/>
          <w:u w:val="single" w:color="auto"/>
          <w:color w:val="auto"/>
        </w:rPr>
        <w:t>General Terms</w:t>
      </w:r>
      <w:r>
        <w:rPr>
          <w:rFonts w:ascii="Arial" w:cs="Arial" w:eastAsia="Arial" w:hAnsi="Arial"/>
          <w:sz w:val="16"/>
          <w:szCs w:val="16"/>
          <w:b w:val="1"/>
          <w:bCs w:val="1"/>
          <w:color w:val="auto"/>
        </w:rPr>
        <w:t>.</w:t>
      </w:r>
    </w:p>
    <w:p>
      <w:pPr>
        <w:spacing w:after="0" w:line="262" w:lineRule="exact"/>
        <w:rPr>
          <w:sz w:val="20"/>
          <w:szCs w:val="20"/>
          <w:color w:val="auto"/>
        </w:rPr>
      </w:pPr>
    </w:p>
    <w:p>
      <w:pPr>
        <w:ind w:firstLine="656"/>
        <w:spacing w:after="0" w:line="334" w:lineRule="auto"/>
        <w:tabs>
          <w:tab w:leader="none" w:pos="1148" w:val="left"/>
        </w:tabs>
        <w:numPr>
          <w:ilvl w:val="0"/>
          <w:numId w:val="48"/>
        </w:numPr>
        <w:rPr>
          <w:rFonts w:ascii="Arial" w:cs="Arial" w:eastAsia="Arial" w:hAnsi="Arial"/>
          <w:sz w:val="19"/>
          <w:szCs w:val="19"/>
          <w:b w:val="1"/>
          <w:bCs w:val="1"/>
          <w:color w:val="auto"/>
        </w:rPr>
      </w:pPr>
      <w:r>
        <w:rPr>
          <w:rFonts w:ascii="Arial" w:cs="Arial" w:eastAsia="Arial" w:hAnsi="Arial"/>
          <w:sz w:val="18"/>
          <w:szCs w:val="18"/>
          <w:b w:val="1"/>
          <w:bCs w:val="1"/>
          <w:i w:val="1"/>
          <w:iCs w:val="1"/>
          <w:u w:val="single" w:color="auto"/>
          <w:color w:val="auto"/>
        </w:rPr>
        <w:t>Size and Type of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covered by this Award (i.e., the Awarded Performance Shares) are listed in Part I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Agreement and are subject to all of the terms and conditions of the Roper Technologies, Inc. 2016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50" w:lineRule="exact"/>
        <w:rPr>
          <w:rFonts w:ascii="Arial" w:cs="Arial" w:eastAsia="Arial" w:hAnsi="Arial"/>
          <w:sz w:val="19"/>
          <w:szCs w:val="19"/>
          <w:b w:val="1"/>
          <w:bCs w:val="1"/>
          <w:color w:val="auto"/>
        </w:rPr>
      </w:pPr>
    </w:p>
    <w:p>
      <w:pPr>
        <w:jc w:val="both"/>
        <w:ind w:firstLine="656"/>
        <w:spacing w:after="0" w:line="301" w:lineRule="auto"/>
        <w:tabs>
          <w:tab w:leader="none" w:pos="1092" w:val="left"/>
        </w:tabs>
        <w:numPr>
          <w:ilvl w:val="0"/>
          <w:numId w:val="48"/>
        </w:numPr>
        <w:rPr>
          <w:rFonts w:ascii="Arial" w:cs="Arial" w:eastAsia="Arial" w:hAnsi="Arial"/>
          <w:sz w:val="19"/>
          <w:szCs w:val="19"/>
          <w:b w:val="1"/>
          <w:bCs w:val="1"/>
          <w:color w:val="auto"/>
        </w:rPr>
      </w:pPr>
      <w:r>
        <w:rPr>
          <w:rFonts w:ascii="Arial" w:cs="Arial" w:eastAsia="Arial" w:hAnsi="Arial"/>
          <w:sz w:val="18"/>
          <w:szCs w:val="18"/>
          <w:b w:val="1"/>
          <w:bCs w:val="1"/>
          <w:i w:val="1"/>
          <w:iCs w:val="1"/>
          <w:u w:val="single" w:color="auto"/>
          <w:color w:val="auto"/>
        </w:rPr>
        <w:t>Restrictions and Tax Election</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certificate or book-entry registration evidencing the Awarded Performance Shares will be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you and will include a restrictive legend incorporating the terms and conditions of this Award Agreement. You may elect (pursuant to Section 83(b) of the Internal Revenue Code) to be taxed on the Awarded Performance Shares immediately upon their Grant Date instead of later when they vest, though if the Awarded Performance Shares are forfeited, you may be unable to recover the taxes previously paid. If you make this Section 83(b) election, you will be required to include in ordinary income, for the taxable year in which the Grant Date occurs, an amount equal to the fair market value of the Awarded Performance Shares on the Grant Date. The Company may be allowed to claim a tax deduction, for compensation expense, in a like amount. You make this Section 83(b) election by filing a statement of election containing specified items of information with the Internal Revenue Service within thirty (30) days after the Grant Date. You must give a copy of the statement of election you file with the Internal Revenue Service to the Company. If you make this Section 83(b) election, the vesting of your Awarded Performance Shares will not subject you to further income tax upon their vesting.</w:t>
      </w:r>
    </w:p>
    <w:p>
      <w:pPr>
        <w:spacing w:after="0" w:line="185" w:lineRule="exact"/>
        <w:rPr>
          <w:rFonts w:ascii="Arial" w:cs="Arial" w:eastAsia="Arial" w:hAnsi="Arial"/>
          <w:sz w:val="19"/>
          <w:szCs w:val="19"/>
          <w:b w:val="1"/>
          <w:bCs w:val="1"/>
          <w:color w:val="auto"/>
        </w:rPr>
      </w:pPr>
    </w:p>
    <w:p>
      <w:pPr>
        <w:jc w:val="both"/>
        <w:ind w:firstLine="656"/>
        <w:spacing w:after="0" w:line="266" w:lineRule="auto"/>
        <w:tabs>
          <w:tab w:leader="none" w:pos="1082"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Your employment and/or other service with the Company and/or its Subsidiaries constitutes adequate consideration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issuance of the Awarded Performance Shares to you having a value at least equal to the par value of the Awarded Performance Shares, but the vesting conditions described below will nevertheless determine your right to acquire unrestricted ownership of the Awarded Performance Shares.</w:t>
      </w:r>
    </w:p>
    <w:p>
      <w:pPr>
        <w:spacing w:after="0" w:line="19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i w:val="1"/>
          <w:iCs w:val="1"/>
          <w:color w:val="auto"/>
        </w:rPr>
        <w:t>Section 2.</w:t>
      </w:r>
      <w:r>
        <w:rPr>
          <w:sz w:val="20"/>
          <w:szCs w:val="20"/>
          <w:color w:val="auto"/>
        </w:rPr>
        <w:tab/>
      </w:r>
      <w:r>
        <w:rPr>
          <w:rFonts w:ascii="Arial" w:cs="Arial" w:eastAsia="Arial" w:hAnsi="Arial"/>
          <w:sz w:val="16"/>
          <w:szCs w:val="16"/>
          <w:b w:val="1"/>
          <w:bCs w:val="1"/>
          <w:i w:val="1"/>
          <w:iCs w:val="1"/>
          <w:u w:val="single" w:color="auto"/>
          <w:color w:val="auto"/>
        </w:rPr>
        <w:t>Vesting</w:t>
      </w:r>
      <w:r>
        <w:rPr>
          <w:rFonts w:ascii="Arial" w:cs="Arial" w:eastAsia="Arial" w:hAnsi="Arial"/>
          <w:sz w:val="16"/>
          <w:szCs w:val="16"/>
          <w:color w:val="auto"/>
        </w:rPr>
        <w:t>.</w:t>
      </w:r>
    </w:p>
    <w:p>
      <w:pPr>
        <w:spacing w:after="0" w:line="251" w:lineRule="exact"/>
        <w:rPr>
          <w:sz w:val="20"/>
          <w:szCs w:val="20"/>
          <w:color w:val="auto"/>
        </w:rPr>
      </w:pPr>
    </w:p>
    <w:p>
      <w:pPr>
        <w:jc w:val="both"/>
        <w:ind w:firstLine="656"/>
        <w:spacing w:after="0" w:line="265" w:lineRule="auto"/>
        <w:tabs>
          <w:tab w:leader="none" w:pos="1094"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Vesting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Vesting Determination Dates for the vesting of your Awarded Performance Shares are specified in your award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letter. On each Vesting Determination Date, your Awarded Performance Shares will, subject to the provisions of this Award Agreement (including Section 2(b) below), no longer be subject to a substantial risk of forfeiture.</w:t>
      </w:r>
    </w:p>
    <w:p>
      <w:pPr>
        <w:spacing w:after="0" w:line="212" w:lineRule="exact"/>
        <w:rPr>
          <w:rFonts w:ascii="Arial" w:cs="Arial" w:eastAsia="Arial" w:hAnsi="Arial"/>
          <w:sz w:val="22"/>
          <w:szCs w:val="22"/>
          <w:b w:val="1"/>
          <w:bCs w:val="1"/>
          <w:color w:val="auto"/>
        </w:rPr>
      </w:pPr>
    </w:p>
    <w:p>
      <w:pPr>
        <w:ind w:right="20" w:firstLine="656"/>
        <w:spacing w:after="0" w:line="265" w:lineRule="auto"/>
        <w:tabs>
          <w:tab w:leader="none" w:pos="1173"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Vesting Conditions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as otherwise provided in this Part II of the Award Agreement, there are two conditions you must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satisfy before your Awarded Performance Shares will vest:</w:t>
      </w:r>
    </w:p>
    <w:p>
      <w:pPr>
        <w:spacing w:after="0" w:line="398" w:lineRule="exact"/>
        <w:rPr>
          <w:rFonts w:ascii="Arial" w:cs="Arial" w:eastAsia="Arial" w:hAnsi="Arial"/>
          <w:sz w:val="22"/>
          <w:szCs w:val="22"/>
          <w:b w:val="1"/>
          <w:bCs w:val="1"/>
          <w:color w:val="auto"/>
        </w:rPr>
      </w:pPr>
    </w:p>
    <w:p>
      <w:pPr>
        <w:ind w:left="1620" w:right="20" w:hanging="721"/>
        <w:spacing w:after="0" w:line="260" w:lineRule="auto"/>
        <w:tabs>
          <w:tab w:leader="none" w:pos="1620" w:val="left"/>
        </w:tabs>
        <w:numPr>
          <w:ilvl w:val="1"/>
          <w:numId w:val="49"/>
        </w:numPr>
        <w:rPr>
          <w:rFonts w:ascii="Arial" w:cs="Arial" w:eastAsia="Arial" w:hAnsi="Arial"/>
          <w:sz w:val="20"/>
          <w:szCs w:val="20"/>
          <w:color w:val="auto"/>
        </w:rPr>
      </w:pPr>
      <w:r>
        <w:rPr>
          <w:rFonts w:ascii="Arial" w:cs="Arial" w:eastAsia="Arial" w:hAnsi="Arial"/>
          <w:sz w:val="20"/>
          <w:szCs w:val="20"/>
          <w:color w:val="auto"/>
        </w:rPr>
        <w:t>You must, except as otherwise provided herein, remain in continuous service with the Company and/or its Subsidiaries from the Grant Date through the Vesting Determination Date (the “</w:t>
      </w:r>
      <w:r>
        <w:rPr>
          <w:rFonts w:ascii="Arial" w:cs="Arial" w:eastAsia="Arial" w:hAnsi="Arial"/>
          <w:sz w:val="20"/>
          <w:szCs w:val="20"/>
          <w:b w:val="1"/>
          <w:bCs w:val="1"/>
          <w:color w:val="auto"/>
        </w:rPr>
        <w:t>Service Condition</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1620" w:hanging="721"/>
        <w:spacing w:after="0" w:line="260" w:lineRule="auto"/>
        <w:tabs>
          <w:tab w:leader="none" w:pos="162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Performance Goal(s) specified in your award letter must be met as of the end of the Performance Period specified therein as determined by the Committee (the “</w:t>
      </w:r>
      <w:r>
        <w:rPr>
          <w:rFonts w:ascii="Arial" w:cs="Arial" w:eastAsia="Arial" w:hAnsi="Arial"/>
          <w:sz w:val="20"/>
          <w:szCs w:val="20"/>
          <w:b w:val="1"/>
          <w:bCs w:val="1"/>
          <w:color w:val="auto"/>
        </w:rPr>
        <w:t>Performance Condition</w:t>
      </w:r>
      <w:r>
        <w:rPr>
          <w:rFonts w:ascii="Arial" w:cs="Arial" w:eastAsia="Arial" w:hAnsi="Arial"/>
          <w:sz w:val="20"/>
          <w:szCs w:val="20"/>
          <w:color w:val="auto"/>
        </w:rPr>
        <w:t>”).</w:t>
      </w:r>
    </w:p>
    <w:p>
      <w:pPr>
        <w:spacing w:after="0" w:line="230" w:lineRule="exact"/>
        <w:rPr>
          <w:rFonts w:ascii="Arial" w:cs="Arial" w:eastAsia="Arial" w:hAnsi="Arial"/>
          <w:sz w:val="20"/>
          <w:szCs w:val="20"/>
          <w:color w:val="auto"/>
        </w:rPr>
      </w:pPr>
    </w:p>
    <w:p>
      <w:pPr>
        <w:ind w:firstLine="656"/>
        <w:spacing w:after="0" w:line="265" w:lineRule="auto"/>
        <w:tabs>
          <w:tab w:leader="none" w:pos="1095"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Forfeitures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as otherwise provided herein, if you terminate service with the Company and/or its Subsidiaries prior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Vesting Determination Date, you will forfeit any Awarded Performance Shares that</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Performance Restricted Stock</w:t>
      </w:r>
    </w:p>
    <w:p>
      <w:pPr>
        <w:sectPr>
          <w:pgSz w:w="11900" w:h="16838" w:orient="portrait"/>
          <w:cols w:equalWidth="0" w:num="1">
            <w:col w:w="11420"/>
          </w:cols>
          <w:pgMar w:left="240" w:top="846" w:right="239" w:bottom="1440" w:gutter="0" w:footer="0" w:header="0"/>
        </w:sectPr>
      </w:pPr>
    </w:p>
    <w:bookmarkStart w:id="88" w:name="page89"/>
    <w:bookmarkEnd w:id="88"/>
    <w:p>
      <w:pPr>
        <w:jc w:val="both"/>
        <w:spacing w:after="0" w:line="243" w:lineRule="auto"/>
        <w:rPr>
          <w:sz w:val="20"/>
          <w:szCs w:val="20"/>
          <w:color w:val="auto"/>
        </w:rPr>
      </w:pPr>
      <w:r>
        <w:rPr>
          <w:rFonts w:ascii="Arial" w:cs="Arial" w:eastAsia="Arial" w:hAnsi="Arial"/>
          <w:sz w:val="20"/>
          <w:szCs w:val="20"/>
          <w:color w:val="auto"/>
        </w:rPr>
        <w:t>are scheduled to vest on or after such termination of service date. When you forfeit Awarded Performance Shares, all of your interest in the unvested Awarded Performance Shares will be canceled and any stock certificate or other evidence of ownership must be returned to the Committee or to the Company. You agree to take any action and execute and deliver any document that the Company requests to effect the return of your unvested Awarded Performance Shares. In the event you do not cooperate with the Company in this regard, you hereby appoint and designate the Company as your attorney-in-fact for the purpose of taking any action and signing any document, in your name, which the Company determines is necessary to enforce the forfeiture.</w:t>
      </w:r>
    </w:p>
    <w:p>
      <w:pPr>
        <w:spacing w:after="0" w:line="224" w:lineRule="exact"/>
        <w:rPr>
          <w:sz w:val="20"/>
          <w:szCs w:val="20"/>
          <w:color w:val="auto"/>
        </w:rPr>
      </w:pPr>
    </w:p>
    <w:p>
      <w:pPr>
        <w:jc w:val="both"/>
        <w:ind w:firstLine="656"/>
        <w:spacing w:after="0" w:line="303" w:lineRule="auto"/>
        <w:tabs>
          <w:tab w:leader="none" w:pos="1200" w:val="left"/>
        </w:tabs>
        <w:numPr>
          <w:ilvl w:val="0"/>
          <w:numId w:val="50"/>
        </w:numPr>
        <w:rPr>
          <w:rFonts w:ascii="Arial" w:cs="Arial" w:eastAsia="Arial" w:hAnsi="Arial"/>
          <w:sz w:val="19"/>
          <w:szCs w:val="19"/>
          <w:b w:val="1"/>
          <w:bCs w:val="1"/>
          <w:color w:val="auto"/>
        </w:rPr>
      </w:pPr>
      <w:r>
        <w:rPr>
          <w:rFonts w:ascii="Arial" w:cs="Arial" w:eastAsia="Arial" w:hAnsi="Arial"/>
          <w:sz w:val="18"/>
          <w:szCs w:val="18"/>
          <w:b w:val="1"/>
          <w:bCs w:val="1"/>
          <w:i w:val="1"/>
          <w:iCs w:val="1"/>
          <w:u w:val="single" w:color="auto"/>
          <w:color w:val="auto"/>
        </w:rPr>
        <w:t>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with respect to any Awarded Performance Shares assumed by the surviving entity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equitably converted or substituted in connection with the Change in Control in a manner approved by the Committee or the Board, all of the Awarded Performance Shares not previously vested or forfeited shall immediately vest in full (and the Performance Goal(s) specified in your award letter shall be deemed as satisfied) and all other restrictions placed on the Awarded Performance Shares shall be removed if both (1) prior to the expiration of the Performance Period, a Change in Control occurs,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(2) at any time after the Change in Control and during the twenty-four (24) month period following the Change in Control, your service with the Company and/or its Subsidiaries is terminated by the Company and/or any of its Subsidiaries (or any successors thereto) other than for Cause.</w:t>
      </w:r>
    </w:p>
    <w:p>
      <w:pPr>
        <w:spacing w:after="0" w:line="182" w:lineRule="exact"/>
        <w:rPr>
          <w:rFonts w:ascii="Arial" w:cs="Arial" w:eastAsia="Arial" w:hAnsi="Arial"/>
          <w:sz w:val="19"/>
          <w:szCs w:val="19"/>
          <w:b w:val="1"/>
          <w:bCs w:val="1"/>
          <w:color w:val="auto"/>
        </w:rPr>
      </w:pPr>
    </w:p>
    <w:p>
      <w:pPr>
        <w:jc w:val="both"/>
        <w:ind w:firstLine="656"/>
        <w:spacing w:after="0" w:line="265" w:lineRule="auto"/>
        <w:tabs>
          <w:tab w:leader="none" w:pos="1176"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Death or Disability</w:t>
      </w:r>
      <w:r>
        <w:rPr>
          <w:rFonts w:ascii="Arial" w:cs="Arial" w:eastAsia="Arial" w:hAnsi="Arial"/>
          <w:sz w:val="20"/>
          <w:szCs w:val="20"/>
          <w:color w:val="auto"/>
        </w:rPr>
        <w:t>. If your service with the Company and/or its Subsidiaries ends due to death or Disability, (i) all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Awarded Performance Shares not previously vested or forfeited will vest on such date of termination of service; and (ii) the Performance Goals specified in your award letter shall be deemed satisfied as of the end date of your service.</w:t>
      </w:r>
    </w:p>
    <w:p>
      <w:pPr>
        <w:spacing w:after="0" w:line="212" w:lineRule="exact"/>
        <w:rPr>
          <w:rFonts w:ascii="Arial" w:cs="Arial" w:eastAsia="Arial" w:hAnsi="Arial"/>
          <w:sz w:val="22"/>
          <w:szCs w:val="22"/>
          <w:b w:val="1"/>
          <w:bCs w:val="1"/>
          <w:color w:val="auto"/>
        </w:rPr>
      </w:pPr>
    </w:p>
    <w:p>
      <w:pPr>
        <w:jc w:val="both"/>
        <w:ind w:firstLine="656"/>
        <w:spacing w:after="0" w:line="265" w:lineRule="auto"/>
        <w:tabs>
          <w:tab w:leader="none" w:pos="1058"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i w:val="1"/>
          <w:iCs w:val="1"/>
          <w:u w:val="single" w:color="auto"/>
          <w:color w:val="auto"/>
        </w:rPr>
        <w:t>Definition of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purposes of determining the vesting of your Awarded Performance Shares, you will be deemed to be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service</w:t>
      </w:r>
      <w:r>
        <w:rPr>
          <w:rFonts w:ascii="Arial" w:cs="Arial" w:eastAsia="Arial" w:hAnsi="Arial"/>
          <w:sz w:val="20"/>
          <w:szCs w:val="20"/>
          <w:color w:val="auto"/>
        </w:rPr>
        <w:t>” of the Company and/or its Subsidiaries for so long as you serve in any capacity as an employee, officer, non-employee director or consultant of the Company and/or its Subsidiaries and have Continuous Status as a Participant</w:t>
      </w:r>
    </w:p>
    <w:p>
      <w:pPr>
        <w:spacing w:after="0" w:line="212" w:lineRule="exact"/>
        <w:rPr>
          <w:rFonts w:ascii="Arial" w:cs="Arial" w:eastAsia="Arial" w:hAnsi="Arial"/>
          <w:sz w:val="22"/>
          <w:szCs w:val="22"/>
          <w:b w:val="1"/>
          <w:bCs w:val="1"/>
          <w:color w:val="auto"/>
        </w:rPr>
      </w:pPr>
    </w:p>
    <w:p>
      <w:pPr>
        <w:jc w:val="both"/>
        <w:ind w:firstLine="656"/>
        <w:spacing w:after="0" w:line="313" w:lineRule="auto"/>
        <w:tabs>
          <w:tab w:leader="none" w:pos="1094" w:val="left"/>
        </w:tabs>
        <w:numPr>
          <w:ilvl w:val="0"/>
          <w:numId w:val="50"/>
        </w:numPr>
        <w:rPr>
          <w:rFonts w:ascii="Arial" w:cs="Arial" w:eastAsia="Arial" w:hAnsi="Arial"/>
          <w:sz w:val="19"/>
          <w:szCs w:val="19"/>
          <w:b w:val="1"/>
          <w:bCs w:val="1"/>
          <w:color w:val="auto"/>
        </w:rPr>
      </w:pPr>
      <w:r>
        <w:rPr>
          <w:rFonts w:ascii="Arial" w:cs="Arial" w:eastAsia="Arial" w:hAnsi="Arial"/>
          <w:sz w:val="18"/>
          <w:szCs w:val="18"/>
          <w:b w:val="1"/>
          <w:bCs w:val="1"/>
          <w:i w:val="1"/>
          <w:iCs w:val="1"/>
          <w:u w:val="single" w:color="auto"/>
          <w:color w:val="auto"/>
        </w:rPr>
        <w:t>Forfeiture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anything in this Award Agreement to the contrary, the Awarded Performance Shares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dividends shall be subject to reduction, cancelation, forfeiture and/or recoupment, in whole or in part, prior to or following the date on which they become vested if and to the extent any of the events described in Section 14.11(i) through (v) of the Plan occur.</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3. </w:t>
      </w:r>
      <w:r>
        <w:rPr>
          <w:rFonts w:ascii="Arial" w:cs="Arial" w:eastAsia="Arial" w:hAnsi="Arial"/>
          <w:sz w:val="19"/>
          <w:szCs w:val="19"/>
          <w:b w:val="1"/>
          <w:bCs w:val="1"/>
          <w:i w:val="1"/>
          <w:iCs w:val="1"/>
          <w:u w:val="single" w:color="auto"/>
          <w:color w:val="auto"/>
        </w:rPr>
        <w:t>Dividends</w:t>
      </w:r>
      <w:r>
        <w:rPr>
          <w:rFonts w:ascii="Arial" w:cs="Arial" w:eastAsia="Arial" w:hAnsi="Arial"/>
          <w:sz w:val="19"/>
          <w:szCs w:val="19"/>
          <w:color w:val="auto"/>
        </w:rPr>
        <w:t>. Any dividends declared by the Company with a record date that is after the Grant Date specified in this Award</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Agreement but prior to the forfeiture or vesting of the related Awarded Performance Shares will be accumulated, held by the Company and paid to you if, as, and when the related Awarded Performance Shares become vested.</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22"/>
          <w:szCs w:val="22"/>
          <w:b w:val="1"/>
          <w:bCs w:val="1"/>
          <w:i w:val="1"/>
          <w:iCs w:val="1"/>
          <w:color w:val="auto"/>
        </w:rPr>
        <w:t xml:space="preserve">Section 4. </w:t>
      </w:r>
      <w:r>
        <w:rPr>
          <w:rFonts w:ascii="Arial" w:cs="Arial" w:eastAsia="Arial" w:hAnsi="Arial"/>
          <w:sz w:val="19"/>
          <w:szCs w:val="19"/>
          <w:b w:val="1"/>
          <w:bCs w:val="1"/>
          <w:i w:val="1"/>
          <w:iCs w:val="1"/>
          <w:u w:val="single" w:color="auto"/>
          <w:color w:val="auto"/>
        </w:rPr>
        <w:t>Voting Rights</w:t>
      </w:r>
      <w:r>
        <w:rPr>
          <w:rFonts w:ascii="Arial" w:cs="Arial" w:eastAsia="Arial" w:hAnsi="Arial"/>
          <w:sz w:val="19"/>
          <w:szCs w:val="19"/>
          <w:color w:val="auto"/>
        </w:rPr>
        <w:t>. You will have the right to vote, or direct the voting of, Awarded Performance Shares prior to their vesting or</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forfeiture.</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5. </w:t>
      </w:r>
      <w:r>
        <w:rPr>
          <w:rFonts w:ascii="Arial" w:cs="Arial" w:eastAsia="Arial" w:hAnsi="Arial"/>
          <w:sz w:val="19"/>
          <w:szCs w:val="19"/>
          <w:b w:val="1"/>
          <w:bCs w:val="1"/>
          <w:i w:val="1"/>
          <w:iCs w:val="1"/>
          <w:u w:val="single" w:color="auto"/>
          <w:color w:val="auto"/>
        </w:rPr>
        <w:t>No Right to Continued Service</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Nothing in this Award Agreement, or any action of the Board or Committee with respect to this</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Award Agreement, shall be held or construed to confer upon you any right to a continuation of service by the Company and/or its Subsidiaries. You may be dismissed or otherwise dealt with as though this Award Agreement had not been entered into.</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i w:val="1"/>
          <w:iCs w:val="1"/>
          <w:color w:val="auto"/>
        </w:rPr>
        <w:t xml:space="preserve">Section 6. </w:t>
      </w:r>
      <w:r>
        <w:rPr>
          <w:rFonts w:ascii="Arial" w:cs="Arial" w:eastAsia="Arial" w:hAnsi="Arial"/>
          <w:sz w:val="19"/>
          <w:szCs w:val="19"/>
          <w:b w:val="1"/>
          <w:bCs w:val="1"/>
          <w:i w:val="1"/>
          <w:iCs w:val="1"/>
          <w:u w:val="single" w:color="auto"/>
          <w:color w:val="auto"/>
        </w:rPr>
        <w:t>Taxes/Withholding</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The Company or any employer Affiliate has the authority and the right to deduct or withhold, or require you</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to remit to the employer, an amount sufficient to satisfy federal, state, and local taxes (including your FICA obligation) required by law to be withheld with respect to any taxable event arising as a</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Performance Restricted Stock</w:t>
      </w:r>
    </w:p>
    <w:p>
      <w:pPr>
        <w:sectPr>
          <w:pgSz w:w="11900" w:h="16838" w:orient="portrait"/>
          <w:cols w:equalWidth="0" w:num="1">
            <w:col w:w="11420"/>
          </w:cols>
          <w:pgMar w:left="240" w:top="366" w:right="239" w:bottom="1440" w:gutter="0" w:footer="0" w:header="0"/>
        </w:sectPr>
      </w:pPr>
    </w:p>
    <w:bookmarkStart w:id="89" w:name="page90"/>
    <w:bookmarkEnd w:id="89"/>
    <w:p>
      <w:pPr>
        <w:jc w:val="both"/>
        <w:spacing w:after="0" w:line="278" w:lineRule="auto"/>
        <w:rPr>
          <w:sz w:val="20"/>
          <w:szCs w:val="20"/>
          <w:color w:val="auto"/>
        </w:rPr>
      </w:pPr>
      <w:r>
        <w:rPr>
          <w:rFonts w:ascii="Arial" w:cs="Arial" w:eastAsia="Arial" w:hAnsi="Arial"/>
          <w:sz w:val="18"/>
          <w:szCs w:val="18"/>
          <w:color w:val="auto"/>
        </w:rPr>
        <w:t>result of an Awarded Share. The withholding requirement may be satisfied, in whole or in part, at the election of the Corporate Secretary, by withholding or selling without notice a sufficient number of vested Awarded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Corporate Secretary establishes. Section 17.3 of the Plan is incorporated by reference herein.</w:t>
      </w:r>
    </w:p>
    <w:p>
      <w:pPr>
        <w:spacing w:after="0" w:line="390" w:lineRule="exact"/>
        <w:rPr>
          <w:sz w:val="20"/>
          <w:szCs w:val="20"/>
          <w:color w:val="auto"/>
        </w:rPr>
      </w:pPr>
    </w:p>
    <w:p>
      <w:pPr>
        <w:jc w:val="both"/>
        <w:spacing w:after="0" w:line="292" w:lineRule="auto"/>
        <w:rPr>
          <w:sz w:val="20"/>
          <w:szCs w:val="20"/>
          <w:color w:val="auto"/>
        </w:rPr>
      </w:pPr>
      <w:r>
        <w:rPr>
          <w:rFonts w:ascii="Arial" w:cs="Arial" w:eastAsia="Arial" w:hAnsi="Arial"/>
          <w:sz w:val="22"/>
          <w:szCs w:val="22"/>
          <w:b w:val="1"/>
          <w:bCs w:val="1"/>
          <w:i w:val="1"/>
          <w:iCs w:val="1"/>
          <w:color w:val="auto"/>
        </w:rPr>
        <w:t xml:space="preserve">Section 7. </w:t>
      </w:r>
      <w:r>
        <w:rPr>
          <w:rFonts w:ascii="Arial" w:cs="Arial" w:eastAsia="Arial" w:hAnsi="Arial"/>
          <w:sz w:val="19"/>
          <w:szCs w:val="19"/>
          <w:b w:val="1"/>
          <w:bCs w:val="1"/>
          <w:i w:val="1"/>
          <w:iCs w:val="1"/>
          <w:u w:val="single" w:color="auto"/>
          <w:color w:val="auto"/>
        </w:rPr>
        <w:t>Notices</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Any communication required or permitted to be given under the Plan, including any notice, direction, designation,</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comment, instruction, objection or waiver, shall be in writing and shall be deemed to have been given at such time as it is delivered personally or five (5) days after mailing if mailed, postage prepaid, by registered or certified mail, return receipt requested, addressed to such party at the address listed below, or at such other address as one such party may by written notice specify to the other party: If to the Participant, to the Participant’s address as shown in the Company’s records. If to the Committee: Roper Technologies, Inc., 6901 Professional Parkway East, Suite 200, Sarasota, FL 34240, Attention: Compensation Committee and Corporate Secretary.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21"/>
          <w:szCs w:val="21"/>
          <w:b w:val="1"/>
          <w:bCs w:val="1"/>
          <w:i w:val="1"/>
          <w:iCs w:val="1"/>
          <w:color w:val="auto"/>
        </w:rPr>
        <w:t xml:space="preserve">Section 8. </w:t>
      </w:r>
      <w:r>
        <w:rPr>
          <w:rFonts w:ascii="Arial" w:cs="Arial" w:eastAsia="Arial" w:hAnsi="Arial"/>
          <w:sz w:val="18"/>
          <w:szCs w:val="18"/>
          <w:b w:val="1"/>
          <w:bCs w:val="1"/>
          <w:i w:val="1"/>
          <w:iCs w:val="1"/>
          <w:u w:val="single" w:color="auto"/>
          <w:color w:val="auto"/>
        </w:rPr>
        <w:t>Restrictions on Transfer</w:t>
      </w:r>
      <w:r>
        <w:rPr>
          <w:rFonts w:ascii="Arial" w:cs="Arial" w:eastAsia="Arial" w:hAnsi="Arial"/>
          <w:sz w:val="18"/>
          <w:szCs w:val="18"/>
          <w:b w:val="1"/>
          <w:bCs w:val="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18"/>
          <w:szCs w:val="18"/>
          <w:color w:val="auto"/>
        </w:rPr>
        <w:t>The Awarded Performance Shares granted hereunder shall not be subject in any manner to anticipation,</w:t>
      </w:r>
      <w:r>
        <w:rPr>
          <w:rFonts w:ascii="Arial" w:cs="Arial" w:eastAsia="Arial" w:hAnsi="Arial"/>
          <w:sz w:val="21"/>
          <w:szCs w:val="21"/>
          <w:b w:val="1"/>
          <w:bCs w:val="1"/>
          <w:i w:val="1"/>
          <w:iCs w:val="1"/>
          <w:color w:val="auto"/>
        </w:rPr>
        <w:t xml:space="preserve"> </w:t>
      </w:r>
      <w:r>
        <w:rPr>
          <w:rFonts w:ascii="Arial" w:cs="Arial" w:eastAsia="Arial" w:hAnsi="Arial"/>
          <w:sz w:val="18"/>
          <w:szCs w:val="18"/>
          <w:color w:val="auto"/>
        </w:rPr>
        <w:t>alienation or assignment, nor shall such Award be liable for, or subject to, debts, contracts, liabilities, engagements or torts, nor shall it be transferable by the Participant other than by will or by the laws of descent and distribution or as otherwise permitted by the Plan.</w:t>
      </w:r>
    </w:p>
    <w:p>
      <w:pPr>
        <w:spacing w:after="0" w:line="169"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i w:val="1"/>
          <w:iCs w:val="1"/>
          <w:color w:val="auto"/>
        </w:rPr>
        <w:t xml:space="preserve">Section 9. </w:t>
      </w:r>
      <w:r>
        <w:rPr>
          <w:rFonts w:ascii="Arial" w:cs="Arial" w:eastAsia="Arial" w:hAnsi="Arial"/>
          <w:sz w:val="19"/>
          <w:szCs w:val="19"/>
          <w:b w:val="1"/>
          <w:bCs w:val="1"/>
          <w:i w:val="1"/>
          <w:iCs w:val="1"/>
          <w:u w:val="single" w:color="auto"/>
          <w:color w:val="auto"/>
        </w:rPr>
        <w:t>Successors and Assigns</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shall inure to the benefit of and shall be binding upon the Company and you and</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their respective heirs, successors and assigns.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22"/>
          <w:szCs w:val="22"/>
          <w:b w:val="1"/>
          <w:bCs w:val="1"/>
          <w:i w:val="1"/>
          <w:iCs w:val="1"/>
          <w:color w:val="auto"/>
        </w:rPr>
        <w:t xml:space="preserve">Section 10. </w:t>
      </w:r>
      <w:r>
        <w:rPr>
          <w:rFonts w:ascii="Arial" w:cs="Arial" w:eastAsia="Arial" w:hAnsi="Arial"/>
          <w:sz w:val="19"/>
          <w:szCs w:val="19"/>
          <w:b w:val="1"/>
          <w:bCs w:val="1"/>
          <w:i w:val="1"/>
          <w:iCs w:val="1"/>
          <w:u w:val="single" w:color="auto"/>
          <w:color w:val="auto"/>
        </w:rPr>
        <w:t>Construction of Language / Governing Law</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Whenever appropriate in this Award Agreement, words used in the singular may</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be read in the plural, words used in the plural may be read in the singular, and words importing the masculine gender may be read as referring equally to the feminine or the neuter. Any reference to a section shall be a reference to a section of this Award Agreement, unless the context clearly indicates otherwise. Capitalized terms not specifically defined herein shall have the meanings assigned to them under the Plan. This Award Agreement shall be construed, administered and enforced according to the laws of the State of Delaware without giving effect to the conflict of law principles thereof, except to the extent that such laws are preempted by federal law. The federal and state courts having jurisdiction in the State of Delaware shall have exclusive jurisdiction over any claim, action, complaint or lawsuit brought under the terms of the Plan. By accepting the Award granted under this Award Agreement, you, and any other person claiming any rights under this Award Agreement, agrees to submit himself or herself, and any such legal action as he or she shall bring under the Plan, to the sole jurisdiction of such courts for the adjudication and resolution of any such disputes.</w:t>
      </w:r>
    </w:p>
    <w:p>
      <w:pPr>
        <w:spacing w:after="0" w:line="185"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i w:val="1"/>
          <w:iCs w:val="1"/>
          <w:color w:val="auto"/>
        </w:rPr>
        <w:t xml:space="preserve">Section 11. </w:t>
      </w:r>
      <w:r>
        <w:rPr>
          <w:rFonts w:ascii="Arial" w:cs="Arial" w:eastAsia="Arial" w:hAnsi="Arial"/>
          <w:sz w:val="19"/>
          <w:szCs w:val="19"/>
          <w:b w:val="1"/>
          <w:bCs w:val="1"/>
          <w:i w:val="1"/>
          <w:iCs w:val="1"/>
          <w:u w:val="single" w:color="auto"/>
          <w:color w:val="auto"/>
        </w:rPr>
        <w:t>Amendment</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may be amended, in whole or in part and in any manner not inconsistent with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provisions of the Plan, at any time and from time to time, by written agreement between the Company and you.</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b w:val="1"/>
          <w:bCs w:val="1"/>
          <w:i w:val="1"/>
          <w:iCs w:val="1"/>
          <w:color w:val="auto"/>
        </w:rPr>
        <w:t xml:space="preserve">Section 12. </w:t>
      </w:r>
      <w:r>
        <w:rPr>
          <w:rFonts w:ascii="Arial" w:cs="Arial" w:eastAsia="Arial" w:hAnsi="Arial"/>
          <w:sz w:val="19"/>
          <w:szCs w:val="19"/>
          <w:b w:val="1"/>
          <w:bCs w:val="1"/>
          <w:i w:val="1"/>
          <w:iCs w:val="1"/>
          <w:u w:val="single" w:color="auto"/>
          <w:color w:val="auto"/>
        </w:rPr>
        <w:t>Plan Provisions Control</w:t>
      </w:r>
      <w:r>
        <w:rPr>
          <w:rFonts w:ascii="Arial" w:cs="Arial" w:eastAsia="Arial" w:hAnsi="Arial"/>
          <w:sz w:val="19"/>
          <w:szCs w:val="19"/>
          <w:b w:val="1"/>
          <w:bCs w:val="1"/>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This Award Agreement and the rights and obligations created hereunder shall be subject to all of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terms and conditions of the Plan. In the event of any conflict between the provisions of the Plan and the provisions of this Award Agreement, the terms of the Plan, which are incorporated herein by reference, shall control. By signing this Award Agreement, you acknowledge receipt of a copy of the Plan. You acknowledge that you may not and will not rely on any statement of account or other communication or document issued in connection with the Award other than the Plan, this Award Agreement, or any document signed by an authorized representative of the Company that is designated as an amendment of the Plan or this Award Agreement.</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Performance Restricted Stock</w:t>
      </w:r>
    </w:p>
    <w:p>
      <w:pPr>
        <w:sectPr>
          <w:pgSz w:w="11900" w:h="16838" w:orient="portrait"/>
          <w:cols w:equalWidth="0" w:num="1">
            <w:col w:w="11420"/>
          </w:cols>
          <w:pgMar w:left="240" w:top="366" w:right="2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22"/>
          <w:szCs w:val="22"/>
          <w:b w:val="1"/>
          <w:bCs w:val="1"/>
          <w:i w:val="1"/>
          <w:iCs w:val="1"/>
          <w:color w:val="auto"/>
        </w:rPr>
        <w:t xml:space="preserve">Section 13. </w:t>
      </w:r>
      <w:r>
        <w:rPr>
          <w:rFonts w:ascii="Arial" w:cs="Arial" w:eastAsia="Arial" w:hAnsi="Arial"/>
          <w:sz w:val="19"/>
          <w:szCs w:val="19"/>
          <w:b w:val="1"/>
          <w:bCs w:val="1"/>
          <w:i w:val="1"/>
          <w:iCs w:val="1"/>
          <w:u w:val="single" w:color="auto"/>
          <w:color w:val="auto"/>
        </w:rPr>
        <w:t>Execution of Confidentiality, Intellectual Property, Non-Competition and Non-Solicitation Agreement</w:t>
      </w:r>
      <w:r>
        <w:rPr>
          <w:rFonts w:ascii="Arial" w:cs="Arial" w:eastAsia="Arial" w:hAnsi="Arial"/>
          <w:sz w:val="19"/>
          <w:szCs w:val="19"/>
          <w:color w:val="auto"/>
        </w:rPr>
        <w:t>. The grant of the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Awarded Performance Shares pursuant to this Award Agreement is contingent upon the execution by you, the Participant, of a Confidentiality, Intellectual Property, Noncompetition and Nonsolicitation Agreement with the Company in the form attached hereto as Appendix A, if such a Confidentiality, Intellectual Property, Noncompetition and Nonsolicitation Agreement has not already been executed and delivered to the Company.</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Performance Restricted Stock</w:t>
      </w:r>
    </w:p>
    <w:p>
      <w:pPr>
        <w:sectPr>
          <w:pgSz w:w="11900" w:h="16838" w:orient="portrait"/>
          <w:cols w:equalWidth="0" w:num="1">
            <w:col w:w="11420"/>
          </w:cols>
          <w:pgMar w:left="240" w:top="37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APPENDIX A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–BASED RESTRICTED STOCK AWARD NOTICE AND AWARD CERTIFICATE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CONFIDENTIALITY, INTELLECTUAL PROPERTY,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NON-COMPETITION AND NON-SOLICITATION AGREEMENT</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This Confidentiality, Intellectual Property, Non-Competition and Non-Solicitation Agreement (“</w:t>
      </w:r>
      <w:r>
        <w:rPr>
          <w:rFonts w:ascii="Arial" w:cs="Arial" w:eastAsia="Arial" w:hAnsi="Arial"/>
          <w:sz w:val="20"/>
          <w:szCs w:val="20"/>
          <w:b w:val="1"/>
          <w:bCs w:val="1"/>
          <w:color w:val="auto"/>
        </w:rPr>
        <w:t>Agreement</w:t>
      </w:r>
      <w:r>
        <w:rPr>
          <w:rFonts w:ascii="Arial" w:cs="Arial" w:eastAsia="Arial" w:hAnsi="Arial"/>
          <w:sz w:val="20"/>
          <w:szCs w:val="20"/>
          <w:color w:val="auto"/>
        </w:rPr>
        <w:t>”) is by and between Roper Technologies, Inc. and the Participant.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Roper Technologies, Inc.’s grant of a Performance-Based Restricted Stock Award with a grant date specified in the Award Agreement (“</w:t>
      </w:r>
      <w:r>
        <w:rPr>
          <w:rFonts w:ascii="Arial" w:cs="Arial" w:eastAsia="Arial" w:hAnsi="Arial"/>
          <w:sz w:val="20"/>
          <w:szCs w:val="20"/>
          <w:b w:val="1"/>
          <w:bCs w:val="1"/>
          <w:color w:val="auto"/>
        </w:rPr>
        <w:t>Grant Date</w:t>
      </w:r>
      <w:r>
        <w:rPr>
          <w:rFonts w:ascii="Arial" w:cs="Arial" w:eastAsia="Arial" w:hAnsi="Arial"/>
          <w:sz w:val="20"/>
          <w:szCs w:val="20"/>
          <w:color w:val="auto"/>
        </w:rPr>
        <w:t>”), is conditioned upon my execution of this Agreement, in consideration of Roper Technologies, Inc.’s grant of such Performance-Based Restricted Stock and the mutual promises contained in this Agreement, Roper Technologies, Inc. and I agree to the following terms and conditions:</w:t>
      </w:r>
    </w:p>
    <w:p>
      <w:pPr>
        <w:spacing w:after="0" w:line="186" w:lineRule="exact"/>
        <w:rPr>
          <w:sz w:val="20"/>
          <w:szCs w:val="20"/>
          <w:color w:val="auto"/>
        </w:rPr>
      </w:pPr>
    </w:p>
    <w:p>
      <w:pPr>
        <w:jc w:val="both"/>
        <w:ind w:firstLine="8"/>
        <w:spacing w:after="0" w:line="255" w:lineRule="auto"/>
        <w:tabs>
          <w:tab w:leader="none" w:pos="423"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 of Trust</w:t>
      </w:r>
      <w:r>
        <w:rPr>
          <w:rFonts w:ascii="Arial" w:cs="Arial" w:eastAsia="Arial" w:hAnsi="Arial"/>
          <w:sz w:val="19"/>
          <w:szCs w:val="19"/>
          <w:color w:val="auto"/>
        </w:rPr>
        <w:t>. As used herein: “</w:t>
      </w:r>
      <w:r>
        <w:rPr>
          <w:rFonts w:ascii="Arial" w:cs="Arial" w:eastAsia="Arial" w:hAnsi="Arial"/>
          <w:sz w:val="19"/>
          <w:szCs w:val="19"/>
          <w:b w:val="1"/>
          <w:bCs w:val="1"/>
          <w:color w:val="auto"/>
        </w:rPr>
        <w:t>Company</w:t>
      </w:r>
      <w:r>
        <w:rPr>
          <w:rFonts w:ascii="Arial" w:cs="Arial" w:eastAsia="Arial" w:hAnsi="Arial"/>
          <w:sz w:val="19"/>
          <w:szCs w:val="19"/>
          <w:color w:val="auto"/>
        </w:rPr>
        <w:t>” means Roper Technologies, Inc., and any Affiliate that I am transferred to, am entrusted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Confidential Information about, or am required to provide services to in the course of my employment or services.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is any corporation, entity or organization that Roper Technologies, Inc. owns a controlling interest in or that is under common ownership and control with Roper Technologies, Inc. I acknowledge that I am being placed in a position of special trust and confidence. I understand that the Company has spent and will continue to spend substantial time and money developing its technologies, products and services and training its employees on its technologies, products and services. The Company also has dedicated its time and resources developing and maintaining relationships with existing and potential customers, clients, referral sources and vendors. Through my position, the Company will provide me with one or more of the following: </w:t>
      </w:r>
      <w:r>
        <w:rPr>
          <w:rFonts w:ascii="Arial" w:cs="Arial" w:eastAsia="Arial" w:hAnsi="Arial"/>
          <w:sz w:val="19"/>
          <w:szCs w:val="19"/>
          <w:b w:val="1"/>
          <w:bCs w:val="1"/>
          <w:color w:val="auto"/>
        </w:rPr>
        <w:t>(a)</w:t>
      </w:r>
      <w:r>
        <w:rPr>
          <w:rFonts w:ascii="Arial" w:cs="Arial" w:eastAsia="Arial" w:hAnsi="Arial"/>
          <w:sz w:val="19"/>
          <w:szCs w:val="19"/>
          <w:color w:val="auto"/>
        </w:rPr>
        <w:t xml:space="preserve"> Confidential Information; </w:t>
      </w:r>
      <w:r>
        <w:rPr>
          <w:rFonts w:ascii="Arial" w:cs="Arial" w:eastAsia="Arial" w:hAnsi="Arial"/>
          <w:sz w:val="19"/>
          <w:szCs w:val="19"/>
          <w:b w:val="1"/>
          <w:bCs w:val="1"/>
          <w:color w:val="auto"/>
        </w:rPr>
        <w:t>(b)</w:t>
      </w:r>
      <w:r>
        <w:rPr>
          <w:rFonts w:ascii="Arial" w:cs="Arial" w:eastAsia="Arial" w:hAnsi="Arial"/>
          <w:sz w:val="19"/>
          <w:szCs w:val="19"/>
          <w:color w:val="auto"/>
        </w:rPr>
        <w:t xml:space="preserve"> authorization to develop and expand relationships with customers, prospective customers, and others involved in the Company’s business that are key to the development of goodwill for the Company; and/or </w:t>
      </w:r>
      <w:r>
        <w:rPr>
          <w:rFonts w:ascii="Arial" w:cs="Arial" w:eastAsia="Arial" w:hAnsi="Arial"/>
          <w:sz w:val="19"/>
          <w:szCs w:val="19"/>
          <w:b w:val="1"/>
          <w:bCs w:val="1"/>
          <w:color w:val="auto"/>
        </w:rPr>
        <w:t>(c)</w:t>
      </w:r>
      <w:r>
        <w:rPr>
          <w:rFonts w:ascii="Arial" w:cs="Arial" w:eastAsia="Arial" w:hAnsi="Arial"/>
          <w:sz w:val="19"/>
          <w:szCs w:val="19"/>
          <w:color w:val="auto"/>
        </w:rPr>
        <w:t xml:space="preserve"> specialized training related to the Company’s business and customers. I understand that the Company will provide me with one or more of these items in reliance upon my promise to abide by all of the restrictions in this Agreement. I agree that the business in which the Company is engaged is extremely competitive and that through my employment with the Company I have received and had access to and will receive and have access to Confidential Information (as defined below), customer contact, and proprietary materials related to the Company’s business that would give me an unfair competitive advantage in competition against the Company if not subject to restrictions provided for in this Agreement.</w:t>
      </w:r>
    </w:p>
    <w:p>
      <w:pPr>
        <w:spacing w:after="0" w:line="177" w:lineRule="exact"/>
        <w:rPr>
          <w:rFonts w:ascii="Arial" w:cs="Arial" w:eastAsia="Arial" w:hAnsi="Arial"/>
          <w:sz w:val="19"/>
          <w:szCs w:val="19"/>
          <w:b w:val="1"/>
          <w:bCs w:val="1"/>
          <w:color w:val="auto"/>
        </w:rPr>
      </w:pPr>
    </w:p>
    <w:p>
      <w:pPr>
        <w:jc w:val="both"/>
        <w:ind w:firstLine="8"/>
        <w:spacing w:after="0" w:line="271" w:lineRule="auto"/>
        <w:tabs>
          <w:tab w:leader="none" w:pos="39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Nondisclosure Obligation</w:t>
      </w:r>
      <w:r>
        <w:rPr>
          <w:rFonts w:ascii="Arial" w:cs="Arial" w:eastAsia="Arial" w:hAnsi="Arial"/>
          <w:sz w:val="18"/>
          <w:szCs w:val="18"/>
          <w:color w:val="auto"/>
        </w:rPr>
        <w:t>. I agree not to engage in any unauthorized use or disclosure of Confidential Information and to limit my 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to purposes that further the Company’s business interests consistent with my assigned job duties. As used herein,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refers to an item of information or a compilation of information in any form (tangible or intangible) related to the Company’s business that Company has not made public or authorized public disclosure of, and that is not generally known to the public through proper means. Confidential Information includes, but is not limited to: </w:t>
      </w:r>
      <w:r>
        <w:rPr>
          <w:rFonts w:ascii="Arial" w:cs="Arial" w:eastAsia="Arial" w:hAnsi="Arial"/>
          <w:sz w:val="18"/>
          <w:szCs w:val="18"/>
          <w:b w:val="1"/>
          <w:bCs w:val="1"/>
          <w:color w:val="auto"/>
        </w:rPr>
        <w:t>(a)</w:t>
      </w:r>
      <w:r>
        <w:rPr>
          <w:rFonts w:ascii="Arial" w:cs="Arial" w:eastAsia="Arial" w:hAnsi="Arial"/>
          <w:sz w:val="18"/>
          <w:szCs w:val="18"/>
          <w:color w:val="auto"/>
        </w:rPr>
        <w:t xml:space="preserve"> Company’s business plans and analysis, customer and prospective customer lists, marketing plans and strategies, research and development data, buying practices, financial data, operational data, methods, techniques, technical data, know-how, innovations, computer programs, un-patented inventions, and trade secrets; and </w:t>
      </w:r>
      <w:r>
        <w:rPr>
          <w:rFonts w:ascii="Arial" w:cs="Arial" w:eastAsia="Arial" w:hAnsi="Arial"/>
          <w:sz w:val="18"/>
          <w:szCs w:val="18"/>
          <w:b w:val="1"/>
          <w:bCs w:val="1"/>
          <w:color w:val="auto"/>
        </w:rPr>
        <w:t>(b)</w:t>
      </w:r>
      <w:r>
        <w:rPr>
          <w:rFonts w:ascii="Arial" w:cs="Arial" w:eastAsia="Arial" w:hAnsi="Arial"/>
          <w:sz w:val="18"/>
          <w:szCs w:val="18"/>
          <w:color w:val="auto"/>
        </w:rPr>
        <w:t xml:space="preserve"> information about the business affairs of third parties (including, but not limited to, clients and acquisition targets) that such third parties provide to Company in confidence. Confidential Information will remain protected under this Agreement if made public by improper means (such as an unauthorized disclosure by me or another person). I understand and agree that the obligations of this paragraph shall continue to apply after the termination of my employment. Nothing herein prohibits a disclosure of information that is compelled by law; provided, however, that to the extent allowed by law, if I am compelled to disclose Confidential Information I will give Company as much advance written notice as possible</w:t>
      </w:r>
    </w:p>
    <w:p>
      <w:pPr>
        <w:spacing w:after="0" w:line="202"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625"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9"/>
          <w:szCs w:val="19"/>
          <w:color w:val="auto"/>
        </w:rPr>
        <w:t>under the circumstances and will cooperate with Company in any legal action undertaken to protect the confidentiality of the information. Nothing in this Agreement is intended or shall be construed to prohibit or discourage me from reporting of, or opposition to, an illegal act, or as limiting or impeding the right of a non-managerial and non-supervisory employee who is covered by the National Labor Relations Act (the “</w:t>
      </w:r>
      <w:r>
        <w:rPr>
          <w:rFonts w:ascii="Arial" w:cs="Arial" w:eastAsia="Arial" w:hAnsi="Arial"/>
          <w:sz w:val="19"/>
          <w:szCs w:val="19"/>
          <w:b w:val="1"/>
          <w:bCs w:val="1"/>
          <w:color w:val="auto"/>
        </w:rPr>
        <w:t>Act</w:t>
      </w:r>
      <w:r>
        <w:rPr>
          <w:rFonts w:ascii="Arial" w:cs="Arial" w:eastAsia="Arial" w:hAnsi="Arial"/>
          <w:sz w:val="19"/>
          <w:szCs w:val="19"/>
          <w:color w:val="auto"/>
        </w:rPr>
        <w:t>”) from using or sharing information about terms and conditions of employment (such as wages, hours, or working conditions) for purposes that are protected under Section 7 of the Act (such as organization or collective bargaining).</w:t>
      </w:r>
    </w:p>
    <w:p>
      <w:pPr>
        <w:spacing w:after="0" w:line="175" w:lineRule="exact"/>
        <w:rPr>
          <w:sz w:val="20"/>
          <w:szCs w:val="20"/>
          <w:color w:val="auto"/>
        </w:rPr>
      </w:pPr>
    </w:p>
    <w:p>
      <w:pPr>
        <w:jc w:val="both"/>
        <w:ind w:firstLine="8"/>
        <w:spacing w:after="0" w:line="271" w:lineRule="auto"/>
        <w:tabs>
          <w:tab w:leader="none" w:pos="441"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Obligations</w:t>
      </w:r>
      <w:r>
        <w:rPr>
          <w:rFonts w:ascii="Arial" w:cs="Arial" w:eastAsia="Arial" w:hAnsi="Arial"/>
          <w:sz w:val="18"/>
          <w:szCs w:val="18"/>
          <w:color w:val="auto"/>
        </w:rPr>
        <w:t>. I understand that I am expected, through my position with the Company, to use my creative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inventive capacities to assist the Company. I agree that during my employment I will promptly disclose to the Company any Intellectual Property that I create, conceive, or contribute to.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item that would qualify as an Invention or Copyrightable Work. “</w:t>
      </w:r>
      <w:r>
        <w:rPr>
          <w:rFonts w:ascii="Arial" w:cs="Arial" w:eastAsia="Arial" w:hAnsi="Arial"/>
          <w:sz w:val="18"/>
          <w:szCs w:val="18"/>
          <w:b w:val="1"/>
          <w:bCs w:val="1"/>
          <w:color w:val="auto"/>
        </w:rPr>
        <w:t>Copyrightable Works</w:t>
      </w:r>
      <w:r>
        <w:rPr>
          <w:rFonts w:ascii="Arial" w:cs="Arial" w:eastAsia="Arial" w:hAnsi="Arial"/>
          <w:sz w:val="18"/>
          <w:szCs w:val="18"/>
          <w:color w:val="auto"/>
        </w:rPr>
        <w:t>” means all original works of authorship that I prepare, alone or with others, within the scope of my employment with Company or that relate to a line of business that Company is engaged in or may reasonably be anticipated to engage in, including, but not limited to, reports, computer programs, mask works, drawings, designs, documentation and publications.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means all intellectual property, inventions, designs, discoveries, innovations, ideas, know-how and/or improvements, whether patentable or not, and whether made by me alone or jointly with others, which </w:t>
      </w:r>
      <w:r>
        <w:rPr>
          <w:rFonts w:ascii="Arial" w:cs="Arial" w:eastAsia="Arial" w:hAnsi="Arial"/>
          <w:sz w:val="18"/>
          <w:szCs w:val="18"/>
          <w:b w:val="1"/>
          <w:bCs w:val="1"/>
          <w:color w:val="auto"/>
        </w:rPr>
        <w:t>(a)</w:t>
      </w:r>
      <w:r>
        <w:rPr>
          <w:rFonts w:ascii="Arial" w:cs="Arial" w:eastAsia="Arial" w:hAnsi="Arial"/>
          <w:sz w:val="18"/>
          <w:szCs w:val="18"/>
          <w:color w:val="auto"/>
        </w:rPr>
        <w:t xml:space="preserve"> relate to the existing or foreseeable business interests of Company, </w:t>
      </w:r>
      <w:r>
        <w:rPr>
          <w:rFonts w:ascii="Arial" w:cs="Arial" w:eastAsia="Arial" w:hAnsi="Arial"/>
          <w:sz w:val="18"/>
          <w:szCs w:val="18"/>
          <w:b w:val="1"/>
          <w:bCs w:val="1"/>
          <w:color w:val="auto"/>
        </w:rPr>
        <w:t>(b)</w:t>
      </w:r>
      <w:r>
        <w:rPr>
          <w:rFonts w:ascii="Arial" w:cs="Arial" w:eastAsia="Arial" w:hAnsi="Arial"/>
          <w:sz w:val="18"/>
          <w:szCs w:val="18"/>
          <w:color w:val="auto"/>
        </w:rPr>
        <w:t xml:space="preserve"> relate to Company’s actual or anticipated research or development, </w:t>
      </w:r>
      <w:r>
        <w:rPr>
          <w:rFonts w:ascii="Arial" w:cs="Arial" w:eastAsia="Arial" w:hAnsi="Arial"/>
          <w:sz w:val="18"/>
          <w:szCs w:val="18"/>
          <w:b w:val="1"/>
          <w:bCs w:val="1"/>
          <w:color w:val="auto"/>
        </w:rPr>
        <w:t>(c)</w:t>
      </w:r>
      <w:r>
        <w:rPr>
          <w:rFonts w:ascii="Arial" w:cs="Arial" w:eastAsia="Arial" w:hAnsi="Arial"/>
          <w:sz w:val="18"/>
          <w:szCs w:val="18"/>
          <w:color w:val="auto"/>
        </w:rPr>
        <w:t xml:space="preserve"> were developed or discovered with the assistance of Company tools, equipment, personnel or other resources, or </w:t>
      </w:r>
      <w:r>
        <w:rPr>
          <w:rFonts w:ascii="Arial" w:cs="Arial" w:eastAsia="Arial" w:hAnsi="Arial"/>
          <w:sz w:val="18"/>
          <w:szCs w:val="18"/>
          <w:b w:val="1"/>
          <w:bCs w:val="1"/>
          <w:color w:val="auto"/>
        </w:rPr>
        <w:t>(d)</w:t>
      </w:r>
      <w:r>
        <w:rPr>
          <w:rFonts w:ascii="Arial" w:cs="Arial" w:eastAsia="Arial" w:hAnsi="Arial"/>
          <w:sz w:val="18"/>
          <w:szCs w:val="18"/>
          <w:color w:val="auto"/>
        </w:rPr>
        <w:t xml:space="preserve"> are suggested by, related to or results from any task assigned to me, Confidential Information provided to me, or work performed by me for or on behalf of the Company.</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b w:val="1"/>
          <w:bCs w:val="1"/>
          <w:u w:val="single" w:color="auto"/>
          <w:color w:val="auto"/>
        </w:rPr>
        <w:t>Ownership of Intellectual Property</w:t>
      </w:r>
      <w:r>
        <w:rPr>
          <w:rFonts w:ascii="Arial" w:cs="Arial" w:eastAsia="Arial" w:hAnsi="Arial"/>
          <w:sz w:val="20"/>
          <w:szCs w:val="20"/>
          <w:color w:val="auto"/>
        </w:rPr>
        <w:t>. I agree that all Inventions are and will remain the sole and exclusive property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 do hereby grant and assign all of my right(s), title and interest in and to any and all Inventions, inclusive of all moral rights and rights of control of any kind, to the Company. I recognize that all Copyrightable Works shall to the fullest extent permissible be considered “works made for hire” in the United States as defined in the U.S. Copyright Laws and in any other country adhering to the “works made for hire” or similar notion. All such Copyrightable Works shall from the time of creation be owned solely and exclusively by Company throughout the world. If any Copyrightable Works or portion thereof shall not be legally qualified as a work made for hire in the United States or elsewhere, or shall subsequently be held to not be a work made for hire, I do hereby grant and assign all of my right(s) (inclusive of all moral rights and rights of control of any kind), title and interest in and to any and all Copyrightable Works, and all registered and applied for copyrights therein, to the Company.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Cooperation Obligation</w:t>
      </w:r>
      <w:r>
        <w:rPr>
          <w:rFonts w:ascii="Arial" w:cs="Arial" w:eastAsia="Arial" w:hAnsi="Arial"/>
          <w:sz w:val="18"/>
          <w:szCs w:val="18"/>
          <w:color w:val="auto"/>
        </w:rPr>
        <w:t>. When requested to do so by Company, either during or subsequent to my employment with Company,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w:t>
      </w:r>
      <w:r>
        <w:rPr>
          <w:rFonts w:ascii="Arial" w:cs="Arial" w:eastAsia="Arial" w:hAnsi="Arial"/>
          <w:sz w:val="18"/>
          <w:szCs w:val="18"/>
          <w:b w:val="1"/>
          <w:bCs w:val="1"/>
          <w:color w:val="auto"/>
        </w:rPr>
        <w:t>(a)</w:t>
      </w:r>
      <w:r>
        <w:rPr>
          <w:rFonts w:ascii="Arial" w:cs="Arial" w:eastAsia="Arial" w:hAnsi="Arial"/>
          <w:sz w:val="18"/>
          <w:szCs w:val="18"/>
          <w:color w:val="auto"/>
        </w:rPr>
        <w:t xml:space="preserve"> execute all documents requested by Company for the vesting in Company of the entire right, title and interest in and to the Inventions, Confidential Information and Copyrightable Works, and all patent application filed and issuing on the Inventions; </w:t>
      </w:r>
      <w:r>
        <w:rPr>
          <w:rFonts w:ascii="Arial" w:cs="Arial" w:eastAsia="Arial" w:hAnsi="Arial"/>
          <w:sz w:val="18"/>
          <w:szCs w:val="18"/>
          <w:b w:val="1"/>
          <w:bCs w:val="1"/>
          <w:color w:val="auto"/>
        </w:rPr>
        <w:t>(b)</w:t>
      </w:r>
      <w:r>
        <w:rPr>
          <w:rFonts w:ascii="Arial" w:cs="Arial" w:eastAsia="Arial" w:hAnsi="Arial"/>
          <w:sz w:val="18"/>
          <w:szCs w:val="18"/>
          <w:color w:val="auto"/>
        </w:rPr>
        <w:t xml:space="preserve"> execute all documents requested by Company for filing and obtaining of patents or copyrights; and </w:t>
      </w:r>
      <w:r>
        <w:rPr>
          <w:rFonts w:ascii="Arial" w:cs="Arial" w:eastAsia="Arial" w:hAnsi="Arial"/>
          <w:sz w:val="18"/>
          <w:szCs w:val="18"/>
          <w:b w:val="1"/>
          <w:bCs w:val="1"/>
          <w:color w:val="auto"/>
        </w:rPr>
        <w:t>(c)</w:t>
      </w:r>
      <w:r>
        <w:rPr>
          <w:rFonts w:ascii="Arial" w:cs="Arial" w:eastAsia="Arial" w:hAnsi="Arial"/>
          <w:sz w:val="18"/>
          <w:szCs w:val="18"/>
          <w:color w:val="auto"/>
        </w:rPr>
        <w:t xml:space="preserve"> provide assistance that Company reasonably requires to protect its right, title and interest in the Inventions, Confidential Information and Copyrightable Works, including, but not limited to, providing declarations and testifying in administrative and legal proceedings with regard to Inventions, Confidential Information and Copyrightable Works. The Company shall have full control over all applications for patents or other legal protection of these Inventions and Copyrightable Works. The Company is not obligated to use or exploit these Inventions or Copyrightable Works or attribute them to me. In the event that there is any invention, copyrightable work, idea, discovery, development, or other intellectual property that I own or in which I have an interest that is not owned by the Company pursuant to the above terms, and such intellectual property is incorporated into any product or service of the Company, then I hereby grant to the Company and its assigns a nonexclusive, perpetual, irrevocable, fully paid-up, royalty-free, worldwide license to any such item that is so incorporated, including all rights to make, use, sell, reproduce, display, modify, or distribute the item.</w:t>
      </w:r>
    </w:p>
    <w:p>
      <w:pPr>
        <w:spacing w:after="0" w:line="202"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838" w:right="239" w:bottom="1440" w:gutter="0" w:footer="0" w:header="0"/>
        </w:sectPr>
      </w:pPr>
    </w:p>
    <w:bookmarkStart w:id="93" w:name="page94"/>
    <w:bookmarkEnd w:id="93"/>
    <w:p>
      <w:pPr>
        <w:jc w:val="both"/>
        <w:ind w:firstLine="8"/>
        <w:spacing w:after="0" w:line="268" w:lineRule="auto"/>
        <w:tabs>
          <w:tab w:leader="none" w:pos="37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and Noncompete Obligations</w:t>
      </w:r>
      <w:r>
        <w:rPr>
          <w:rFonts w:ascii="Arial" w:cs="Arial" w:eastAsia="Arial" w:hAnsi="Arial"/>
          <w:sz w:val="18"/>
          <w:szCs w:val="18"/>
          <w:color w:val="auto"/>
        </w:rPr>
        <w:t>. As used herein, the following definitions shall apply: “</w:t>
      </w:r>
      <w:r>
        <w:rPr>
          <w:rFonts w:ascii="Arial" w:cs="Arial" w:eastAsia="Arial" w:hAnsi="Arial"/>
          <w:sz w:val="18"/>
          <w:szCs w:val="18"/>
          <w:b w:val="1"/>
          <w:bCs w:val="1"/>
          <w:color w:val="auto"/>
        </w:rPr>
        <w:t>Conflicting Product or Service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product or service of any person or organization other than Company that competes with a product or service of the Company, whether in existence or under development, that I had involvement with or received Confidential Information about during the Look Back Period. The “</w:t>
      </w:r>
      <w:r>
        <w:rPr>
          <w:rFonts w:ascii="Arial" w:cs="Arial" w:eastAsia="Arial" w:hAnsi="Arial"/>
          <w:sz w:val="18"/>
          <w:szCs w:val="18"/>
          <w:b w:val="1"/>
          <w:bCs w:val="1"/>
          <w:color w:val="auto"/>
        </w:rPr>
        <w:t>X Look Back Period</w:t>
      </w:r>
      <w:r>
        <w:rPr>
          <w:rFonts w:ascii="Arial" w:cs="Arial" w:eastAsia="Arial" w:hAnsi="Arial"/>
          <w:sz w:val="18"/>
          <w:szCs w:val="18"/>
          <w:color w:val="auto"/>
        </w:rPr>
        <w:t>” refers to the last two (2) years of my employment with Company or such lesser period as I may have been employed with the Company and the “</w:t>
      </w:r>
      <w:r>
        <w:rPr>
          <w:rFonts w:ascii="Arial" w:cs="Arial" w:eastAsia="Arial" w:hAnsi="Arial"/>
          <w:sz w:val="18"/>
          <w:szCs w:val="18"/>
          <w:b w:val="1"/>
          <w:bCs w:val="1"/>
          <w:color w:val="auto"/>
        </w:rPr>
        <w:t>Y Look Back Period</w:t>
      </w:r>
      <w:r>
        <w:rPr>
          <w:rFonts w:ascii="Arial" w:cs="Arial" w:eastAsia="Arial" w:hAnsi="Arial"/>
          <w:sz w:val="18"/>
          <w:szCs w:val="18"/>
          <w:color w:val="auto"/>
        </w:rPr>
        <w:t>” refers to the last twelve (12) months of my employment with the Company or such lesser period as I may have been employed with the Company. “</w:t>
      </w:r>
      <w:r>
        <w:rPr>
          <w:rFonts w:ascii="Arial" w:cs="Arial" w:eastAsia="Arial" w:hAnsi="Arial"/>
          <w:sz w:val="18"/>
          <w:szCs w:val="18"/>
          <w:b w:val="1"/>
          <w:bCs w:val="1"/>
          <w:color w:val="auto"/>
        </w:rPr>
        <w:t>Conflicting Organization</w:t>
      </w:r>
      <w:r>
        <w:rPr>
          <w:rFonts w:ascii="Arial" w:cs="Arial" w:eastAsia="Arial" w:hAnsi="Arial"/>
          <w:sz w:val="18"/>
          <w:szCs w:val="18"/>
          <w:color w:val="auto"/>
        </w:rPr>
        <w:t>” means any person or organization which is engaged in or planning to become engaged in development, production, marketing, or selling of a Conflicting Product or Service. “</w:t>
      </w:r>
      <w:r>
        <w:rPr>
          <w:rFonts w:ascii="Arial" w:cs="Arial" w:eastAsia="Arial" w:hAnsi="Arial"/>
          <w:sz w:val="18"/>
          <w:szCs w:val="18"/>
          <w:b w:val="1"/>
          <w:bCs w:val="1"/>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is a Company customer (person or entity) that I, or persons under my supervision or management, had business-related contact or</w:t>
      </w:r>
      <w:r>
        <w:rPr>
          <w:rFonts w:ascii="Arial" w:cs="Arial" w:eastAsia="Arial" w:hAnsi="Arial"/>
          <w:sz w:val="18"/>
          <w:szCs w:val="18"/>
          <w:b w:val="1"/>
          <w:bCs w:val="1"/>
          <w:color w:val="auto"/>
        </w:rPr>
        <w:t xml:space="preserve"> </w:t>
      </w:r>
      <w:r>
        <w:rPr>
          <w:rFonts w:ascii="Arial" w:cs="Arial" w:eastAsia="Arial" w:hAnsi="Arial"/>
          <w:sz w:val="18"/>
          <w:szCs w:val="18"/>
          <w:color w:val="auto"/>
        </w:rPr>
        <w:t>dealings with on behalf of the Company in the Y Look Back Period. A customer is understood to include persons or entities that the Company is doing business with (as reflected by any sales or services provided to that person in the preceding two (2) year period) and those with whom the Company has a reasonable expectation of doing business based upon proposals or other business-related contact engaged in with the person or entity in the six (6) month period preceding the termination of my employment with the Company. “</w:t>
      </w:r>
      <w:r>
        <w:rPr>
          <w:rFonts w:ascii="Arial" w:cs="Arial" w:eastAsia="Arial" w:hAnsi="Arial"/>
          <w:sz w:val="18"/>
          <w:szCs w:val="18"/>
          <w:b w:val="1"/>
          <w:bCs w:val="1"/>
          <w:color w:val="auto"/>
        </w:rPr>
        <w:t>Assigned Territory</w:t>
      </w:r>
      <w:r>
        <w:rPr>
          <w:rFonts w:ascii="Arial" w:cs="Arial" w:eastAsia="Arial" w:hAnsi="Arial"/>
          <w:sz w:val="18"/>
          <w:szCs w:val="18"/>
          <w:color w:val="auto"/>
        </w:rPr>
        <w:t>” is the geographic area, by state, county, or other recognized geographic boundary that is assigned to me as a limitation on where I am to do business for the Company if my responsibilities for the Company are limited to, or confined to a specific geographic territory. The Company does business throughout the United States and worldwide in all other countries where it can lawfully do business. Accordingly, if I am not provided a more limited territory assignment, then the Assigned Territory applicable to me shall be understood to be the state(s) where I am employed and provide services, the United States, and the other countries throughout the world where the Company marketed products or services that I had involvement with, during the Y Look Back Period. To “solicit” refers to any intentional communication or conduct that encourages or induces action in another party or is likely to do so, without regard for which party first initiated contact or communication, and without regard to whether the communication or conduct was in response to an inquiry or request. The date or event of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refers to the end of employment regardless of which party ends the employment relationship, why the relationship is ended, or how the relationship is ended (resignation, dismissal, lay off, end of fixed employment term, or otherwise).</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 During my employment with Company, I will avoid competing with the Company or providing unauthorized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to a Conflicting Organization. In order to protect the Company’s trade secrets and other business interests invested in me, for a period of twenty (24) months after the termination of my employment with Company, I will not engage in any “</w:t>
      </w:r>
      <w:r>
        <w:rPr>
          <w:rFonts w:ascii="Arial" w:cs="Arial" w:eastAsia="Arial" w:hAnsi="Arial"/>
          <w:sz w:val="19"/>
          <w:szCs w:val="19"/>
          <w:b w:val="1"/>
          <w:bCs w:val="1"/>
          <w:color w:val="auto"/>
        </w:rPr>
        <w:t>Competing Activities</w:t>
      </w:r>
      <w:r>
        <w:rPr>
          <w:rFonts w:ascii="Arial" w:cs="Arial" w:eastAsia="Arial" w:hAnsi="Arial"/>
          <w:sz w:val="19"/>
          <w:szCs w:val="19"/>
          <w:color w:val="auto"/>
        </w:rPr>
        <w:t>” within my Assigned Territory. “</w:t>
      </w:r>
      <w:r>
        <w:rPr>
          <w:rFonts w:ascii="Arial" w:cs="Arial" w:eastAsia="Arial" w:hAnsi="Arial"/>
          <w:sz w:val="19"/>
          <w:szCs w:val="19"/>
          <w:b w:val="1"/>
          <w:bCs w:val="1"/>
          <w:color w:val="auto"/>
        </w:rPr>
        <w:t>Competing Activities</w:t>
      </w:r>
      <w:r>
        <w:rPr>
          <w:rFonts w:ascii="Arial" w:cs="Arial" w:eastAsia="Arial" w:hAnsi="Arial"/>
          <w:sz w:val="19"/>
          <w:szCs w:val="19"/>
          <w:color w:val="auto"/>
        </w:rPr>
        <w:t xml:space="preserve">” are any activities or services for a Conflicting Organization (as an employee, consultant, contractor, officer, owner, director, or otherwise) that </w:t>
      </w:r>
      <w:r>
        <w:rPr>
          <w:rFonts w:ascii="Arial" w:cs="Arial" w:eastAsia="Arial" w:hAnsi="Arial"/>
          <w:sz w:val="19"/>
          <w:szCs w:val="19"/>
          <w:b w:val="1"/>
          <w:bCs w:val="1"/>
          <w:color w:val="auto"/>
        </w:rPr>
        <w:t>(a)</w:t>
      </w:r>
      <w:r>
        <w:rPr>
          <w:rFonts w:ascii="Arial" w:cs="Arial" w:eastAsia="Arial" w:hAnsi="Arial"/>
          <w:sz w:val="19"/>
          <w:szCs w:val="19"/>
          <w:color w:val="auto"/>
        </w:rPr>
        <w:t xml:space="preserve"> involve performing, supervising, or managing services that are the same as or similar in function or purpose to those I performed, supervised, or managed for the Company in the X Look Back Period, </w:t>
      </w:r>
      <w:r>
        <w:rPr>
          <w:rFonts w:ascii="Arial" w:cs="Arial" w:eastAsia="Arial" w:hAnsi="Arial"/>
          <w:sz w:val="19"/>
          <w:szCs w:val="19"/>
          <w:b w:val="1"/>
          <w:bCs w:val="1"/>
          <w:color w:val="auto"/>
        </w:rPr>
        <w:t>(b)</w:t>
      </w:r>
      <w:r>
        <w:rPr>
          <w:rFonts w:ascii="Arial" w:cs="Arial" w:eastAsia="Arial" w:hAnsi="Arial"/>
          <w:sz w:val="19"/>
          <w:szCs w:val="19"/>
          <w:color w:val="auto"/>
        </w:rPr>
        <w:t xml:space="preserve"> involve a Conflicting Product or Service, or (c) would be likely to involve the use Confidential Information. Notwithstanding the foregoing, I may accept employment with a Conflicting Organization whose business is diversified and which is, as to that part of its business in which I accept employment, not a Conflicting Organization if prior to acceptance I provide the Company written notice of the position I am taking and provide written assurances satisfactory to Company that the position will not involve a Conflicting Product or Service or involve use of Confidential Information.</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In order to protect the Company’s trade secrets and other legitimate business interests, during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and for twenty-four (24) months after the termination of my employment for any reason, I will not, in person or through the direction or control of others, knowingly solicit business from, contact or communicate with a Covered Customer for the purpose of</w:t>
      </w:r>
    </w:p>
    <w:p>
      <w:pPr>
        <w:spacing w:after="0" w:line="2" w:lineRule="exact"/>
        <w:rPr>
          <w:sz w:val="20"/>
          <w:szCs w:val="20"/>
          <w:color w:val="auto"/>
        </w:rPr>
      </w:pPr>
    </w:p>
    <w:p>
      <w:pPr>
        <w:jc w:val="both"/>
        <w:ind w:firstLine="8"/>
        <w:spacing w:after="0" w:line="241" w:lineRule="auto"/>
        <w:tabs>
          <w:tab w:leader="none" w:pos="30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 xml:space="preserve">selling or servicing a Conflicting Product or Service, or </w:t>
      </w:r>
      <w:r>
        <w:rPr>
          <w:rFonts w:ascii="Arial" w:cs="Arial" w:eastAsia="Arial" w:hAnsi="Arial"/>
          <w:sz w:val="20"/>
          <w:szCs w:val="20"/>
          <w:b w:val="1"/>
          <w:bCs w:val="1"/>
          <w:color w:val="auto"/>
        </w:rPr>
        <w:t>(b)</w:t>
      </w:r>
      <w:r>
        <w:rPr>
          <w:rFonts w:ascii="Arial" w:cs="Arial" w:eastAsia="Arial" w:hAnsi="Arial"/>
          <w:sz w:val="20"/>
          <w:szCs w:val="20"/>
          <w:color w:val="auto"/>
        </w:rPr>
        <w:t xml:space="preserve"> diverting a business opportunity away from the Company. The foregoing is understood to be reasonably limited by geography to the locations where the Covered Customer does business and is available for contact. If a geographic limitation is required under applicable law or if at the time of the</w:t>
      </w:r>
    </w:p>
    <w:p>
      <w:pPr>
        <w:spacing w:after="0" w:line="226"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832" w:right="239" w:bottom="1440" w:gutter="0" w:footer="0" w:header="0"/>
        </w:sectPr>
      </w:pPr>
    </w:p>
    <w:bookmarkStart w:id="94" w:name="page95"/>
    <w:bookmarkEnd w:id="94"/>
    <w:p>
      <w:pPr>
        <w:jc w:val="both"/>
        <w:spacing w:after="0" w:line="269" w:lineRule="auto"/>
        <w:rPr>
          <w:sz w:val="20"/>
          <w:szCs w:val="20"/>
          <w:color w:val="auto"/>
        </w:rPr>
      </w:pPr>
      <w:r>
        <w:rPr>
          <w:rFonts w:ascii="Arial" w:cs="Arial" w:eastAsia="Arial" w:hAnsi="Arial"/>
          <w:sz w:val="19"/>
          <w:szCs w:val="19"/>
          <w:color w:val="auto"/>
        </w:rPr>
        <w:t>termination of my employment my primary area of responsibility is limited to the sale or provision of products or services within one or more Assigned Territories (applicable to myself or individuals I manage or supervise), then the post-employment restrictions set forth herein shall include and be limited to those Assigned Territory(s) applicable to me during the Y Look Back Period.</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b w:val="1"/>
          <w:bCs w:val="1"/>
          <w:u w:val="single" w:color="auto"/>
          <w:color w:val="auto"/>
        </w:rPr>
        <w:t>Nonsolicitation of Employees and Sales Representatives</w:t>
      </w:r>
      <w:r>
        <w:rPr>
          <w:rFonts w:ascii="Arial" w:cs="Arial" w:eastAsia="Arial" w:hAnsi="Arial"/>
          <w:sz w:val="20"/>
          <w:szCs w:val="20"/>
          <w:color w:val="auto"/>
        </w:rPr>
        <w:t>. During my employment with the Company, and for a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 four (24) months after the termination of my employment, I will not solicit or communicate with, in person or through others, an employee or individual sales representative of the Company that I worked with or became familiar with as a result of my association with the Company, for the purpose of inducing or encouraging such person to end his or her relationship with the Company or to provide services to a Conflicting Organization. Nothing in this Section 4.3 is intended to prohibit general advertising to fill an opening in a publication directed to the public at large (such as a “want ad” in a newspaper) (and any subsequent hiring as a result thereof) so long as it does not target the Company’s employees or representatives.</w:t>
      </w:r>
    </w:p>
    <w:p>
      <w:pPr>
        <w:spacing w:after="0" w:line="187"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Terms, Conditions, and Representations.</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No Violation of Agreements with Prior Employers</w:t>
      </w:r>
      <w:r>
        <w:rPr>
          <w:rFonts w:ascii="Arial" w:cs="Arial" w:eastAsia="Arial" w:hAnsi="Arial"/>
          <w:sz w:val="18"/>
          <w:szCs w:val="18"/>
          <w:color w:val="auto"/>
        </w:rPr>
        <w:t>. I am under no contractual obligations with a prior employer or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prohibit me from being employed with the Company or from performing the duties of the position I am being or have been hired to perform. I agree that I will not disclose to the Company or use for the Company’s benefit any information that to my knowledge is proprietary or confidential to any of my prior employers, without proper consent from the prior employer, if I am in possession of any such information.</w:t>
      </w:r>
    </w:p>
    <w:p>
      <w:pPr>
        <w:spacing w:after="0" w:line="15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I understand that this Agreement does not obligate me to remain employed by the Company nor does it</w:t>
      </w:r>
      <w:r>
        <w:rPr>
          <w:rFonts w:ascii="Arial" w:cs="Arial" w:eastAsia="Arial" w:hAnsi="Arial"/>
          <w:sz w:val="18"/>
          <w:szCs w:val="18"/>
          <w:b w:val="1"/>
          <w:bCs w:val="1"/>
          <w:color w:val="auto"/>
        </w:rPr>
        <w:t xml:space="preserve"> </w:t>
      </w:r>
      <w:r>
        <w:rPr>
          <w:rFonts w:ascii="Arial" w:cs="Arial" w:eastAsia="Arial" w:hAnsi="Arial"/>
          <w:sz w:val="18"/>
          <w:szCs w:val="18"/>
          <w:color w:val="auto"/>
        </w:rPr>
        <w:t>confer upon me the right to continued employment by the Company. Except to the extent that I have entered into a written employment agreement with the Company which governs my employment relationship with the Company, the Company and I each have the right to terminate the employment relationship at any time, for any or no reason, with or without notice and with or without cause.</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Provisions are Reasonable</w:t>
      </w:r>
      <w:r>
        <w:rPr>
          <w:rFonts w:ascii="Arial" w:cs="Arial" w:eastAsia="Arial" w:hAnsi="Arial"/>
          <w:sz w:val="19"/>
          <w:szCs w:val="19"/>
          <w:color w:val="auto"/>
        </w:rPr>
        <w:t>. I acknowledge and agree that it is reasonable and necessary for the protection of the goodwill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business of Company that I abide by the covenants and agreements contained in this Agreement during and following my employment with Company and that Company will suffer irreparable injury, loss, harm and damage if I engage in conduct prohibited in this Agreement. My experience and abilities are such that compliance with this Agreement will not cause any undue hardship or unreasonable restriction on my ability to earn a livelihood and that the restrictions on my activities during and after employment do not prevent me from using skills in any business or activity that is not in competition with Company. Nothing in this Agreement shall be construed to limit or reduce any common law or statutory duty I would otherwise owe to Company absent this Agreement, including but not limited to my duty of loyalty and fiduciary duty as an employee placed in a special position of trust; nor shall this Agreement limit or eliminate any remedies available to the Company for a violation of such duties.</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Notifications Related to New Employment</w:t>
      </w:r>
      <w:r>
        <w:rPr>
          <w:rFonts w:ascii="Arial" w:cs="Arial" w:eastAsia="Arial" w:hAnsi="Arial"/>
          <w:sz w:val="18"/>
          <w:szCs w:val="18"/>
          <w:color w:val="auto"/>
        </w:rPr>
        <w:t>. I acknowledge that I will have the responsibility to inform any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of this Agreement and its restrictions prior to accepting employment with such employer. The Company and I are both entitled to express our opinions to others about the applicability of this Agreement to third parties. While I reserve the right to communicate my disagreement with such an opinion if I disagree, I recognize the Company’s legitimate business interest in expressing its opinion to a third party (such as, but not limited to, a prospective employer or a customer of the Company) and consent to it doing so if it believes such is necessary.</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b w:val="1"/>
          <w:bCs w:val="1"/>
          <w:u w:val="single" w:color="auto"/>
          <w:color w:val="auto"/>
        </w:rPr>
        <w:t>Special Remedies</w:t>
      </w:r>
      <w:r>
        <w:rPr>
          <w:rFonts w:ascii="Arial" w:cs="Arial" w:eastAsia="Arial" w:hAnsi="Arial"/>
          <w:sz w:val="20"/>
          <w:szCs w:val="20"/>
          <w:color w:val="auto"/>
        </w:rPr>
        <w:t>. I recognize that any breach by me of this Agreement will cause the Company irreparable harm that cannot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compensated adequately by an award of monetary damages. I agree that the</w:t>
      </w:r>
    </w:p>
    <w:p>
      <w:pPr>
        <w:spacing w:after="0" w:line="199"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839" w:right="239" w:bottom="1440" w:gutter="0" w:footer="0" w:header="0"/>
        </w:sectPr>
      </w:pPr>
    </w:p>
    <w:bookmarkStart w:id="95" w:name="page96"/>
    <w:bookmarkEnd w:id="95"/>
    <w:p>
      <w:pPr>
        <w:jc w:val="both"/>
        <w:spacing w:after="0" w:line="243" w:lineRule="auto"/>
        <w:rPr>
          <w:sz w:val="20"/>
          <w:szCs w:val="20"/>
          <w:color w:val="auto"/>
        </w:rPr>
      </w:pPr>
      <w:r>
        <w:rPr>
          <w:rFonts w:ascii="Arial" w:cs="Arial" w:eastAsia="Arial" w:hAnsi="Arial"/>
          <w:sz w:val="20"/>
          <w:szCs w:val="20"/>
          <w:color w:val="auto"/>
        </w:rPr>
        <w:t>Company may seek and obtain injunctive relief in addition to damages the Company may recover at law. If I violate one of the post-employment restrictions in this Agreement on which there is a specific time limitation, the time period for that restriction will be extended by one day for each day I am found to be in violation of it, up to a maximum extension of time equal in length to the original period of restriction, so as to give the Company the benefit of a period of forbearance by me that is equal to the original length of time provided for. All remedies for enforcement of this Agreement shall be cumulative and not exclusive. If a legal action becomes necessary for the Company to enforce this Agreement, the Company shall have the right to recover the reasonable attorneys’ fees and costs it incurs as a result of such action in the event it prevails in any such 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Governing Law and Venue</w:t>
      </w:r>
      <w:r>
        <w:rPr>
          <w:rFonts w:ascii="Arial" w:cs="Arial" w:eastAsia="Arial" w:hAnsi="Arial"/>
          <w:sz w:val="19"/>
          <w:szCs w:val="19"/>
          <w:color w:val="auto"/>
        </w:rPr>
        <w:t>. In order to maintain uniformity in the interpretation of this Agreement across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operations in many different states, the parties have expressly agreed that this Agreement, the parties’ performance hereunder and the relationship between them shall be governed by, construed and enforced in accordance with the laws of the State of Delaware without regard to the conflict of law rules or limitations of Delaware or any other state that may otherwise apply. Any legal action arising from this Agreement shall be brought in Delaware or in the state where I was last employed for the Company (based on the office or location I was assigned to by the Company for reporting purposes) or in the state where the Company is headquartered, and I consent to the personal jurisdiction of the courts in such locations over me and waive any and all objections to the contrary.</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5.7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To the extent any portion of this Agreement or any portion of any provision of this Agreement is held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within a particular jurisdiction, such provision shall be construed by limiting and reducing it so as to contain the maximum restrictions permitted by applicable law within that jurisdiction. All remaining provisions of this Agreement, and/or portions thereof, shall remain in full force and effect and the enforceability of the Agreement outside the jurisdiction at issue shall not be affected. Except where otherwise prohibited by applicable law, all of the restrictive covenants in this Agreement, shall be construed as agreements independent of one another and any other provision of this Agreement and shall survive the termination of this agreement and my employment with the Company; and, the existence of any claim or cause of action against the Company, whether predicated on this Agreement or otherwise, shall not constitute a defense to the enforcement by the Company of such provisions.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I agree and acknowledge that this Agreement supersedes prior agreements between me and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the subject matter addressed in this Agreement. Notwithstanding the foregoing, in the event that this Agreement is found to be unenforceable by a court of law, then any prior agreement between the parties protecting the Company’s legitimate business interests (a “Prior Agreement”) may resume effect at the election of the Company; provided, however, that </w:t>
      </w:r>
      <w:r>
        <w:rPr>
          <w:rFonts w:ascii="Arial" w:cs="Arial" w:eastAsia="Arial" w:hAnsi="Arial"/>
          <w:sz w:val="18"/>
          <w:szCs w:val="18"/>
          <w:b w:val="1"/>
          <w:bCs w:val="1"/>
          <w:color w:val="auto"/>
        </w:rPr>
        <w:t>(a)</w:t>
      </w:r>
      <w:r>
        <w:rPr>
          <w:rFonts w:ascii="Arial" w:cs="Arial" w:eastAsia="Arial" w:hAnsi="Arial"/>
          <w:sz w:val="18"/>
          <w:szCs w:val="18"/>
          <w:color w:val="auto"/>
        </w:rPr>
        <w:t xml:space="preserve"> the Company must make such election within ten</w:t>
      </w:r>
    </w:p>
    <w:p>
      <w:pPr>
        <w:spacing w:after="0" w:line="2" w:lineRule="exact"/>
        <w:rPr>
          <w:sz w:val="20"/>
          <w:szCs w:val="20"/>
          <w:color w:val="auto"/>
        </w:rPr>
      </w:pPr>
    </w:p>
    <w:p>
      <w:pPr>
        <w:jc w:val="both"/>
        <w:ind w:firstLine="8"/>
        <w:spacing w:after="0" w:line="241" w:lineRule="auto"/>
        <w:tabs>
          <w:tab w:leader="none" w:pos="381"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business days of such ruling of unenforceability becoming final, and </w:t>
      </w:r>
      <w:r>
        <w:rPr>
          <w:rFonts w:ascii="Arial" w:cs="Arial" w:eastAsia="Arial" w:hAnsi="Arial"/>
          <w:sz w:val="20"/>
          <w:szCs w:val="20"/>
          <w:b w:val="1"/>
          <w:bCs w:val="1"/>
          <w:color w:val="auto"/>
        </w:rPr>
        <w:t>(b)</w:t>
      </w:r>
      <w:r>
        <w:rPr>
          <w:rFonts w:ascii="Arial" w:cs="Arial" w:eastAsia="Arial" w:hAnsi="Arial"/>
          <w:sz w:val="20"/>
          <w:szCs w:val="20"/>
          <w:color w:val="auto"/>
        </w:rPr>
        <w:t xml:space="preserve"> no post-employment conduct by me shall be deemed to have been in violation of a post-employment restriction in the Prior Agreement prior to the Company electing to resume the Prior Agreement and communicating such election to me in writing.</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5.9 </w:t>
      </w:r>
      <w:r>
        <w:rPr>
          <w:rFonts w:ascii="Arial" w:cs="Arial" w:eastAsia="Arial" w:hAnsi="Arial"/>
          <w:sz w:val="20"/>
          <w:szCs w:val="20"/>
          <w:b w:val="1"/>
          <w:bCs w:val="1"/>
          <w:u w:val="single" w:color="auto"/>
          <w:color w:val="auto"/>
        </w:rPr>
        <w:t>Waiver or Modification / Assignability</w:t>
      </w:r>
      <w:r>
        <w:rPr>
          <w:rFonts w:ascii="Arial" w:cs="Arial" w:eastAsia="Arial" w:hAnsi="Arial"/>
          <w:sz w:val="20"/>
          <w:szCs w:val="20"/>
          <w:color w:val="auto"/>
        </w:rPr>
        <w:t>. Neither this Agreement, nor any term or provision hereof, may be waived or modified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whole or in part by either party without the party that holds the right to enforce such provision expressly waiving the right to enforce such provision in writing. In the event of such a waiver from the Company, the Company’s waiver must be in writing from officer of Roper Technologies, Inc. expressly stating that it is intended to operate as a waiver or modification of this Agreement. This Agreement shall inure to the benefit of the Company, without the need for any further action by me. I understand that the Company is the intended beneficiary of this Agreement, and that any one or more of same with a material interest in my compliance with this Agreement may enforce this Agreement. I agree that this Agreement is assignable by the Company. I hereby consent and agree to assignment by the Company of this Agreement and all rights and obligations</w:t>
      </w:r>
    </w:p>
    <w:p>
      <w:pPr>
        <w:spacing w:after="0" w:line="225"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838" w:right="239" w:bottom="1440" w:gutter="0" w:footer="0" w:header="0"/>
        </w:sectPr>
      </w:pPr>
    </w:p>
    <w:bookmarkStart w:id="96" w:name="page97"/>
    <w:bookmarkEnd w:id="96"/>
    <w:p>
      <w:pPr>
        <w:jc w:val="both"/>
        <w:ind w:right="20"/>
        <w:spacing w:after="0" w:line="260" w:lineRule="auto"/>
        <w:rPr>
          <w:sz w:val="20"/>
          <w:szCs w:val="20"/>
          <w:color w:val="auto"/>
        </w:rPr>
      </w:pPr>
      <w:r>
        <w:rPr>
          <w:rFonts w:ascii="Arial" w:cs="Arial" w:eastAsia="Arial" w:hAnsi="Arial"/>
          <w:sz w:val="20"/>
          <w:szCs w:val="20"/>
          <w:color w:val="auto"/>
        </w:rPr>
        <w:t>hereunder, including, but not limited to, an assignment in connection with any merger, sale, transfer or acquisition consummated by the Company relating to all or part of its assets.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5.10 </w:t>
      </w:r>
      <w:r>
        <w:rPr>
          <w:rFonts w:ascii="Arial" w:cs="Arial" w:eastAsia="Arial" w:hAnsi="Arial"/>
          <w:sz w:val="20"/>
          <w:szCs w:val="20"/>
          <w:b w:val="1"/>
          <w:bCs w:val="1"/>
          <w:u w:val="single" w:color="auto"/>
          <w:color w:val="auto"/>
        </w:rPr>
        <w:t>Transfer or Renewal of Employment</w:t>
      </w:r>
      <w:r>
        <w:rPr>
          <w:rFonts w:ascii="Arial" w:cs="Arial" w:eastAsia="Arial" w:hAnsi="Arial"/>
          <w:sz w:val="20"/>
          <w:szCs w:val="20"/>
          <w:color w:val="auto"/>
        </w:rPr>
        <w:t>. This Agreement will be deemed to continue during any periods of renewal of my</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including, but not limited to, periods of employment following promotions or transfers, or during any subsequent re-employment by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Nothing in this Agreement prohibits the Participant from reporting an event that the Participant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The Participant is hereby provided notice that under the 2016 Defend Trade Secrets Act (</w:t>
      </w:r>
      <w:r>
        <w:rPr>
          <w:rFonts w:ascii="Arial" w:cs="Arial" w:eastAsia="Arial" w:hAnsi="Arial"/>
          <w:sz w:val="19"/>
          <w:szCs w:val="19"/>
          <w:b w:val="1"/>
          <w:bCs w:val="1"/>
          <w:i w:val="1"/>
          <w:iCs w:val="1"/>
          <w:color w:val="auto"/>
        </w:rPr>
        <w:t>DTSA</w:t>
      </w:r>
      <w:r>
        <w:rPr>
          <w:rFonts w:ascii="Arial" w:cs="Arial" w:eastAsia="Arial" w:hAnsi="Arial"/>
          <w:sz w:val="19"/>
          <w:szCs w:val="19"/>
          <w:i w:val="1"/>
          <w:iCs w:val="1"/>
          <w:color w:val="auto"/>
        </w:rPr>
        <w:t>): (1)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 the trade secret under seal, and does not disclose the trade secret,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Confidentiality Agreement</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83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Name of Subsidiary</w:t>
            </w:r>
          </w:p>
        </w:tc>
        <w:tc>
          <w:tcPr>
            <w:tcW w:w="4860" w:type="dxa"/>
            <w:vAlign w:val="bottom"/>
          </w:tcPr>
          <w:p>
            <w:pPr>
              <w:ind w:left="1440"/>
              <w:spacing w:after="0"/>
              <w:rPr>
                <w:sz w:val="20"/>
                <w:szCs w:val="20"/>
                <w:color w:val="auto"/>
              </w:rPr>
            </w:pPr>
            <w:r>
              <w:rPr>
                <w:rFonts w:ascii="Arial" w:cs="Arial" w:eastAsia="Arial" w:hAnsi="Arial"/>
                <w:sz w:val="18"/>
                <w:szCs w:val="18"/>
                <w:b w:val="1"/>
                <w:bCs w:val="1"/>
                <w:color w:val="auto"/>
                <w:w w:val="94"/>
              </w:rPr>
              <w:t>Jurisdiction of Incorporation/Organization</w:t>
            </w:r>
          </w:p>
        </w:tc>
      </w:tr>
      <w:tr>
        <w:trPr>
          <w:trHeight w:val="34"/>
        </w:trPr>
        <w:tc>
          <w:tcPr>
            <w:tcW w:w="43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3089554 Nova Scotia ULC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Canada</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AC Analytical Controls B.V.</w:t>
            </w:r>
          </w:p>
        </w:tc>
        <w:tc>
          <w:tcPr>
            <w:tcW w:w="486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 Analytical Controls Holding B.V.</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Netherlands</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AC Analytical Controls Services B.V.</w:t>
            </w:r>
          </w:p>
        </w:tc>
        <w:tc>
          <w:tcPr>
            <w:tcW w:w="4860" w:type="dxa"/>
            <w:vAlign w:val="bottom"/>
          </w:tcPr>
          <w:p>
            <w:pPr>
              <w:ind w:left="1440"/>
              <w:spacing w:after="0"/>
              <w:rPr>
                <w:sz w:val="20"/>
                <w:szCs w:val="20"/>
                <w:color w:val="auto"/>
              </w:rPr>
            </w:pPr>
            <w:r>
              <w:rPr>
                <w:rFonts w:ascii="Arial" w:cs="Arial" w:eastAsia="Arial" w:hAnsi="Arial"/>
                <w:sz w:val="18"/>
                <w:szCs w:val="18"/>
                <w:color w:val="auto"/>
              </w:rPr>
              <w:t>Netherlands</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Acton Research Corporation</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Acumen PM, LLC</w:t>
            </w:r>
          </w:p>
        </w:tc>
        <w:tc>
          <w:tcPr>
            <w:tcW w:w="4860" w:type="dxa"/>
            <w:vAlign w:val="bottom"/>
          </w:tcPr>
          <w:p>
            <w:pPr>
              <w:ind w:left="1440"/>
              <w:spacing w:after="0"/>
              <w:rPr>
                <w:sz w:val="20"/>
                <w:szCs w:val="20"/>
                <w:color w:val="auto"/>
              </w:rPr>
            </w:pPr>
            <w:r>
              <w:rPr>
                <w:rFonts w:ascii="Arial" w:cs="Arial" w:eastAsia="Arial" w:hAnsi="Arial"/>
                <w:sz w:val="18"/>
                <w:szCs w:val="18"/>
                <w:color w:val="auto"/>
              </w:rPr>
              <w:t>Texas</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Canada Company</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Canada</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Case Management,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CM,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CompuLaw,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CRM,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DoD,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Enterprise Holdings, Inc.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FM,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Holdings, Inc.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Imaging,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International Holdings, Inc.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Legal Holdings, Inc.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Legal Holdings (AUS) Pty Ltd</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Australia</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Legal Holdings (NZ) ULC</w:t>
            </w:r>
          </w:p>
        </w:tc>
        <w:tc>
          <w:tcPr>
            <w:tcW w:w="4860" w:type="dxa"/>
            <w:vAlign w:val="bottom"/>
          </w:tcPr>
          <w:p>
            <w:pPr>
              <w:ind w:left="1440"/>
              <w:spacing w:after="0"/>
              <w:rPr>
                <w:sz w:val="20"/>
                <w:szCs w:val="20"/>
                <w:color w:val="auto"/>
              </w:rPr>
            </w:pPr>
            <w:r>
              <w:rPr>
                <w:rFonts w:ascii="Arial" w:cs="Arial" w:eastAsia="Arial" w:hAnsi="Arial"/>
                <w:sz w:val="18"/>
                <w:szCs w:val="18"/>
                <w:color w:val="auto"/>
              </w:rPr>
              <w:t>New Zealand</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Legal (UK) Limited</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United Kingdom</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North America, Inc.</w:t>
            </w:r>
          </w:p>
        </w:tc>
        <w:tc>
          <w:tcPr>
            <w:tcW w:w="4860" w:type="dxa"/>
            <w:vAlign w:val="bottom"/>
          </w:tcPr>
          <w:p>
            <w:pPr>
              <w:ind w:left="1440"/>
              <w:spacing w:after="0"/>
              <w:rPr>
                <w:sz w:val="20"/>
                <w:szCs w:val="20"/>
                <w:color w:val="auto"/>
              </w:rPr>
            </w:pPr>
            <w:r>
              <w:rPr>
                <w:rFonts w:ascii="Arial" w:cs="Arial" w:eastAsia="Arial" w:hAnsi="Arial"/>
                <w:sz w:val="18"/>
                <w:szCs w:val="18"/>
                <w:color w:val="auto"/>
              </w:rPr>
              <w:t>Florida</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Parent Holdings, Inc.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Aderant RainMaker,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Aderant Redwood,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Advanced Sensors Limited</w:t>
            </w:r>
          </w:p>
        </w:tc>
        <w:tc>
          <w:tcPr>
            <w:tcW w:w="4860" w:type="dxa"/>
            <w:vAlign w:val="bottom"/>
          </w:tcPr>
          <w:p>
            <w:pPr>
              <w:ind w:left="1440"/>
              <w:spacing w:after="0"/>
              <w:rPr>
                <w:sz w:val="20"/>
                <w:szCs w:val="20"/>
                <w:color w:val="auto"/>
              </w:rPr>
            </w:pPr>
            <w:r>
              <w:rPr>
                <w:rFonts w:ascii="Arial" w:cs="Arial" w:eastAsia="Arial" w:hAnsi="Arial"/>
                <w:sz w:val="18"/>
                <w:szCs w:val="18"/>
                <w:color w:val="auto"/>
              </w:rPr>
              <w:t>United Kingdom</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Alpha Holdings of Delaware I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Alpha Holdings of Delaware II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Alpha Technologies B.V.</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Netherlands</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Alpha Technologies GmbH</w:t>
            </w:r>
          </w:p>
        </w:tc>
        <w:tc>
          <w:tcPr>
            <w:tcW w:w="4860" w:type="dxa"/>
            <w:vAlign w:val="bottom"/>
          </w:tcPr>
          <w:p>
            <w:pPr>
              <w:ind w:left="1440"/>
              <w:spacing w:after="0"/>
              <w:rPr>
                <w:sz w:val="20"/>
                <w:szCs w:val="20"/>
                <w:color w:val="auto"/>
              </w:rPr>
            </w:pPr>
            <w:r>
              <w:rPr>
                <w:rFonts w:ascii="Arial" w:cs="Arial" w:eastAsia="Arial" w:hAnsi="Arial"/>
                <w:sz w:val="18"/>
                <w:szCs w:val="18"/>
                <w:color w:val="auto"/>
              </w:rPr>
              <w:t>Germany</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Alpha Technologies Japan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Alpha Technologies Services LLC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Alpha Technologies U.K.</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United Kingdom</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Alpha Technologies, s.r.o.</w:t>
            </w:r>
          </w:p>
        </w:tc>
        <w:tc>
          <w:tcPr>
            <w:tcW w:w="4860" w:type="dxa"/>
            <w:vAlign w:val="bottom"/>
          </w:tcPr>
          <w:p>
            <w:pPr>
              <w:ind w:left="1440"/>
              <w:spacing w:after="0"/>
              <w:rPr>
                <w:sz w:val="20"/>
                <w:szCs w:val="20"/>
                <w:color w:val="auto"/>
              </w:rPr>
            </w:pPr>
            <w:r>
              <w:rPr>
                <w:rFonts w:ascii="Arial" w:cs="Arial" w:eastAsia="Arial" w:hAnsi="Arial"/>
                <w:sz w:val="18"/>
                <w:szCs w:val="18"/>
                <w:color w:val="auto"/>
              </w:rPr>
              <w:t>Czech Republic</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Alpha UK Holdings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Amot Controls Corporation</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Amot Controls GmbH</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Germany</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Amot/Metrix Investment Company, Inc.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Amphire Solutions, Inc.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Amtech Systems (Hong Kong) Limited</w:t>
            </w:r>
          </w:p>
        </w:tc>
        <w:tc>
          <w:tcPr>
            <w:tcW w:w="4860" w:type="dxa"/>
            <w:vAlign w:val="bottom"/>
          </w:tcPr>
          <w:p>
            <w:pPr>
              <w:ind w:left="1440"/>
              <w:spacing w:after="0"/>
              <w:rPr>
                <w:sz w:val="20"/>
                <w:szCs w:val="20"/>
                <w:color w:val="auto"/>
              </w:rPr>
            </w:pPr>
            <w:r>
              <w:rPr>
                <w:rFonts w:ascii="Arial" w:cs="Arial" w:eastAsia="Arial" w:hAnsi="Arial"/>
                <w:sz w:val="18"/>
                <w:szCs w:val="18"/>
                <w:color w:val="auto"/>
              </w:rPr>
              <w:t>Hong Kong</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Amtech Systems, LLC</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Amtech World Corporation</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r>
        <w:trPr>
          <w:trHeight w:val="27"/>
        </w:trPr>
        <w:tc>
          <w:tcPr>
            <w:tcW w:w="436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Ascension Technology Corporation</w:t>
            </w:r>
          </w:p>
        </w:tc>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Delaware</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Atlantic Health Partners, Inc.</w:t>
            </w:r>
          </w:p>
        </w:tc>
        <w:tc>
          <w:tcPr>
            <w:tcW w:w="4860" w:type="dxa"/>
            <w:vAlign w:val="bottom"/>
          </w:tcPr>
          <w:p>
            <w:pPr>
              <w:ind w:left="14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320"/>
          </w:cols>
          <w:pgMar w:left="1340" w:top="800"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 Healthcare Software India Private Limited</w:t>
            </w: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India</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Avitru, LLC</w:t>
            </w:r>
          </w:p>
        </w:tc>
        <w:tc>
          <w:tcPr>
            <w:tcW w:w="4560" w:type="dxa"/>
            <w:vAlign w:val="bottom"/>
          </w:tcPr>
          <w:p>
            <w:pPr>
              <w:ind w:left="1140"/>
              <w:spacing w:after="0"/>
              <w:rPr>
                <w:sz w:val="20"/>
                <w:szCs w:val="20"/>
                <w:color w:val="auto"/>
              </w:rPr>
            </w:pPr>
            <w:r>
              <w:rPr>
                <w:rFonts w:ascii="Arial" w:cs="Arial" w:eastAsia="Arial" w:hAnsi="Arial"/>
                <w:sz w:val="18"/>
                <w:szCs w:val="18"/>
                <w:color w:val="auto"/>
              </w:rPr>
              <w:t>Utah</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Axium Holdco,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CBORD Holdings Corp.</w:t>
            </w:r>
          </w:p>
        </w:tc>
        <w:tc>
          <w:tcPr>
            <w:tcW w:w="45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Centurion Research Solutions, LLC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Virginia</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Civco Holding, Inc.</w:t>
            </w:r>
          </w:p>
        </w:tc>
        <w:tc>
          <w:tcPr>
            <w:tcW w:w="45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Civco Medical Instruments Co.,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Iowa</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CIVCO Medical Solutions B.V.</w:t>
            </w:r>
          </w:p>
        </w:tc>
        <w:tc>
          <w:tcPr>
            <w:tcW w:w="456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Clinisys Group Limited</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United Kingdom</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Clinisys Scotland Limited</w:t>
            </w:r>
          </w:p>
        </w:tc>
        <w:tc>
          <w:tcPr>
            <w:tcW w:w="4560" w:type="dxa"/>
            <w:vAlign w:val="bottom"/>
          </w:tcPr>
          <w:p>
            <w:pPr>
              <w:ind w:left="1140"/>
              <w:spacing w:after="0"/>
              <w:rPr>
                <w:sz w:val="20"/>
                <w:szCs w:val="20"/>
                <w:color w:val="auto"/>
              </w:rPr>
            </w:pPr>
            <w:r>
              <w:rPr>
                <w:rFonts w:ascii="Arial" w:cs="Arial" w:eastAsia="Arial" w:hAnsi="Arial"/>
                <w:sz w:val="18"/>
                <w:szCs w:val="18"/>
                <w:color w:val="auto"/>
              </w:rPr>
              <w:t>United Kingdom</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Clinisys Solutions Limited</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United Kingdom</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Compressor Controls (Beijing) Corporation Ltd.</w:t>
            </w:r>
          </w:p>
        </w:tc>
        <w:tc>
          <w:tcPr>
            <w:tcW w:w="4560" w:type="dxa"/>
            <w:vAlign w:val="bottom"/>
          </w:tcPr>
          <w:p>
            <w:pPr>
              <w:ind w:left="1140"/>
              <w:spacing w:after="0"/>
              <w:rPr>
                <w:sz w:val="20"/>
                <w:szCs w:val="20"/>
                <w:color w:val="auto"/>
              </w:rPr>
            </w:pPr>
            <w:r>
              <w:rPr>
                <w:rFonts w:ascii="Arial" w:cs="Arial" w:eastAsia="Arial" w:hAnsi="Arial"/>
                <w:sz w:val="18"/>
                <w:szCs w:val="18"/>
                <w:color w:val="auto"/>
              </w:rPr>
              <w:t>China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Compressor Controls Corporation</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Iowa</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Compressor Controls Corporation B.V.</w:t>
            </w:r>
          </w:p>
        </w:tc>
        <w:tc>
          <w:tcPr>
            <w:tcW w:w="456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Compressor Controls Corporation Middle East</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Compressor Controls Corporation S.r.l.</w:t>
            </w:r>
          </w:p>
        </w:tc>
        <w:tc>
          <w:tcPr>
            <w:tcW w:w="4560" w:type="dxa"/>
            <w:vAlign w:val="bottom"/>
          </w:tcPr>
          <w:p>
            <w:pPr>
              <w:ind w:left="1140"/>
              <w:spacing w:after="0"/>
              <w:rPr>
                <w:sz w:val="20"/>
                <w:szCs w:val="20"/>
                <w:color w:val="auto"/>
              </w:rPr>
            </w:pPr>
            <w:r>
              <w:rPr>
                <w:rFonts w:ascii="Arial" w:cs="Arial" w:eastAsia="Arial" w:hAnsi="Arial"/>
                <w:sz w:val="18"/>
                <w:szCs w:val="18"/>
                <w:color w:val="auto"/>
              </w:rPr>
              <w:t>Italy</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Compressor Controls Mauritius Ltd.</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Mauritius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Compressor Controls Pty Ltd.</w:t>
            </w:r>
          </w:p>
        </w:tc>
        <w:tc>
          <w:tcPr>
            <w:tcW w:w="4560" w:type="dxa"/>
            <w:vAlign w:val="bottom"/>
          </w:tcPr>
          <w:p>
            <w:pPr>
              <w:ind w:left="1140"/>
              <w:spacing w:after="0"/>
              <w:rPr>
                <w:sz w:val="20"/>
                <w:szCs w:val="20"/>
                <w:color w:val="auto"/>
              </w:rPr>
            </w:pPr>
            <w:r>
              <w:rPr>
                <w:rFonts w:ascii="Arial" w:cs="Arial" w:eastAsia="Arial" w:hAnsi="Arial"/>
                <w:sz w:val="18"/>
                <w:szCs w:val="18"/>
                <w:color w:val="auto"/>
              </w:rPr>
              <w:t>Australia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ConstructConnect,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ConstructConnect Canada, Inc.</w:t>
            </w:r>
          </w:p>
        </w:tc>
        <w:tc>
          <w:tcPr>
            <w:tcW w:w="4560" w:type="dxa"/>
            <w:vAlign w:val="bottom"/>
          </w:tcPr>
          <w:p>
            <w:pPr>
              <w:ind w:left="1140"/>
              <w:spacing w:after="0"/>
              <w:rPr>
                <w:sz w:val="20"/>
                <w:szCs w:val="20"/>
                <w:color w:val="auto"/>
              </w:rPr>
            </w:pPr>
            <w:r>
              <w:rPr>
                <w:rFonts w:ascii="Arial" w:cs="Arial" w:eastAsia="Arial" w:hAnsi="Arial"/>
                <w:sz w:val="18"/>
                <w:szCs w:val="18"/>
                <w:color w:val="auto"/>
              </w:rPr>
              <w:t>Canada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Cornell Pump Company</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C/S Solutions, Inc.</w:t>
            </w:r>
          </w:p>
        </w:tc>
        <w:tc>
          <w:tcPr>
            <w:tcW w:w="4560" w:type="dxa"/>
            <w:vAlign w:val="bottom"/>
          </w:tcPr>
          <w:p>
            <w:pPr>
              <w:ind w:left="1140"/>
              <w:spacing w:after="0"/>
              <w:rPr>
                <w:sz w:val="20"/>
                <w:szCs w:val="20"/>
                <w:color w:val="auto"/>
              </w:rPr>
            </w:pPr>
            <w:r>
              <w:rPr>
                <w:rFonts w:ascii="Arial" w:cs="Arial" w:eastAsia="Arial" w:hAnsi="Arial"/>
                <w:sz w:val="18"/>
                <w:szCs w:val="18"/>
                <w:color w:val="auto"/>
              </w:rPr>
              <w:t>California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DAP Technologies Corp.</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DAP Technologies LTD</w:t>
            </w:r>
          </w:p>
        </w:tc>
        <w:tc>
          <w:tcPr>
            <w:tcW w:w="4560" w:type="dxa"/>
            <w:vAlign w:val="bottom"/>
          </w:tcPr>
          <w:p>
            <w:pPr>
              <w:ind w:left="1140"/>
              <w:spacing w:after="0"/>
              <w:rPr>
                <w:sz w:val="20"/>
                <w:szCs w:val="20"/>
                <w:color w:val="auto"/>
              </w:rPr>
            </w:pPr>
            <w:r>
              <w:rPr>
                <w:rFonts w:ascii="Arial" w:cs="Arial" w:eastAsia="Arial" w:hAnsi="Arial"/>
                <w:sz w:val="18"/>
                <w:szCs w:val="18"/>
                <w:color w:val="auto"/>
              </w:rPr>
              <w:t>Canada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Dash I,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DAT Solutions, LLC</w:t>
            </w:r>
          </w:p>
        </w:tc>
        <w:tc>
          <w:tcPr>
            <w:tcW w:w="45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Innovations LLC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Data Innovations Canada Ltd.</w:t>
            </w:r>
          </w:p>
        </w:tc>
        <w:tc>
          <w:tcPr>
            <w:tcW w:w="4560" w:type="dxa"/>
            <w:vAlign w:val="bottom"/>
          </w:tcPr>
          <w:p>
            <w:pPr>
              <w:ind w:left="1140"/>
              <w:spacing w:after="0"/>
              <w:rPr>
                <w:sz w:val="20"/>
                <w:szCs w:val="20"/>
                <w:color w:val="auto"/>
              </w:rPr>
            </w:pPr>
            <w:r>
              <w:rPr>
                <w:rFonts w:ascii="Arial" w:cs="Arial" w:eastAsia="Arial" w:hAnsi="Arial"/>
                <w:sz w:val="18"/>
                <w:szCs w:val="18"/>
                <w:color w:val="auto"/>
              </w:rPr>
              <w:t>Canada</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Innovations Cooperatief U.A.</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Netherlands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Data Innovations Europe S.A.</w:t>
            </w:r>
          </w:p>
        </w:tc>
        <w:tc>
          <w:tcPr>
            <w:tcW w:w="4560" w:type="dxa"/>
            <w:vAlign w:val="bottom"/>
          </w:tcPr>
          <w:p>
            <w:pPr>
              <w:ind w:left="1140"/>
              <w:spacing w:after="0"/>
              <w:rPr>
                <w:sz w:val="20"/>
                <w:szCs w:val="20"/>
                <w:color w:val="auto"/>
              </w:rPr>
            </w:pPr>
            <w:r>
              <w:rPr>
                <w:rFonts w:ascii="Arial" w:cs="Arial" w:eastAsia="Arial" w:hAnsi="Arial"/>
                <w:sz w:val="18"/>
                <w:szCs w:val="18"/>
                <w:color w:val="auto"/>
              </w:rPr>
              <w:t>Belgium</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Innovations Latin America Ltda</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Brazil</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Dawning Technologies, LLC</w:t>
            </w:r>
          </w:p>
        </w:tc>
        <w:tc>
          <w:tcPr>
            <w:tcW w:w="45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DCMH Group Holdings,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DCMH Group Holdings, LLC</w:t>
            </w:r>
          </w:p>
        </w:tc>
        <w:tc>
          <w:tcPr>
            <w:tcW w:w="45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DCMH Holdings,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Asia Pacific (HK) Limited</w:t>
            </w:r>
          </w:p>
        </w:tc>
        <w:tc>
          <w:tcPr>
            <w:tcW w:w="4560" w:type="dxa"/>
            <w:vAlign w:val="bottom"/>
          </w:tcPr>
          <w:p>
            <w:pPr>
              <w:ind w:left="1140"/>
              <w:spacing w:after="0"/>
              <w:rPr>
                <w:sz w:val="20"/>
                <w:szCs w:val="20"/>
                <w:color w:val="auto"/>
              </w:rPr>
            </w:pPr>
            <w:r>
              <w:rPr>
                <w:rFonts w:ascii="Arial" w:cs="Arial" w:eastAsia="Arial" w:hAnsi="Arial"/>
                <w:sz w:val="18"/>
                <w:szCs w:val="18"/>
                <w:color w:val="auto"/>
              </w:rPr>
              <w:t>Hong Kong</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Australia Pty Ltd.</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Australia</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Belgie BVBA</w:t>
            </w:r>
          </w:p>
        </w:tc>
        <w:tc>
          <w:tcPr>
            <w:tcW w:w="4560" w:type="dxa"/>
            <w:vAlign w:val="bottom"/>
          </w:tcPr>
          <w:p>
            <w:pPr>
              <w:ind w:left="1140"/>
              <w:spacing w:after="0"/>
              <w:rPr>
                <w:sz w:val="20"/>
                <w:szCs w:val="20"/>
                <w:color w:val="auto"/>
              </w:rPr>
            </w:pPr>
            <w:r>
              <w:rPr>
                <w:rFonts w:ascii="Arial" w:cs="Arial" w:eastAsia="Arial" w:hAnsi="Arial"/>
                <w:sz w:val="18"/>
                <w:szCs w:val="18"/>
                <w:color w:val="auto"/>
              </w:rPr>
              <w:t>Belgium</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Danmark A/S</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Denmark</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France SAS</w:t>
            </w:r>
          </w:p>
        </w:tc>
        <w:tc>
          <w:tcPr>
            <w:tcW w:w="4560" w:type="dxa"/>
            <w:vAlign w:val="bottom"/>
          </w:tcPr>
          <w:p>
            <w:pPr>
              <w:ind w:left="1140"/>
              <w:spacing w:after="0"/>
              <w:rPr>
                <w:sz w:val="20"/>
                <w:szCs w:val="20"/>
                <w:color w:val="auto"/>
              </w:rPr>
            </w:pPr>
            <w:r>
              <w:rPr>
                <w:rFonts w:ascii="Arial" w:cs="Arial" w:eastAsia="Arial" w:hAnsi="Arial"/>
                <w:sz w:val="18"/>
                <w:szCs w:val="18"/>
                <w:color w:val="auto"/>
              </w:rPr>
              <w:t>France</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GB Limited</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United Kingdom</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GmbH</w:t>
            </w:r>
          </w:p>
        </w:tc>
        <w:tc>
          <w:tcPr>
            <w:tcW w:w="4560" w:type="dxa"/>
            <w:vAlign w:val="bottom"/>
          </w:tcPr>
          <w:p>
            <w:pPr>
              <w:ind w:left="1140"/>
              <w:spacing w:after="0"/>
              <w:rPr>
                <w:sz w:val="20"/>
                <w:szCs w:val="20"/>
                <w:color w:val="auto"/>
              </w:rPr>
            </w:pPr>
            <w:r>
              <w:rPr>
                <w:rFonts w:ascii="Arial" w:cs="Arial" w:eastAsia="Arial" w:hAnsi="Arial"/>
                <w:sz w:val="18"/>
                <w:szCs w:val="18"/>
                <w:color w:val="auto"/>
              </w:rPr>
              <w:t>Germany</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Inc.</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Nederland B.V.</w:t>
            </w:r>
          </w:p>
        </w:tc>
        <w:tc>
          <w:tcPr>
            <w:tcW w:w="4560" w:type="dxa"/>
            <w:vAlign w:val="bottom"/>
          </w:tcPr>
          <w:p>
            <w:pPr>
              <w:ind w:left="1140"/>
              <w:spacing w:after="0"/>
              <w:rPr>
                <w:sz w:val="20"/>
                <w:szCs w:val="20"/>
                <w:color w:val="auto"/>
              </w:rPr>
            </w:pPr>
            <w:r>
              <w:rPr>
                <w:rFonts w:ascii="Arial" w:cs="Arial" w:eastAsia="Arial" w:hAnsi="Arial"/>
                <w:sz w:val="18"/>
                <w:szCs w:val="18"/>
                <w:color w:val="auto"/>
              </w:rPr>
              <w:t>Netherlands</w:t>
            </w:r>
          </w:p>
        </w:tc>
      </w:tr>
      <w:tr>
        <w:trPr>
          <w:trHeight w:val="27"/>
        </w:trPr>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Netherlands B.V.</w:t>
            </w:r>
          </w:p>
        </w:tc>
        <w:tc>
          <w:tcPr>
            <w:tcW w:w="4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Netherlands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Deltek Norge AS</w:t>
            </w:r>
          </w:p>
        </w:tc>
        <w:tc>
          <w:tcPr>
            <w:tcW w:w="4560" w:type="dxa"/>
            <w:vAlign w:val="bottom"/>
          </w:tcPr>
          <w:p>
            <w:pPr>
              <w:ind w:left="1140"/>
              <w:spacing w:after="0"/>
              <w:rPr>
                <w:sz w:val="20"/>
                <w:szCs w:val="20"/>
                <w:color w:val="auto"/>
              </w:rPr>
            </w:pPr>
            <w:r>
              <w:rPr>
                <w:rFonts w:ascii="Arial" w:cs="Arial" w:eastAsia="Arial" w:hAnsi="Arial"/>
                <w:sz w:val="18"/>
                <w:szCs w:val="18"/>
                <w:color w:val="auto"/>
              </w:rPr>
              <w:t>Norway</w:t>
            </w:r>
          </w:p>
        </w:tc>
      </w:tr>
    </w:tbl>
    <w:p>
      <w:pPr>
        <w:sectPr>
          <w:pgSz w:w="11900" w:h="16838" w:orient="portrait"/>
          <w:cols w:equalWidth="0" w:num="1">
            <w:col w:w="9220"/>
          </w:cols>
          <w:pgMar w:left="1340" w:top="950" w:right="1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Deltek Systems (Canada), Inc.</w:t>
            </w:r>
          </w:p>
        </w:tc>
        <w:tc>
          <w:tcPr>
            <w:tcW w:w="4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Canada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Deltek Systems (Colorado) Inc.</w:t>
            </w:r>
          </w:p>
        </w:tc>
        <w:tc>
          <w:tcPr>
            <w:tcW w:w="4460" w:type="dxa"/>
            <w:vAlign w:val="bottom"/>
          </w:tcPr>
          <w:p>
            <w:pPr>
              <w:ind w:left="1040"/>
              <w:spacing w:after="0"/>
              <w:rPr>
                <w:sz w:val="20"/>
                <w:szCs w:val="20"/>
                <w:color w:val="auto"/>
              </w:rPr>
            </w:pPr>
            <w:r>
              <w:rPr>
                <w:rFonts w:ascii="Arial" w:cs="Arial" w:eastAsia="Arial" w:hAnsi="Arial"/>
                <w:sz w:val="18"/>
                <w:szCs w:val="18"/>
                <w:color w:val="auto"/>
              </w:rPr>
              <w:t>Wyoming</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Systems (Philippines) Ltd.</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Virginia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Deltek Sverige AB</w:t>
            </w:r>
          </w:p>
        </w:tc>
        <w:tc>
          <w:tcPr>
            <w:tcW w:w="4460" w:type="dxa"/>
            <w:vAlign w:val="bottom"/>
          </w:tcPr>
          <w:p>
            <w:pPr>
              <w:ind w:left="1040"/>
              <w:spacing w:after="0"/>
              <w:rPr>
                <w:sz w:val="20"/>
                <w:szCs w:val="20"/>
                <w:color w:val="auto"/>
              </w:rPr>
            </w:pPr>
            <w:r>
              <w:rPr>
                <w:rFonts w:ascii="Arial" w:cs="Arial" w:eastAsia="Arial" w:hAnsi="Arial"/>
                <w:sz w:val="18"/>
                <w:szCs w:val="18"/>
                <w:color w:val="auto"/>
              </w:rPr>
              <w:t>Sweden</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Deltek WST LLC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Texas</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DI Acquisition Subsidiary, Inc.</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 Dutch Holdings LLC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DI Hong Kong Limited</w:t>
            </w:r>
          </w:p>
        </w:tc>
        <w:tc>
          <w:tcPr>
            <w:tcW w:w="4460" w:type="dxa"/>
            <w:vAlign w:val="bottom"/>
          </w:tcPr>
          <w:p>
            <w:pPr>
              <w:ind w:left="1040"/>
              <w:spacing w:after="0"/>
              <w:rPr>
                <w:sz w:val="20"/>
                <w:szCs w:val="20"/>
                <w:color w:val="auto"/>
              </w:rPr>
            </w:pPr>
            <w:r>
              <w:rPr>
                <w:rFonts w:ascii="Arial" w:cs="Arial" w:eastAsia="Arial" w:hAnsi="Arial"/>
                <w:sz w:val="18"/>
                <w:szCs w:val="18"/>
                <w:color w:val="auto"/>
              </w:rPr>
              <w:t>Hong Kong</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Dominion I,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Dynamic Instruments, Inc.</w:t>
            </w:r>
          </w:p>
        </w:tc>
        <w:tc>
          <w:tcPr>
            <w:tcW w:w="4460" w:type="dxa"/>
            <w:vAlign w:val="bottom"/>
          </w:tcPr>
          <w:p>
            <w:pPr>
              <w:ind w:left="1040"/>
              <w:spacing w:after="0"/>
              <w:rPr>
                <w:sz w:val="20"/>
                <w:szCs w:val="20"/>
                <w:color w:val="auto"/>
              </w:rPr>
            </w:pPr>
            <w:r>
              <w:rPr>
                <w:rFonts w:ascii="Arial" w:cs="Arial" w:eastAsia="Arial" w:hAnsi="Arial"/>
                <w:sz w:val="18"/>
                <w:szCs w:val="18"/>
                <w:color w:val="auto"/>
              </w:rPr>
              <w:t>California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Enterprises GmbH</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Enterprises, LLC</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Europe GmbH</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Holding GmbH</w:t>
            </w:r>
          </w:p>
        </w:tc>
        <w:tc>
          <w:tcPr>
            <w:tcW w:w="4460" w:type="dxa"/>
            <w:vAlign w:val="bottom"/>
          </w:tcPr>
          <w:p>
            <w:pPr>
              <w:ind w:left="1040"/>
              <w:spacing w:after="0"/>
              <w:rPr>
                <w:sz w:val="20"/>
                <w:szCs w:val="20"/>
                <w:color w:val="auto"/>
              </w:rPr>
            </w:pPr>
            <w:r>
              <w:rPr>
                <w:rFonts w:ascii="Arial" w:cs="Arial" w:eastAsia="Arial" w:hAnsi="Arial"/>
                <w:sz w:val="18"/>
                <w:szCs w:val="18"/>
                <w:color w:val="auto"/>
              </w:rPr>
              <w:t>Germany</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Hong Kong Holdings, Limited</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Hong Kong</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Instruments LLC</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Instruments S.a.r.l.</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France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LLC</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Parent,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S.r.l.</w:t>
            </w:r>
          </w:p>
        </w:tc>
        <w:tc>
          <w:tcPr>
            <w:tcW w:w="4460" w:type="dxa"/>
            <w:vAlign w:val="bottom"/>
          </w:tcPr>
          <w:p>
            <w:pPr>
              <w:ind w:left="1040"/>
              <w:spacing w:after="0"/>
              <w:rPr>
                <w:sz w:val="20"/>
                <w:szCs w:val="20"/>
                <w:color w:val="auto"/>
              </w:rPr>
            </w:pPr>
            <w:r>
              <w:rPr>
                <w:rFonts w:ascii="Arial" w:cs="Arial" w:eastAsia="Arial" w:hAnsi="Arial"/>
                <w:sz w:val="18"/>
                <w:szCs w:val="18"/>
                <w:color w:val="auto"/>
              </w:rPr>
              <w:t>Italy</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Shanghai Sensor and Instrument Co., Ltd.</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 –Viatran (M) Sdn Bhd</w:t>
            </w:r>
          </w:p>
        </w:tc>
        <w:tc>
          <w:tcPr>
            <w:tcW w:w="4460" w:type="dxa"/>
            <w:vAlign w:val="bottom"/>
          </w:tcPr>
          <w:p>
            <w:pPr>
              <w:ind w:left="1040"/>
              <w:spacing w:after="0"/>
              <w:rPr>
                <w:sz w:val="20"/>
                <w:szCs w:val="20"/>
                <w:color w:val="auto"/>
              </w:rPr>
            </w:pPr>
            <w:r>
              <w:rPr>
                <w:rFonts w:ascii="Arial" w:cs="Arial" w:eastAsia="Arial" w:hAnsi="Arial"/>
                <w:sz w:val="18"/>
                <w:szCs w:val="18"/>
                <w:color w:val="auto"/>
              </w:rPr>
              <w:t>Malaysia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Dynisco Viatran LLC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Dynisco-Viatran Instrument Sdn Bhd</w:t>
            </w:r>
          </w:p>
        </w:tc>
        <w:tc>
          <w:tcPr>
            <w:tcW w:w="4460" w:type="dxa"/>
            <w:vAlign w:val="bottom"/>
          </w:tcPr>
          <w:p>
            <w:pPr>
              <w:ind w:left="1040"/>
              <w:spacing w:after="0"/>
              <w:rPr>
                <w:sz w:val="20"/>
                <w:szCs w:val="20"/>
                <w:color w:val="auto"/>
              </w:rPr>
            </w:pPr>
            <w:r>
              <w:rPr>
                <w:rFonts w:ascii="Arial" w:cs="Arial" w:eastAsia="Arial" w:hAnsi="Arial"/>
                <w:sz w:val="18"/>
                <w:szCs w:val="18"/>
                <w:color w:val="auto"/>
              </w:rPr>
              <w:t>Malaysia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Fluid Metering,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FMS Purchasing &amp; Services, Inc.</w:t>
            </w:r>
          </w:p>
        </w:tc>
        <w:tc>
          <w:tcPr>
            <w:tcW w:w="4460" w:type="dxa"/>
            <w:vAlign w:val="bottom"/>
          </w:tcPr>
          <w:p>
            <w:pPr>
              <w:ind w:left="1040"/>
              <w:spacing w:after="0"/>
              <w:rPr>
                <w:sz w:val="20"/>
                <w:szCs w:val="20"/>
                <w:color w:val="auto"/>
              </w:rPr>
            </w:pPr>
            <w:r>
              <w:rPr>
                <w:rFonts w:ascii="Arial" w:cs="Arial" w:eastAsia="Arial" w:hAnsi="Arial"/>
                <w:sz w:val="18"/>
                <w:szCs w:val="18"/>
                <w:color w:val="auto"/>
              </w:rPr>
              <w:t>Florida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Foodlink Holdings,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California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Foodlink IT India Private Limited</w:t>
            </w:r>
          </w:p>
        </w:tc>
        <w:tc>
          <w:tcPr>
            <w:tcW w:w="4460" w:type="dxa"/>
            <w:vAlign w:val="bottom"/>
          </w:tcPr>
          <w:p>
            <w:pPr>
              <w:ind w:left="1040"/>
              <w:spacing w:after="0"/>
              <w:rPr>
                <w:sz w:val="20"/>
                <w:szCs w:val="20"/>
                <w:color w:val="auto"/>
              </w:rPr>
            </w:pPr>
            <w:r>
              <w:rPr>
                <w:rFonts w:ascii="Arial" w:cs="Arial" w:eastAsia="Arial" w:hAnsi="Arial"/>
                <w:sz w:val="18"/>
                <w:szCs w:val="18"/>
                <w:color w:val="auto"/>
              </w:rPr>
              <w:t>India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FSI Holdings,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Virginia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FTI Flow Technology, Inc.</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Gatan GmbH</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Gatan Inc.</w:t>
            </w:r>
          </w:p>
        </w:tc>
        <w:tc>
          <w:tcPr>
            <w:tcW w:w="4460" w:type="dxa"/>
            <w:vAlign w:val="bottom"/>
          </w:tcPr>
          <w:p>
            <w:pPr>
              <w:ind w:left="1040"/>
              <w:spacing w:after="0"/>
              <w:rPr>
                <w:sz w:val="20"/>
                <w:szCs w:val="20"/>
                <w:color w:val="auto"/>
              </w:rPr>
            </w:pPr>
            <w:r>
              <w:rPr>
                <w:rFonts w:ascii="Arial" w:cs="Arial" w:eastAsia="Arial" w:hAnsi="Arial"/>
                <w:sz w:val="18"/>
                <w:szCs w:val="18"/>
                <w:color w:val="auto"/>
              </w:rPr>
              <w:t>Pennsylvania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Gatan Service Corporation</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Pennsylvania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Gatan U.K. Limited</w:t>
            </w:r>
          </w:p>
        </w:tc>
        <w:tc>
          <w:tcPr>
            <w:tcW w:w="4460" w:type="dxa"/>
            <w:vAlign w:val="bottom"/>
          </w:tcPr>
          <w:p>
            <w:pPr>
              <w:ind w:left="1040"/>
              <w:spacing w:after="0"/>
              <w:rPr>
                <w:sz w:val="20"/>
                <w:szCs w:val="20"/>
                <w:color w:val="auto"/>
              </w:rPr>
            </w:pPr>
            <w:r>
              <w:rPr>
                <w:rFonts w:ascii="Arial" w:cs="Arial" w:eastAsia="Arial" w:hAnsi="Arial"/>
                <w:sz w:val="18"/>
                <w:szCs w:val="18"/>
                <w:color w:val="auto"/>
              </w:rPr>
              <w:t>United Kingdom</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GeneInsight,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Getloaded Corporation</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Guangzhou MEDTEC Medical Device Co., Ltd</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China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Handshake Software, Inc.</w:t>
            </w:r>
          </w:p>
        </w:tc>
        <w:tc>
          <w:tcPr>
            <w:tcW w:w="4460" w:type="dxa"/>
            <w:vAlign w:val="bottom"/>
          </w:tcPr>
          <w:p>
            <w:pPr>
              <w:ind w:left="1040"/>
              <w:spacing w:after="0"/>
              <w:rPr>
                <w:sz w:val="20"/>
                <w:szCs w:val="20"/>
                <w:color w:val="auto"/>
              </w:rPr>
            </w:pPr>
            <w:r>
              <w:rPr>
                <w:rFonts w:ascii="Arial" w:cs="Arial" w:eastAsia="Arial" w:hAnsi="Arial"/>
                <w:sz w:val="18"/>
                <w:szCs w:val="18"/>
                <w:color w:val="auto"/>
              </w:rPr>
              <w:t>Georgia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Hansco Automatisering B.V.</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Netherlands</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Hansen Technologies Corporation</w:t>
            </w:r>
          </w:p>
        </w:tc>
        <w:tc>
          <w:tcPr>
            <w:tcW w:w="4460" w:type="dxa"/>
            <w:vAlign w:val="bottom"/>
          </w:tcPr>
          <w:p>
            <w:pPr>
              <w:ind w:left="1040"/>
              <w:spacing w:after="0"/>
              <w:rPr>
                <w:sz w:val="20"/>
                <w:szCs w:val="20"/>
                <w:color w:val="auto"/>
              </w:rPr>
            </w:pPr>
            <w:r>
              <w:rPr>
                <w:rFonts w:ascii="Arial" w:cs="Arial" w:eastAsia="Arial" w:hAnsi="Arial"/>
                <w:sz w:val="18"/>
                <w:szCs w:val="18"/>
                <w:color w:val="auto"/>
              </w:rPr>
              <w:t>Illinios</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Hansen Technologies Europe GmbH</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Germany</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Harbour Holding Corp.</w:t>
            </w:r>
          </w:p>
        </w:tc>
        <w:tc>
          <w:tcPr>
            <w:tcW w:w="446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Hardy Process Solutions</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California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Horizon Software International, LLC</w:t>
            </w:r>
          </w:p>
        </w:tc>
        <w:tc>
          <w:tcPr>
            <w:tcW w:w="4460" w:type="dxa"/>
            <w:vAlign w:val="bottom"/>
          </w:tcPr>
          <w:p>
            <w:pPr>
              <w:ind w:left="1040"/>
              <w:spacing w:after="0"/>
              <w:rPr>
                <w:sz w:val="20"/>
                <w:szCs w:val="20"/>
                <w:color w:val="auto"/>
              </w:rPr>
            </w:pPr>
            <w:r>
              <w:rPr>
                <w:rFonts w:ascii="Arial" w:cs="Arial" w:eastAsia="Arial" w:hAnsi="Arial"/>
                <w:sz w:val="18"/>
                <w:szCs w:val="18"/>
                <w:color w:val="auto"/>
              </w:rPr>
              <w:t>Georgia</w:t>
            </w:r>
          </w:p>
        </w:tc>
      </w:tr>
      <w:tr>
        <w:trPr>
          <w:trHeight w:val="27"/>
        </w:trPr>
        <w:tc>
          <w:tcPr>
            <w:tcW w:w="47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HRsmart Canada Inc.</w:t>
            </w:r>
          </w:p>
        </w:tc>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Canada</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HRsmart Czech Republic</w:t>
            </w:r>
          </w:p>
        </w:tc>
        <w:tc>
          <w:tcPr>
            <w:tcW w:w="4460" w:type="dxa"/>
            <w:vAlign w:val="bottom"/>
          </w:tcPr>
          <w:p>
            <w:pPr>
              <w:ind w:left="1040"/>
              <w:spacing w:after="0"/>
              <w:rPr>
                <w:sz w:val="20"/>
                <w:szCs w:val="20"/>
                <w:color w:val="auto"/>
              </w:rPr>
            </w:pPr>
            <w:r>
              <w:rPr>
                <w:rFonts w:ascii="Arial" w:cs="Arial" w:eastAsia="Arial" w:hAnsi="Arial"/>
                <w:sz w:val="18"/>
                <w:szCs w:val="18"/>
                <w:color w:val="auto"/>
              </w:rPr>
              <w:t>Czech Republic</w:t>
            </w:r>
          </w:p>
        </w:tc>
      </w:tr>
    </w:tbl>
    <w:p>
      <w:pPr>
        <w:sectPr>
          <w:pgSz w:w="11900" w:h="16838" w:orient="portrait"/>
          <w:cols w:equalWidth="0" w:num="1">
            <w:col w:w="9220"/>
          </w:cols>
          <w:pgMar w:left="1340" w:top="950" w:right="1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HRsmart France SAS</w:t>
            </w: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France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HRsmart Germany GmbH</w:t>
            </w:r>
          </w:p>
        </w:tc>
        <w:tc>
          <w:tcPr>
            <w:tcW w:w="4280" w:type="dxa"/>
            <w:vAlign w:val="bottom"/>
          </w:tcPr>
          <w:p>
            <w:pPr>
              <w:ind w:left="860"/>
              <w:spacing w:after="0"/>
              <w:rPr>
                <w:sz w:val="20"/>
                <w:szCs w:val="20"/>
                <w:color w:val="auto"/>
              </w:rPr>
            </w:pPr>
            <w:r>
              <w:rPr>
                <w:rFonts w:ascii="Arial" w:cs="Arial" w:eastAsia="Arial" w:hAnsi="Arial"/>
                <w:sz w:val="18"/>
                <w:szCs w:val="18"/>
                <w:color w:val="auto"/>
              </w:rPr>
              <w:t>Germany</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HRsmart, Inc.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HRsmart International</w:t>
            </w:r>
          </w:p>
        </w:tc>
        <w:tc>
          <w:tcPr>
            <w:tcW w:w="4280" w:type="dxa"/>
            <w:vAlign w:val="bottom"/>
          </w:tcPr>
          <w:p>
            <w:pPr>
              <w:ind w:left="860"/>
              <w:spacing w:after="0"/>
              <w:rPr>
                <w:sz w:val="20"/>
                <w:szCs w:val="20"/>
                <w:color w:val="auto"/>
              </w:rPr>
            </w:pPr>
            <w:r>
              <w:rPr>
                <w:rFonts w:ascii="Arial" w:cs="Arial" w:eastAsia="Arial" w:hAnsi="Arial"/>
                <w:sz w:val="18"/>
                <w:szCs w:val="18"/>
                <w:color w:val="auto"/>
              </w:rPr>
              <w:t>Cayman Islands</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HRsmart International Holdings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Texas</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HRsmart Mexico</w:t>
            </w:r>
          </w:p>
        </w:tc>
        <w:tc>
          <w:tcPr>
            <w:tcW w:w="4280" w:type="dxa"/>
            <w:vAlign w:val="bottom"/>
          </w:tcPr>
          <w:p>
            <w:pPr>
              <w:ind w:left="860"/>
              <w:spacing w:after="0"/>
              <w:rPr>
                <w:sz w:val="20"/>
                <w:szCs w:val="20"/>
                <w:color w:val="auto"/>
              </w:rPr>
            </w:pPr>
            <w:r>
              <w:rPr>
                <w:rFonts w:ascii="Arial" w:cs="Arial" w:eastAsia="Arial" w:hAnsi="Arial"/>
                <w:sz w:val="18"/>
                <w:szCs w:val="18"/>
                <w:color w:val="auto"/>
              </w:rPr>
              <w:t>Mexico</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HRsmart SA (Pty) Ltd.</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South Africa</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HRsmart Talent Management Solutions Europe Limited</w:t>
            </w:r>
          </w:p>
        </w:tc>
        <w:tc>
          <w:tcPr>
            <w:tcW w:w="428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HRsmart Ventures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Texas</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Innovative Product Achievements, LLC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Inovonics Corporation</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Colorado</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INPUT,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Input S.A.R.L.</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France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Instill Corporation</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Integrated Designs, L.P.</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Intellitrans Canada Ltd.</w:t>
            </w:r>
          </w:p>
        </w:tc>
        <w:tc>
          <w:tcPr>
            <w:tcW w:w="4280" w:type="dxa"/>
            <w:vAlign w:val="bottom"/>
          </w:tcPr>
          <w:p>
            <w:pPr>
              <w:ind w:left="860"/>
              <w:spacing w:after="0"/>
              <w:rPr>
                <w:sz w:val="20"/>
                <w:szCs w:val="20"/>
                <w:color w:val="auto"/>
              </w:rPr>
            </w:pPr>
            <w:r>
              <w:rPr>
                <w:rFonts w:ascii="Arial" w:cs="Arial" w:eastAsia="Arial" w:hAnsi="Arial"/>
                <w:sz w:val="18"/>
                <w:szCs w:val="18"/>
                <w:color w:val="auto"/>
              </w:rPr>
              <w:t>Canada</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IntelliTrans Limited</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Intellitrans Sweden AB</w:t>
            </w:r>
          </w:p>
        </w:tc>
        <w:tc>
          <w:tcPr>
            <w:tcW w:w="4280" w:type="dxa"/>
            <w:vAlign w:val="bottom"/>
          </w:tcPr>
          <w:p>
            <w:pPr>
              <w:ind w:left="860"/>
              <w:spacing w:after="0"/>
              <w:rPr>
                <w:sz w:val="20"/>
                <w:szCs w:val="20"/>
                <w:color w:val="auto"/>
              </w:rPr>
            </w:pPr>
            <w:r>
              <w:rPr>
                <w:rFonts w:ascii="Arial" w:cs="Arial" w:eastAsia="Arial" w:hAnsi="Arial"/>
                <w:sz w:val="18"/>
                <w:szCs w:val="18"/>
                <w:color w:val="auto"/>
              </w:rPr>
              <w:t>Sweden</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Intellitrans,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IPA Acquisition Subsidiary,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ISL Finance SAS</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France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ISL Holding, SAS</w:t>
            </w:r>
          </w:p>
        </w:tc>
        <w:tc>
          <w:tcPr>
            <w:tcW w:w="4280" w:type="dxa"/>
            <w:vAlign w:val="bottom"/>
          </w:tcPr>
          <w:p>
            <w:pPr>
              <w:ind w:left="860"/>
              <w:spacing w:after="0"/>
              <w:rPr>
                <w:sz w:val="20"/>
                <w:szCs w:val="20"/>
                <w:color w:val="auto"/>
              </w:rPr>
            </w:pPr>
            <w:r>
              <w:rPr>
                <w:rFonts w:ascii="Arial" w:cs="Arial" w:eastAsia="Arial" w:hAnsi="Arial"/>
                <w:sz w:val="18"/>
                <w:szCs w:val="18"/>
                <w:color w:val="auto"/>
              </w:rPr>
              <w:t>France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ISL Scientifique de Laboratorie - ISL, S.A.S.</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France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iSqFt Holdings,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iSqFt Parent Corporation</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iSqFt Sub,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 Canada Holdings,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iTradenetwork Limited</w:t>
            </w:r>
          </w:p>
        </w:tc>
        <w:tc>
          <w:tcPr>
            <w:tcW w:w="428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iTradeNetwork, Inc.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Job Access LTDA</w:t>
            </w:r>
          </w:p>
        </w:tc>
        <w:tc>
          <w:tcPr>
            <w:tcW w:w="4280" w:type="dxa"/>
            <w:vAlign w:val="bottom"/>
          </w:tcPr>
          <w:p>
            <w:pPr>
              <w:ind w:left="860"/>
              <w:spacing w:after="0"/>
              <w:rPr>
                <w:sz w:val="20"/>
                <w:szCs w:val="20"/>
                <w:color w:val="auto"/>
              </w:rPr>
            </w:pPr>
            <w:r>
              <w:rPr>
                <w:rFonts w:ascii="Arial" w:cs="Arial" w:eastAsia="Arial" w:hAnsi="Arial"/>
                <w:sz w:val="18"/>
                <w:szCs w:val="18"/>
                <w:color w:val="auto"/>
              </w:rPr>
              <w:t>Brazil</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K/S Roper Holding</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Denmark</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K/S Roper Investments</w:t>
            </w:r>
          </w:p>
        </w:tc>
        <w:tc>
          <w:tcPr>
            <w:tcW w:w="4280" w:type="dxa"/>
            <w:vAlign w:val="bottom"/>
          </w:tcPr>
          <w:p>
            <w:pPr>
              <w:ind w:left="860"/>
              <w:spacing w:after="0"/>
              <w:rPr>
                <w:sz w:val="20"/>
                <w:szCs w:val="20"/>
                <w:color w:val="auto"/>
              </w:rPr>
            </w:pPr>
            <w:r>
              <w:rPr>
                <w:rFonts w:ascii="Arial" w:cs="Arial" w:eastAsia="Arial" w:hAnsi="Arial"/>
                <w:sz w:val="18"/>
                <w:szCs w:val="18"/>
                <w:color w:val="auto"/>
              </w:rPr>
              <w:t>Denmark</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Link Logistics Holding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Logitech Limited</w:t>
            </w:r>
          </w:p>
        </w:tc>
        <w:tc>
          <w:tcPr>
            <w:tcW w:w="4280" w:type="dxa"/>
            <w:vAlign w:val="bottom"/>
          </w:tcPr>
          <w:p>
            <w:pPr>
              <w:ind w:left="860"/>
              <w:spacing w:after="0"/>
              <w:rPr>
                <w:sz w:val="20"/>
                <w:szCs w:val="20"/>
                <w:color w:val="auto"/>
              </w:rPr>
            </w:pPr>
            <w:r>
              <w:rPr>
                <w:rFonts w:ascii="Arial" w:cs="Arial" w:eastAsia="Arial" w:hAnsi="Arial"/>
                <w:sz w:val="18"/>
                <w:szCs w:val="18"/>
                <w:color w:val="auto"/>
              </w:rPr>
              <w:t>United Kingdom</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 U.K. Limited</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United Kingdom</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Lumenera Corporation</w:t>
            </w:r>
          </w:p>
        </w:tc>
        <w:tc>
          <w:tcPr>
            <w:tcW w:w="4280" w:type="dxa"/>
            <w:vAlign w:val="bottom"/>
          </w:tcPr>
          <w:p>
            <w:pPr>
              <w:ind w:left="860"/>
              <w:spacing w:after="0"/>
              <w:rPr>
                <w:sz w:val="20"/>
                <w:szCs w:val="20"/>
                <w:color w:val="auto"/>
              </w:rPr>
            </w:pPr>
            <w:r>
              <w:rPr>
                <w:rFonts w:ascii="Arial" w:cs="Arial" w:eastAsia="Arial" w:hAnsi="Arial"/>
                <w:sz w:val="18"/>
                <w:szCs w:val="18"/>
                <w:color w:val="auto"/>
              </w:rPr>
              <w:t>Canada</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Managed Health Care Associates, Inc.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Marumoto Struers K.K.</w:t>
            </w:r>
          </w:p>
        </w:tc>
        <w:tc>
          <w:tcPr>
            <w:tcW w:w="4280" w:type="dxa"/>
            <w:vAlign w:val="bottom"/>
          </w:tcPr>
          <w:p>
            <w:pPr>
              <w:ind w:left="860"/>
              <w:spacing w:after="0"/>
              <w:rPr>
                <w:sz w:val="20"/>
                <w:szCs w:val="20"/>
                <w:color w:val="auto"/>
              </w:rPr>
            </w:pPr>
            <w:r>
              <w:rPr>
                <w:rFonts w:ascii="Arial" w:cs="Arial" w:eastAsia="Arial" w:hAnsi="Arial"/>
                <w:sz w:val="18"/>
                <w:szCs w:val="18"/>
                <w:color w:val="auto"/>
              </w:rPr>
              <w:t>Japan</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 Professional Services,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Media Cybernetics,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Information Professional Systems GmbH</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Germany</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Medical Information Professional Systems NV</w:t>
            </w:r>
          </w:p>
        </w:tc>
        <w:tc>
          <w:tcPr>
            <w:tcW w:w="4280" w:type="dxa"/>
            <w:vAlign w:val="bottom"/>
          </w:tcPr>
          <w:p>
            <w:pPr>
              <w:ind w:left="860"/>
              <w:spacing w:after="0"/>
              <w:rPr>
                <w:sz w:val="20"/>
                <w:szCs w:val="20"/>
                <w:color w:val="auto"/>
              </w:rPr>
            </w:pPr>
            <w:r>
              <w:rPr>
                <w:rFonts w:ascii="Arial" w:cs="Arial" w:eastAsia="Arial" w:hAnsi="Arial"/>
                <w:sz w:val="18"/>
                <w:szCs w:val="18"/>
                <w:color w:val="auto"/>
              </w:rPr>
              <w:t>Belgium</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Medina Acquisition LLC</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MEDTEC, Inc.</w:t>
            </w:r>
          </w:p>
        </w:tc>
        <w:tc>
          <w:tcPr>
            <w:tcW w:w="4280" w:type="dxa"/>
            <w:vAlign w:val="bottom"/>
          </w:tcPr>
          <w:p>
            <w:pPr>
              <w:ind w:left="860"/>
              <w:spacing w:after="0"/>
              <w:rPr>
                <w:sz w:val="20"/>
                <w:szCs w:val="20"/>
                <w:color w:val="auto"/>
              </w:rPr>
            </w:pPr>
            <w:r>
              <w:rPr>
                <w:rFonts w:ascii="Arial" w:cs="Arial" w:eastAsia="Arial" w:hAnsi="Arial"/>
                <w:sz w:val="18"/>
                <w:szCs w:val="18"/>
                <w:color w:val="auto"/>
              </w:rPr>
              <w:t>Iowa</w:t>
            </w:r>
          </w:p>
        </w:tc>
      </w:tr>
      <w:tr>
        <w:trPr>
          <w:trHeight w:val="27"/>
        </w:trPr>
        <w:tc>
          <w:tcPr>
            <w:tcW w:w="494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Metrix Instrument Co., L.P.</w:t>
            </w:r>
          </w:p>
        </w:tc>
        <w:tc>
          <w:tcPr>
            <w:tcW w:w="4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MHA Long Term Care Network, Inc.</w:t>
            </w:r>
          </w:p>
        </w:tc>
        <w:tc>
          <w:tcPr>
            <w:tcW w:w="4280" w:type="dxa"/>
            <w:vAlign w:val="bottom"/>
          </w:tcPr>
          <w:p>
            <w:pPr>
              <w:ind w:left="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220"/>
          </w:cols>
          <w:pgMar w:left="1340" w:top="950" w:right="1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MIPS Austria GesmbH</w:t>
            </w:r>
          </w:p>
        </w:tc>
        <w:tc>
          <w:tcPr>
            <w:tcW w:w="4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Austria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MIPS CZ s.r.o</w:t>
            </w:r>
          </w:p>
        </w:tc>
        <w:tc>
          <w:tcPr>
            <w:tcW w:w="4000" w:type="dxa"/>
            <w:vAlign w:val="bottom"/>
          </w:tcPr>
          <w:p>
            <w:pPr>
              <w:ind w:left="580"/>
              <w:spacing w:after="0"/>
              <w:rPr>
                <w:sz w:val="20"/>
                <w:szCs w:val="20"/>
                <w:color w:val="auto"/>
              </w:rPr>
            </w:pPr>
            <w:r>
              <w:rPr>
                <w:rFonts w:ascii="Arial" w:cs="Arial" w:eastAsia="Arial" w:hAnsi="Arial"/>
                <w:sz w:val="18"/>
                <w:szCs w:val="18"/>
                <w:color w:val="auto"/>
              </w:rPr>
              <w:t>Czech Republic</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MIPS Deutschland GmbH &amp; Co. KG</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Germany</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MIPS Deutschland Holding GmbH</w:t>
            </w:r>
          </w:p>
        </w:tc>
        <w:tc>
          <w:tcPr>
            <w:tcW w:w="400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MIPS France Sarl</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France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MIPS Nederland B.V.</w:t>
            </w:r>
          </w:p>
        </w:tc>
        <w:tc>
          <w:tcPr>
            <w:tcW w:w="4000" w:type="dxa"/>
            <w:vAlign w:val="bottom"/>
          </w:tcPr>
          <w:p>
            <w:pPr>
              <w:ind w:left="580"/>
              <w:spacing w:after="0"/>
              <w:rPr>
                <w:sz w:val="20"/>
                <w:szCs w:val="20"/>
                <w:color w:val="auto"/>
              </w:rPr>
            </w:pPr>
            <w:r>
              <w:rPr>
                <w:rFonts w:ascii="Arial" w:cs="Arial" w:eastAsia="Arial" w:hAnsi="Arial"/>
                <w:sz w:val="18"/>
                <w:szCs w:val="18"/>
                <w:color w:val="auto"/>
              </w:rPr>
              <w:t>Netherlands</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MIPS Schweiz AG</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Switzerland</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MIPS Software Iberica SL</w:t>
            </w:r>
          </w:p>
        </w:tc>
        <w:tc>
          <w:tcPr>
            <w:tcW w:w="4000" w:type="dxa"/>
            <w:vAlign w:val="bottom"/>
          </w:tcPr>
          <w:p>
            <w:pPr>
              <w:ind w:left="580"/>
              <w:spacing w:after="0"/>
              <w:rPr>
                <w:sz w:val="20"/>
                <w:szCs w:val="20"/>
                <w:color w:val="auto"/>
              </w:rPr>
            </w:pPr>
            <w:r>
              <w:rPr>
                <w:rFonts w:ascii="Arial" w:cs="Arial" w:eastAsia="Arial" w:hAnsi="Arial"/>
                <w:sz w:val="18"/>
                <w:szCs w:val="18"/>
                <w:color w:val="auto"/>
              </w:rPr>
              <w:t>Spain</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MPR Readers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mySBX Corporation</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Navigator Group Purchasing,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Tennessee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NDI Europe GmbH</w:t>
            </w:r>
          </w:p>
        </w:tc>
        <w:tc>
          <w:tcPr>
            <w:tcW w:w="4000" w:type="dxa"/>
            <w:vAlign w:val="bottom"/>
          </w:tcPr>
          <w:p>
            <w:pPr>
              <w:ind w:left="580"/>
              <w:spacing w:after="0"/>
              <w:rPr>
                <w:sz w:val="20"/>
                <w:szCs w:val="20"/>
                <w:color w:val="auto"/>
              </w:rPr>
            </w:pPr>
            <w:r>
              <w:rPr>
                <w:rFonts w:ascii="Arial" w:cs="Arial" w:eastAsia="Arial" w:hAnsi="Arial"/>
                <w:sz w:val="18"/>
                <w:szCs w:val="18"/>
                <w:color w:val="auto"/>
              </w:rPr>
              <w:t>Germany</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Neptune Technology Group (Canada) Co.</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Neptune Technology Group Inc.</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Neptune Technology Group Mexico S.de R.L. de C.V.</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Mexico</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Neptune Technology Group Mexico Services S. de R.L. de C.V.</w:t>
            </w:r>
          </w:p>
        </w:tc>
        <w:tc>
          <w:tcPr>
            <w:tcW w:w="4000" w:type="dxa"/>
            <w:vAlign w:val="bottom"/>
          </w:tcPr>
          <w:p>
            <w:pPr>
              <w:ind w:left="580"/>
              <w:spacing w:after="0"/>
              <w:rPr>
                <w:sz w:val="20"/>
                <w:szCs w:val="20"/>
                <w:color w:val="auto"/>
              </w:rPr>
            </w:pPr>
            <w:r>
              <w:rPr>
                <w:rFonts w:ascii="Arial" w:cs="Arial" w:eastAsia="Arial" w:hAnsi="Arial"/>
                <w:sz w:val="18"/>
                <w:szCs w:val="18"/>
                <w:color w:val="auto"/>
              </w:rPr>
              <w:t>Mexico</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Neptune Technology Group Services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Nippon Roper K.K.</w:t>
            </w:r>
          </w:p>
        </w:tc>
        <w:tc>
          <w:tcPr>
            <w:tcW w:w="400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Northern Digital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Off-Campus Advantage, LLC</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Omega Legal Systems,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Arizona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PAC Denmark ApS</w:t>
            </w:r>
          </w:p>
        </w:tc>
        <w:tc>
          <w:tcPr>
            <w:tcW w:w="4000" w:type="dxa"/>
            <w:vAlign w:val="bottom"/>
          </w:tcPr>
          <w:p>
            <w:pPr>
              <w:ind w:left="580"/>
              <w:spacing w:after="0"/>
              <w:rPr>
                <w:sz w:val="20"/>
                <w:szCs w:val="20"/>
                <w:color w:val="auto"/>
              </w:rPr>
            </w:pPr>
            <w:r>
              <w:rPr>
                <w:rFonts w:ascii="Arial" w:cs="Arial" w:eastAsia="Arial" w:hAnsi="Arial"/>
                <w:sz w:val="18"/>
                <w:szCs w:val="18"/>
                <w:color w:val="auto"/>
              </w:rPr>
              <w:t>Netherlands</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 GmbH</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Germany</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PAC Instruments Asia PTE. Ltd.</w:t>
            </w:r>
          </w:p>
        </w:tc>
        <w:tc>
          <w:tcPr>
            <w:tcW w:w="4000" w:type="dxa"/>
            <w:vAlign w:val="bottom"/>
          </w:tcPr>
          <w:p>
            <w:pPr>
              <w:ind w:left="580"/>
              <w:spacing w:after="0"/>
              <w:rPr>
                <w:sz w:val="20"/>
                <w:szCs w:val="20"/>
                <w:color w:val="auto"/>
              </w:rPr>
            </w:pPr>
            <w:r>
              <w:rPr>
                <w:rFonts w:ascii="Arial" w:cs="Arial" w:eastAsia="Arial" w:hAnsi="Arial"/>
                <w:sz w:val="18"/>
                <w:szCs w:val="18"/>
                <w:color w:val="auto"/>
              </w:rPr>
              <w:t>Singapore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 Instruments (Thailand) Company Limited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Thailand</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PAC (Shanghai) Co. Ltd.</w:t>
            </w:r>
          </w:p>
        </w:tc>
        <w:tc>
          <w:tcPr>
            <w:tcW w:w="400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PB Bidco Limited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PB Holdco Limited</w:t>
            </w:r>
          </w:p>
        </w:tc>
        <w:tc>
          <w:tcPr>
            <w:tcW w:w="400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PB Midco Limited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PB Topco Limited</w:t>
            </w:r>
          </w:p>
        </w:tc>
        <w:tc>
          <w:tcPr>
            <w:tcW w:w="400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Petroleum Analyzer Company L.P.</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PGP UK Limited</w:t>
            </w:r>
          </w:p>
        </w:tc>
        <w:tc>
          <w:tcPr>
            <w:tcW w:w="4000" w:type="dxa"/>
            <w:vAlign w:val="bottom"/>
          </w:tcPr>
          <w:p>
            <w:pPr>
              <w:ind w:left="580"/>
              <w:spacing w:after="0"/>
              <w:rPr>
                <w:sz w:val="20"/>
                <w:szCs w:val="20"/>
                <w:color w:val="auto"/>
              </w:rPr>
            </w:pPr>
            <w:r>
              <w:rPr>
                <w:rFonts w:ascii="Arial" w:cs="Arial" w:eastAsia="Arial" w:hAnsi="Arial"/>
                <w:sz w:val="18"/>
                <w:szCs w:val="18"/>
                <w:color w:val="auto"/>
              </w:rPr>
              <w:t>Scotland</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Phase Analyzer Company Ltd.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PowerPlan Canada Holdings LLC</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PowerPlan Canada ULC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PowerPlan Holdings Inc.</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PowerPlan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PowerPlan Intermediate Holdings Inc.</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PowerPlan Operations ANZ Pty Ltd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Australia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PowerPlan Operations Ltd.</w:t>
            </w:r>
          </w:p>
        </w:tc>
        <w:tc>
          <w:tcPr>
            <w:tcW w:w="400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 Cobalt Acquisition Corp</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Project Diamond Intermediate Holdings Corporation</w:t>
            </w:r>
          </w:p>
        </w:tc>
        <w:tc>
          <w:tcPr>
            <w:tcW w:w="4000" w:type="dxa"/>
            <w:vAlign w:val="bottom"/>
          </w:tcPr>
          <w:p>
            <w:pPr>
              <w:ind w:left="580"/>
              <w:spacing w:after="0"/>
              <w:rPr>
                <w:sz w:val="20"/>
                <w:szCs w:val="20"/>
                <w:color w:val="auto"/>
              </w:rPr>
            </w:pPr>
            <w:r>
              <w:rPr>
                <w:rFonts w:ascii="Arial" w:cs="Arial" w:eastAsia="Arial" w:hAnsi="Arial"/>
                <w:sz w:val="18"/>
                <w:szCs w:val="18"/>
                <w:color w:val="auto"/>
              </w:rPr>
              <w:t>Delaware</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 Torque Intermediate Holdings Inc.</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QSC 1208 Limited</w:t>
            </w:r>
          </w:p>
        </w:tc>
        <w:tc>
          <w:tcPr>
            <w:tcW w:w="400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7"/>
        </w:trPr>
        <w:tc>
          <w:tcPr>
            <w:tcW w:w="52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QSC 1209 Limited</w:t>
            </w:r>
          </w:p>
        </w:tc>
        <w:tc>
          <w:tcPr>
            <w:tcW w:w="4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United Kingdom</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Quantitative Imaging Corporation</w:t>
            </w:r>
          </w:p>
        </w:tc>
        <w:tc>
          <w:tcPr>
            <w:tcW w:w="4000" w:type="dxa"/>
            <w:vAlign w:val="bottom"/>
          </w:tcPr>
          <w:p>
            <w:pPr>
              <w:ind w:left="58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9220"/>
          </w:cols>
          <w:pgMar w:left="1340" w:top="950" w:right="1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 Tracking Group, LLC</w:t>
            </w:r>
          </w:p>
        </w:tc>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Florida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Redlake MASD, LLC</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RF IDeas, Inc.</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RI Marketing India Private Limited</w:t>
            </w:r>
          </w:p>
        </w:tc>
        <w:tc>
          <w:tcPr>
            <w:tcW w:w="3820" w:type="dxa"/>
            <w:vAlign w:val="bottom"/>
          </w:tcPr>
          <w:p>
            <w:pPr>
              <w:ind w:left="400"/>
              <w:spacing w:after="0"/>
              <w:rPr>
                <w:sz w:val="20"/>
                <w:szCs w:val="20"/>
                <w:color w:val="auto"/>
              </w:rPr>
            </w:pPr>
            <w:r>
              <w:rPr>
                <w:rFonts w:ascii="Arial" w:cs="Arial" w:eastAsia="Arial" w:hAnsi="Arial"/>
                <w:sz w:val="18"/>
                <w:szCs w:val="18"/>
                <w:color w:val="auto"/>
              </w:rPr>
              <w:t>India</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RIL Holding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RMT, Inc.</w:t>
            </w:r>
          </w:p>
        </w:tc>
        <w:tc>
          <w:tcPr>
            <w:tcW w:w="3820" w:type="dxa"/>
            <w:vAlign w:val="bottom"/>
          </w:tcPr>
          <w:p>
            <w:pPr>
              <w:ind w:left="400"/>
              <w:spacing w:after="0"/>
              <w:rPr>
                <w:sz w:val="20"/>
                <w:szCs w:val="20"/>
                <w:color w:val="auto"/>
              </w:rPr>
            </w:pPr>
            <w:r>
              <w:rPr>
                <w:rFonts w:ascii="Arial" w:cs="Arial" w:eastAsia="Arial" w:hAnsi="Arial"/>
                <w:sz w:val="18"/>
                <w:szCs w:val="18"/>
                <w:color w:val="auto"/>
              </w:rPr>
              <w:t>Arizona</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Roda Deaco Valve Inc.</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Canada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w w:val="99"/>
              </w:rPr>
              <w:t>Roper Brasil Comercio E Promocao De Productos E Servicos LTDA</w:t>
            </w:r>
          </w:p>
        </w:tc>
        <w:tc>
          <w:tcPr>
            <w:tcW w:w="3820" w:type="dxa"/>
            <w:vAlign w:val="bottom"/>
          </w:tcPr>
          <w:p>
            <w:pPr>
              <w:ind w:left="400"/>
              <w:spacing w:after="0"/>
              <w:rPr>
                <w:sz w:val="20"/>
                <w:szCs w:val="20"/>
                <w:color w:val="auto"/>
              </w:rPr>
            </w:pPr>
            <w:r>
              <w:rPr>
                <w:rFonts w:ascii="Arial" w:cs="Arial" w:eastAsia="Arial" w:hAnsi="Arial"/>
                <w:sz w:val="18"/>
                <w:szCs w:val="18"/>
                <w:color w:val="auto"/>
              </w:rPr>
              <w:t>Brazil</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Canada Holdings, Inc.</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Canada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Canada Holdings LP</w:t>
            </w:r>
          </w:p>
        </w:tc>
        <w:tc>
          <w:tcPr>
            <w:tcW w:w="382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Capital Deutschland GmbH</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Germany</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Canada UK Limited</w:t>
            </w:r>
          </w:p>
        </w:tc>
        <w:tc>
          <w:tcPr>
            <w:tcW w:w="382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Denmark UK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DK Sub Sarl</w:t>
            </w:r>
          </w:p>
        </w:tc>
        <w:tc>
          <w:tcPr>
            <w:tcW w:w="382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Engineering s.r.o.</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Czech Republic</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Europe GmbH</w:t>
            </w:r>
          </w:p>
        </w:tc>
        <w:tc>
          <w:tcPr>
            <w:tcW w:w="382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Germany GmbH</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Germany</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Germany GmbH &amp; Co. KG</w:t>
            </w:r>
          </w:p>
        </w:tc>
        <w:tc>
          <w:tcPr>
            <w:tcW w:w="382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Germany UK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GM Denmark Holdings ApS</w:t>
            </w:r>
          </w:p>
        </w:tc>
        <w:tc>
          <w:tcPr>
            <w:tcW w:w="3820" w:type="dxa"/>
            <w:vAlign w:val="bottom"/>
          </w:tcPr>
          <w:p>
            <w:pPr>
              <w:ind w:left="400"/>
              <w:spacing w:after="0"/>
              <w:rPr>
                <w:sz w:val="20"/>
                <w:szCs w:val="20"/>
                <w:color w:val="auto"/>
              </w:rPr>
            </w:pPr>
            <w:r>
              <w:rPr>
                <w:rFonts w:ascii="Arial" w:cs="Arial" w:eastAsia="Arial" w:hAnsi="Arial"/>
                <w:sz w:val="18"/>
                <w:szCs w:val="18"/>
                <w:color w:val="auto"/>
              </w:rPr>
              <w:t>Denmark</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Holdings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Holdings, Inc.</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Industrial Products Investment Company</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Iowa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Industries, Inc.</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Industries Denmark ApS</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Denmark</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Industries Deutschland GmbH</w:t>
            </w:r>
          </w:p>
        </w:tc>
        <w:tc>
          <w:tcPr>
            <w:tcW w:w="382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Industries L.P.</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Canada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Industries Limited</w:t>
            </w:r>
          </w:p>
        </w:tc>
        <w:tc>
          <w:tcPr>
            <w:tcW w:w="382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Industries Manufacturing (Shanghai) Co., Ltd.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China</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Industries Mauritius Ltd.</w:t>
            </w:r>
          </w:p>
        </w:tc>
        <w:tc>
          <w:tcPr>
            <w:tcW w:w="3820" w:type="dxa"/>
            <w:vAlign w:val="bottom"/>
          </w:tcPr>
          <w:p>
            <w:pPr>
              <w:ind w:left="400"/>
              <w:spacing w:after="0"/>
              <w:rPr>
                <w:sz w:val="20"/>
                <w:szCs w:val="20"/>
                <w:color w:val="auto"/>
              </w:rPr>
            </w:pPr>
            <w:r>
              <w:rPr>
                <w:rFonts w:ascii="Arial" w:cs="Arial" w:eastAsia="Arial" w:hAnsi="Arial"/>
                <w:sz w:val="18"/>
                <w:szCs w:val="18"/>
                <w:color w:val="auto"/>
              </w:rPr>
              <w:t>Mauritius</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Industries UK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International Holding, Inc.</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LLC</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Russian Federation</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Lux Sub S.a.r.l</w:t>
            </w:r>
          </w:p>
        </w:tc>
        <w:tc>
          <w:tcPr>
            <w:tcW w:w="382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Luxembourg Finance S.a.r.l.</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Luxembourg</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Luxembourg Holdings S.a.r.l.</w:t>
            </w:r>
          </w:p>
        </w:tc>
        <w:tc>
          <w:tcPr>
            <w:tcW w:w="382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Luxembourg S.a.r.l.</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Luxembourg</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Luxembourg UK Holdings S.a.r.l.</w:t>
            </w:r>
          </w:p>
        </w:tc>
        <w:tc>
          <w:tcPr>
            <w:tcW w:w="382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Middle East Ltd.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Dubai (FZE)</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NL1 UK Limited</w:t>
            </w:r>
          </w:p>
        </w:tc>
        <w:tc>
          <w:tcPr>
            <w:tcW w:w="382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NL2 UK Limited</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Pump Company</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Scientific B.V.</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Netherlands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Scientific GmbH</w:t>
            </w:r>
          </w:p>
        </w:tc>
        <w:tc>
          <w:tcPr>
            <w:tcW w:w="382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4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Scientific SAS</w:t>
            </w: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France</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Roper Scientific, Inc.</w:t>
            </w:r>
          </w:p>
        </w:tc>
        <w:tc>
          <w:tcPr>
            <w:tcW w:w="3820" w:type="dxa"/>
            <w:vAlign w:val="bottom"/>
          </w:tcPr>
          <w:p>
            <w:pPr>
              <w:ind w:left="4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220"/>
          </w:cols>
          <w:pgMar w:left="1340" w:top="950" w:right="1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Roper Scot LP</w:t>
            </w:r>
          </w:p>
        </w:tc>
        <w:tc>
          <w:tcPr>
            <w:tcW w:w="4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Roper Southeast Asia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Swiss Finance GmbH</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Switzerland</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Roper UK Investments Limited</w:t>
            </w:r>
          </w:p>
        </w:tc>
        <w:tc>
          <w:tcPr>
            <w:tcW w:w="4340" w:type="dxa"/>
            <w:vAlign w:val="bottom"/>
          </w:tcPr>
          <w:p>
            <w:pPr>
              <w:ind w:left="920"/>
              <w:spacing w:after="0"/>
              <w:rPr>
                <w:sz w:val="20"/>
                <w:szCs w:val="20"/>
                <w:color w:val="auto"/>
              </w:rPr>
            </w:pPr>
            <w:r>
              <w:rPr>
                <w:rFonts w:ascii="Arial" w:cs="Arial" w:eastAsia="Arial" w:hAnsi="Arial"/>
                <w:sz w:val="18"/>
                <w:szCs w:val="18"/>
                <w:color w:val="auto"/>
              </w:rPr>
              <w:t>United Kingdom</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Roper UK, Ltd.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Roper-Mex, L.P.</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Ropintassco 1,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Ropintassco 2,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Ropintassco 3,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Ropintassco 4,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Ropintassco 5,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Ropintassco 6,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Ropintassco 7,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Ropintassco Holdings, L.P.</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RT Merger Sub, Inc.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Shanghai Roper Industries Trading Co., Ltd.</w:t>
            </w:r>
          </w:p>
        </w:tc>
        <w:tc>
          <w:tcPr>
            <w:tcW w:w="4340" w:type="dxa"/>
            <w:vAlign w:val="bottom"/>
          </w:tcPr>
          <w:p>
            <w:pPr>
              <w:ind w:left="920"/>
              <w:spacing w:after="0"/>
              <w:rPr>
                <w:sz w:val="20"/>
                <w:szCs w:val="20"/>
                <w:color w:val="auto"/>
              </w:rPr>
            </w:pPr>
            <w:r>
              <w:rPr>
                <w:rFonts w:ascii="Arial" w:cs="Arial" w:eastAsia="Arial" w:hAnsi="Arial"/>
                <w:sz w:val="18"/>
                <w:szCs w:val="18"/>
                <w:color w:val="auto"/>
              </w:rPr>
              <w:t>China</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SHP Group Holdings, Inc.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Sinmed Holding International B.V.</w:t>
            </w:r>
          </w:p>
        </w:tc>
        <w:tc>
          <w:tcPr>
            <w:tcW w:w="4340" w:type="dxa"/>
            <w:vAlign w:val="bottom"/>
          </w:tcPr>
          <w:p>
            <w:pPr>
              <w:ind w:left="920"/>
              <w:spacing w:after="0"/>
              <w:rPr>
                <w:sz w:val="20"/>
                <w:szCs w:val="20"/>
                <w:color w:val="auto"/>
              </w:rPr>
            </w:pPr>
            <w:r>
              <w:rPr>
                <w:rFonts w:ascii="Arial" w:cs="Arial" w:eastAsia="Arial" w:hAnsi="Arial"/>
                <w:sz w:val="18"/>
                <w:szCs w:val="18"/>
                <w:color w:val="auto"/>
              </w:rPr>
              <w:t>Netherlands</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SIRA,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Societe de Distribution de Logiciels Medicaux</w:t>
            </w:r>
          </w:p>
        </w:tc>
        <w:tc>
          <w:tcPr>
            <w:tcW w:w="4340" w:type="dxa"/>
            <w:vAlign w:val="bottom"/>
          </w:tcPr>
          <w:p>
            <w:pPr>
              <w:ind w:left="920"/>
              <w:spacing w:after="0"/>
              <w:rPr>
                <w:sz w:val="20"/>
                <w:szCs w:val="20"/>
                <w:color w:val="auto"/>
              </w:rPr>
            </w:pPr>
            <w:r>
              <w:rPr>
                <w:rFonts w:ascii="Arial" w:cs="Arial" w:eastAsia="Arial" w:hAnsi="Arial"/>
                <w:sz w:val="18"/>
                <w:szCs w:val="18"/>
                <w:color w:val="auto"/>
              </w:rPr>
              <w:t>France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SoftWriters, Inc.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Softwriters Holdings, Inc.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Sohnar Pty Ltd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Australia</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Star Purchasing Services, LLC</w:t>
            </w:r>
          </w:p>
        </w:tc>
        <w:tc>
          <w:tcPr>
            <w:tcW w:w="4340" w:type="dxa"/>
            <w:vAlign w:val="bottom"/>
          </w:tcPr>
          <w:p>
            <w:pPr>
              <w:ind w:left="920"/>
              <w:spacing w:after="0"/>
              <w:rPr>
                <w:sz w:val="20"/>
                <w:szCs w:val="20"/>
                <w:color w:val="auto"/>
              </w:rPr>
            </w:pPr>
            <w:r>
              <w:rPr>
                <w:rFonts w:ascii="Arial" w:cs="Arial" w:eastAsia="Arial" w:hAnsi="Arial"/>
                <w:sz w:val="18"/>
                <w:szCs w:val="18"/>
                <w:color w:val="auto"/>
              </w:rPr>
              <w:t>Wisconsin</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Strata Acquisition Subsidiary, Inc.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Strata Decision Technology Holdings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Strata Decision Technology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Illinios</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Strata Parallel II Inc.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Healthcare Programs Blocker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Strategic Healthcare Programs Blocker 2, Inc.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Healthcare Programs, L.L.C.</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Delaware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Strategic Healthcare Programs Holdings,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Struers (Shanghai) International Trading Ltd.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China</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Struers A/S</w:t>
            </w:r>
          </w:p>
        </w:tc>
        <w:tc>
          <w:tcPr>
            <w:tcW w:w="4340" w:type="dxa"/>
            <w:vAlign w:val="bottom"/>
          </w:tcPr>
          <w:p>
            <w:pPr>
              <w:ind w:left="920"/>
              <w:spacing w:after="0"/>
              <w:rPr>
                <w:sz w:val="20"/>
                <w:szCs w:val="20"/>
                <w:color w:val="auto"/>
              </w:rPr>
            </w:pPr>
            <w:r>
              <w:rPr>
                <w:rFonts w:ascii="Arial" w:cs="Arial" w:eastAsia="Arial" w:hAnsi="Arial"/>
                <w:sz w:val="18"/>
                <w:szCs w:val="18"/>
                <w:color w:val="auto"/>
              </w:rPr>
              <w:t>Denmark</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Struers GmbH</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Germany</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Struers Inc.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Struers Limited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Struers Limited</w:t>
            </w:r>
          </w:p>
        </w:tc>
        <w:tc>
          <w:tcPr>
            <w:tcW w:w="4340" w:type="dxa"/>
            <w:vAlign w:val="bottom"/>
          </w:tcPr>
          <w:p>
            <w:pPr>
              <w:ind w:left="920"/>
              <w:spacing w:after="0"/>
              <w:rPr>
                <w:sz w:val="20"/>
                <w:szCs w:val="20"/>
                <w:color w:val="auto"/>
              </w:rPr>
            </w:pPr>
            <w:r>
              <w:rPr>
                <w:rFonts w:ascii="Arial" w:cs="Arial" w:eastAsia="Arial" w:hAnsi="Arial"/>
                <w:sz w:val="18"/>
                <w:szCs w:val="18"/>
                <w:color w:val="auto"/>
              </w:rPr>
              <w:t>Canada</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Struers SAS</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France</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Student Advantage, LLC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Sunquest Europe Limited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Sunquest Holdings, Inc.</w:t>
            </w:r>
          </w:p>
        </w:tc>
        <w:tc>
          <w:tcPr>
            <w:tcW w:w="4340" w:type="dxa"/>
            <w:vAlign w:val="bottom"/>
          </w:tcPr>
          <w:p>
            <w:pPr>
              <w:ind w:left="920"/>
              <w:spacing w:after="0"/>
              <w:rPr>
                <w:sz w:val="20"/>
                <w:szCs w:val="20"/>
                <w:color w:val="auto"/>
              </w:rPr>
            </w:pPr>
            <w:r>
              <w:rPr>
                <w:rFonts w:ascii="Arial" w:cs="Arial" w:eastAsia="Arial" w:hAnsi="Arial"/>
                <w:sz w:val="18"/>
                <w:szCs w:val="18"/>
                <w:color w:val="auto"/>
              </w:rPr>
              <w:t>Delaware</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Sunquest Information Systems (Europe) Limited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Sunquest Information Systems (India) Private Limited</w:t>
            </w:r>
          </w:p>
        </w:tc>
        <w:tc>
          <w:tcPr>
            <w:tcW w:w="4340" w:type="dxa"/>
            <w:vAlign w:val="bottom"/>
          </w:tcPr>
          <w:p>
            <w:pPr>
              <w:ind w:left="920"/>
              <w:spacing w:after="0"/>
              <w:rPr>
                <w:sz w:val="20"/>
                <w:szCs w:val="20"/>
                <w:color w:val="auto"/>
              </w:rPr>
            </w:pPr>
            <w:r>
              <w:rPr>
                <w:rFonts w:ascii="Arial" w:cs="Arial" w:eastAsia="Arial" w:hAnsi="Arial"/>
                <w:sz w:val="18"/>
                <w:szCs w:val="18"/>
                <w:color w:val="auto"/>
              </w:rPr>
              <w:t>India</w:t>
            </w:r>
          </w:p>
        </w:tc>
      </w:tr>
      <w:tr>
        <w:trPr>
          <w:trHeight w:val="27"/>
        </w:trPr>
        <w:tc>
          <w:tcPr>
            <w:tcW w:w="48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Sunquest Information Systems (International) Limited</w:t>
            </w:r>
          </w:p>
        </w:tc>
        <w:tc>
          <w:tcPr>
            <w:tcW w:w="4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United Kingdom</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Sunquest Information Systems Canada, Inc.</w:t>
            </w:r>
          </w:p>
        </w:tc>
        <w:tc>
          <w:tcPr>
            <w:tcW w:w="4340" w:type="dxa"/>
            <w:vAlign w:val="bottom"/>
          </w:tcPr>
          <w:p>
            <w:pPr>
              <w:ind w:left="9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9220"/>
          </w:cols>
          <w:pgMar w:left="1340" w:top="950" w:right="1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Sunquest Information Systems, Inc.</w:t>
            </w:r>
          </w:p>
        </w:tc>
        <w:tc>
          <w:tcPr>
            <w:tcW w:w="4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Pennsylvania</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Sunquest Information Systems Pty Ltd</w:t>
            </w:r>
          </w:p>
        </w:tc>
        <w:tc>
          <w:tcPr>
            <w:tcW w:w="4320" w:type="dxa"/>
            <w:vAlign w:val="bottom"/>
          </w:tcPr>
          <w:p>
            <w:pPr>
              <w:ind w:left="900"/>
              <w:spacing w:after="0"/>
              <w:rPr>
                <w:sz w:val="20"/>
                <w:szCs w:val="20"/>
                <w:color w:val="auto"/>
              </w:rPr>
            </w:pPr>
            <w:r>
              <w:rPr>
                <w:rFonts w:ascii="Arial" w:cs="Arial" w:eastAsia="Arial" w:hAnsi="Arial"/>
                <w:sz w:val="18"/>
                <w:szCs w:val="18"/>
                <w:color w:val="auto"/>
              </w:rPr>
              <w:t>Australia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Taupo Holdings,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Technolog Group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 Holdings Ltd.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Technolog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 SARL</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France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The CBORD Group, Inc.</w:t>
            </w:r>
          </w:p>
        </w:tc>
        <w:tc>
          <w:tcPr>
            <w:tcW w:w="432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Tidewater Healthcare Shared Services Group,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Pennsylvania</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The Washington Management Group, Inc.</w:t>
            </w:r>
          </w:p>
        </w:tc>
        <w:tc>
          <w:tcPr>
            <w:tcW w:w="4320" w:type="dxa"/>
            <w:vAlign w:val="bottom"/>
          </w:tcPr>
          <w:p>
            <w:pPr>
              <w:ind w:left="900"/>
              <w:spacing w:after="0"/>
              <w:rPr>
                <w:sz w:val="20"/>
                <w:szCs w:val="20"/>
                <w:color w:val="auto"/>
              </w:rPr>
            </w:pPr>
            <w:r>
              <w:rPr>
                <w:rFonts w:ascii="Arial" w:cs="Arial" w:eastAsia="Arial" w:hAnsi="Arial"/>
                <w:sz w:val="18"/>
                <w:szCs w:val="18"/>
                <w:color w:val="auto"/>
              </w:rPr>
              <w:t>District of Columbia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TLP Holdings, LLC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Torque Acquisition Holdco Inc.</w:t>
            </w:r>
          </w:p>
        </w:tc>
        <w:tc>
          <w:tcPr>
            <w:tcW w:w="432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Transcore Atlantic,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Transcore CNUS, Inc.</w:t>
            </w:r>
          </w:p>
        </w:tc>
        <w:tc>
          <w:tcPr>
            <w:tcW w:w="432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Transcore Holdings,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Transcore ITS, LLC</w:t>
            </w:r>
          </w:p>
        </w:tc>
        <w:tc>
          <w:tcPr>
            <w:tcW w:w="432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Transcore Link Logistics Corporation</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Canada</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Transcore Nova Scotia Corporation</w:t>
            </w:r>
          </w:p>
        </w:tc>
        <w:tc>
          <w:tcPr>
            <w:tcW w:w="4320" w:type="dxa"/>
            <w:vAlign w:val="bottom"/>
          </w:tcPr>
          <w:p>
            <w:pPr>
              <w:ind w:left="900"/>
              <w:spacing w:after="0"/>
              <w:rPr>
                <w:sz w:val="20"/>
                <w:szCs w:val="20"/>
                <w:color w:val="auto"/>
              </w:rPr>
            </w:pPr>
            <w:r>
              <w:rPr>
                <w:rFonts w:ascii="Arial" w:cs="Arial" w:eastAsia="Arial" w:hAnsi="Arial"/>
                <w:sz w:val="18"/>
                <w:szCs w:val="18"/>
                <w:color w:val="auto"/>
              </w:rPr>
              <w:t>Canada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Transcore Partners, LLC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Transcore Quebec Corporation Inc.</w:t>
            </w:r>
          </w:p>
        </w:tc>
        <w:tc>
          <w:tcPr>
            <w:tcW w:w="4320" w:type="dxa"/>
            <w:vAlign w:val="bottom"/>
          </w:tcPr>
          <w:p>
            <w:pPr>
              <w:ind w:left="900"/>
              <w:spacing w:after="0"/>
              <w:rPr>
                <w:sz w:val="20"/>
                <w:szCs w:val="20"/>
                <w:color w:val="auto"/>
              </w:rPr>
            </w:pPr>
            <w:r>
              <w:rPr>
                <w:rFonts w:ascii="Arial" w:cs="Arial" w:eastAsia="Arial" w:hAnsi="Arial"/>
                <w:sz w:val="18"/>
                <w:szCs w:val="18"/>
                <w:color w:val="auto"/>
              </w:rPr>
              <w:t>Canada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Transcore, LP</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Trinity Integrated Systems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UHF Purchasing Services, LLC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Union Square Software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Union Square Software (International) Limited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Union Square Software Pty</w:t>
            </w:r>
          </w:p>
        </w:tc>
        <w:tc>
          <w:tcPr>
            <w:tcW w:w="4320" w:type="dxa"/>
            <w:vAlign w:val="bottom"/>
          </w:tcPr>
          <w:p>
            <w:pPr>
              <w:ind w:left="900"/>
              <w:spacing w:after="0"/>
              <w:rPr>
                <w:sz w:val="20"/>
                <w:szCs w:val="20"/>
                <w:color w:val="auto"/>
              </w:rPr>
            </w:pPr>
            <w:r>
              <w:rPr>
                <w:rFonts w:ascii="Arial" w:cs="Arial" w:eastAsia="Arial" w:hAnsi="Arial"/>
                <w:sz w:val="18"/>
                <w:szCs w:val="18"/>
                <w:color w:val="auto"/>
              </w:rPr>
              <w:t>Australia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Union Square Software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Canada</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Uson L.P.</w:t>
            </w:r>
          </w:p>
        </w:tc>
        <w:tc>
          <w:tcPr>
            <w:tcW w:w="432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Uson Limited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Utilitec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Utilitec Services Limited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Utility Data Services Limited</w:t>
            </w:r>
          </w:p>
        </w:tc>
        <w:tc>
          <w:tcPr>
            <w:tcW w:w="432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Verathon Holdings (Delaware) Inc.</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Verathon Inc.</w:t>
            </w:r>
          </w:p>
        </w:tc>
        <w:tc>
          <w:tcPr>
            <w:tcW w:w="4320" w:type="dxa"/>
            <w:vAlign w:val="bottom"/>
          </w:tcPr>
          <w:p>
            <w:pPr>
              <w:ind w:left="900"/>
              <w:spacing w:after="0"/>
              <w:rPr>
                <w:sz w:val="20"/>
                <w:szCs w:val="20"/>
                <w:color w:val="auto"/>
              </w:rPr>
            </w:pPr>
            <w:r>
              <w:rPr>
                <w:rFonts w:ascii="Arial" w:cs="Arial" w:eastAsia="Arial" w:hAnsi="Arial"/>
                <w:sz w:val="18"/>
                <w:szCs w:val="18"/>
                <w:color w:val="auto"/>
              </w:rPr>
              <w:t>Washington</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Verathon Medical (Australia) Pty Limited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Australia</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Verathon Medical (Canada) ULC</w:t>
            </w:r>
          </w:p>
        </w:tc>
        <w:tc>
          <w:tcPr>
            <w:tcW w:w="4320" w:type="dxa"/>
            <w:vAlign w:val="bottom"/>
          </w:tcPr>
          <w:p>
            <w:pPr>
              <w:ind w:left="900"/>
              <w:spacing w:after="0"/>
              <w:rPr>
                <w:sz w:val="20"/>
                <w:szCs w:val="20"/>
                <w:color w:val="auto"/>
              </w:rPr>
            </w:pPr>
            <w:r>
              <w:rPr>
                <w:rFonts w:ascii="Arial" w:cs="Arial" w:eastAsia="Arial" w:hAnsi="Arial"/>
                <w:sz w:val="18"/>
                <w:szCs w:val="18"/>
                <w:color w:val="auto"/>
              </w:rPr>
              <w:t>Canada</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Verathon Medical (Europe) B.V.</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Netherlands</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Verathon Medical (France) SARL</w:t>
            </w:r>
          </w:p>
        </w:tc>
        <w:tc>
          <w:tcPr>
            <w:tcW w:w="4320" w:type="dxa"/>
            <w:vAlign w:val="bottom"/>
          </w:tcPr>
          <w:p>
            <w:pPr>
              <w:ind w:left="900"/>
              <w:spacing w:after="0"/>
              <w:rPr>
                <w:sz w:val="20"/>
                <w:szCs w:val="20"/>
                <w:color w:val="auto"/>
              </w:rPr>
            </w:pPr>
            <w:r>
              <w:rPr>
                <w:rFonts w:ascii="Arial" w:cs="Arial" w:eastAsia="Arial" w:hAnsi="Arial"/>
                <w:sz w:val="18"/>
                <w:szCs w:val="18"/>
                <w:color w:val="auto"/>
              </w:rPr>
              <w:t>France</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Verathon Medical (Hong Kong) Limited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Hong Kong</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Verathon Medical (Japan) K.K.</w:t>
            </w:r>
          </w:p>
        </w:tc>
        <w:tc>
          <w:tcPr>
            <w:tcW w:w="4320" w:type="dxa"/>
            <w:vAlign w:val="bottom"/>
          </w:tcPr>
          <w:p>
            <w:pPr>
              <w:ind w:left="900"/>
              <w:spacing w:after="0"/>
              <w:rPr>
                <w:sz w:val="20"/>
                <w:szCs w:val="20"/>
                <w:color w:val="auto"/>
              </w:rPr>
            </w:pPr>
            <w:r>
              <w:rPr>
                <w:rFonts w:ascii="Arial" w:cs="Arial" w:eastAsia="Arial" w:hAnsi="Arial"/>
                <w:sz w:val="18"/>
                <w:szCs w:val="18"/>
                <w:color w:val="auto"/>
              </w:rPr>
              <w:t>Japan</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Verathon Medical (UK) Ltd.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Viastar Services, LP</w:t>
            </w:r>
          </w:p>
        </w:tc>
        <w:tc>
          <w:tcPr>
            <w:tcW w:w="4320" w:type="dxa"/>
            <w:vAlign w:val="bottom"/>
          </w:tcPr>
          <w:p>
            <w:pPr>
              <w:ind w:left="900"/>
              <w:spacing w:after="0"/>
              <w:rPr>
                <w:sz w:val="20"/>
                <w:szCs w:val="20"/>
                <w:color w:val="auto"/>
              </w:rPr>
            </w:pPr>
            <w:r>
              <w:rPr>
                <w:rFonts w:ascii="Arial" w:cs="Arial" w:eastAsia="Arial" w:hAnsi="Arial"/>
                <w:sz w:val="18"/>
                <w:szCs w:val="18"/>
                <w:color w:val="auto"/>
              </w:rPr>
              <w:t>Texas</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Viatran Corporation</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New York</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Walter Herzog GmbH</w:t>
            </w:r>
          </w:p>
        </w:tc>
        <w:tc>
          <w:tcPr>
            <w:tcW w:w="432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7"/>
        </w:trPr>
        <w:tc>
          <w:tcPr>
            <w:tcW w:w="49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WorkBook APAC Ltd.</w:t>
            </w:r>
          </w:p>
        </w:tc>
        <w:tc>
          <w:tcPr>
            <w:tcW w:w="4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Vietnam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Workbook Software A/S</w:t>
            </w:r>
          </w:p>
        </w:tc>
        <w:tc>
          <w:tcPr>
            <w:tcW w:w="4320" w:type="dxa"/>
            <w:vAlign w:val="bottom"/>
          </w:tcPr>
          <w:p>
            <w:pPr>
              <w:ind w:left="90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9220"/>
          </w:cols>
          <w:pgMar w:left="1340" w:top="950" w:right="1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Deltek Ajera Inc.</w:t>
            </w:r>
          </w:p>
        </w:tc>
        <w:tc>
          <w:tcPr>
            <w:tcW w:w="53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Oregon</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Zetec (Shanghai) Co., Ltd.</w:t>
            </w:r>
          </w:p>
        </w:tc>
        <w:tc>
          <w:tcPr>
            <w:tcW w:w="5340" w:type="dxa"/>
            <w:vAlign w:val="bottom"/>
          </w:tcPr>
          <w:p>
            <w:pPr>
              <w:ind w:left="1920"/>
              <w:spacing w:after="0"/>
              <w:rPr>
                <w:sz w:val="20"/>
                <w:szCs w:val="20"/>
                <w:color w:val="auto"/>
              </w:rPr>
            </w:pPr>
            <w:r>
              <w:rPr>
                <w:rFonts w:ascii="Arial" w:cs="Arial" w:eastAsia="Arial" w:hAnsi="Arial"/>
                <w:sz w:val="18"/>
                <w:szCs w:val="18"/>
                <w:color w:val="auto"/>
              </w:rPr>
              <w:t>China</w:t>
            </w:r>
          </w:p>
        </w:tc>
      </w:tr>
      <w:tr>
        <w:trPr>
          <w:trHeight w:val="27"/>
        </w:trPr>
        <w:tc>
          <w:tcPr>
            <w:tcW w:w="38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Zetec France</w:t>
            </w:r>
          </w:p>
        </w:tc>
        <w:tc>
          <w:tcPr>
            <w:tcW w:w="534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France</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Zetec Korea, Inc.</w:t>
            </w:r>
          </w:p>
        </w:tc>
        <w:tc>
          <w:tcPr>
            <w:tcW w:w="534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7"/>
        </w:trPr>
        <w:tc>
          <w:tcPr>
            <w:tcW w:w="38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Zetec Rental LLC</w:t>
            </w:r>
          </w:p>
        </w:tc>
        <w:tc>
          <w:tcPr>
            <w:tcW w:w="534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rPr>
              <w:t>Delaware</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Zetec Services, Inc.</w:t>
            </w:r>
          </w:p>
        </w:tc>
        <w:tc>
          <w:tcPr>
            <w:tcW w:w="534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7"/>
        </w:trPr>
        <w:tc>
          <w:tcPr>
            <w:tcW w:w="38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Zetec, Inc.</w:t>
            </w:r>
          </w:p>
        </w:tc>
        <w:tc>
          <w:tcPr>
            <w:tcW w:w="53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Washington</w:t>
            </w:r>
          </w:p>
        </w:tc>
      </w:tr>
      <w:tr>
        <w:trPr>
          <w:trHeight w:val="27"/>
        </w:trPr>
        <w:tc>
          <w:tcPr>
            <w:tcW w:w="38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r>
    </w:tbl>
    <w:p>
      <w:pPr>
        <w:sectPr>
          <w:pgSz w:w="11900" w:h="16838" w:orient="portrait"/>
          <w:cols w:equalWidth="0" w:num="1">
            <w:col w:w="9220"/>
          </w:cols>
          <w:pgMar w:left="1340" w:top="950" w:right="1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333-228532) and Form S-8 (Nos. 333-211671, 333-182779, 333-135700, 333-35666, 333-35672, 333-36897, and 333-105920) of Roper Technologies, Inc. of our report dated February 25, 2019 relating to the financial statements, financial statement schedule and the effectiveness of internal control over financial reporting,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58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 Neil Hunn,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 Neil Hunn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C. Crisci,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Roper Technologies,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6"/>
          <w:szCs w:val="16"/>
          <w:color w:val="auto"/>
        </w:rPr>
        <w:t>/S/ Robert C.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C. Crisci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109" w:name="page110"/>
    <w:bookmarkEnd w:id="109"/>
    <w:p>
      <w:pPr>
        <w:ind w:left="10540"/>
        <w:spacing w:after="0"/>
        <w:rPr>
          <w:sz w:val="20"/>
          <w:szCs w:val="20"/>
          <w:color w:val="auto"/>
        </w:rPr>
      </w:pPr>
      <w:r>
        <w:rPr>
          <w:rFonts w:ascii="Arial" w:cs="Arial" w:eastAsia="Arial" w:hAnsi="Arial"/>
          <w:sz w:val="16"/>
          <w:szCs w:val="16"/>
          <w:color w:val="auto"/>
        </w:rPr>
        <w:t>Exhibit 32.1</w:t>
      </w:r>
    </w:p>
    <w:p>
      <w:pPr>
        <w:spacing w:after="0" w:line="24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Roper Technologies, Inc. (the “Company”) on Form 10-K for the year ended December 31, 2018, as filed with the Securities and Exchange Commission on the date hereof (the “Report”), L. Neil Hunn, Chief Executive Officer of the Company, and Robert C. Crisci, Chief Financial Officer of the Company, each hereby certifies, pursuant to 18 U.S.C. 1350, as adopted pursuant to Section 906 of the Sarbanes-Oxley Act of 2002, to the best of his knowledge that:</w:t>
      </w:r>
    </w:p>
    <w:p>
      <w:pPr>
        <w:spacing w:after="0" w:line="18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 Neil Hunn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C.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C. Crisci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is being made for the exclusive purpose of compliance of the Company with the requirements of Section 906 of the Sarbanes-Oxley Act of 2002, and may not be disclosed, distributed or used by any person or for any reason other than specifically required by law.</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endash "/>
      <w:numFmt w:val="bullet"/>
      <w:start w:val="1"/>
    </w:lvl>
  </w:abstractNum>
  <w:abstractNum w:abstractNumId="14">
    <w:nsid w:val="77465F01"/>
    <w:multiLevelType w:val="hybridMultilevel"/>
    <w:lvl w:ilvl="0">
      <w:lvlJc w:val="left"/>
      <w:lvlText w:val="\endash "/>
      <w:numFmt w:val="bullet"/>
      <w:start w:val="1"/>
    </w:lvl>
  </w:abstractNum>
  <w:abstractNum w:abstractNumId="15">
    <w:nsid w:val="7724C67E"/>
    <w:multiLevelType w:val="hybridMultilevel"/>
    <w:lvl w:ilvl="0">
      <w:lvlJc w:val="left"/>
      <w:lvlText w:val="(%1)"/>
      <w:numFmt w:val="decimal"/>
      <w:start w:val="5"/>
    </w:lvl>
  </w:abstractNum>
  <w:abstractNum w:abstractNumId="16">
    <w:nsid w:val="5C482A97"/>
    <w:multiLevelType w:val="hybridMultilevel"/>
    <w:lvl w:ilvl="0">
      <w:lvlJc w:val="left"/>
      <w:lvlText w:val="(%1)"/>
      <w:numFmt w:val="decimal"/>
      <w:start w:val="8"/>
    </w:lvl>
  </w:abstractNum>
  <w:abstractNum w:abstractNumId="17">
    <w:nsid w:val="2463B9EA"/>
    <w:multiLevelType w:val="hybridMultilevel"/>
    <w:lvl w:ilvl="0">
      <w:lvlJc w:val="left"/>
      <w:lvlText w:val="(%1)"/>
      <w:numFmt w:val="decimal"/>
      <w:start w:val="10"/>
    </w:lvl>
  </w:abstractNum>
  <w:abstractNum w:abstractNumId="18">
    <w:nsid w:val="5E884ADC"/>
    <w:multiLevelType w:val="hybridMultilevel"/>
    <w:lvl w:ilvl="0">
      <w:lvlJc w:val="left"/>
      <w:lvlText w:val="(%1)"/>
      <w:numFmt w:val="decimal"/>
      <w:start w:val="11"/>
    </w:lvl>
  </w:abstractNum>
  <w:abstractNum w:abstractNumId="19">
    <w:nsid w:val="51EAD36B"/>
    <w:multiLevelType w:val="hybridMultilevel"/>
    <w:lvl w:ilvl="0">
      <w:lvlJc w:val="left"/>
      <w:lvlText w:val="(%1)"/>
      <w:numFmt w:val="decimal"/>
      <w:start w:val="12"/>
    </w:lvl>
  </w:abstractNum>
  <w:abstractNum w:abstractNumId="20">
    <w:nsid w:val="2D517796"/>
    <w:multiLevelType w:val="hybridMultilevel"/>
    <w:lvl w:ilvl="0">
      <w:lvlJc w:val="left"/>
      <w:lvlText w:val="(%1)"/>
      <w:numFmt w:val="decimal"/>
      <w:start w:val="13"/>
    </w:lvl>
  </w:abstractNum>
  <w:abstractNum w:abstractNumId="21">
    <w:nsid w:val="580BD78F"/>
    <w:multiLevelType w:val="hybridMultilevel"/>
    <w:lvl w:ilvl="0">
      <w:lvlJc w:val="left"/>
      <w:lvlText w:val="1"/>
      <w:numFmt w:val="bullet"/>
      <w:start w:val="1"/>
    </w:lvl>
  </w:abstractNum>
  <w:abstractNum w:abstractNumId="22">
    <w:nsid w:val="153EA438"/>
    <w:multiLevelType w:val="hybridMultilevel"/>
    <w:lvl w:ilvl="0">
      <w:lvlJc w:val="left"/>
      <w:lvlText w:val="1"/>
      <w:numFmt w:val="bullet"/>
      <w:start w:val="1"/>
    </w:lvl>
  </w:abstractNum>
  <w:abstractNum w:abstractNumId="23">
    <w:nsid w:val="3855585C"/>
    <w:multiLevelType w:val="hybridMultilevel"/>
    <w:lvl w:ilvl="0">
      <w:lvlJc w:val="left"/>
      <w:lvlText w:val="(%1)"/>
      <w:numFmt w:val="decimal"/>
      <w:start w:val="14"/>
    </w:lvl>
  </w:abstractNum>
  <w:abstractNum w:abstractNumId="24">
    <w:nsid w:val="70A64E2A"/>
    <w:multiLevelType w:val="hybridMultilevel"/>
    <w:lvl w:ilvl="0">
      <w:lvlJc w:val="left"/>
      <w:lvlText w:val="(%1)"/>
      <w:numFmt w:val="decimal"/>
      <w:start w:val="15"/>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6"/>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lowerLetter"/>
      <w:start w:val="1"/>
    </w:lvl>
    <w:lvl w:ilvl="1">
      <w:lvlJc w:val="left"/>
      <w:lvlText w:val="(%2)"/>
      <w:numFmt w:val="decimal"/>
      <w:start w:val="1"/>
    </w:lvl>
  </w:abstractNum>
  <w:abstractNum w:abstractNumId="29">
    <w:nsid w:val="2CD89A32"/>
    <w:multiLevelType w:val="hybridMultilevel"/>
    <w:lvl w:ilvl="0">
      <w:lvlJc w:val="left"/>
      <w:lvlText w:val="%1."/>
      <w:numFmt w:val="decimal"/>
      <w:start w:val="1"/>
    </w:lvl>
    <w:lvl w:ilvl="1">
      <w:lvlJc w:val="left"/>
      <w:lvlText w:val="(%2)"/>
      <w:numFmt w:val="lowerLetter"/>
      <w:start w:val="1"/>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4"/>
    </w:lvl>
  </w:abstractNum>
  <w:abstractNum w:abstractNumId="32">
    <w:nsid w:val="4B588F54"/>
    <w:multiLevelType w:val="hybridMultilevel"/>
    <w:lvl w:ilvl="0">
      <w:lvlJc w:val="left"/>
      <w:lvlText w:val="%1."/>
      <w:numFmt w:val="decimal"/>
      <w:start w:val="9"/>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3"/>
    </w:lvl>
  </w:abstractNum>
  <w:abstractNum w:abstractNumId="35">
    <w:nsid w:val="38437FDB"/>
    <w:multiLevelType w:val="hybridMultilevel"/>
    <w:lvl w:ilvl="0">
      <w:lvlJc w:val="left"/>
      <w:lvlText w:val="%1."/>
      <w:numFmt w:val="decimal"/>
      <w:start w:val="4"/>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4"/>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3"/>
    </w:lvl>
  </w:abstractNum>
  <w:abstractNum w:abstractNumId="43">
    <w:nsid w:val="79A1DEAA"/>
    <w:multiLevelType w:val="hybridMultilevel"/>
    <w:lvl w:ilvl="0">
      <w:lvlJc w:val="left"/>
      <w:lvlText w:val="%1."/>
      <w:numFmt w:val="decimal"/>
      <w:start w:val="4"/>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decimal"/>
      <w:start w:val="5"/>
    </w:lvl>
  </w:abstractNum>
  <w:abstractNum w:abstractNumId="46">
    <w:nsid w:val="70C6A529"/>
    <w:multiLevelType w:val="hybridMultilevel"/>
    <w:lvl w:ilvl="0">
      <w:lvlJc w:val="left"/>
      <w:lvlText w:val="(%1)"/>
      <w:numFmt w:val="decimal"/>
      <w:start w:val="10"/>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1"/>
    </w:lvl>
    <w:lvl w:ilvl="1">
      <w:lvlJc w:val="left"/>
      <w:lvlText w:val="(%2)"/>
      <w:numFmt w:val="lowerRoman"/>
      <w:start w:val="1"/>
    </w:lvl>
  </w:abstractNum>
  <w:abstractNum w:abstractNumId="49">
    <w:nsid w:val="4F4EF005"/>
    <w:multiLevelType w:val="hybridMultilevel"/>
    <w:lvl w:ilvl="0">
      <w:lvlJc w:val="left"/>
      <w:lvlText w:val="(%1)"/>
      <w:numFmt w:val="lowerLetter"/>
      <w:start w:val="4"/>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3"/>
    </w:lvl>
  </w:abstractNum>
  <w:abstractNum w:abstractNumId="52">
    <w:nsid w:val="275AC794"/>
    <w:multiLevelType w:val="hybridMultilevel"/>
    <w:lvl w:ilvl="0">
      <w:lvlJc w:val="left"/>
      <w:lvlText w:val="%1."/>
      <w:numFmt w:val="decimal"/>
      <w:start w:val="4"/>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decimal"/>
      <w:start w:val="5"/>
    </w:lvl>
  </w:abstractNum>
  <w:abstractNum w:abstractNumId="55">
    <w:nsid w:val="180115BE"/>
    <w:multiLevelType w:val="hybridMultilevel"/>
    <w:lvl w:ilvl="0">
      <w:lvlJc w:val="left"/>
      <w:lvlText w:val="(%1)"/>
      <w:numFmt w:val="decimal"/>
      <w:start w:val="10"/>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0" Type="http://schemas.openxmlformats.org/officeDocument/2006/relationships/image" Target="media/image5.png"/><Relationship Id="rId41"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20.png"/><Relationship Id="rId56" Type="http://schemas.openxmlformats.org/officeDocument/2006/relationships/image" Target="media/image21.png"/><Relationship Id="rId57" Type="http://schemas.openxmlformats.org/officeDocument/2006/relationships/image" Target="media/image22.png"/><Relationship Id="rId58" Type="http://schemas.openxmlformats.org/officeDocument/2006/relationships/image" Target="media/image23.png"/><Relationship Id="rId59" Type="http://schemas.openxmlformats.org/officeDocument/2006/relationships/image" Target="media/image24.png"/><Relationship Id="rId60" Type="http://schemas.openxmlformats.org/officeDocument/2006/relationships/image" Target="media/image25.png"/><Relationship Id="rId61" Type="http://schemas.openxmlformats.org/officeDocument/2006/relationships/image" Target="media/image26.png"/><Relationship Id="rId62" Type="http://schemas.openxmlformats.org/officeDocument/2006/relationships/image" Target="media/image27.png"/><Relationship Id="rId63" Type="http://schemas.openxmlformats.org/officeDocument/2006/relationships/image" Target="media/image28.png"/><Relationship Id="rId64" Type="http://schemas.openxmlformats.org/officeDocument/2006/relationships/image" Target="media/image29.png"/><Relationship Id="rId12" Type="http://schemas.openxmlformats.org/officeDocument/2006/relationships/hyperlink" Target="http://www.sec.gov/Archives/edgar/data/882835/000095010315003223/dp55541_ex0301.htm" TargetMode="External"/><Relationship Id="rId13" Type="http://schemas.openxmlformats.org/officeDocument/2006/relationships/hyperlink" Target="http://www.sec.gov/Archives/edgar/data/882835/000088283518000028/amendedandrestatedbylaws.htm" TargetMode="External"/><Relationship Id="rId14" Type="http://schemas.openxmlformats.org/officeDocument/2006/relationships/hyperlink" Target="http://www.sec.gov/Archives/edgar/data/882835/000088283508000026/indenture.htm" TargetMode="External"/><Relationship Id="rId15" Type="http://schemas.openxmlformats.org/officeDocument/2006/relationships/hyperlink" Target="http://www.sec.gov/Archives/edgar/data/882835/000119312518333512/d659878dex41.htm" TargetMode="External"/><Relationship Id="rId16" Type="http://schemas.openxmlformats.org/officeDocument/2006/relationships/hyperlink" Target="http://www.sec.gov/Archives/edgar/data/882835/000119312515387542/d78767dex42.htm" TargetMode="External"/><Relationship Id="rId17" Type="http://schemas.openxmlformats.org/officeDocument/2006/relationships/hyperlink" Target="http://www.sec.gov/Archives/edgar/data/882835/000088283518000056/ex41-officerscertificateto.htm" TargetMode="External"/><Relationship Id="rId18" Type="http://schemas.openxmlformats.org/officeDocument/2006/relationships/hyperlink" Target="http://www.sec.gov/Archives/edgar/data/882835/000088283512000055/ex_4-1.htm" TargetMode="External"/><Relationship Id="rId19" Type="http://schemas.openxmlformats.org/officeDocument/2006/relationships/hyperlink" Target="http://www.sec.gov/Archives/edgar/data/882835/000119312515396581/d79154dex41.htm" TargetMode="External"/><Relationship Id="rId20" Type="http://schemas.openxmlformats.org/officeDocument/2006/relationships/hyperlink" Target="http://www.sec.gov/Archives/edgar/data/882835/000119312516797380/d276973dex41.htm" TargetMode="External"/><Relationship Id="rId21" Type="http://schemas.openxmlformats.org/officeDocument/2006/relationships/hyperlink" Target="http://www.sec.gov/Archives/edgar/data/882835/000093176399002509/0000931763-99-002509.txt" TargetMode="External"/><Relationship Id="rId22" Type="http://schemas.openxmlformats.org/officeDocument/2006/relationships/hyperlink" Target="http://www.sec.gov/Archives/edgar/data/882835/000088283517000017/ex10-1.htm" TargetMode="External"/><Relationship Id="rId23" Type="http://schemas.openxmlformats.org/officeDocument/2006/relationships/hyperlink" Target="http://www.sec.gov/Archives/edgar/data/882835/000088283509000004/ex10-6.htm" TargetMode="External"/><Relationship Id="rId24" Type="http://schemas.openxmlformats.org/officeDocument/2006/relationships/hyperlink" Target="http://www.sec.gov/Archives/edgar/data/882835/000088283509000004/ex10-7.htm" TargetMode="External"/><Relationship Id="rId25" Type="http://schemas.openxmlformats.org/officeDocument/2006/relationships/hyperlink" Target="http://www.sec.gov/Archives/edgar/data/882835/000095010316016520/dp68887_ex1001.htm" TargetMode="External"/><Relationship Id="rId26" Type="http://schemas.openxmlformats.org/officeDocument/2006/relationships/hyperlink" Target="http://www.sec.gov/Archives/edgar/data/882835/000119312516787533/d311609dex101.htm" TargetMode="External"/><Relationship Id="rId27" Type="http://schemas.openxmlformats.org/officeDocument/2006/relationships/hyperlink" Target="http://www.sec.gov/Archives/edgar/data/882835/000119312512194999/d335097ddef14a.htm" TargetMode="External"/><Relationship Id="rId28" Type="http://schemas.openxmlformats.org/officeDocument/2006/relationships/hyperlink" Target="http://www.sec.gov/Archives/edgar/data/882835/000119312506247846/dex102.htm" TargetMode="External"/><Relationship Id="rId29" Type="http://schemas.openxmlformats.org/officeDocument/2006/relationships/hyperlink" Target="http://www.sec.gov/Archives/edgar/data/882835/000119312506247846/dex103.htm" TargetMode="External"/><Relationship Id="rId30" Type="http://schemas.openxmlformats.org/officeDocument/2006/relationships/hyperlink" Target="http://www.sec.gov/Archives/edgar/data/882835/000119312506247846/dex104.htm" TargetMode="External"/><Relationship Id="rId31" Type="http://schemas.openxmlformats.org/officeDocument/2006/relationships/hyperlink" Target="http://www.sec.gov/Archives/edgar/data/882835/000088283517000006/ex10-17.htm" TargetMode="External"/><Relationship Id="rId32" Type="http://schemas.openxmlformats.org/officeDocument/2006/relationships/hyperlink" Target="http://www.sec.gov/Archives/edgar/data/882835/000088283518000067/a2018q3exhibit101formindem.htm" TargetMode="External"/><Relationship Id="rId33" Type="http://schemas.openxmlformats.org/officeDocument/2006/relationships/hyperlink" Target="http://www.sec.gov/Archives/edgar/data/882835/000119312516556402/d81578ddef14a.htm" TargetMode="External"/><Relationship Id="rId34" Type="http://schemas.openxmlformats.org/officeDocument/2006/relationships/hyperlink" Target="http://www.sec.gov/Archives/edgar/data/882835/000088283517000006/ex10-20.htm" TargetMode="External"/><Relationship Id="rId35" Type="http://schemas.openxmlformats.org/officeDocument/2006/relationships/hyperlink" Target="http://www.sec.gov/Archives/edgar/data/882835/000088283517000006/ex10-22.htm" TargetMode="External"/><Relationship Id="rId36" Type="http://schemas.openxmlformats.org/officeDocument/2006/relationships/hyperlink" Target="http://www.sec.gov/Archives/edgar/data/882835/000088283516000046/ex10-2.htm" TargetMode="External"/><Relationship Id="rId37" Type="http://schemas.openxmlformats.org/officeDocument/2006/relationships/hyperlink" Target="http://www.sec.gov/Archives/edgar/data/882835/000088283518000020/a2018q1exhibit101.htm" TargetMode="External"/><Relationship Id="rId38" Type="http://schemas.openxmlformats.org/officeDocument/2006/relationships/hyperlink" Target="http://www.sec.gov/Archives/edgar/data/882835/000088283518000011/a201710-kex1022.htm" TargetMode="External"/><Relationship Id="rId39" Type="http://schemas.openxmlformats.org/officeDocument/2006/relationships/hyperlink" Target="http://www.sec.gov/Archives/edgar/data/882835/000088283518000011/a201710-k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2020-01-09T22:46:31Z</dcterms:created>
  <dcterms:modified xsi:type="dcterms:W3CDTF">2020-01-09T22:46:31Z</dcterms:modified>
</cp:coreProperties>
</file>