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15"/>
          <w:szCs w:val="15"/>
          <w:b w:val="1"/>
          <w:bCs w:val="1"/>
          <w:color w:val="auto"/>
        </w:rPr>
        <w:t>As filed with the Securities and Exchange Commission on October 28, 2021</w:t>
      </w:r>
    </w:p>
    <w:p>
      <w:pPr>
        <w:spacing w:after="0" w:line="6" w:lineRule="exact"/>
        <w:rPr>
          <w:sz w:val="24"/>
          <w:szCs w:val="24"/>
          <w:color w:val="auto"/>
        </w:rPr>
      </w:pPr>
    </w:p>
    <w:p>
      <w:pPr>
        <w:ind w:left="9164"/>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97155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144145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4"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Form S-3</w:t>
      </w:r>
    </w:p>
    <w:p>
      <w:pPr>
        <w:spacing w:after="0" w:line="26"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REGISTRATION STATEMENT</w:t>
      </w:r>
    </w:p>
    <w:p>
      <w:pPr>
        <w:spacing w:after="0" w:line="19"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i w:val="1"/>
          <w:iCs w:val="1"/>
          <w:color w:val="auto"/>
        </w:rPr>
        <w:t>UNDER</w:t>
      </w:r>
    </w:p>
    <w:p>
      <w:pPr>
        <w:spacing w:after="0" w:line="19"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135890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4"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ROPER TECHNOLOGIES, INC.</w:t>
      </w:r>
    </w:p>
    <w:p>
      <w:pPr>
        <w:spacing w:after="0" w:line="26" w:lineRule="exact"/>
        <w:rPr>
          <w:sz w:val="24"/>
          <w:szCs w:val="24"/>
          <w:color w:val="auto"/>
        </w:rPr>
      </w:pPr>
    </w:p>
    <w:p>
      <w:pPr>
        <w:jc w:val="center"/>
        <w:ind w:right="-3"/>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117475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6" w:lineRule="exact"/>
        <w:rPr>
          <w:sz w:val="24"/>
          <w:szCs w:val="24"/>
          <w:color w:val="auto"/>
        </w:rPr>
      </w:pPr>
    </w:p>
    <w:tbl>
      <w:tblPr>
        <w:tblLayout w:type="fixed"/>
        <w:tblInd w:w="1824" w:type="dxa"/>
        <w:tblCellMar>
          <w:top w:w="0" w:type="dxa"/>
          <w:left w:w="0" w:type="dxa"/>
          <w:bottom w:w="0" w:type="dxa"/>
          <w:right w:w="0" w:type="dxa"/>
        </w:tblCellMar>
      </w:tblPr>
      <w:tr>
        <w:trPr>
          <w:trHeight w:val="172"/>
        </w:trPr>
        <w:tc>
          <w:tcPr>
            <w:tcW w:w="3860" w:type="dxa"/>
            <w:vAlign w:val="bottom"/>
          </w:tcPr>
          <w:p>
            <w:pPr>
              <w:jc w:val="center"/>
              <w:ind w:right="1887"/>
              <w:spacing w:after="0"/>
              <w:rPr>
                <w:sz w:val="20"/>
                <w:szCs w:val="20"/>
                <w:color w:val="auto"/>
              </w:rPr>
            </w:pPr>
            <w:r>
              <w:rPr>
                <w:rFonts w:ascii="Arial" w:cs="Arial" w:eastAsia="Arial" w:hAnsi="Arial"/>
                <w:sz w:val="15"/>
                <w:szCs w:val="15"/>
                <w:b w:val="1"/>
                <w:bCs w:val="1"/>
                <w:color w:val="auto"/>
                <w:w w:val="94"/>
              </w:rPr>
              <w:t>Delaware</w:t>
            </w:r>
          </w:p>
        </w:tc>
        <w:tc>
          <w:tcPr>
            <w:tcW w:w="3380" w:type="dxa"/>
            <w:vAlign w:val="bottom"/>
          </w:tcPr>
          <w:p>
            <w:pPr>
              <w:jc w:val="center"/>
              <w:ind w:left="1847"/>
              <w:spacing w:after="0"/>
              <w:rPr>
                <w:sz w:val="20"/>
                <w:szCs w:val="20"/>
                <w:color w:val="auto"/>
              </w:rPr>
            </w:pPr>
            <w:r>
              <w:rPr>
                <w:rFonts w:ascii="Arial" w:cs="Arial" w:eastAsia="Arial" w:hAnsi="Arial"/>
                <w:sz w:val="15"/>
                <w:szCs w:val="15"/>
                <w:b w:val="1"/>
                <w:bCs w:val="1"/>
                <w:color w:val="auto"/>
                <w:w w:val="92"/>
              </w:rPr>
              <w:t>51-0263969</w:t>
            </w:r>
          </w:p>
        </w:tc>
      </w:tr>
      <w:tr>
        <w:trPr>
          <w:trHeight w:val="148"/>
        </w:trPr>
        <w:tc>
          <w:tcPr>
            <w:tcW w:w="3860" w:type="dxa"/>
            <w:vAlign w:val="bottom"/>
          </w:tcPr>
          <w:p>
            <w:pPr>
              <w:jc w:val="center"/>
              <w:ind w:right="188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186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60" w:type="dxa"/>
            <w:vAlign w:val="bottom"/>
          </w:tcPr>
          <w:p>
            <w:pPr>
              <w:jc w:val="center"/>
              <w:ind w:right="1867"/>
              <w:spacing w:after="0"/>
              <w:rPr>
                <w:sz w:val="20"/>
                <w:szCs w:val="20"/>
                <w:color w:val="auto"/>
              </w:rPr>
            </w:pPr>
            <w:r>
              <w:rPr>
                <w:rFonts w:ascii="Arial" w:cs="Arial" w:eastAsia="Arial" w:hAnsi="Arial"/>
                <w:sz w:val="14"/>
                <w:szCs w:val="14"/>
                <w:b w:val="1"/>
                <w:bCs w:val="1"/>
                <w:color w:val="auto"/>
                <w:w w:val="94"/>
              </w:rPr>
              <w:t>Incorporation or Organization)</w:t>
            </w:r>
          </w:p>
        </w:tc>
        <w:tc>
          <w:tcPr>
            <w:tcW w:w="3380" w:type="dxa"/>
            <w:vAlign w:val="bottom"/>
          </w:tcPr>
          <w:p>
            <w:pPr>
              <w:jc w:val="center"/>
              <w:ind w:left="1867"/>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49" w:lineRule="exact"/>
        <w:rPr>
          <w:sz w:val="24"/>
          <w:szCs w:val="24"/>
          <w:color w:val="auto"/>
        </w:rPr>
      </w:pPr>
    </w:p>
    <w:p>
      <w:pPr>
        <w:jc w:val="center"/>
        <w:ind w:right="-3"/>
        <w:spacing w:after="0"/>
        <w:rPr>
          <w:sz w:val="20"/>
          <w:szCs w:val="20"/>
          <w:color w:val="auto"/>
        </w:rPr>
      </w:pPr>
      <w:r>
        <w:rPr>
          <w:rFonts w:ascii="Arial" w:cs="Arial" w:eastAsia="Arial" w:hAnsi="Arial"/>
          <w:sz w:val="15"/>
          <w:szCs w:val="15"/>
          <w:b w:val="1"/>
          <w:bCs w:val="1"/>
          <w:color w:val="auto"/>
        </w:rPr>
        <w:t>6901 Professional Parkway,</w:t>
      </w:r>
    </w:p>
    <w:p>
      <w:pPr>
        <w:jc w:val="center"/>
        <w:ind w:right="-3"/>
        <w:spacing w:after="0" w:line="233" w:lineRule="auto"/>
        <w:rPr>
          <w:sz w:val="20"/>
          <w:szCs w:val="20"/>
          <w:color w:val="auto"/>
        </w:rPr>
      </w:pPr>
      <w:r>
        <w:rPr>
          <w:rFonts w:ascii="Arial" w:cs="Arial" w:eastAsia="Arial" w:hAnsi="Arial"/>
          <w:sz w:val="15"/>
          <w:szCs w:val="15"/>
          <w:b w:val="1"/>
          <w:bCs w:val="1"/>
          <w:color w:val="auto"/>
        </w:rPr>
        <w:t>Suite 200</w:t>
      </w:r>
    </w:p>
    <w:p>
      <w:pPr>
        <w:jc w:val="center"/>
        <w:ind w:right="-3"/>
        <w:spacing w:after="0" w:line="225" w:lineRule="auto"/>
        <w:rPr>
          <w:sz w:val="20"/>
          <w:szCs w:val="20"/>
          <w:color w:val="auto"/>
        </w:rPr>
      </w:pPr>
      <w:r>
        <w:rPr>
          <w:rFonts w:ascii="Arial" w:cs="Arial" w:eastAsia="Arial" w:hAnsi="Arial"/>
          <w:sz w:val="15"/>
          <w:szCs w:val="15"/>
          <w:b w:val="1"/>
          <w:bCs w:val="1"/>
          <w:color w:val="auto"/>
        </w:rPr>
        <w:t>Sarasota, Florida 34240</w:t>
      </w:r>
    </w:p>
    <w:p>
      <w:pPr>
        <w:jc w:val="center"/>
        <w:ind w:right="-3"/>
        <w:spacing w:after="0" w:line="218" w:lineRule="auto"/>
        <w:rPr>
          <w:sz w:val="20"/>
          <w:szCs w:val="20"/>
          <w:color w:val="auto"/>
        </w:rPr>
      </w:pPr>
      <w:r>
        <w:rPr>
          <w:rFonts w:ascii="Arial" w:cs="Arial" w:eastAsia="Arial" w:hAnsi="Arial"/>
          <w:sz w:val="15"/>
          <w:szCs w:val="15"/>
          <w:b w:val="1"/>
          <w:bCs w:val="1"/>
          <w:color w:val="auto"/>
        </w:rPr>
        <w:t>(941) 556-2601</w:t>
      </w:r>
    </w:p>
    <w:p>
      <w:pPr>
        <w:jc w:val="center"/>
        <w:ind w:right="-3"/>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116205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0" w:lineRule="exact"/>
        <w:rPr>
          <w:sz w:val="24"/>
          <w:szCs w:val="24"/>
          <w:color w:val="auto"/>
        </w:rPr>
      </w:pPr>
    </w:p>
    <w:p>
      <w:pPr>
        <w:jc w:val="center"/>
        <w:ind w:right="-3"/>
        <w:spacing w:after="0"/>
        <w:rPr>
          <w:sz w:val="20"/>
          <w:szCs w:val="20"/>
          <w:color w:val="auto"/>
        </w:rPr>
      </w:pPr>
      <w:r>
        <w:rPr>
          <w:rFonts w:ascii="Arial" w:cs="Arial" w:eastAsia="Arial" w:hAnsi="Arial"/>
          <w:sz w:val="15"/>
          <w:szCs w:val="15"/>
          <w:b w:val="1"/>
          <w:bCs w:val="1"/>
          <w:color w:val="auto"/>
        </w:rPr>
        <w:t>L. Neil Hunn</w:t>
      </w:r>
    </w:p>
    <w:p>
      <w:pPr>
        <w:jc w:val="center"/>
        <w:ind w:right="-3"/>
        <w:spacing w:after="0" w:line="233" w:lineRule="auto"/>
        <w:rPr>
          <w:sz w:val="20"/>
          <w:szCs w:val="20"/>
          <w:color w:val="auto"/>
        </w:rPr>
      </w:pPr>
      <w:r>
        <w:rPr>
          <w:rFonts w:ascii="Arial" w:cs="Arial" w:eastAsia="Arial" w:hAnsi="Arial"/>
          <w:sz w:val="15"/>
          <w:szCs w:val="15"/>
          <w:b w:val="1"/>
          <w:bCs w:val="1"/>
          <w:color w:val="auto"/>
        </w:rPr>
        <w:t>President and Chief Executive Officer</w:t>
      </w:r>
    </w:p>
    <w:p>
      <w:pPr>
        <w:jc w:val="center"/>
        <w:ind w:right="-3"/>
        <w:spacing w:after="0" w:line="225" w:lineRule="auto"/>
        <w:rPr>
          <w:sz w:val="20"/>
          <w:szCs w:val="20"/>
          <w:color w:val="auto"/>
        </w:rPr>
      </w:pPr>
      <w:r>
        <w:rPr>
          <w:rFonts w:ascii="Arial" w:cs="Arial" w:eastAsia="Arial" w:hAnsi="Arial"/>
          <w:sz w:val="15"/>
          <w:szCs w:val="15"/>
          <w:b w:val="1"/>
          <w:bCs w:val="1"/>
          <w:color w:val="auto"/>
        </w:rPr>
        <w:t>Roper Technologies, Inc.</w:t>
      </w:r>
    </w:p>
    <w:p>
      <w:pPr>
        <w:jc w:val="center"/>
        <w:ind w:right="-3"/>
        <w:spacing w:after="0" w:line="225" w:lineRule="auto"/>
        <w:rPr>
          <w:sz w:val="20"/>
          <w:szCs w:val="20"/>
          <w:color w:val="auto"/>
        </w:rPr>
      </w:pPr>
      <w:r>
        <w:rPr>
          <w:rFonts w:ascii="Arial" w:cs="Arial" w:eastAsia="Arial" w:hAnsi="Arial"/>
          <w:sz w:val="15"/>
          <w:szCs w:val="15"/>
          <w:b w:val="1"/>
          <w:bCs w:val="1"/>
          <w:color w:val="auto"/>
        </w:rPr>
        <w:t>6901 Professional Parkway,</w:t>
      </w:r>
    </w:p>
    <w:p>
      <w:pPr>
        <w:jc w:val="center"/>
        <w:ind w:right="-3"/>
        <w:spacing w:after="0" w:line="226" w:lineRule="auto"/>
        <w:rPr>
          <w:sz w:val="20"/>
          <w:szCs w:val="20"/>
          <w:color w:val="auto"/>
        </w:rPr>
      </w:pPr>
      <w:r>
        <w:rPr>
          <w:rFonts w:ascii="Arial" w:cs="Arial" w:eastAsia="Arial" w:hAnsi="Arial"/>
          <w:sz w:val="15"/>
          <w:szCs w:val="15"/>
          <w:b w:val="1"/>
          <w:bCs w:val="1"/>
          <w:color w:val="auto"/>
        </w:rPr>
        <w:t>Suite 200</w:t>
      </w:r>
    </w:p>
    <w:p>
      <w:pPr>
        <w:jc w:val="center"/>
        <w:ind w:right="-3"/>
        <w:spacing w:after="0" w:line="225" w:lineRule="auto"/>
        <w:rPr>
          <w:sz w:val="20"/>
          <w:szCs w:val="20"/>
          <w:color w:val="auto"/>
        </w:rPr>
      </w:pPr>
      <w:r>
        <w:rPr>
          <w:rFonts w:ascii="Arial" w:cs="Arial" w:eastAsia="Arial" w:hAnsi="Arial"/>
          <w:sz w:val="15"/>
          <w:szCs w:val="15"/>
          <w:b w:val="1"/>
          <w:bCs w:val="1"/>
          <w:color w:val="auto"/>
        </w:rPr>
        <w:t>Sarasota, Florida 34240</w:t>
      </w:r>
    </w:p>
    <w:p>
      <w:pPr>
        <w:jc w:val="center"/>
        <w:ind w:right="-3"/>
        <w:spacing w:after="0" w:line="218" w:lineRule="auto"/>
        <w:rPr>
          <w:sz w:val="20"/>
          <w:szCs w:val="20"/>
          <w:color w:val="auto"/>
        </w:rPr>
      </w:pPr>
      <w:r>
        <w:rPr>
          <w:rFonts w:ascii="Arial" w:cs="Arial" w:eastAsia="Arial" w:hAnsi="Arial"/>
          <w:sz w:val="15"/>
          <w:szCs w:val="15"/>
          <w:b w:val="1"/>
          <w:bCs w:val="1"/>
          <w:color w:val="auto"/>
        </w:rPr>
        <w:t>(941) 556-2601</w:t>
      </w:r>
    </w:p>
    <w:p>
      <w:pPr>
        <w:jc w:val="center"/>
        <w:ind w:right="-3"/>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116205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1" w:lineRule="exact"/>
        <w:rPr>
          <w:sz w:val="24"/>
          <w:szCs w:val="24"/>
          <w:color w:val="auto"/>
        </w:rPr>
      </w:pPr>
    </w:p>
    <w:p>
      <w:pPr>
        <w:jc w:val="center"/>
        <w:ind w:right="-3"/>
        <w:spacing w:after="0"/>
        <w:rPr>
          <w:sz w:val="20"/>
          <w:szCs w:val="20"/>
          <w:color w:val="auto"/>
        </w:rPr>
      </w:pPr>
      <w:r>
        <w:rPr>
          <w:rFonts w:ascii="Arial" w:cs="Arial" w:eastAsia="Arial" w:hAnsi="Arial"/>
          <w:sz w:val="15"/>
          <w:szCs w:val="15"/>
          <w:b w:val="1"/>
          <w:bCs w:val="1"/>
          <w:i w:val="1"/>
          <w:iCs w:val="1"/>
          <w:color w:val="auto"/>
        </w:rPr>
        <w:t>Copy to:</w:t>
      </w:r>
    </w:p>
    <w:p>
      <w:pPr>
        <w:spacing w:after="0" w:line="67" w:lineRule="exact"/>
        <w:rPr>
          <w:sz w:val="24"/>
          <w:szCs w:val="24"/>
          <w:color w:val="auto"/>
        </w:rPr>
      </w:pPr>
    </w:p>
    <w:p>
      <w:pPr>
        <w:jc w:val="center"/>
        <w:ind w:right="-3"/>
        <w:spacing w:after="0"/>
        <w:rPr>
          <w:sz w:val="20"/>
          <w:szCs w:val="20"/>
          <w:color w:val="auto"/>
        </w:rPr>
      </w:pPr>
      <w:r>
        <w:rPr>
          <w:rFonts w:ascii="Arial" w:cs="Arial" w:eastAsia="Arial" w:hAnsi="Arial"/>
          <w:sz w:val="15"/>
          <w:szCs w:val="15"/>
          <w:b w:val="1"/>
          <w:bCs w:val="1"/>
          <w:color w:val="auto"/>
        </w:rPr>
        <w:t>Joel T. May</w:t>
      </w:r>
    </w:p>
    <w:p>
      <w:pPr>
        <w:jc w:val="center"/>
        <w:ind w:right="-3"/>
        <w:spacing w:after="0" w:line="233" w:lineRule="auto"/>
        <w:rPr>
          <w:sz w:val="20"/>
          <w:szCs w:val="20"/>
          <w:color w:val="auto"/>
        </w:rPr>
      </w:pPr>
      <w:r>
        <w:rPr>
          <w:rFonts w:ascii="Arial" w:cs="Arial" w:eastAsia="Arial" w:hAnsi="Arial"/>
          <w:sz w:val="15"/>
          <w:szCs w:val="15"/>
          <w:b w:val="1"/>
          <w:bCs w:val="1"/>
          <w:color w:val="auto"/>
        </w:rPr>
        <w:t>Jones Day</w:t>
      </w:r>
    </w:p>
    <w:p>
      <w:pPr>
        <w:jc w:val="center"/>
        <w:ind w:right="-3"/>
        <w:spacing w:after="0" w:line="225" w:lineRule="auto"/>
        <w:rPr>
          <w:sz w:val="20"/>
          <w:szCs w:val="20"/>
          <w:color w:val="auto"/>
        </w:rPr>
      </w:pPr>
      <w:r>
        <w:rPr>
          <w:rFonts w:ascii="Arial" w:cs="Arial" w:eastAsia="Arial" w:hAnsi="Arial"/>
          <w:sz w:val="15"/>
          <w:szCs w:val="15"/>
          <w:b w:val="1"/>
          <w:bCs w:val="1"/>
          <w:color w:val="auto"/>
        </w:rPr>
        <w:t>1221 Peachtree Street, N.E.</w:t>
      </w:r>
    </w:p>
    <w:p>
      <w:pPr>
        <w:jc w:val="center"/>
        <w:ind w:right="-3"/>
        <w:spacing w:after="0" w:line="225" w:lineRule="auto"/>
        <w:rPr>
          <w:sz w:val="20"/>
          <w:szCs w:val="20"/>
          <w:color w:val="auto"/>
        </w:rPr>
      </w:pPr>
      <w:r>
        <w:rPr>
          <w:rFonts w:ascii="Arial" w:cs="Arial" w:eastAsia="Arial" w:hAnsi="Arial"/>
          <w:sz w:val="15"/>
          <w:szCs w:val="15"/>
          <w:b w:val="1"/>
          <w:bCs w:val="1"/>
          <w:color w:val="auto"/>
        </w:rPr>
        <w:t>Suite 400</w:t>
      </w:r>
    </w:p>
    <w:p>
      <w:pPr>
        <w:jc w:val="center"/>
        <w:ind w:right="16"/>
        <w:spacing w:after="0" w:line="226" w:lineRule="auto"/>
        <w:rPr>
          <w:sz w:val="20"/>
          <w:szCs w:val="20"/>
          <w:color w:val="auto"/>
        </w:rPr>
      </w:pPr>
      <w:r>
        <w:rPr>
          <w:rFonts w:ascii="Arial" w:cs="Arial" w:eastAsia="Arial" w:hAnsi="Arial"/>
          <w:sz w:val="15"/>
          <w:szCs w:val="15"/>
          <w:b w:val="1"/>
          <w:bCs w:val="1"/>
          <w:color w:val="auto"/>
        </w:rPr>
        <w:t>Atlanta, GA 30361</w:t>
      </w:r>
    </w:p>
    <w:p>
      <w:pPr>
        <w:jc w:val="center"/>
        <w:ind w:right="-3"/>
        <w:spacing w:after="0"/>
        <w:rPr>
          <w:sz w:val="20"/>
          <w:szCs w:val="20"/>
          <w:color w:val="auto"/>
        </w:rPr>
      </w:pPr>
      <w:r>
        <w:rPr>
          <w:rFonts w:ascii="Arial" w:cs="Arial" w:eastAsia="Arial" w:hAnsi="Arial"/>
          <w:sz w:val="15"/>
          <w:szCs w:val="15"/>
          <w:b w:val="1"/>
          <w:bCs w:val="1"/>
          <w:color w:val="auto"/>
        </w:rPr>
        <w:t>(404) 521-3939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114300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4" w:lineRule="exact"/>
        <w:rPr>
          <w:sz w:val="24"/>
          <w:szCs w:val="24"/>
          <w:color w:val="auto"/>
        </w:rPr>
      </w:pPr>
    </w:p>
    <w:p>
      <w:pPr>
        <w:ind w:left="444"/>
        <w:spacing w:after="0"/>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From time to time after this Registration Statement becomes effective.</w:t>
      </w:r>
    </w:p>
    <w:p>
      <w:pPr>
        <w:spacing w:after="0" w:line="58" w:lineRule="exact"/>
        <w:rPr>
          <w:sz w:val="24"/>
          <w:szCs w:val="24"/>
          <w:color w:val="auto"/>
        </w:rPr>
      </w:pPr>
    </w:p>
    <w:p>
      <w:pPr>
        <w:ind w:left="444"/>
        <w:spacing w:after="0" w:line="173" w:lineRule="exact"/>
        <w:rPr>
          <w:sz w:val="20"/>
          <w:szCs w:val="20"/>
          <w:color w:val="auto"/>
        </w:rPr>
      </w:pPr>
      <w:r>
        <w:rPr>
          <w:rFonts w:ascii="Arial" w:cs="Arial" w:eastAsia="Arial" w:hAnsi="Arial"/>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100" w:lineRule="exact"/>
        <w:rPr>
          <w:sz w:val="24"/>
          <w:szCs w:val="24"/>
          <w:color w:val="auto"/>
        </w:rPr>
      </w:pPr>
    </w:p>
    <w:p>
      <w:pPr>
        <w:ind w:left="4" w:right="280" w:firstLine="440"/>
        <w:spacing w:after="0" w:line="193" w:lineRule="exact"/>
        <w:rPr>
          <w:sz w:val="20"/>
          <w:szCs w:val="20"/>
          <w:color w:val="auto"/>
        </w:rPr>
      </w:pPr>
      <w:r>
        <w:rPr>
          <w:rFonts w:ascii="Arial" w:cs="Arial" w:eastAsia="Arial" w:hAnsi="Arial"/>
          <w:sz w:val="15"/>
          <w:szCs w:val="15"/>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5"/>
          <w:szCs w:val="15"/>
          <w:color w:val="auto"/>
        </w:rPr>
        <w:t>☒</w:t>
      </w:r>
    </w:p>
    <w:p>
      <w:pPr>
        <w:spacing w:after="0" w:line="33" w:lineRule="exact"/>
        <w:rPr>
          <w:sz w:val="24"/>
          <w:szCs w:val="24"/>
          <w:color w:val="auto"/>
        </w:rPr>
      </w:pPr>
    </w:p>
    <w:p>
      <w:pPr>
        <w:ind w:left="4" w:right="220" w:firstLine="440"/>
        <w:spacing w:after="0" w:line="193"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47" w:lineRule="exact"/>
        <w:rPr>
          <w:sz w:val="24"/>
          <w:szCs w:val="24"/>
          <w:color w:val="auto"/>
        </w:rPr>
      </w:pPr>
    </w:p>
    <w:p>
      <w:pPr>
        <w:ind w:left="4" w:right="140" w:firstLine="440"/>
        <w:spacing w:after="0" w:line="193"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33" w:lineRule="exact"/>
        <w:rPr>
          <w:sz w:val="24"/>
          <w:szCs w:val="24"/>
          <w:color w:val="auto"/>
        </w:rPr>
      </w:pPr>
    </w:p>
    <w:p>
      <w:pPr>
        <w:ind w:left="4" w:right="740" w:firstLine="440"/>
        <w:spacing w:after="0" w:line="193" w:lineRule="exact"/>
        <w:rPr>
          <w:sz w:val="20"/>
          <w:szCs w:val="20"/>
          <w:color w:val="auto"/>
        </w:rPr>
      </w:pPr>
      <w:r>
        <w:rPr>
          <w:rFonts w:ascii="Arial" w:cs="Arial" w:eastAsia="Arial" w:hAnsi="Arial"/>
          <w:sz w:val="15"/>
          <w:szCs w:val="15"/>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5"/>
          <w:szCs w:val="15"/>
          <w:color w:val="auto"/>
        </w:rPr>
        <w:t>☒</w:t>
      </w:r>
    </w:p>
    <w:p>
      <w:pPr>
        <w:spacing w:after="0" w:line="33" w:lineRule="exact"/>
        <w:rPr>
          <w:sz w:val="24"/>
          <w:szCs w:val="24"/>
          <w:color w:val="auto"/>
        </w:rPr>
      </w:pPr>
    </w:p>
    <w:p>
      <w:pPr>
        <w:ind w:left="4" w:right="140" w:firstLine="440"/>
        <w:spacing w:after="0" w:line="193" w:lineRule="exact"/>
        <w:rPr>
          <w:sz w:val="20"/>
          <w:szCs w:val="20"/>
          <w:color w:val="auto"/>
        </w:rPr>
      </w:pPr>
      <w:r>
        <w:rPr>
          <w:rFonts w:ascii="Arial" w:cs="Arial" w:eastAsia="Arial" w:hAnsi="Arial"/>
          <w:sz w:val="15"/>
          <w:szCs w:val="15"/>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5"/>
          <w:szCs w:val="15"/>
          <w:color w:val="auto"/>
        </w:rPr>
        <w:t>☐</w:t>
      </w:r>
    </w:p>
    <w:p>
      <w:pPr>
        <w:spacing w:after="0" w:line="47" w:lineRule="exact"/>
        <w:rPr>
          <w:sz w:val="24"/>
          <w:szCs w:val="24"/>
          <w:color w:val="auto"/>
        </w:rPr>
      </w:pPr>
    </w:p>
    <w:p>
      <w:pPr>
        <w:ind w:left="4" w:right="220" w:firstLine="440"/>
        <w:spacing w:after="0" w:line="31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4" w:type="dxa"/>
        <w:tblCellMar>
          <w:top w:w="0" w:type="dxa"/>
          <w:left w:w="0" w:type="dxa"/>
          <w:bottom w:w="0" w:type="dxa"/>
          <w:right w:w="0" w:type="dxa"/>
        </w:tblCellMar>
      </w:tblPr>
      <w:tr>
        <w:trPr>
          <w:trHeight w:val="240"/>
        </w:trPr>
        <w:tc>
          <w:tcPr>
            <w:tcW w:w="16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8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5160" w:type="dxa"/>
            <w:vAlign w:val="bottom"/>
          </w:tcPr>
          <w:p>
            <w:pPr>
              <w:ind w:left="3120"/>
              <w:spacing w:after="0"/>
              <w:rPr>
                <w:sz w:val="20"/>
                <w:szCs w:val="20"/>
                <w:color w:val="auto"/>
              </w:rPr>
            </w:pPr>
            <w:r>
              <w:rPr>
                <w:rFonts w:ascii="Arial" w:cs="Arial" w:eastAsia="Arial" w:hAnsi="Arial"/>
                <w:sz w:val="15"/>
                <w:szCs w:val="15"/>
                <w:color w:val="auto"/>
              </w:rPr>
              <w:t>Accelerated filer</w:t>
            </w:r>
          </w:p>
        </w:tc>
        <w:tc>
          <w:tcPr>
            <w:tcW w:w="520" w:type="dxa"/>
            <w:vAlign w:val="bottom"/>
          </w:tcPr>
          <w:p>
            <w:pPr>
              <w:ind w:left="3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3"/>
        </w:trPr>
        <w:tc>
          <w:tcPr>
            <w:tcW w:w="1680" w:type="dxa"/>
            <w:vAlign w:val="bottom"/>
          </w:tcPr>
          <w:p>
            <w:pPr>
              <w:spacing w:after="0"/>
              <w:rPr>
                <w:sz w:val="20"/>
                <w:szCs w:val="20"/>
                <w:color w:val="auto"/>
              </w:rPr>
            </w:pPr>
            <w:r>
              <w:rPr>
                <w:rFonts w:ascii="Arial" w:cs="Arial" w:eastAsia="Arial" w:hAnsi="Arial"/>
                <w:sz w:val="15"/>
                <w:szCs w:val="15"/>
                <w:color w:val="auto"/>
              </w:rPr>
              <w:t>Non-accelerated filer</w:t>
            </w:r>
          </w:p>
        </w:tc>
        <w:tc>
          <w:tcPr>
            <w:tcW w:w="358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5160" w:type="dxa"/>
            <w:vAlign w:val="bottom"/>
          </w:tcPr>
          <w:p>
            <w:pPr>
              <w:ind w:left="3120"/>
              <w:spacing w:after="0"/>
              <w:rPr>
                <w:sz w:val="20"/>
                <w:szCs w:val="20"/>
                <w:color w:val="auto"/>
              </w:rPr>
            </w:pPr>
            <w:r>
              <w:rPr>
                <w:rFonts w:ascii="Arial" w:cs="Arial" w:eastAsia="Arial" w:hAnsi="Arial"/>
                <w:sz w:val="15"/>
                <w:szCs w:val="15"/>
                <w:color w:val="auto"/>
              </w:rPr>
              <w:t>Smaller reporting company</w:t>
            </w:r>
          </w:p>
        </w:tc>
        <w:tc>
          <w:tcPr>
            <w:tcW w:w="520" w:type="dxa"/>
            <w:vAlign w:val="bottom"/>
          </w:tcPr>
          <w:p>
            <w:pPr>
              <w:ind w:left="3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3"/>
        </w:trPr>
        <w:tc>
          <w:tcPr>
            <w:tcW w:w="168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5160" w:type="dxa"/>
            <w:vAlign w:val="bottom"/>
          </w:tcPr>
          <w:p>
            <w:pPr>
              <w:ind w:left="3120"/>
              <w:spacing w:after="0"/>
              <w:rPr>
                <w:sz w:val="20"/>
                <w:szCs w:val="20"/>
                <w:color w:val="auto"/>
              </w:rPr>
            </w:pPr>
            <w:r>
              <w:rPr>
                <w:rFonts w:ascii="Arial" w:cs="Arial" w:eastAsia="Arial" w:hAnsi="Arial"/>
                <w:sz w:val="15"/>
                <w:szCs w:val="15"/>
                <w:color w:val="auto"/>
              </w:rPr>
              <w:t>Emerging growth company</w:t>
            </w:r>
          </w:p>
        </w:tc>
        <w:tc>
          <w:tcPr>
            <w:tcW w:w="520" w:type="dxa"/>
            <w:vAlign w:val="bottom"/>
          </w:tcPr>
          <w:p>
            <w:pPr>
              <w:ind w:left="38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33" w:lineRule="exact"/>
        <w:rPr>
          <w:sz w:val="24"/>
          <w:szCs w:val="24"/>
          <w:color w:val="auto"/>
        </w:rPr>
      </w:pPr>
    </w:p>
    <w:p>
      <w:pPr>
        <w:ind w:left="4" w:right="40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106680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3" w:lineRule="exact"/>
        <w:rPr>
          <w:sz w:val="24"/>
          <w:szCs w:val="24"/>
          <w:color w:val="auto"/>
        </w:rPr>
      </w:pPr>
    </w:p>
    <w:tbl>
      <w:tblPr>
        <w:tblLayout w:type="fixed"/>
        <w:tblInd w:w="4" w:type="dxa"/>
        <w:tblCellMar>
          <w:top w:w="0" w:type="dxa"/>
          <w:left w:w="0" w:type="dxa"/>
          <w:bottom w:w="0" w:type="dxa"/>
          <w:right w:w="0" w:type="dxa"/>
        </w:tblCellMar>
      </w:tblPr>
      <w:tr>
        <w:trPr>
          <w:trHeight w:val="40"/>
        </w:trPr>
        <w:tc>
          <w:tcPr>
            <w:tcW w:w="356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356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vMerge w:val="restart"/>
          </w:tcPr>
          <w:p>
            <w:pPr>
              <w:jc w:val="center"/>
              <w:ind w:left="8"/>
              <w:spacing w:after="0"/>
              <w:rPr>
                <w:sz w:val="20"/>
                <w:szCs w:val="20"/>
                <w:color w:val="auto"/>
              </w:rPr>
            </w:pPr>
            <w:r>
              <w:rPr>
                <w:rFonts w:ascii="Arial" w:cs="Arial" w:eastAsia="Arial" w:hAnsi="Arial"/>
                <w:sz w:val="14"/>
                <w:szCs w:val="14"/>
                <w:b w:val="1"/>
                <w:bCs w:val="1"/>
                <w:color w:val="auto"/>
                <w:w w:val="98"/>
              </w:rPr>
              <w:t>Amount</w:t>
            </w:r>
          </w:p>
        </w:tc>
        <w:tc>
          <w:tcPr>
            <w:tcW w:w="1860" w:type="dxa"/>
            <w:vAlign w:val="bottom"/>
            <w:tcBorders>
              <w:right w:val="single" w:sz="8" w:color="auto"/>
            </w:tcBorders>
          </w:tcPr>
          <w:p>
            <w:pPr>
              <w:jc w:val="center"/>
              <w:ind w:left="11"/>
              <w:spacing w:after="0" w:line="106" w:lineRule="exact"/>
              <w:rPr>
                <w:sz w:val="20"/>
                <w:szCs w:val="20"/>
                <w:color w:val="auto"/>
              </w:rPr>
            </w:pPr>
            <w:r>
              <w:rPr>
                <w:rFonts w:ascii="Arial" w:cs="Arial" w:eastAsia="Arial" w:hAnsi="Arial"/>
                <w:sz w:val="12"/>
                <w:szCs w:val="12"/>
                <w:b w:val="1"/>
                <w:bCs w:val="1"/>
                <w:color w:val="auto"/>
              </w:rPr>
              <w:t>Proposed</w:t>
            </w:r>
          </w:p>
        </w:tc>
        <w:tc>
          <w:tcPr>
            <w:tcW w:w="1860" w:type="dxa"/>
            <w:vAlign w:val="bottom"/>
            <w:tcBorders>
              <w:right w:val="single" w:sz="8" w:color="auto"/>
            </w:tcBorders>
          </w:tcPr>
          <w:p>
            <w:pPr>
              <w:jc w:val="center"/>
              <w:ind w:left="11"/>
              <w:spacing w:after="0" w:line="106" w:lineRule="exact"/>
              <w:rPr>
                <w:sz w:val="20"/>
                <w:szCs w:val="20"/>
                <w:color w:val="auto"/>
              </w:rPr>
            </w:pPr>
            <w:r>
              <w:rPr>
                <w:rFonts w:ascii="Arial" w:cs="Arial" w:eastAsia="Arial" w:hAnsi="Arial"/>
                <w:sz w:val="12"/>
                <w:szCs w:val="12"/>
                <w:b w:val="1"/>
                <w:bCs w:val="1"/>
                <w:color w:val="auto"/>
              </w:rPr>
              <w:t>Proposed</w:t>
            </w: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560" w:type="dxa"/>
            <w:vAlign w:val="bottom"/>
            <w:tcBorders>
              <w:right w:val="single" w:sz="8" w:color="auto"/>
            </w:tcBorders>
            <w:vMerge w:val="restart"/>
          </w:tcPr>
          <w:p>
            <w:pPr>
              <w:ind w:left="1140"/>
              <w:spacing w:after="0"/>
              <w:rPr>
                <w:sz w:val="20"/>
                <w:szCs w:val="20"/>
                <w:color w:val="auto"/>
              </w:rPr>
            </w:pPr>
            <w:r>
              <w:rPr>
                <w:rFonts w:ascii="Arial" w:cs="Arial" w:eastAsia="Arial" w:hAnsi="Arial"/>
                <w:sz w:val="14"/>
                <w:szCs w:val="14"/>
                <w:b w:val="1"/>
                <w:bCs w:val="1"/>
                <w:color w:val="auto"/>
              </w:rPr>
              <w:t>Title of each class of</w:t>
            </w:r>
          </w:p>
        </w:tc>
        <w:tc>
          <w:tcPr>
            <w:tcW w:w="1880" w:type="dxa"/>
            <w:vAlign w:val="bottom"/>
            <w:tcBorders>
              <w:right w:val="single" w:sz="8" w:color="auto"/>
            </w:tcBorders>
            <w:vMerge w:val="continue"/>
          </w:tcPr>
          <w:p>
            <w:pPr>
              <w:spacing w:after="0"/>
              <w:rPr>
                <w:sz w:val="12"/>
                <w:szCs w:val="12"/>
                <w:color w:val="auto"/>
              </w:rPr>
            </w:pPr>
          </w:p>
        </w:tc>
        <w:tc>
          <w:tcPr>
            <w:tcW w:w="186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94"/>
              </w:rPr>
              <w:t>maximum</w:t>
            </w:r>
          </w:p>
        </w:tc>
        <w:tc>
          <w:tcPr>
            <w:tcW w:w="186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94"/>
              </w:rPr>
              <w:t>maximum</w:t>
            </w:r>
          </w:p>
        </w:tc>
        <w:tc>
          <w:tcPr>
            <w:tcW w:w="186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3560" w:type="dxa"/>
            <w:vAlign w:val="bottom"/>
            <w:tcBorders>
              <w:right w:val="single" w:sz="8" w:color="auto"/>
            </w:tcBorders>
            <w:vMerge w:val="continue"/>
          </w:tcPr>
          <w:p>
            <w:pPr>
              <w:spacing w:after="0"/>
              <w:rPr>
                <w:sz w:val="12"/>
                <w:szCs w:val="12"/>
                <w:color w:val="auto"/>
              </w:rPr>
            </w:pPr>
          </w:p>
        </w:tc>
        <w:tc>
          <w:tcPr>
            <w:tcW w:w="1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86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91"/>
              </w:rPr>
              <w:t>offering price</w:t>
            </w:r>
          </w:p>
        </w:tc>
        <w:tc>
          <w:tcPr>
            <w:tcW w:w="186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86"/>
              </w:rPr>
              <w:t>aggregate</w:t>
            </w: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60" w:type="dxa"/>
            <w:vAlign w:val="bottom"/>
            <w:tcBorders>
              <w:bottom w:val="single" w:sz="8" w:color="auto"/>
              <w:right w:val="single" w:sz="8" w:color="auto"/>
            </w:tcBorders>
          </w:tcPr>
          <w:p>
            <w:pPr>
              <w:ind w:left="980"/>
              <w:spacing w:after="0"/>
              <w:rPr>
                <w:sz w:val="20"/>
                <w:szCs w:val="20"/>
                <w:color w:val="auto"/>
              </w:rPr>
            </w:pPr>
            <w:r>
              <w:rPr>
                <w:rFonts w:ascii="Arial" w:cs="Arial" w:eastAsia="Arial" w:hAnsi="Arial"/>
                <w:sz w:val="14"/>
                <w:szCs w:val="14"/>
                <w:b w:val="1"/>
                <w:bCs w:val="1"/>
                <w:color w:val="auto"/>
              </w:rPr>
              <w:t>securities to be registered</w:t>
            </w:r>
          </w:p>
        </w:tc>
        <w:tc>
          <w:tcPr>
            <w:tcW w:w="188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89"/>
              </w:rPr>
              <w:t>registered(1)</w:t>
            </w:r>
          </w:p>
        </w:tc>
        <w:tc>
          <w:tcPr>
            <w:tcW w:w="186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96"/>
              </w:rPr>
              <w:t>per unit(1)</w:t>
            </w:r>
          </w:p>
        </w:tc>
        <w:tc>
          <w:tcPr>
            <w:tcW w:w="1860" w:type="dxa"/>
            <w:vAlign w:val="bottom"/>
            <w:tcBorders>
              <w:bottom w:val="single" w:sz="8" w:color="auto"/>
              <w:right w:val="single" w:sz="8" w:color="auto"/>
            </w:tcBorders>
          </w:tcPr>
          <w:p>
            <w:pPr>
              <w:jc w:val="center"/>
              <w:ind w:left="31"/>
              <w:spacing w:after="0"/>
              <w:rPr>
                <w:sz w:val="20"/>
                <w:szCs w:val="20"/>
                <w:color w:val="auto"/>
              </w:rPr>
            </w:pPr>
            <w:r>
              <w:rPr>
                <w:rFonts w:ascii="Arial" w:cs="Arial" w:eastAsia="Arial" w:hAnsi="Arial"/>
                <w:sz w:val="14"/>
                <w:szCs w:val="14"/>
                <w:b w:val="1"/>
                <w:bCs w:val="1"/>
                <w:color w:val="auto"/>
                <w:w w:val="93"/>
              </w:rPr>
              <w:t>offering price(1)</w:t>
            </w:r>
          </w:p>
        </w:tc>
        <w:tc>
          <w:tcPr>
            <w:tcW w:w="18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2"/>
              </w:rPr>
              <w:t>registration fee(1)</w:t>
            </w:r>
          </w:p>
        </w:tc>
        <w:tc>
          <w:tcPr>
            <w:tcW w:w="0" w:type="dxa"/>
            <w:vAlign w:val="bottom"/>
          </w:tcPr>
          <w:p>
            <w:pPr>
              <w:spacing w:after="0"/>
              <w:rPr>
                <w:sz w:val="1"/>
                <w:szCs w:val="1"/>
                <w:color w:val="auto"/>
              </w:rPr>
            </w:pPr>
          </w:p>
        </w:tc>
      </w:tr>
      <w:tr>
        <w:trPr>
          <w:trHeight w:val="155"/>
        </w:trPr>
        <w:tc>
          <w:tcPr>
            <w:tcW w:w="3560" w:type="dxa"/>
            <w:vAlign w:val="bottom"/>
            <w:tcBorders>
              <w:bottom w:val="single" w:sz="8" w:color="auto"/>
              <w:right w:val="single" w:sz="8" w:color="auto"/>
            </w:tcBorders>
          </w:tcPr>
          <w:p>
            <w:pPr>
              <w:spacing w:after="0" w:line="156" w:lineRule="exact"/>
              <w:rPr>
                <w:sz w:val="20"/>
                <w:szCs w:val="20"/>
                <w:color w:val="auto"/>
              </w:rPr>
            </w:pPr>
            <w:r>
              <w:rPr>
                <w:rFonts w:ascii="Arial" w:cs="Arial" w:eastAsia="Arial" w:hAnsi="Arial"/>
                <w:sz w:val="15"/>
                <w:szCs w:val="15"/>
                <w:color w:val="auto"/>
              </w:rPr>
              <w:t>Common Stock, $0.01 Par Value</w:t>
            </w:r>
          </w:p>
        </w:tc>
        <w:tc>
          <w:tcPr>
            <w:tcW w:w="1880" w:type="dxa"/>
            <w:vAlign w:val="bottom"/>
            <w:tcBorders>
              <w:bottom w:val="single" w:sz="8" w:color="auto"/>
              <w:right w:val="single" w:sz="8" w:color="auto"/>
            </w:tcBorders>
          </w:tcPr>
          <w:p>
            <w:pPr>
              <w:spacing w:after="0"/>
              <w:rPr>
                <w:sz w:val="13"/>
                <w:szCs w:val="13"/>
                <w:color w:val="auto"/>
              </w:rPr>
            </w:pPr>
          </w:p>
        </w:tc>
        <w:tc>
          <w:tcPr>
            <w:tcW w:w="1860" w:type="dxa"/>
            <w:vAlign w:val="bottom"/>
            <w:tcBorders>
              <w:bottom w:val="single" w:sz="8" w:color="auto"/>
              <w:right w:val="single" w:sz="8" w:color="auto"/>
            </w:tcBorders>
          </w:tcPr>
          <w:p>
            <w:pPr>
              <w:spacing w:after="0"/>
              <w:rPr>
                <w:sz w:val="13"/>
                <w:szCs w:val="13"/>
                <w:color w:val="auto"/>
              </w:rPr>
            </w:pPr>
          </w:p>
        </w:tc>
        <w:tc>
          <w:tcPr>
            <w:tcW w:w="1860" w:type="dxa"/>
            <w:vAlign w:val="bottom"/>
            <w:tcBorders>
              <w:bottom w:val="single" w:sz="8" w:color="auto"/>
              <w:right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60" w:type="dxa"/>
            <w:vAlign w:val="bottom"/>
            <w:tcBorders>
              <w:bottom w:val="single" w:sz="8" w:color="auto"/>
              <w:right w:val="single" w:sz="8" w:color="auto"/>
            </w:tcBorders>
          </w:tcPr>
          <w:p>
            <w:pPr>
              <w:spacing w:after="0" w:line="156" w:lineRule="exact"/>
              <w:rPr>
                <w:sz w:val="20"/>
                <w:szCs w:val="20"/>
                <w:color w:val="auto"/>
              </w:rPr>
            </w:pPr>
            <w:r>
              <w:rPr>
                <w:rFonts w:ascii="Arial" w:cs="Arial" w:eastAsia="Arial" w:hAnsi="Arial"/>
                <w:sz w:val="15"/>
                <w:szCs w:val="15"/>
                <w:color w:val="auto"/>
              </w:rPr>
              <w:t>Preferred Stock</w:t>
            </w:r>
          </w:p>
        </w:tc>
        <w:tc>
          <w:tcPr>
            <w:tcW w:w="1880" w:type="dxa"/>
            <w:vAlign w:val="bottom"/>
            <w:tcBorders>
              <w:bottom w:val="single" w:sz="8" w:color="auto"/>
              <w:right w:val="single" w:sz="8" w:color="auto"/>
            </w:tcBorders>
          </w:tcPr>
          <w:p>
            <w:pPr>
              <w:spacing w:after="0"/>
              <w:rPr>
                <w:sz w:val="13"/>
                <w:szCs w:val="13"/>
                <w:color w:val="auto"/>
              </w:rPr>
            </w:pPr>
          </w:p>
        </w:tc>
        <w:tc>
          <w:tcPr>
            <w:tcW w:w="1860" w:type="dxa"/>
            <w:vAlign w:val="bottom"/>
            <w:tcBorders>
              <w:bottom w:val="single" w:sz="8" w:color="auto"/>
              <w:right w:val="single" w:sz="8" w:color="auto"/>
            </w:tcBorders>
          </w:tcPr>
          <w:p>
            <w:pPr>
              <w:spacing w:after="0"/>
              <w:rPr>
                <w:sz w:val="13"/>
                <w:szCs w:val="13"/>
                <w:color w:val="auto"/>
              </w:rPr>
            </w:pPr>
          </w:p>
        </w:tc>
        <w:tc>
          <w:tcPr>
            <w:tcW w:w="1860" w:type="dxa"/>
            <w:vAlign w:val="bottom"/>
            <w:tcBorders>
              <w:bottom w:val="single" w:sz="8" w:color="auto"/>
              <w:right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tcBorders>
              <w:bottom w:val="single" w:sz="8" w:color="auto"/>
              <w:right w:val="single" w:sz="8" w:color="auto"/>
            </w:tcBorders>
          </w:tcPr>
          <w:p>
            <w:pPr>
              <w:spacing w:after="0" w:line="156" w:lineRule="exact"/>
              <w:rPr>
                <w:sz w:val="20"/>
                <w:szCs w:val="20"/>
                <w:color w:val="auto"/>
              </w:rPr>
            </w:pPr>
            <w:r>
              <w:rPr>
                <w:rFonts w:ascii="Arial" w:cs="Arial" w:eastAsia="Arial" w:hAnsi="Arial"/>
                <w:sz w:val="15"/>
                <w:szCs w:val="15"/>
                <w:color w:val="auto"/>
              </w:rPr>
              <w:t>Debt Securities</w:t>
            </w:r>
          </w:p>
        </w:tc>
        <w:tc>
          <w:tcPr>
            <w:tcW w:w="1880" w:type="dxa"/>
            <w:vAlign w:val="bottom"/>
            <w:tcBorders>
              <w:bottom w:val="single" w:sz="8" w:color="auto"/>
              <w:right w:val="single" w:sz="8" w:color="auto"/>
            </w:tcBorders>
          </w:tcPr>
          <w:p>
            <w:pPr>
              <w:spacing w:after="0"/>
              <w:rPr>
                <w:sz w:val="13"/>
                <w:szCs w:val="13"/>
                <w:color w:val="auto"/>
              </w:rPr>
            </w:pPr>
          </w:p>
        </w:tc>
        <w:tc>
          <w:tcPr>
            <w:tcW w:w="1860" w:type="dxa"/>
            <w:vAlign w:val="bottom"/>
            <w:tcBorders>
              <w:bottom w:val="single" w:sz="8" w:color="auto"/>
              <w:right w:val="single" w:sz="8" w:color="auto"/>
            </w:tcBorders>
          </w:tcPr>
          <w:p>
            <w:pPr>
              <w:spacing w:after="0"/>
              <w:rPr>
                <w:sz w:val="13"/>
                <w:szCs w:val="13"/>
                <w:color w:val="auto"/>
              </w:rPr>
            </w:pPr>
          </w:p>
        </w:tc>
        <w:tc>
          <w:tcPr>
            <w:tcW w:w="1860" w:type="dxa"/>
            <w:vAlign w:val="bottom"/>
            <w:tcBorders>
              <w:bottom w:val="single" w:sz="8" w:color="auto"/>
              <w:right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60" w:type="dxa"/>
            <w:vAlign w:val="bottom"/>
            <w:tcBorders>
              <w:bottom w:val="single" w:sz="8" w:color="auto"/>
              <w:right w:val="single" w:sz="8" w:color="auto"/>
            </w:tcBorders>
          </w:tcPr>
          <w:p>
            <w:pPr>
              <w:spacing w:after="0" w:line="156" w:lineRule="exact"/>
              <w:rPr>
                <w:sz w:val="20"/>
                <w:szCs w:val="20"/>
                <w:color w:val="auto"/>
              </w:rPr>
            </w:pPr>
            <w:r>
              <w:rPr>
                <w:rFonts w:ascii="Arial" w:cs="Arial" w:eastAsia="Arial" w:hAnsi="Arial"/>
                <w:sz w:val="15"/>
                <w:szCs w:val="15"/>
                <w:color w:val="auto"/>
              </w:rPr>
              <w:t>Warrants</w:t>
            </w:r>
          </w:p>
        </w:tc>
        <w:tc>
          <w:tcPr>
            <w:tcW w:w="1880" w:type="dxa"/>
            <w:vAlign w:val="bottom"/>
            <w:tcBorders>
              <w:bottom w:val="single" w:sz="8" w:color="auto"/>
              <w:right w:val="single" w:sz="8" w:color="auto"/>
            </w:tcBorders>
          </w:tcPr>
          <w:p>
            <w:pPr>
              <w:spacing w:after="0"/>
              <w:rPr>
                <w:sz w:val="13"/>
                <w:szCs w:val="13"/>
                <w:color w:val="auto"/>
              </w:rPr>
            </w:pPr>
          </w:p>
        </w:tc>
        <w:tc>
          <w:tcPr>
            <w:tcW w:w="1860" w:type="dxa"/>
            <w:vAlign w:val="bottom"/>
            <w:tcBorders>
              <w:bottom w:val="single" w:sz="8" w:color="auto"/>
              <w:right w:val="single" w:sz="8" w:color="auto"/>
            </w:tcBorders>
          </w:tcPr>
          <w:p>
            <w:pPr>
              <w:spacing w:after="0"/>
              <w:rPr>
                <w:sz w:val="13"/>
                <w:szCs w:val="13"/>
                <w:color w:val="auto"/>
              </w:rPr>
            </w:pPr>
          </w:p>
        </w:tc>
        <w:tc>
          <w:tcPr>
            <w:tcW w:w="1860" w:type="dxa"/>
            <w:vAlign w:val="bottom"/>
            <w:tcBorders>
              <w:bottom w:val="single" w:sz="8" w:color="auto"/>
              <w:right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60" w:type="dxa"/>
            <w:vAlign w:val="bottom"/>
            <w:tcBorders>
              <w:bottom w:val="single" w:sz="8" w:color="auto"/>
              <w:right w:val="single" w:sz="8" w:color="auto"/>
            </w:tcBorders>
          </w:tcPr>
          <w:p>
            <w:pPr>
              <w:spacing w:after="0" w:line="156" w:lineRule="exact"/>
              <w:rPr>
                <w:sz w:val="20"/>
                <w:szCs w:val="20"/>
                <w:color w:val="auto"/>
              </w:rPr>
            </w:pPr>
            <w:r>
              <w:rPr>
                <w:rFonts w:ascii="Arial" w:cs="Arial" w:eastAsia="Arial" w:hAnsi="Arial"/>
                <w:sz w:val="15"/>
                <w:szCs w:val="15"/>
                <w:color w:val="auto"/>
              </w:rPr>
              <w:t>Purchase Contracts</w:t>
            </w:r>
          </w:p>
        </w:tc>
        <w:tc>
          <w:tcPr>
            <w:tcW w:w="1880" w:type="dxa"/>
            <w:vAlign w:val="bottom"/>
            <w:tcBorders>
              <w:bottom w:val="single" w:sz="8" w:color="auto"/>
              <w:right w:val="single" w:sz="8" w:color="auto"/>
            </w:tcBorders>
          </w:tcPr>
          <w:p>
            <w:pPr>
              <w:spacing w:after="0"/>
              <w:rPr>
                <w:sz w:val="13"/>
                <w:szCs w:val="13"/>
                <w:color w:val="auto"/>
              </w:rPr>
            </w:pPr>
          </w:p>
        </w:tc>
        <w:tc>
          <w:tcPr>
            <w:tcW w:w="1860" w:type="dxa"/>
            <w:vAlign w:val="bottom"/>
            <w:tcBorders>
              <w:bottom w:val="single" w:sz="8" w:color="auto"/>
              <w:right w:val="single" w:sz="8" w:color="auto"/>
            </w:tcBorders>
          </w:tcPr>
          <w:p>
            <w:pPr>
              <w:spacing w:after="0"/>
              <w:rPr>
                <w:sz w:val="13"/>
                <w:szCs w:val="13"/>
                <w:color w:val="auto"/>
              </w:rPr>
            </w:pPr>
          </w:p>
        </w:tc>
        <w:tc>
          <w:tcPr>
            <w:tcW w:w="1860" w:type="dxa"/>
            <w:vAlign w:val="bottom"/>
            <w:tcBorders>
              <w:bottom w:val="single" w:sz="8" w:color="auto"/>
              <w:right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tcBorders>
              <w:bottom w:val="single" w:sz="8" w:color="auto"/>
              <w:right w:val="single" w:sz="8" w:color="auto"/>
            </w:tcBorders>
          </w:tcPr>
          <w:p>
            <w:pPr>
              <w:spacing w:after="0" w:line="156" w:lineRule="exact"/>
              <w:rPr>
                <w:sz w:val="20"/>
                <w:szCs w:val="20"/>
                <w:color w:val="auto"/>
              </w:rPr>
            </w:pPr>
            <w:r>
              <w:rPr>
                <w:rFonts w:ascii="Arial" w:cs="Arial" w:eastAsia="Arial" w:hAnsi="Arial"/>
                <w:sz w:val="15"/>
                <w:szCs w:val="15"/>
                <w:color w:val="auto"/>
              </w:rPr>
              <w:t>Units</w:t>
            </w:r>
          </w:p>
        </w:tc>
        <w:tc>
          <w:tcPr>
            <w:tcW w:w="1880" w:type="dxa"/>
            <w:vAlign w:val="bottom"/>
            <w:tcBorders>
              <w:bottom w:val="single" w:sz="8" w:color="auto"/>
              <w:right w:val="single" w:sz="8" w:color="auto"/>
            </w:tcBorders>
          </w:tcPr>
          <w:p>
            <w:pPr>
              <w:spacing w:after="0"/>
              <w:rPr>
                <w:sz w:val="13"/>
                <w:szCs w:val="13"/>
                <w:color w:val="auto"/>
              </w:rPr>
            </w:pPr>
          </w:p>
        </w:tc>
        <w:tc>
          <w:tcPr>
            <w:tcW w:w="1860" w:type="dxa"/>
            <w:vAlign w:val="bottom"/>
            <w:tcBorders>
              <w:bottom w:val="single" w:sz="8" w:color="auto"/>
              <w:right w:val="single" w:sz="8" w:color="auto"/>
            </w:tcBorders>
          </w:tcPr>
          <w:p>
            <w:pPr>
              <w:spacing w:after="0"/>
              <w:rPr>
                <w:sz w:val="13"/>
                <w:szCs w:val="13"/>
                <w:color w:val="auto"/>
              </w:rPr>
            </w:pPr>
          </w:p>
        </w:tc>
        <w:tc>
          <w:tcPr>
            <w:tcW w:w="1860" w:type="dxa"/>
            <w:vAlign w:val="bottom"/>
            <w:tcBorders>
              <w:bottom w:val="single" w:sz="8" w:color="auto"/>
              <w:right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right="100" w:hanging="424"/>
        <w:spacing w:after="0"/>
        <w:tabs>
          <w:tab w:leader="none" w:pos="424" w:val="left"/>
        </w:tabs>
        <w:numPr>
          <w:ilvl w:val="0"/>
          <w:numId w:val="1"/>
        </w:numPr>
        <w:rPr>
          <w:rFonts w:ascii="Arial" w:cs="Arial" w:eastAsia="Arial" w:hAnsi="Arial"/>
          <w:sz w:val="15"/>
          <w:szCs w:val="15"/>
          <w:color w:val="auto"/>
        </w:rPr>
      </w:pPr>
      <w:r>
        <w:rPr>
          <w:rFonts w:ascii="Arial" w:cs="Arial" w:eastAsia="Arial" w:hAnsi="Arial"/>
          <w:sz w:val="15"/>
          <w:szCs w:val="15"/>
          <w:color w:val="auto"/>
        </w:rPr>
        <w:t>An indeterminate amount of securities to be offered from time to time at indeterminate prices is being registered pursuant to this registration statement. The registrant is deferring payment of the registration fee pursuant to Rule 456(b) under the Securities Act and is omitting this information in reliance on Rule 456(b) and Rule 457(r) under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91440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30"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171450</wp:posOffset>
            </wp:positionV>
            <wp:extent cx="1474470" cy="643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Roper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253365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following are types of securities that may be offered and sold by Roper Technologies, Inc. or by selling security holders under this prospectus from time to time:</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32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2300" w:type="dxa"/>
            <w:vAlign w:val="bottom"/>
          </w:tcPr>
          <w:p>
            <w:pPr>
              <w:ind w:left="2120"/>
              <w:spacing w:after="0"/>
              <w:rPr>
                <w:sz w:val="20"/>
                <w:szCs w:val="20"/>
                <w:color w:val="auto"/>
              </w:rPr>
            </w:pPr>
            <w:r>
              <w:rPr>
                <w:rFonts w:ascii="Arial" w:cs="Arial" w:eastAsia="Arial" w:hAnsi="Arial"/>
                <w:sz w:val="18"/>
                <w:szCs w:val="18"/>
                <w:color w:val="auto"/>
              </w:rPr>
              <w:t>•</w:t>
            </w:r>
          </w:p>
        </w:tc>
        <w:tc>
          <w:tcPr>
            <w:tcW w:w="1460" w:type="dxa"/>
            <w:vAlign w:val="bottom"/>
          </w:tcPr>
          <w:p>
            <w:pPr>
              <w:ind w:left="120"/>
              <w:spacing w:after="0"/>
              <w:rPr>
                <w:sz w:val="20"/>
                <w:szCs w:val="20"/>
                <w:color w:val="auto"/>
              </w:rPr>
            </w:pPr>
            <w:r>
              <w:rPr>
                <w:rFonts w:ascii="Arial" w:cs="Arial" w:eastAsia="Arial" w:hAnsi="Arial"/>
                <w:sz w:val="18"/>
                <w:szCs w:val="18"/>
                <w:color w:val="auto"/>
              </w:rPr>
              <w:t>Warrants</w:t>
            </w: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320" w:type="dxa"/>
            <w:vAlign w:val="bottom"/>
          </w:tcPr>
          <w:p>
            <w:pPr>
              <w:ind w:left="120"/>
              <w:spacing w:after="0"/>
              <w:rPr>
                <w:sz w:val="20"/>
                <w:szCs w:val="20"/>
                <w:color w:val="auto"/>
              </w:rPr>
            </w:pPr>
            <w:r>
              <w:rPr>
                <w:rFonts w:ascii="Arial" w:cs="Arial" w:eastAsia="Arial" w:hAnsi="Arial"/>
                <w:sz w:val="18"/>
                <w:szCs w:val="18"/>
                <w:color w:val="auto"/>
              </w:rPr>
              <w:t>Preferred stock</w:t>
            </w:r>
          </w:p>
        </w:tc>
        <w:tc>
          <w:tcPr>
            <w:tcW w:w="2300" w:type="dxa"/>
            <w:vAlign w:val="bottom"/>
          </w:tcPr>
          <w:p>
            <w:pPr>
              <w:ind w:left="2120"/>
              <w:spacing w:after="0"/>
              <w:rPr>
                <w:sz w:val="20"/>
                <w:szCs w:val="20"/>
                <w:color w:val="auto"/>
              </w:rPr>
            </w:pPr>
            <w:r>
              <w:rPr>
                <w:rFonts w:ascii="Arial" w:cs="Arial" w:eastAsia="Arial" w:hAnsi="Arial"/>
                <w:sz w:val="18"/>
                <w:szCs w:val="18"/>
                <w:color w:val="auto"/>
              </w:rPr>
              <w:t>•</w:t>
            </w:r>
          </w:p>
        </w:tc>
        <w:tc>
          <w:tcPr>
            <w:tcW w:w="1460" w:type="dxa"/>
            <w:vAlign w:val="bottom"/>
          </w:tcPr>
          <w:p>
            <w:pPr>
              <w:ind w:left="120"/>
              <w:spacing w:after="0"/>
              <w:rPr>
                <w:sz w:val="20"/>
                <w:szCs w:val="20"/>
                <w:color w:val="auto"/>
              </w:rPr>
            </w:pPr>
            <w:r>
              <w:rPr>
                <w:rFonts w:ascii="Arial" w:cs="Arial" w:eastAsia="Arial" w:hAnsi="Arial"/>
                <w:sz w:val="18"/>
                <w:szCs w:val="18"/>
                <w:color w:val="auto"/>
                <w:w w:val="85"/>
              </w:rPr>
              <w:t>Purchase contracts</w:t>
            </w: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320" w:type="dxa"/>
            <w:vAlign w:val="bottom"/>
          </w:tcPr>
          <w:p>
            <w:pPr>
              <w:ind w:left="120"/>
              <w:spacing w:after="0"/>
              <w:rPr>
                <w:sz w:val="20"/>
                <w:szCs w:val="20"/>
                <w:color w:val="auto"/>
              </w:rPr>
            </w:pPr>
            <w:r>
              <w:rPr>
                <w:rFonts w:ascii="Arial" w:cs="Arial" w:eastAsia="Arial" w:hAnsi="Arial"/>
                <w:sz w:val="18"/>
                <w:szCs w:val="18"/>
                <w:color w:val="auto"/>
              </w:rPr>
              <w:t>Debt securities</w:t>
            </w:r>
          </w:p>
        </w:tc>
        <w:tc>
          <w:tcPr>
            <w:tcW w:w="2300" w:type="dxa"/>
            <w:vAlign w:val="bottom"/>
          </w:tcPr>
          <w:p>
            <w:pPr>
              <w:ind w:left="2120"/>
              <w:spacing w:after="0"/>
              <w:rPr>
                <w:sz w:val="20"/>
                <w:szCs w:val="20"/>
                <w:color w:val="auto"/>
              </w:rPr>
            </w:pPr>
            <w:r>
              <w:rPr>
                <w:rFonts w:ascii="Arial" w:cs="Arial" w:eastAsia="Arial" w:hAnsi="Arial"/>
                <w:sz w:val="18"/>
                <w:szCs w:val="18"/>
                <w:color w:val="auto"/>
              </w:rPr>
              <w:t>•</w:t>
            </w:r>
          </w:p>
        </w:tc>
        <w:tc>
          <w:tcPr>
            <w:tcW w:w="1460" w:type="dxa"/>
            <w:vAlign w:val="bottom"/>
          </w:tcPr>
          <w:p>
            <w:pPr>
              <w:ind w:left="120"/>
              <w:spacing w:after="0"/>
              <w:rPr>
                <w:sz w:val="20"/>
                <w:szCs w:val="20"/>
                <w:color w:val="auto"/>
              </w:rPr>
            </w:pPr>
            <w:r>
              <w:rPr>
                <w:rFonts w:ascii="Arial" w:cs="Arial" w:eastAsia="Arial" w:hAnsi="Arial"/>
                <w:sz w:val="18"/>
                <w:szCs w:val="18"/>
                <w:color w:val="auto"/>
              </w:rPr>
              <w:t>Units</w:t>
            </w:r>
          </w:p>
        </w:tc>
      </w:tr>
    </w:tbl>
    <w:p>
      <w:pPr>
        <w:spacing w:after="0" w:line="377"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together with any applicable prospectus supplement, carefully before you invest.</w:t>
      </w:r>
    </w:p>
    <w:p>
      <w:pPr>
        <w:spacing w:after="0" w:line="187"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30"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120"/>
              <w:spacing w:after="0"/>
              <w:rPr>
                <w:sz w:val="20"/>
                <w:szCs w:val="20"/>
                <w:color w:val="auto"/>
              </w:rPr>
            </w:pPr>
            <w:r>
              <w:rPr>
                <w:rFonts w:ascii="Arial" w:cs="Arial" w:eastAsia="Arial" w:hAnsi="Arial"/>
                <w:sz w:val="18"/>
                <w:szCs w:val="18"/>
                <w:color w:val="auto"/>
              </w:rPr>
              <w:t>Maturity</w:t>
            </w:r>
          </w:p>
        </w:tc>
        <w:tc>
          <w:tcPr>
            <w:tcW w:w="1100" w:type="dxa"/>
            <w:vAlign w:val="bottom"/>
          </w:tcPr>
          <w:p>
            <w:pPr>
              <w:ind w:left="900"/>
              <w:spacing w:after="0"/>
              <w:rPr>
                <w:sz w:val="20"/>
                <w:szCs w:val="20"/>
                <w:color w:val="auto"/>
              </w:rPr>
            </w:pPr>
            <w:r>
              <w:rPr>
                <w:rFonts w:ascii="Arial" w:cs="Arial" w:eastAsia="Arial" w:hAnsi="Arial"/>
                <w:sz w:val="18"/>
                <w:szCs w:val="18"/>
                <w:color w:val="auto"/>
              </w:rPr>
              <w:t>•</w:t>
            </w:r>
          </w:p>
        </w:tc>
        <w:tc>
          <w:tcPr>
            <w:tcW w:w="3000" w:type="dxa"/>
            <w:vAlign w:val="bottom"/>
          </w:tcPr>
          <w:p>
            <w:pPr>
              <w:ind w:left="120"/>
              <w:spacing w:after="0"/>
              <w:rPr>
                <w:sz w:val="20"/>
                <w:szCs w:val="20"/>
                <w:color w:val="auto"/>
              </w:rPr>
            </w:pPr>
            <w:r>
              <w:rPr>
                <w:rFonts w:ascii="Arial" w:cs="Arial" w:eastAsia="Arial" w:hAnsi="Arial"/>
                <w:sz w:val="18"/>
                <w:szCs w:val="18"/>
                <w:color w:val="auto"/>
              </w:rPr>
              <w:t>Redemption terms</w:t>
            </w:r>
          </w:p>
        </w:tc>
        <w:tc>
          <w:tcPr>
            <w:tcW w:w="860" w:type="dxa"/>
            <w:vAlign w:val="bottom"/>
          </w:tcPr>
          <w:p>
            <w:pPr>
              <w:ind w:left="660"/>
              <w:spacing w:after="0"/>
              <w:rPr>
                <w:sz w:val="20"/>
                <w:szCs w:val="20"/>
                <w:color w:val="auto"/>
              </w:rPr>
            </w:pPr>
            <w:r>
              <w:rPr>
                <w:rFonts w:ascii="Arial" w:cs="Arial" w:eastAsia="Arial" w:hAnsi="Arial"/>
                <w:sz w:val="18"/>
                <w:szCs w:val="18"/>
                <w:color w:val="auto"/>
              </w:rPr>
              <w:t>•</w:t>
            </w:r>
          </w:p>
        </w:tc>
        <w:tc>
          <w:tcPr>
            <w:tcW w:w="1700" w:type="dxa"/>
            <w:vAlign w:val="bottom"/>
          </w:tcPr>
          <w:p>
            <w:pPr>
              <w:ind w:left="120"/>
              <w:spacing w:after="0"/>
              <w:rPr>
                <w:sz w:val="20"/>
                <w:szCs w:val="20"/>
                <w:color w:val="auto"/>
              </w:rPr>
            </w:pPr>
            <w:r>
              <w:rPr>
                <w:rFonts w:ascii="Arial" w:cs="Arial" w:eastAsia="Arial" w:hAnsi="Arial"/>
                <w:sz w:val="18"/>
                <w:szCs w:val="18"/>
                <w:color w:val="auto"/>
              </w:rPr>
              <w:t>Liquidation amount</w:t>
            </w:r>
          </w:p>
        </w:tc>
      </w:tr>
      <w:tr>
        <w:trPr>
          <w:trHeight w:val="338"/>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120"/>
              <w:spacing w:after="0"/>
              <w:rPr>
                <w:sz w:val="20"/>
                <w:szCs w:val="20"/>
                <w:color w:val="auto"/>
              </w:rPr>
            </w:pPr>
            <w:r>
              <w:rPr>
                <w:rFonts w:ascii="Arial" w:cs="Arial" w:eastAsia="Arial" w:hAnsi="Arial"/>
                <w:sz w:val="18"/>
                <w:szCs w:val="18"/>
                <w:color w:val="auto"/>
              </w:rPr>
              <w:t>Interest rate</w:t>
            </w:r>
          </w:p>
        </w:tc>
        <w:tc>
          <w:tcPr>
            <w:tcW w:w="4100" w:type="dxa"/>
            <w:vAlign w:val="bottom"/>
            <w:gridSpan w:val="2"/>
          </w:tcPr>
          <w:p>
            <w:pPr>
              <w:ind w:left="900"/>
              <w:spacing w:after="0"/>
              <w:rPr>
                <w:sz w:val="20"/>
                <w:szCs w:val="20"/>
                <w:color w:val="auto"/>
              </w:rPr>
            </w:pPr>
            <w:r>
              <w:rPr>
                <w:rFonts w:ascii="Arial" w:cs="Arial" w:eastAsia="Arial" w:hAnsi="Arial"/>
                <w:sz w:val="18"/>
                <w:szCs w:val="18"/>
                <w:color w:val="auto"/>
              </w:rPr>
              <w:t>•   Listing on a security exchange</w:t>
            </w:r>
          </w:p>
        </w:tc>
        <w:tc>
          <w:tcPr>
            <w:tcW w:w="860" w:type="dxa"/>
            <w:vAlign w:val="bottom"/>
          </w:tcPr>
          <w:p>
            <w:pPr>
              <w:ind w:left="660"/>
              <w:spacing w:after="0"/>
              <w:rPr>
                <w:sz w:val="20"/>
                <w:szCs w:val="20"/>
                <w:color w:val="auto"/>
              </w:rPr>
            </w:pPr>
            <w:r>
              <w:rPr>
                <w:rFonts w:ascii="Arial" w:cs="Arial" w:eastAsia="Arial" w:hAnsi="Arial"/>
                <w:sz w:val="18"/>
                <w:szCs w:val="18"/>
                <w:color w:val="auto"/>
              </w:rPr>
              <w:t>•</w:t>
            </w:r>
          </w:p>
        </w:tc>
        <w:tc>
          <w:tcPr>
            <w:tcW w:w="1700" w:type="dxa"/>
            <w:vAlign w:val="bottom"/>
          </w:tcPr>
          <w:p>
            <w:pPr>
              <w:ind w:left="120"/>
              <w:spacing w:after="0"/>
              <w:rPr>
                <w:sz w:val="20"/>
                <w:szCs w:val="20"/>
                <w:color w:val="auto"/>
              </w:rPr>
            </w:pPr>
            <w:r>
              <w:rPr>
                <w:rFonts w:ascii="Arial" w:cs="Arial" w:eastAsia="Arial" w:hAnsi="Arial"/>
                <w:sz w:val="18"/>
                <w:szCs w:val="18"/>
                <w:color w:val="auto"/>
                <w:w w:val="87"/>
              </w:rPr>
              <w:t>Subsidiary guarantees</w:t>
            </w:r>
          </w:p>
        </w:tc>
      </w:tr>
      <w:tr>
        <w:trPr>
          <w:trHeight w:val="338"/>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120"/>
              <w:spacing w:after="0"/>
              <w:rPr>
                <w:sz w:val="20"/>
                <w:szCs w:val="20"/>
                <w:color w:val="auto"/>
              </w:rPr>
            </w:pPr>
            <w:r>
              <w:rPr>
                <w:rFonts w:ascii="Arial" w:cs="Arial" w:eastAsia="Arial" w:hAnsi="Arial"/>
                <w:sz w:val="18"/>
                <w:szCs w:val="18"/>
                <w:color w:val="auto"/>
              </w:rPr>
              <w:t>Currency of payments</w:t>
            </w:r>
          </w:p>
        </w:tc>
        <w:tc>
          <w:tcPr>
            <w:tcW w:w="4100" w:type="dxa"/>
            <w:vAlign w:val="bottom"/>
            <w:gridSpan w:val="2"/>
          </w:tcPr>
          <w:p>
            <w:pPr>
              <w:ind w:left="900"/>
              <w:spacing w:after="0"/>
              <w:rPr>
                <w:sz w:val="20"/>
                <w:szCs w:val="20"/>
                <w:color w:val="auto"/>
              </w:rPr>
            </w:pPr>
            <w:r>
              <w:rPr>
                <w:rFonts w:ascii="Arial" w:cs="Arial" w:eastAsia="Arial" w:hAnsi="Arial"/>
                <w:sz w:val="18"/>
                <w:szCs w:val="18"/>
                <w:color w:val="auto"/>
              </w:rPr>
              <w:t>•   Amount payable at maturity</w:t>
            </w:r>
          </w:p>
        </w:tc>
        <w:tc>
          <w:tcPr>
            <w:tcW w:w="860" w:type="dxa"/>
            <w:vAlign w:val="bottom"/>
          </w:tcPr>
          <w:p>
            <w:pPr>
              <w:ind w:left="660"/>
              <w:spacing w:after="0"/>
              <w:rPr>
                <w:sz w:val="20"/>
                <w:szCs w:val="20"/>
                <w:color w:val="auto"/>
              </w:rPr>
            </w:pPr>
            <w:r>
              <w:rPr>
                <w:rFonts w:ascii="Arial" w:cs="Arial" w:eastAsia="Arial" w:hAnsi="Arial"/>
                <w:sz w:val="18"/>
                <w:szCs w:val="18"/>
                <w:color w:val="auto"/>
              </w:rPr>
              <w:t>•</w:t>
            </w:r>
          </w:p>
        </w:tc>
        <w:tc>
          <w:tcPr>
            <w:tcW w:w="1700" w:type="dxa"/>
            <w:vAlign w:val="bottom"/>
          </w:tcPr>
          <w:p>
            <w:pPr>
              <w:ind w:left="120"/>
              <w:spacing w:after="0"/>
              <w:rPr>
                <w:sz w:val="20"/>
                <w:szCs w:val="20"/>
                <w:color w:val="auto"/>
              </w:rPr>
            </w:pPr>
            <w:r>
              <w:rPr>
                <w:rFonts w:ascii="Arial" w:cs="Arial" w:eastAsia="Arial" w:hAnsi="Arial"/>
                <w:sz w:val="18"/>
                <w:szCs w:val="18"/>
                <w:color w:val="auto"/>
              </w:rPr>
              <w:t>Sinking fund terms</w:t>
            </w:r>
          </w:p>
        </w:tc>
      </w:tr>
      <w:tr>
        <w:trPr>
          <w:trHeight w:val="338"/>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120"/>
              <w:spacing w:after="0"/>
              <w:rPr>
                <w:sz w:val="20"/>
                <w:szCs w:val="20"/>
                <w:color w:val="auto"/>
              </w:rPr>
            </w:pPr>
            <w:r>
              <w:rPr>
                <w:rFonts w:ascii="Arial" w:cs="Arial" w:eastAsia="Arial" w:hAnsi="Arial"/>
                <w:sz w:val="18"/>
                <w:szCs w:val="18"/>
                <w:color w:val="auto"/>
              </w:rPr>
              <w:t>Dividends</w:t>
            </w:r>
          </w:p>
        </w:tc>
        <w:tc>
          <w:tcPr>
            <w:tcW w:w="1100" w:type="dxa"/>
            <w:vAlign w:val="bottom"/>
          </w:tcPr>
          <w:p>
            <w:pPr>
              <w:ind w:left="900"/>
              <w:spacing w:after="0"/>
              <w:rPr>
                <w:sz w:val="20"/>
                <w:szCs w:val="20"/>
                <w:color w:val="auto"/>
              </w:rPr>
            </w:pPr>
            <w:r>
              <w:rPr>
                <w:rFonts w:ascii="Arial" w:cs="Arial" w:eastAsia="Arial" w:hAnsi="Arial"/>
                <w:sz w:val="18"/>
                <w:szCs w:val="18"/>
                <w:color w:val="auto"/>
              </w:rPr>
              <w:t>•</w:t>
            </w:r>
          </w:p>
        </w:tc>
        <w:tc>
          <w:tcPr>
            <w:tcW w:w="3000" w:type="dxa"/>
            <w:vAlign w:val="bottom"/>
          </w:tcPr>
          <w:p>
            <w:pPr>
              <w:ind w:left="120"/>
              <w:spacing w:after="0"/>
              <w:rPr>
                <w:sz w:val="20"/>
                <w:szCs w:val="20"/>
                <w:color w:val="auto"/>
              </w:rPr>
            </w:pPr>
            <w:r>
              <w:rPr>
                <w:rFonts w:ascii="Arial" w:cs="Arial" w:eastAsia="Arial" w:hAnsi="Arial"/>
                <w:sz w:val="18"/>
                <w:szCs w:val="18"/>
                <w:color w:val="auto"/>
              </w:rPr>
              <w:t>Conversion or exchange rights</w:t>
            </w:r>
          </w:p>
        </w:tc>
        <w:tc>
          <w:tcPr>
            <w:tcW w:w="86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377"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Our common stock is listed on the New York Stock Exchange under the ticker symbol ROP. On October 27, 2021, the reported last sale price on the New York Stock Exchange for our common stock was $481.19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203200</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440"/>
        <w:spacing w:after="0"/>
        <w:rPr>
          <w:sz w:val="20"/>
          <w:szCs w:val="20"/>
          <w:color w:val="auto"/>
        </w:rPr>
      </w:pPr>
      <w:r>
        <w:rPr>
          <w:rFonts w:ascii="Arial" w:cs="Arial" w:eastAsia="Arial" w:hAnsi="Arial"/>
          <w:sz w:val="21"/>
          <w:szCs w:val="21"/>
          <w:b w:val="1"/>
          <w:bCs w:val="1"/>
          <w:color w:val="auto"/>
        </w:rPr>
        <w:t>Investing in these securities involves certain risks. See “Item 1A-Risk Factors” in our Annual Report on</w:t>
      </w:r>
    </w:p>
    <w:p>
      <w:pPr>
        <w:spacing w:after="0" w:line="26"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b w:val="1"/>
          <w:bCs w:val="1"/>
          <w:color w:val="auto"/>
        </w:rPr>
        <w:t>Form 10-K for the year ended December 31, 2020, which is incorporated by reference herein. We may include specific risk factors in an applicable prospectus supplement under the heading “</w:t>
      </w:r>
      <w:r>
        <w:rPr>
          <w:rFonts w:ascii="Arial" w:cs="Arial" w:eastAsia="Arial" w:hAnsi="Arial"/>
          <w:sz w:val="22"/>
          <w:szCs w:val="22"/>
          <w:b w:val="1"/>
          <w:bCs w:val="1"/>
          <w:u w:val="single" w:color="auto"/>
          <w:color w:val="auto"/>
        </w:rPr>
        <w:t>Risk Factors</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217805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right="22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date of this prospectus is October 28, 2021</w:t>
      </w:r>
    </w:p>
    <w:p>
      <w:pPr>
        <w:sectPr>
          <w:pgSz w:w="11900" w:h="16838" w:orient="portrait"/>
          <w:cols w:equalWidth="0" w:num="1">
            <w:col w:w="10940"/>
          </w:cols>
          <w:pgMar w:left="440" w:top="270" w:right="519" w:bottom="1440" w:gutter="0" w:footer="0" w:header="0"/>
        </w:sectPr>
      </w:pPr>
    </w:p>
    <w:bookmarkStart w:id="2" w:name="page3"/>
    <w:bookmarkEnd w:id="2"/>
    <w:p>
      <w:pPr>
        <w:ind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have not, and the underwriters have not, authorized anyone to provide any information other than that contained or incorporated by reference in this prospectus or applicable prospectus supplement or free writing prospectus prepared by or on behalf of us or to which we have referred you. We and the underwriters take no responsibility for, and can provide no assurance as to the reliability of, any other information that others may give you. We are not, and the underwriters are not, making an offer to sell these securities in any jurisdiction where the offer or sale is not permitted. You should assume that the information contained in or incorporated by reference in this prospectus or an applicable prospectus supplement or free writing prospectus is accurate only as of their respective dates. Our business, financial condition, results of operations and prospects may have changed since those dates. Unless we have indicated otherwise, references in this prospectus to “Roper”, “we,” “us,” and “our” refer to Roper Technologies, Inc. and not to any of its existing or future subsidiaries.</w:t>
      </w:r>
    </w:p>
    <w:p>
      <w:pPr>
        <w:sectPr>
          <w:pgSz w:w="11900" w:h="16838" w:orient="portrait"/>
          <w:cols w:equalWidth="0" w:num="1">
            <w:col w:w="10920"/>
          </w:cols>
          <w:pgMar w:left="440" w:top="274" w:right="5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1569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6156960"/>
                    </a:xfrm>
                    <a:prstGeom prst="rect">
                      <a:avLst/>
                    </a:prstGeom>
                    <a:noFill/>
                  </pic:spPr>
                </pic:pic>
              </a:graphicData>
            </a:graphic>
          </wp:anchor>
        </w:drawing>
        <w:t>ROPER TECHNOLOGIES, INC.</w:t>
      </w:r>
    </w:p>
    <w:p>
      <w:pPr>
        <w:spacing w:after="0" w:line="22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i w:val="1"/>
          <w:iCs w:val="1"/>
          <w:color w:val="auto"/>
        </w:rPr>
        <w:t>References in this section to “Roper,” the “Company,” “we,” “us” and “our” or similar terms are to Roper Technologies, Inc. and our consolidated subsidiaries.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right="40" w:firstLine="426"/>
        <w:spacing w:after="0" w:line="277" w:lineRule="auto"/>
        <w:rPr>
          <w:sz w:val="20"/>
          <w:szCs w:val="20"/>
          <w:color w:val="auto"/>
        </w:rPr>
      </w:pPr>
      <w:r>
        <w:rPr>
          <w:rFonts w:ascii="Arial" w:cs="Arial" w:eastAsia="Arial" w:hAnsi="Arial"/>
          <w:sz w:val="18"/>
          <w:szCs w:val="18"/>
          <w:color w:val="auto"/>
        </w:rPr>
        <w:t>Roper is a diversified technology company. We operate businesses that design and develop software (both license and Software-as-a-Service) and engineered products and solutions for a variety of niche end markets.</w:t>
      </w:r>
    </w:p>
    <w:p>
      <w:pPr>
        <w:spacing w:after="0" w:line="170" w:lineRule="exact"/>
        <w:rPr>
          <w:sz w:val="20"/>
          <w:szCs w:val="20"/>
          <w:color w:val="auto"/>
        </w:rPr>
      </w:pPr>
    </w:p>
    <w:p>
      <w:pPr>
        <w:ind w:firstLine="426"/>
        <w:spacing w:after="0" w:line="259" w:lineRule="auto"/>
        <w:rPr>
          <w:sz w:val="20"/>
          <w:szCs w:val="20"/>
          <w:color w:val="auto"/>
        </w:rPr>
      </w:pPr>
      <w:r>
        <w:rPr>
          <w:rFonts w:ascii="Arial" w:cs="Arial" w:eastAsia="Arial" w:hAnsi="Arial"/>
          <w:sz w:val="18"/>
          <w:szCs w:val="18"/>
          <w:color w:val="auto"/>
        </w:rPr>
        <w:t>We pursue consistent and sustainable growth in earnings and cash flow by emphasizing continuous improvement in the operating performance of our existing businesses and by acquiring other businesses that offer high value-added software, services, engineered products and solutions that we believe are capable of achieving growth and maintaining high margins. We compete in many niche markets and believe we are the market leader or a competitive alternative to the market leader in most of these markets.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Segments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operations are reported in four segments based upon business models and capital deployment strategy and objectives. The segments 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Application Software, Network Software &amp; Systems, Measurement &amp; Analytical Solutions and Process Technologies.</w:t>
      </w:r>
    </w:p>
    <w:p>
      <w:pPr>
        <w:spacing w:after="0" w:line="3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Application Software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Below is a description of the products offered by business that comprise the Application Software segment.</w:t>
      </w:r>
    </w:p>
    <w:p>
      <w:pPr>
        <w:spacing w:after="0" w:line="117" w:lineRule="exact"/>
        <w:rPr>
          <w:sz w:val="20"/>
          <w:szCs w:val="20"/>
          <w:color w:val="auto"/>
        </w:rPr>
      </w:pPr>
    </w:p>
    <w:p>
      <w:pPr>
        <w:ind w:left="220" w:right="940"/>
        <w:spacing w:after="0" w:line="277" w:lineRule="auto"/>
        <w:rPr>
          <w:sz w:val="20"/>
          <w:szCs w:val="20"/>
          <w:color w:val="auto"/>
        </w:rPr>
      </w:pPr>
      <w:r>
        <w:rPr>
          <w:rFonts w:ascii="Arial" w:cs="Arial" w:eastAsia="Arial" w:hAnsi="Arial"/>
          <w:sz w:val="18"/>
          <w:szCs w:val="18"/>
          <w:i w:val="1"/>
          <w:iCs w:val="1"/>
          <w:color w:val="auto"/>
        </w:rPr>
        <w:t xml:space="preserve">Aderant - </w:t>
      </w:r>
      <w:r>
        <w:rPr>
          <w:rFonts w:ascii="Arial" w:cs="Arial" w:eastAsia="Arial" w:hAnsi="Arial"/>
          <w:sz w:val="18"/>
          <w:szCs w:val="18"/>
          <w:color w:val="auto"/>
        </w:rPr>
        <w:t>provides comprehensive management software solutions for law and other professional services firms, including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calendar/docket matter management, time and billing and case management.</w:t>
      </w:r>
    </w:p>
    <w:p>
      <w:pPr>
        <w:spacing w:after="0" w:line="62" w:lineRule="exact"/>
        <w:rPr>
          <w:sz w:val="20"/>
          <w:szCs w:val="20"/>
          <w:color w:val="auto"/>
        </w:rPr>
      </w:pPr>
    </w:p>
    <w:p>
      <w:pPr>
        <w:ind w:left="220" w:right="580"/>
        <w:spacing w:after="0" w:line="277" w:lineRule="auto"/>
        <w:rPr>
          <w:sz w:val="20"/>
          <w:szCs w:val="20"/>
          <w:color w:val="auto"/>
        </w:rPr>
      </w:pPr>
      <w:r>
        <w:rPr>
          <w:rFonts w:ascii="Arial" w:cs="Arial" w:eastAsia="Arial" w:hAnsi="Arial"/>
          <w:sz w:val="18"/>
          <w:szCs w:val="18"/>
          <w:i w:val="1"/>
          <w:iCs w:val="1"/>
          <w:color w:val="auto"/>
        </w:rPr>
        <w:t xml:space="preserve">CBORD </w:t>
      </w:r>
      <w:r>
        <w:rPr>
          <w:rFonts w:ascii="Arial" w:cs="Arial" w:eastAsia="Arial" w:hAnsi="Arial"/>
          <w:sz w:val="18"/>
          <w:szCs w:val="18"/>
          <w:color w:val="auto"/>
        </w:rPr>
        <w:t>- provides campus solutions software including access and cashless systems and food and nutrition service management serving</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higher education and healthcare markets.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 xml:space="preserve">CliniSys </w:t>
      </w:r>
      <w:r>
        <w:rPr>
          <w:rFonts w:ascii="Arial" w:cs="Arial" w:eastAsia="Arial" w:hAnsi="Arial"/>
          <w:sz w:val="18"/>
          <w:szCs w:val="18"/>
          <w:color w:val="auto"/>
        </w:rPr>
        <w:t>- provides laboratory information management software solutions.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 xml:space="preserve">Data Innovations </w:t>
      </w:r>
      <w:r>
        <w:rPr>
          <w:rFonts w:ascii="Arial" w:cs="Arial" w:eastAsia="Arial" w:hAnsi="Arial"/>
          <w:sz w:val="18"/>
          <w:szCs w:val="18"/>
          <w:color w:val="auto"/>
        </w:rPr>
        <w:t>- provides software solutions that enable enterprise management of hospitals and independent laboratories.</w:t>
      </w:r>
    </w:p>
    <w:p>
      <w:pPr>
        <w:spacing w:after="0" w:line="117" w:lineRule="exact"/>
        <w:rPr>
          <w:sz w:val="20"/>
          <w:szCs w:val="20"/>
          <w:color w:val="auto"/>
        </w:rPr>
      </w:pPr>
    </w:p>
    <w:p>
      <w:pPr>
        <w:ind w:left="220" w:right="120"/>
        <w:spacing w:after="0" w:line="277" w:lineRule="auto"/>
        <w:rPr>
          <w:sz w:val="20"/>
          <w:szCs w:val="20"/>
          <w:color w:val="auto"/>
        </w:rPr>
      </w:pPr>
      <w:r>
        <w:rPr>
          <w:rFonts w:ascii="Arial" w:cs="Arial" w:eastAsia="Arial" w:hAnsi="Arial"/>
          <w:sz w:val="18"/>
          <w:szCs w:val="18"/>
          <w:i w:val="1"/>
          <w:iCs w:val="1"/>
          <w:color w:val="auto"/>
        </w:rPr>
        <w:t xml:space="preserve">Deltek </w:t>
      </w:r>
      <w:r>
        <w:rPr>
          <w:rFonts w:ascii="Arial" w:cs="Arial" w:eastAsia="Arial" w:hAnsi="Arial"/>
          <w:sz w:val="18"/>
          <w:szCs w:val="18"/>
          <w:color w:val="auto"/>
        </w:rPr>
        <w:t>- provides enterprise software and information solutions for government contractors, professional services firms and other project-based</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 xml:space="preserve">Horizon </w:t>
      </w:r>
      <w:r>
        <w:rPr>
          <w:rFonts w:ascii="Arial" w:cs="Arial" w:eastAsia="Arial" w:hAnsi="Arial"/>
          <w:sz w:val="18"/>
          <w:szCs w:val="18"/>
          <w:color w:val="auto"/>
        </w:rPr>
        <w:t>- provides software, services, and technologies for foodservice operations–specializing in K-12.</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 xml:space="preserve">IntelliTrans </w:t>
      </w:r>
      <w:r>
        <w:rPr>
          <w:rFonts w:ascii="Arial" w:cs="Arial" w:eastAsia="Arial" w:hAnsi="Arial"/>
          <w:sz w:val="18"/>
          <w:szCs w:val="18"/>
          <w:color w:val="auto"/>
        </w:rPr>
        <w:t>- provides transportation management software and services to bulk and break-bulk commodity producers.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 xml:space="preserve">PowerPlan </w:t>
      </w:r>
      <w:r>
        <w:rPr>
          <w:rFonts w:ascii="Arial" w:cs="Arial" w:eastAsia="Arial" w:hAnsi="Arial"/>
          <w:sz w:val="16"/>
          <w:szCs w:val="16"/>
          <w:color w:val="auto"/>
        </w:rPr>
        <w:t>- provides financial and compliance management software and solutions to large complex companies in asset-intensive industries.</w:t>
      </w:r>
    </w:p>
    <w:p>
      <w:pPr>
        <w:spacing w:after="0" w:line="140" w:lineRule="exact"/>
        <w:rPr>
          <w:sz w:val="20"/>
          <w:szCs w:val="20"/>
          <w:color w:val="auto"/>
        </w:rPr>
      </w:pPr>
    </w:p>
    <w:p>
      <w:pPr>
        <w:ind w:left="220" w:right="540"/>
        <w:spacing w:after="0" w:line="277" w:lineRule="auto"/>
        <w:rPr>
          <w:sz w:val="20"/>
          <w:szCs w:val="20"/>
          <w:color w:val="auto"/>
        </w:rPr>
      </w:pPr>
      <w:r>
        <w:rPr>
          <w:rFonts w:ascii="Arial" w:cs="Arial" w:eastAsia="Arial" w:hAnsi="Arial"/>
          <w:sz w:val="18"/>
          <w:szCs w:val="18"/>
          <w:i w:val="1"/>
          <w:iCs w:val="1"/>
          <w:color w:val="auto"/>
        </w:rPr>
        <w:t xml:space="preserve">Strata </w:t>
      </w:r>
      <w:r>
        <w:rPr>
          <w:rFonts w:ascii="Arial" w:cs="Arial" w:eastAsia="Arial" w:hAnsi="Arial"/>
          <w:sz w:val="18"/>
          <w:szCs w:val="18"/>
          <w:color w:val="auto"/>
        </w:rPr>
        <w:t>- provides cloud-based financial analytics and performance management software that is used by healthcare providers for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planning, decision support and continuous cost improvement.</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 xml:space="preserve">Sunquest </w:t>
      </w:r>
      <w:r>
        <w:rPr>
          <w:rFonts w:ascii="Arial" w:cs="Arial" w:eastAsia="Arial" w:hAnsi="Arial"/>
          <w:sz w:val="18"/>
          <w:szCs w:val="18"/>
          <w:color w:val="auto"/>
        </w:rPr>
        <w:t>- provides diagnostic and laboratory information systems to health care providers worldwide.</w:t>
      </w:r>
    </w:p>
    <w:p>
      <w:pPr>
        <w:sectPr>
          <w:pgSz w:w="11900" w:h="16838" w:orient="portrait"/>
          <w:cols w:equalWidth="0" w:num="1">
            <w:col w:w="10640"/>
          </w:cols>
          <w:pgMar w:left="620" w:top="459" w:right="639" w:bottom="1440" w:gutter="0" w:footer="0" w:header="0"/>
        </w:sectPr>
      </w:pPr>
    </w:p>
    <w:bookmarkStart w:id="4" w:name="page5"/>
    <w:bookmarkEnd w:id="4"/>
    <w:p>
      <w:pPr>
        <w:ind w:left="220" w:right="760"/>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769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6276975"/>
                    </a:xfrm>
                    <a:prstGeom prst="rect">
                      <a:avLst/>
                    </a:prstGeom>
                    <a:noFill/>
                  </pic:spPr>
                </pic:pic>
              </a:graphicData>
            </a:graphic>
          </wp:anchor>
        </w:drawing>
        <w:t xml:space="preserve">Vertafore </w:t>
      </w:r>
      <w:r>
        <w:rPr>
          <w:rFonts w:ascii="Arial" w:cs="Arial" w:eastAsia="Arial" w:hAnsi="Arial"/>
          <w:sz w:val="18"/>
          <w:szCs w:val="18"/>
          <w:color w:val="auto"/>
        </w:rPr>
        <w:t>- provides cloud-based software to the property and casualty insurance industry, including agency management, compliance,</w:t>
      </w:r>
      <w:r>
        <w:rPr>
          <w:rFonts w:ascii="Arial" w:cs="Arial" w:eastAsia="Arial" w:hAnsi="Arial"/>
          <w:sz w:val="18"/>
          <w:szCs w:val="18"/>
          <w:i w:val="1"/>
          <w:iCs w:val="1"/>
          <w:color w:val="auto"/>
        </w:rPr>
        <w:t xml:space="preserve"> </w:t>
      </w:r>
      <w:r>
        <w:rPr>
          <w:rFonts w:ascii="Arial" w:cs="Arial" w:eastAsia="Arial" w:hAnsi="Arial"/>
          <w:sz w:val="18"/>
          <w:szCs w:val="18"/>
          <w:color w:val="auto"/>
        </w:rPr>
        <w:t>workflow, and data solutions.</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Network Software &amp; Systems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Below is a description of the products offered by business that comprise the Network Software &amp; Systems segment.</w:t>
      </w:r>
    </w:p>
    <w:p>
      <w:pPr>
        <w:spacing w:after="0" w:line="117" w:lineRule="exact"/>
        <w:rPr>
          <w:sz w:val="20"/>
          <w:szCs w:val="20"/>
          <w:color w:val="auto"/>
        </w:rPr>
      </w:pPr>
    </w:p>
    <w:p>
      <w:pPr>
        <w:ind w:left="220" w:right="380"/>
        <w:spacing w:after="0" w:line="277" w:lineRule="auto"/>
        <w:rPr>
          <w:sz w:val="20"/>
          <w:szCs w:val="20"/>
          <w:color w:val="auto"/>
        </w:rPr>
      </w:pPr>
      <w:r>
        <w:rPr>
          <w:rFonts w:ascii="Arial" w:cs="Arial" w:eastAsia="Arial" w:hAnsi="Arial"/>
          <w:sz w:val="18"/>
          <w:szCs w:val="18"/>
          <w:i w:val="1"/>
          <w:iCs w:val="1"/>
          <w:color w:val="auto"/>
        </w:rPr>
        <w:t xml:space="preserve">ConstructConnect </w:t>
      </w:r>
      <w:r>
        <w:rPr>
          <w:rFonts w:ascii="Arial" w:cs="Arial" w:eastAsia="Arial" w:hAnsi="Arial"/>
          <w:sz w:val="18"/>
          <w:szCs w:val="18"/>
          <w:color w:val="auto"/>
        </w:rPr>
        <w:t>- provides cloud-based data, collaboration and estimating automation software solutions to a network of pre-construction</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contractors.</w:t>
      </w:r>
    </w:p>
    <w:p>
      <w:pPr>
        <w:spacing w:after="0" w:line="62" w:lineRule="exact"/>
        <w:rPr>
          <w:sz w:val="20"/>
          <w:szCs w:val="20"/>
          <w:color w:val="auto"/>
        </w:rPr>
      </w:pPr>
    </w:p>
    <w:p>
      <w:pPr>
        <w:ind w:left="220" w:right="320"/>
        <w:spacing w:after="0" w:line="277" w:lineRule="auto"/>
        <w:rPr>
          <w:sz w:val="20"/>
          <w:szCs w:val="20"/>
          <w:color w:val="auto"/>
        </w:rPr>
      </w:pPr>
      <w:r>
        <w:rPr>
          <w:rFonts w:ascii="Arial" w:cs="Arial" w:eastAsia="Arial" w:hAnsi="Arial"/>
          <w:sz w:val="18"/>
          <w:szCs w:val="18"/>
          <w:i w:val="1"/>
          <w:iCs w:val="1"/>
          <w:color w:val="auto"/>
        </w:rPr>
        <w:t xml:space="preserve">DAT </w:t>
      </w:r>
      <w:r>
        <w:rPr>
          <w:rFonts w:ascii="Arial" w:cs="Arial" w:eastAsia="Arial" w:hAnsi="Arial"/>
          <w:sz w:val="18"/>
          <w:szCs w:val="18"/>
          <w:color w:val="auto"/>
        </w:rPr>
        <w:t>- provides electronic marketplaces that connect available capacity of trucking units with the available loads of freight throughout North</w:t>
      </w:r>
      <w:r>
        <w:rPr>
          <w:rFonts w:ascii="Arial" w:cs="Arial" w:eastAsia="Arial" w:hAnsi="Arial"/>
          <w:sz w:val="18"/>
          <w:szCs w:val="18"/>
          <w:i w:val="1"/>
          <w:iCs w:val="1"/>
          <w:color w:val="auto"/>
        </w:rPr>
        <w:t xml:space="preserve"> </w:t>
      </w:r>
      <w:r>
        <w:rPr>
          <w:rFonts w:ascii="Arial" w:cs="Arial" w:eastAsia="Arial" w:hAnsi="Arial"/>
          <w:sz w:val="18"/>
          <w:szCs w:val="18"/>
          <w:color w:val="auto"/>
        </w:rPr>
        <w:t>America.</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 xml:space="preserve">Foundry </w:t>
      </w:r>
      <w:r>
        <w:rPr>
          <w:rFonts w:ascii="Arial" w:cs="Arial" w:eastAsia="Arial" w:hAnsi="Arial"/>
          <w:sz w:val="17"/>
          <w:szCs w:val="17"/>
          <w:color w:val="auto"/>
        </w:rPr>
        <w:t>- provides software technologies used to deliver visual effects and 3D content for the entertainment and digital design industries.</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 xml:space="preserve">Inovonics </w:t>
      </w:r>
      <w:r>
        <w:rPr>
          <w:rFonts w:ascii="Arial" w:cs="Arial" w:eastAsia="Arial" w:hAnsi="Arial"/>
          <w:sz w:val="18"/>
          <w:szCs w:val="18"/>
          <w:color w:val="auto"/>
        </w:rPr>
        <w:t>- provides high performance wireless sensor network and solutions for a variety of applications.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 xml:space="preserve">iPipeline </w:t>
      </w:r>
      <w:r>
        <w:rPr>
          <w:rFonts w:ascii="Arial" w:cs="Arial" w:eastAsia="Arial" w:hAnsi="Arial"/>
          <w:sz w:val="18"/>
          <w:szCs w:val="18"/>
          <w:color w:val="auto"/>
        </w:rPr>
        <w:t>- provides cloud-based software solutions for the life insurance and financial services industries.</w:t>
      </w:r>
    </w:p>
    <w:p>
      <w:pPr>
        <w:spacing w:after="0" w:line="117" w:lineRule="exact"/>
        <w:rPr>
          <w:sz w:val="20"/>
          <w:szCs w:val="20"/>
          <w:color w:val="auto"/>
        </w:rPr>
      </w:pPr>
    </w:p>
    <w:p>
      <w:pPr>
        <w:ind w:left="220" w:right="140"/>
        <w:spacing w:after="0" w:line="277" w:lineRule="auto"/>
        <w:rPr>
          <w:sz w:val="20"/>
          <w:szCs w:val="20"/>
          <w:color w:val="auto"/>
        </w:rPr>
      </w:pPr>
      <w:r>
        <w:rPr>
          <w:rFonts w:ascii="Arial" w:cs="Arial" w:eastAsia="Arial" w:hAnsi="Arial"/>
          <w:sz w:val="18"/>
          <w:szCs w:val="18"/>
          <w:i w:val="1"/>
          <w:iCs w:val="1"/>
          <w:color w:val="auto"/>
        </w:rPr>
        <w:t xml:space="preserve">iTradeNetwork </w:t>
      </w:r>
      <w:r>
        <w:rPr>
          <w:rFonts w:ascii="Arial" w:cs="Arial" w:eastAsia="Arial" w:hAnsi="Arial"/>
          <w:sz w:val="18"/>
          <w:szCs w:val="18"/>
          <w:color w:val="auto"/>
        </w:rPr>
        <w:t>- provides electronic marketplaces and supply chain software that connect food suppliers, distributors and vendors, primarily in</w:t>
      </w:r>
      <w:r>
        <w:rPr>
          <w:rFonts w:ascii="Arial" w:cs="Arial" w:eastAsia="Arial" w:hAnsi="Arial"/>
          <w:sz w:val="18"/>
          <w:szCs w:val="18"/>
          <w:i w:val="1"/>
          <w:iCs w:val="1"/>
          <w:color w:val="auto"/>
        </w:rPr>
        <w:t xml:space="preserve"> </w:t>
      </w:r>
      <w:r>
        <w:rPr>
          <w:rFonts w:ascii="Arial" w:cs="Arial" w:eastAsia="Arial" w:hAnsi="Arial"/>
          <w:sz w:val="18"/>
          <w:szCs w:val="18"/>
          <w:color w:val="auto"/>
        </w:rPr>
        <w:t>the perishable food sector.</w:t>
      </w:r>
    </w:p>
    <w:p>
      <w:pPr>
        <w:spacing w:after="0" w:line="62" w:lineRule="exact"/>
        <w:rPr>
          <w:sz w:val="20"/>
          <w:szCs w:val="20"/>
          <w:color w:val="auto"/>
        </w:rPr>
      </w:pPr>
    </w:p>
    <w:p>
      <w:pPr>
        <w:ind w:left="220" w:right="100"/>
        <w:spacing w:after="0" w:line="277" w:lineRule="auto"/>
        <w:rPr>
          <w:sz w:val="20"/>
          <w:szCs w:val="20"/>
          <w:color w:val="auto"/>
        </w:rPr>
      </w:pPr>
      <w:r>
        <w:rPr>
          <w:rFonts w:ascii="Arial" w:cs="Arial" w:eastAsia="Arial" w:hAnsi="Arial"/>
          <w:sz w:val="18"/>
          <w:szCs w:val="18"/>
          <w:i w:val="1"/>
          <w:iCs w:val="1"/>
          <w:color w:val="auto"/>
        </w:rPr>
        <w:t xml:space="preserve">Link Logistics </w:t>
      </w:r>
      <w:r>
        <w:rPr>
          <w:rFonts w:ascii="Arial" w:cs="Arial" w:eastAsia="Arial" w:hAnsi="Arial"/>
          <w:sz w:val="18"/>
          <w:szCs w:val="18"/>
          <w:color w:val="auto"/>
        </w:rPr>
        <w:t>- provides electronic marketplaces that connect available capacity of trucking units with the available loads of freight throughout</w:t>
      </w:r>
      <w:r>
        <w:rPr>
          <w:rFonts w:ascii="Arial" w:cs="Arial" w:eastAsia="Arial" w:hAnsi="Arial"/>
          <w:sz w:val="18"/>
          <w:szCs w:val="18"/>
          <w:i w:val="1"/>
          <w:iCs w:val="1"/>
          <w:color w:val="auto"/>
        </w:rPr>
        <w:t xml:space="preserve"> </w:t>
      </w:r>
      <w:r>
        <w:rPr>
          <w:rFonts w:ascii="Arial" w:cs="Arial" w:eastAsia="Arial" w:hAnsi="Arial"/>
          <w:sz w:val="18"/>
          <w:szCs w:val="18"/>
          <w:color w:val="auto"/>
        </w:rPr>
        <w:t>Canada.</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 xml:space="preserve">MHA </w:t>
      </w:r>
      <w:r>
        <w:rPr>
          <w:rFonts w:ascii="Arial" w:cs="Arial" w:eastAsia="Arial" w:hAnsi="Arial"/>
          <w:sz w:val="18"/>
          <w:szCs w:val="18"/>
          <w:color w:val="auto"/>
        </w:rPr>
        <w:t>- provides health care service and software solutions to alternate site health care markets.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 xml:space="preserve">RF IDeas </w:t>
      </w:r>
      <w:r>
        <w:rPr>
          <w:rFonts w:ascii="Arial" w:cs="Arial" w:eastAsia="Arial" w:hAnsi="Arial"/>
          <w:sz w:val="17"/>
          <w:szCs w:val="17"/>
          <w:color w:val="auto"/>
        </w:rPr>
        <w:t>- provides RFID card readers used in numerous identity access management applications across a variety of vertical markets.</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 xml:space="preserve">SHP </w:t>
      </w:r>
      <w:r>
        <w:rPr>
          <w:rFonts w:ascii="Arial" w:cs="Arial" w:eastAsia="Arial" w:hAnsi="Arial"/>
          <w:sz w:val="18"/>
          <w:szCs w:val="18"/>
          <w:color w:val="auto"/>
        </w:rPr>
        <w:t>- provides data analytics and benchmarking information for the post-acute healthcare provider marketplace.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 xml:space="preserve">SoftWriters </w:t>
      </w:r>
      <w:r>
        <w:rPr>
          <w:rFonts w:ascii="Arial" w:cs="Arial" w:eastAsia="Arial" w:hAnsi="Arial"/>
          <w:sz w:val="18"/>
          <w:szCs w:val="18"/>
          <w:color w:val="auto"/>
        </w:rPr>
        <w:t>- provides software solutions to pharmacies that primarily serve the long term care marketplace.</w:t>
      </w:r>
    </w:p>
    <w:p>
      <w:pPr>
        <w:spacing w:after="0" w:line="117" w:lineRule="exact"/>
        <w:rPr>
          <w:sz w:val="20"/>
          <w:szCs w:val="20"/>
          <w:color w:val="auto"/>
        </w:rPr>
      </w:pPr>
    </w:p>
    <w:p>
      <w:pPr>
        <w:ind w:left="220"/>
        <w:spacing w:after="0" w:line="259" w:lineRule="auto"/>
        <w:rPr>
          <w:sz w:val="20"/>
          <w:szCs w:val="20"/>
          <w:color w:val="auto"/>
        </w:rPr>
      </w:pPr>
      <w:r>
        <w:rPr>
          <w:rFonts w:ascii="Arial" w:cs="Arial" w:eastAsia="Arial" w:hAnsi="Arial"/>
          <w:sz w:val="18"/>
          <w:szCs w:val="18"/>
          <w:i w:val="1"/>
          <w:iCs w:val="1"/>
          <w:color w:val="auto"/>
        </w:rPr>
        <w:t xml:space="preserve">TransCore </w:t>
      </w:r>
      <w:r>
        <w:rPr>
          <w:rFonts w:ascii="Arial" w:cs="Arial" w:eastAsia="Arial" w:hAnsi="Arial"/>
          <w:sz w:val="18"/>
          <w:szCs w:val="18"/>
          <w:color w:val="auto"/>
        </w:rPr>
        <w:t>- provides toll systems and toll products, transaction and violation processing services, and intelligent traffic systems to governmental</w:t>
      </w:r>
      <w:r>
        <w:rPr>
          <w:rFonts w:ascii="Arial" w:cs="Arial" w:eastAsia="Arial" w:hAnsi="Arial"/>
          <w:sz w:val="18"/>
          <w:szCs w:val="18"/>
          <w:i w:val="1"/>
          <w:iCs w:val="1"/>
          <w:color w:val="auto"/>
        </w:rPr>
        <w:t xml:space="preserve"> </w:t>
      </w:r>
      <w:r>
        <w:rPr>
          <w:rFonts w:ascii="Arial" w:cs="Arial" w:eastAsia="Arial" w:hAnsi="Arial"/>
          <w:sz w:val="18"/>
          <w:szCs w:val="18"/>
          <w:color w:val="auto"/>
        </w:rPr>
        <w:t>and private sector entities. On October 1, 2021, Roper entered into a definitive agreement to sell the TransCore unit to ST Engineering Urban Solutions USA Inc. for approximately $2.68 billion, subject to customary adjustments reflecting cash, indebtedness, working capital and transaction expenses.</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Measurement &amp; Analytical Solutions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Below is a description of the products offered by business that comprise the Measurement &amp; Analytical Solutions segment.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 xml:space="preserve">Alpha </w:t>
      </w:r>
      <w:r>
        <w:rPr>
          <w:rFonts w:ascii="Arial" w:cs="Arial" w:eastAsia="Arial" w:hAnsi="Arial"/>
          <w:sz w:val="18"/>
          <w:szCs w:val="18"/>
          <w:color w:val="auto"/>
        </w:rPr>
        <w:t>- provides precision rubber and polymer testing instruments, and data analysis software.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 xml:space="preserve">CIVCO Medical Solutions </w:t>
      </w:r>
      <w:r>
        <w:rPr>
          <w:rFonts w:ascii="Arial" w:cs="Arial" w:eastAsia="Arial" w:hAnsi="Arial"/>
          <w:sz w:val="18"/>
          <w:szCs w:val="18"/>
          <w:color w:val="auto"/>
        </w:rPr>
        <w:t>- provides accessories focused on guidance and infection control for ultrasound procedures.</w:t>
      </w:r>
    </w:p>
    <w:p>
      <w:pPr>
        <w:spacing w:after="0" w:line="117" w:lineRule="exact"/>
        <w:rPr>
          <w:sz w:val="20"/>
          <w:szCs w:val="20"/>
          <w:color w:val="auto"/>
        </w:rPr>
      </w:pPr>
    </w:p>
    <w:p>
      <w:pPr>
        <w:ind w:left="220" w:right="40"/>
        <w:spacing w:after="0" w:line="263" w:lineRule="auto"/>
        <w:rPr>
          <w:sz w:val="20"/>
          <w:szCs w:val="20"/>
          <w:color w:val="auto"/>
        </w:rPr>
      </w:pPr>
      <w:r>
        <w:rPr>
          <w:rFonts w:ascii="Arial" w:cs="Arial" w:eastAsia="Arial" w:hAnsi="Arial"/>
          <w:sz w:val="18"/>
          <w:szCs w:val="18"/>
          <w:i w:val="1"/>
          <w:iCs w:val="1"/>
          <w:color w:val="auto"/>
        </w:rPr>
        <w:t xml:space="preserve">CIVCO Radiotherapy </w:t>
      </w:r>
      <w:r>
        <w:rPr>
          <w:rFonts w:ascii="Arial" w:cs="Arial" w:eastAsia="Arial" w:hAnsi="Arial"/>
          <w:sz w:val="18"/>
          <w:szCs w:val="18"/>
          <w:color w:val="auto"/>
        </w:rPr>
        <w:t>- provides radiotherapy solutions, including patient positioning and immobilization devices, and patient care products. On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14, 2021, Roper entered into a definitive agreement to sell the CIVCO Radiotherapy unit to an affiliate of Blue Wolf Capital for approximately $120 million.</w:t>
      </w:r>
    </w:p>
    <w:p>
      <w:pPr>
        <w:spacing w:after="0" w:line="7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 xml:space="preserve">Dynisco </w:t>
      </w:r>
      <w:r>
        <w:rPr>
          <w:rFonts w:ascii="Arial" w:cs="Arial" w:eastAsia="Arial" w:hAnsi="Arial"/>
          <w:sz w:val="18"/>
          <w:szCs w:val="18"/>
          <w:color w:val="auto"/>
        </w:rPr>
        <w:t>- provides solutions for testing and analyzing plastics used in a variety of end markets.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640"/>
          </w:cols>
          <w:pgMar w:left="620" w:top="463" w:right="639" w:bottom="1440" w:gutter="0" w:footer="0" w:header="0"/>
        </w:sectPr>
      </w:pPr>
    </w:p>
    <w:bookmarkStart w:id="5" w:name="page6"/>
    <w:bookmarkEnd w:id="5"/>
    <w:p>
      <w:pPr>
        <w:ind w:left="22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019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6019800"/>
                    </a:xfrm>
                    <a:prstGeom prst="rect">
                      <a:avLst/>
                    </a:prstGeom>
                    <a:noFill/>
                  </pic:spPr>
                </pic:pic>
              </a:graphicData>
            </a:graphic>
          </wp:anchor>
        </w:drawing>
        <w:t xml:space="preserve">FMI </w:t>
      </w:r>
      <w:r>
        <w:rPr>
          <w:rFonts w:ascii="Arial" w:cs="Arial" w:eastAsia="Arial" w:hAnsi="Arial"/>
          <w:sz w:val="18"/>
          <w:szCs w:val="18"/>
          <w:color w:val="auto"/>
        </w:rPr>
        <w:t>- provides dispensers and metering pumps which are utilized in a broad range of applications requiring precision fluid control.</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 xml:space="preserve">Hansen </w:t>
      </w:r>
      <w:r>
        <w:rPr>
          <w:rFonts w:ascii="Arial" w:cs="Arial" w:eastAsia="Arial" w:hAnsi="Arial"/>
          <w:sz w:val="18"/>
          <w:szCs w:val="18"/>
          <w:color w:val="auto"/>
        </w:rPr>
        <w:t>- provides control valves for large industrial refrigeration systems.</w:t>
      </w:r>
    </w:p>
    <w:p>
      <w:pPr>
        <w:spacing w:after="0" w:line="117" w:lineRule="exact"/>
        <w:rPr>
          <w:sz w:val="20"/>
          <w:szCs w:val="20"/>
          <w:color w:val="auto"/>
        </w:rPr>
      </w:pPr>
    </w:p>
    <w:p>
      <w:pPr>
        <w:ind w:left="220" w:right="420"/>
        <w:spacing w:after="0" w:line="277" w:lineRule="auto"/>
        <w:rPr>
          <w:sz w:val="20"/>
          <w:szCs w:val="20"/>
          <w:color w:val="auto"/>
        </w:rPr>
      </w:pPr>
      <w:r>
        <w:rPr>
          <w:rFonts w:ascii="Arial" w:cs="Arial" w:eastAsia="Arial" w:hAnsi="Arial"/>
          <w:sz w:val="18"/>
          <w:szCs w:val="18"/>
          <w:i w:val="1"/>
          <w:iCs w:val="1"/>
          <w:color w:val="auto"/>
        </w:rPr>
        <w:t xml:space="preserve">Hardy </w:t>
      </w:r>
      <w:r>
        <w:rPr>
          <w:rFonts w:ascii="Arial" w:cs="Arial" w:eastAsia="Arial" w:hAnsi="Arial"/>
          <w:sz w:val="18"/>
          <w:szCs w:val="18"/>
          <w:color w:val="auto"/>
        </w:rPr>
        <w:t>- provides precision weighing equipment for process and packaging for a variety of industries including food processing, automated</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chemical, plastics, and rubber.</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 xml:space="preserve">IPA </w:t>
      </w:r>
      <w:r>
        <w:rPr>
          <w:rFonts w:ascii="Arial" w:cs="Arial" w:eastAsia="Arial" w:hAnsi="Arial"/>
          <w:sz w:val="18"/>
          <w:szCs w:val="18"/>
          <w:color w:val="auto"/>
        </w:rPr>
        <w:t>- provides automated surgical scrub and linen dispensing equipment for healthcare providers.</w:t>
      </w:r>
    </w:p>
    <w:p>
      <w:pPr>
        <w:spacing w:after="0" w:line="117" w:lineRule="exact"/>
        <w:rPr>
          <w:sz w:val="20"/>
          <w:szCs w:val="20"/>
          <w:color w:val="auto"/>
        </w:rPr>
      </w:pPr>
    </w:p>
    <w:p>
      <w:pPr>
        <w:ind w:left="220" w:right="680"/>
        <w:spacing w:after="0" w:line="277" w:lineRule="auto"/>
        <w:rPr>
          <w:sz w:val="20"/>
          <w:szCs w:val="20"/>
          <w:color w:val="auto"/>
        </w:rPr>
      </w:pPr>
      <w:r>
        <w:rPr>
          <w:rFonts w:ascii="Arial" w:cs="Arial" w:eastAsia="Arial" w:hAnsi="Arial"/>
          <w:sz w:val="18"/>
          <w:szCs w:val="18"/>
          <w:i w:val="1"/>
          <w:iCs w:val="1"/>
          <w:color w:val="auto"/>
        </w:rPr>
        <w:t xml:space="preserve">Logitech </w:t>
      </w:r>
      <w:r>
        <w:rPr>
          <w:rFonts w:ascii="Arial" w:cs="Arial" w:eastAsia="Arial" w:hAnsi="Arial"/>
          <w:sz w:val="18"/>
          <w:szCs w:val="18"/>
          <w:color w:val="auto"/>
        </w:rPr>
        <w:t>- provides equipment and consumables used for sample preparation and material analysis used primarily in the semiconductor</w:t>
      </w:r>
      <w:r>
        <w:rPr>
          <w:rFonts w:ascii="Arial" w:cs="Arial" w:eastAsia="Arial" w:hAnsi="Arial"/>
          <w:sz w:val="18"/>
          <w:szCs w:val="18"/>
          <w:i w:val="1"/>
          <w:iCs w:val="1"/>
          <w:color w:val="auto"/>
        </w:rPr>
        <w:t xml:space="preserve"> </w:t>
      </w:r>
      <w:r>
        <w:rPr>
          <w:rFonts w:ascii="Arial" w:cs="Arial" w:eastAsia="Arial" w:hAnsi="Arial"/>
          <w:sz w:val="18"/>
          <w:szCs w:val="18"/>
          <w:color w:val="auto"/>
        </w:rPr>
        <w:t>geological science industries.</w:t>
      </w:r>
    </w:p>
    <w:p>
      <w:pPr>
        <w:spacing w:after="0" w:line="62" w:lineRule="exact"/>
        <w:rPr>
          <w:sz w:val="20"/>
          <w:szCs w:val="20"/>
          <w:color w:val="auto"/>
        </w:rPr>
      </w:pPr>
    </w:p>
    <w:p>
      <w:pPr>
        <w:ind w:left="220" w:right="260"/>
        <w:spacing w:after="0" w:line="277" w:lineRule="auto"/>
        <w:rPr>
          <w:sz w:val="20"/>
          <w:szCs w:val="20"/>
          <w:color w:val="auto"/>
        </w:rPr>
      </w:pPr>
      <w:r>
        <w:rPr>
          <w:rFonts w:ascii="Arial" w:cs="Arial" w:eastAsia="Arial" w:hAnsi="Arial"/>
          <w:sz w:val="18"/>
          <w:szCs w:val="18"/>
          <w:i w:val="1"/>
          <w:iCs w:val="1"/>
          <w:color w:val="auto"/>
        </w:rPr>
        <w:t xml:space="preserve">Neptune </w:t>
      </w:r>
      <w:r>
        <w:rPr>
          <w:rFonts w:ascii="Arial" w:cs="Arial" w:eastAsia="Arial" w:hAnsi="Arial"/>
          <w:sz w:val="18"/>
          <w:szCs w:val="18"/>
          <w:color w:val="auto"/>
        </w:rPr>
        <w:t>- provides water meters, enabling water utilities to remotely monitor their customers utilizing Automatic Meter Reading (AMR) and</w:t>
      </w:r>
      <w:r>
        <w:rPr>
          <w:rFonts w:ascii="Arial" w:cs="Arial" w:eastAsia="Arial" w:hAnsi="Arial"/>
          <w:sz w:val="18"/>
          <w:szCs w:val="18"/>
          <w:i w:val="1"/>
          <w:iCs w:val="1"/>
          <w:color w:val="auto"/>
        </w:rPr>
        <w:t xml:space="preserve"> </w:t>
      </w:r>
      <w:r>
        <w:rPr>
          <w:rFonts w:ascii="Arial" w:cs="Arial" w:eastAsia="Arial" w:hAnsi="Arial"/>
          <w:sz w:val="18"/>
          <w:szCs w:val="18"/>
          <w:color w:val="auto"/>
        </w:rPr>
        <w:t>Advanced Metering Infrastructure (AMI) technologies.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 xml:space="preserve">Northern Digital </w:t>
      </w:r>
      <w:r>
        <w:rPr>
          <w:rFonts w:ascii="Arial" w:cs="Arial" w:eastAsia="Arial" w:hAnsi="Arial"/>
          <w:sz w:val="18"/>
          <w:szCs w:val="18"/>
          <w:color w:val="auto"/>
        </w:rPr>
        <w:t>- provides optical and electromagnetic precision measurement systems for medical and industrial applications.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 xml:space="preserve">Struers </w:t>
      </w:r>
      <w:r>
        <w:rPr>
          <w:rFonts w:ascii="Arial" w:cs="Arial" w:eastAsia="Arial" w:hAnsi="Arial"/>
          <w:sz w:val="17"/>
          <w:szCs w:val="17"/>
          <w:color w:val="auto"/>
        </w:rPr>
        <w:t>- provides equipment and consumables for sample preparation and testing of solid materials used across a variety of end markets.</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 xml:space="preserve">Technolog </w:t>
      </w:r>
      <w:r>
        <w:rPr>
          <w:rFonts w:ascii="Arial" w:cs="Arial" w:eastAsia="Arial" w:hAnsi="Arial"/>
          <w:sz w:val="16"/>
          <w:szCs w:val="16"/>
          <w:color w:val="auto"/>
        </w:rPr>
        <w:t>- provides products and services to water and gas utilities, used for network monitoring, pressure control, and remote meter reading.</w:t>
      </w:r>
    </w:p>
    <w:p>
      <w:pPr>
        <w:spacing w:after="0" w:line="140" w:lineRule="exact"/>
        <w:rPr>
          <w:sz w:val="20"/>
          <w:szCs w:val="20"/>
          <w:color w:val="auto"/>
        </w:rPr>
      </w:pPr>
    </w:p>
    <w:p>
      <w:pPr>
        <w:ind w:left="220" w:right="240"/>
        <w:spacing w:after="0" w:line="277" w:lineRule="auto"/>
        <w:rPr>
          <w:sz w:val="20"/>
          <w:szCs w:val="20"/>
          <w:color w:val="auto"/>
        </w:rPr>
      </w:pPr>
      <w:r>
        <w:rPr>
          <w:rFonts w:ascii="Arial" w:cs="Arial" w:eastAsia="Arial" w:hAnsi="Arial"/>
          <w:sz w:val="18"/>
          <w:szCs w:val="18"/>
          <w:i w:val="1"/>
          <w:iCs w:val="1"/>
          <w:color w:val="auto"/>
        </w:rPr>
        <w:t xml:space="preserve">Uson </w:t>
      </w:r>
      <w:r>
        <w:rPr>
          <w:rFonts w:ascii="Arial" w:cs="Arial" w:eastAsia="Arial" w:hAnsi="Arial"/>
          <w:sz w:val="18"/>
          <w:szCs w:val="18"/>
          <w:color w:val="auto"/>
        </w:rPr>
        <w:t>- provides automated leak detection equipment for a variety of end markets, including automotive, medical device, pharmaceutical, and</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industrial.</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 xml:space="preserve">Verathon </w:t>
      </w:r>
      <w:r>
        <w:rPr>
          <w:rFonts w:ascii="Arial" w:cs="Arial" w:eastAsia="Arial" w:hAnsi="Arial"/>
          <w:sz w:val="16"/>
          <w:szCs w:val="16"/>
          <w:color w:val="auto"/>
        </w:rPr>
        <w:t>- provides medical devices that enable airway management and bladder volume measurement solutions for healthcare providers.</w:t>
      </w:r>
    </w:p>
    <w:p>
      <w:pPr>
        <w:spacing w:after="0" w:line="3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Process Technologies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Below is a description of the products offered by business that comprise the Process Technologies segment.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 xml:space="preserve">AMOT </w:t>
      </w:r>
      <w:r>
        <w:rPr>
          <w:rFonts w:ascii="Arial" w:cs="Arial" w:eastAsia="Arial" w:hAnsi="Arial"/>
          <w:sz w:val="17"/>
          <w:szCs w:val="17"/>
          <w:color w:val="auto"/>
        </w:rPr>
        <w:t>- provides temperature control and emergency shutoff valves used by customers in the energy and general industrial end markets.</w:t>
      </w:r>
    </w:p>
    <w:p>
      <w:pPr>
        <w:spacing w:after="0" w:line="129" w:lineRule="exact"/>
        <w:rPr>
          <w:sz w:val="20"/>
          <w:szCs w:val="20"/>
          <w:color w:val="auto"/>
        </w:rPr>
      </w:pPr>
    </w:p>
    <w:p>
      <w:pPr>
        <w:ind w:left="220" w:hanging="9"/>
        <w:spacing w:after="0" w:line="277" w:lineRule="auto"/>
        <w:tabs>
          <w:tab w:leader="none" w:pos="625"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 provides turbomachinery control hardware, software, and services for customers across the upstream, midstream, and downstream energy markets.</w:t>
      </w:r>
    </w:p>
    <w:p>
      <w:pPr>
        <w:spacing w:after="0" w:line="62" w:lineRule="exact"/>
        <w:rPr>
          <w:sz w:val="20"/>
          <w:szCs w:val="20"/>
          <w:color w:val="auto"/>
        </w:rPr>
      </w:pPr>
    </w:p>
    <w:p>
      <w:pPr>
        <w:ind w:left="220" w:right="140"/>
        <w:spacing w:after="0" w:line="277" w:lineRule="auto"/>
        <w:rPr>
          <w:sz w:val="20"/>
          <w:szCs w:val="20"/>
          <w:color w:val="auto"/>
        </w:rPr>
      </w:pPr>
      <w:r>
        <w:rPr>
          <w:rFonts w:ascii="Arial" w:cs="Arial" w:eastAsia="Arial" w:hAnsi="Arial"/>
          <w:sz w:val="18"/>
          <w:szCs w:val="18"/>
          <w:i w:val="1"/>
          <w:iCs w:val="1"/>
          <w:color w:val="auto"/>
        </w:rPr>
        <w:t xml:space="preserve">Cornell </w:t>
      </w:r>
      <w:r>
        <w:rPr>
          <w:rFonts w:ascii="Arial" w:cs="Arial" w:eastAsia="Arial" w:hAnsi="Arial"/>
          <w:sz w:val="18"/>
          <w:szCs w:val="18"/>
          <w:color w:val="auto"/>
        </w:rPr>
        <w:t>- provides specialized pumps used across a variety of end markets, including agriculture, energy, food processing, mining, waste water</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and general industrial.</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 xml:space="preserve">FTI </w:t>
      </w:r>
      <w:r>
        <w:rPr>
          <w:rFonts w:ascii="Arial" w:cs="Arial" w:eastAsia="Arial" w:hAnsi="Arial"/>
          <w:sz w:val="16"/>
          <w:szCs w:val="16"/>
          <w:color w:val="auto"/>
        </w:rPr>
        <w:t>- provides flow meter calibrators, and controllers used primarily in the aerospace, automotive, energy, and general industrial end markets.</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 xml:space="preserve">Metrix </w:t>
      </w:r>
      <w:r>
        <w:rPr>
          <w:rFonts w:ascii="Arial" w:cs="Arial" w:eastAsia="Arial" w:hAnsi="Arial"/>
          <w:sz w:val="18"/>
          <w:szCs w:val="18"/>
          <w:color w:val="auto"/>
        </w:rPr>
        <w:t>- provides vibration monitoring systems and controls across a variety of end markets.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 xml:space="preserve">PAC </w:t>
      </w:r>
      <w:r>
        <w:rPr>
          <w:rFonts w:ascii="Arial" w:cs="Arial" w:eastAsia="Arial" w:hAnsi="Arial"/>
          <w:sz w:val="18"/>
          <w:szCs w:val="18"/>
          <w:color w:val="auto"/>
        </w:rPr>
        <w:t>- provides analytical instruments used by energy refineries and laboratories.</w:t>
      </w:r>
    </w:p>
    <w:p>
      <w:pPr>
        <w:spacing w:after="0" w:line="117" w:lineRule="exact"/>
        <w:rPr>
          <w:sz w:val="20"/>
          <w:szCs w:val="20"/>
          <w:color w:val="auto"/>
        </w:rPr>
      </w:pPr>
    </w:p>
    <w:p>
      <w:pPr>
        <w:ind w:left="220" w:right="140"/>
        <w:spacing w:after="0" w:line="277" w:lineRule="auto"/>
        <w:rPr>
          <w:sz w:val="20"/>
          <w:szCs w:val="20"/>
          <w:color w:val="auto"/>
        </w:rPr>
      </w:pPr>
      <w:r>
        <w:rPr>
          <w:rFonts w:ascii="Arial" w:cs="Arial" w:eastAsia="Arial" w:hAnsi="Arial"/>
          <w:sz w:val="18"/>
          <w:szCs w:val="18"/>
          <w:i w:val="1"/>
          <w:iCs w:val="1"/>
          <w:color w:val="auto"/>
        </w:rPr>
        <w:t xml:space="preserve">Roper Pump </w:t>
      </w:r>
      <w:r>
        <w:rPr>
          <w:rFonts w:ascii="Arial" w:cs="Arial" w:eastAsia="Arial" w:hAnsi="Arial"/>
          <w:sz w:val="18"/>
          <w:szCs w:val="18"/>
          <w:color w:val="auto"/>
        </w:rPr>
        <w:t>- provides specialty pumps and drilling power sections used by customers in the energy, general industrial, and transportation end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 xml:space="preserve">Viatran </w:t>
      </w:r>
      <w:r>
        <w:rPr>
          <w:rFonts w:ascii="Arial" w:cs="Arial" w:eastAsia="Arial" w:hAnsi="Arial"/>
          <w:sz w:val="18"/>
          <w:szCs w:val="18"/>
          <w:color w:val="auto"/>
        </w:rPr>
        <w:t>- provides pressure and level sensors for energy and general industrial end markets.</w:t>
      </w:r>
    </w:p>
    <w:p>
      <w:pPr>
        <w:spacing w:after="0" w:line="117" w:lineRule="exact"/>
        <w:rPr>
          <w:sz w:val="20"/>
          <w:szCs w:val="20"/>
          <w:color w:val="auto"/>
        </w:rPr>
      </w:pPr>
    </w:p>
    <w:p>
      <w:pPr>
        <w:ind w:left="220" w:right="240"/>
        <w:spacing w:after="0" w:line="342" w:lineRule="auto"/>
        <w:rPr>
          <w:sz w:val="20"/>
          <w:szCs w:val="20"/>
          <w:color w:val="auto"/>
        </w:rPr>
      </w:pPr>
      <w:r>
        <w:rPr>
          <w:rFonts w:ascii="Arial" w:cs="Arial" w:eastAsia="Arial" w:hAnsi="Arial"/>
          <w:sz w:val="16"/>
          <w:szCs w:val="16"/>
          <w:i w:val="1"/>
          <w:iCs w:val="1"/>
          <w:color w:val="auto"/>
        </w:rPr>
        <w:t xml:space="preserve">Zetec </w:t>
      </w:r>
      <w:r>
        <w:rPr>
          <w:rFonts w:ascii="Arial" w:cs="Arial" w:eastAsia="Arial" w:hAnsi="Arial"/>
          <w:sz w:val="16"/>
          <w:szCs w:val="16"/>
          <w:color w:val="auto"/>
        </w:rPr>
        <w:t>- provides non-destructive testing equipment and solutions used primarily in the power generation and other industrial end markets. On</w:t>
      </w:r>
      <w:r>
        <w:rPr>
          <w:rFonts w:ascii="Arial" w:cs="Arial" w:eastAsia="Arial" w:hAnsi="Arial"/>
          <w:sz w:val="16"/>
          <w:szCs w:val="16"/>
          <w:i w:val="1"/>
          <w:iCs w:val="1"/>
          <w:color w:val="auto"/>
        </w:rPr>
        <w:t xml:space="preserve"> </w:t>
      </w:r>
      <w:r>
        <w:rPr>
          <w:rFonts w:ascii="Arial" w:cs="Arial" w:eastAsia="Arial" w:hAnsi="Arial"/>
          <w:sz w:val="16"/>
          <w:szCs w:val="16"/>
          <w:color w:val="auto"/>
        </w:rPr>
        <w:t>August 10, 2021, the Company entered into a definitive agreement to sell Zetec to Eddyfi/NDT for approximately $350 million.</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20"/>
          </w:cols>
          <w:pgMar w:left="620" w:top="463" w:right="659" w:bottom="1440" w:gutter="0" w:footer="0" w:header="0"/>
        </w:sectPr>
      </w:pPr>
    </w:p>
    <w:bookmarkStart w:id="6" w:name="page7"/>
    <w:bookmarkEnd w:id="6"/>
    <w:p>
      <w:pPr>
        <w:ind w:left="42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247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2247900"/>
                    </a:xfrm>
                    <a:prstGeom prst="rect">
                      <a:avLst/>
                    </a:prstGeom>
                    <a:noFill/>
                  </pic:spPr>
                </pic:pic>
              </a:graphicData>
            </a:graphic>
          </wp:anchor>
        </w:drawing>
        <w:t>Our principal executive offices are located at 6901 Professional Parkway, Suite 200, Sarasota, Florida 34240, and the telephone number is</w:t>
      </w:r>
    </w:p>
    <w:p>
      <w:pPr>
        <w:spacing w:after="0" w:line="46" w:lineRule="exact"/>
        <w:rPr>
          <w:sz w:val="20"/>
          <w:szCs w:val="20"/>
          <w:color w:val="auto"/>
        </w:rPr>
      </w:pPr>
    </w:p>
    <w:p>
      <w:pPr>
        <w:ind w:left="2" w:right="500" w:hanging="2"/>
        <w:spacing w:after="0" w:line="260" w:lineRule="auto"/>
        <w:tabs>
          <w:tab w:leader="none" w:pos="436" w:val="left"/>
        </w:tabs>
        <w:numPr>
          <w:ilvl w:val="0"/>
          <w:numId w:val="3"/>
        </w:numPr>
        <w:rPr>
          <w:rFonts w:ascii="Arial" w:cs="Arial" w:eastAsia="Arial" w:hAnsi="Arial"/>
          <w:sz w:val="18"/>
          <w:szCs w:val="18"/>
          <w:color w:val="auto"/>
        </w:rPr>
      </w:pPr>
      <w:r>
        <w:rPr>
          <w:rFonts w:ascii="Arial" w:cs="Arial" w:eastAsia="Arial" w:hAnsi="Arial"/>
          <w:sz w:val="18"/>
          <w:szCs w:val="18"/>
          <w:color w:val="auto"/>
        </w:rPr>
        <w:t>556-2601. We maintain a website at www.ropertech.com where general information about us is available. We are not incorporating the contents of the website into this prospectus.</w:t>
      </w:r>
    </w:p>
    <w:p>
      <w:pPr>
        <w:spacing w:after="0" w:line="289"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ind w:left="2" w:firstLine="426"/>
        <w:spacing w:after="0" w:line="254"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(the “SEC”) utilizing a “shelf” registration process. Under this shelf process, we may sell any combination of the securities described in this prospectus in one or more offerings from time to time. This prospectus provides you with a general description of the securities we may offer. Each time we sell securities registered under this shelf process, we will file with the SEC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 carefully before you invest. This prospectus may not be used to make offers or sales of the securities described herein unless accompanied by a prospectus supplement.</w:t>
      </w:r>
    </w:p>
    <w:p>
      <w:pPr>
        <w:spacing w:after="0" w:line="300" w:lineRule="exact"/>
        <w:rPr>
          <w:sz w:val="20"/>
          <w:szCs w:val="20"/>
          <w:color w:val="auto"/>
        </w:rPr>
      </w:pPr>
    </w:p>
    <w:p>
      <w:pPr>
        <w:jc w:val="center"/>
        <w:ind w:right="-2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622"/>
          </w:cols>
          <w:pgMar w:left="618" w:top="463" w:right="65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 YOU CAN FIND MORE INFORMATION</w:t>
      </w:r>
    </w:p>
    <w:p>
      <w:pPr>
        <w:spacing w:after="0" w:line="229" w:lineRule="exact"/>
        <w:rPr>
          <w:sz w:val="20"/>
          <w:szCs w:val="20"/>
          <w:color w:val="auto"/>
        </w:rPr>
      </w:pPr>
    </w:p>
    <w:p>
      <w:pPr>
        <w:jc w:val="center"/>
        <w:ind w:right="220"/>
        <w:spacing w:after="0" w:line="342" w:lineRule="auto"/>
        <w:rPr>
          <w:sz w:val="20"/>
          <w:szCs w:val="20"/>
          <w:color w:val="auto"/>
        </w:rPr>
      </w:pPr>
      <w:r>
        <w:rPr>
          <w:rFonts w:ascii="Arial" w:cs="Arial" w:eastAsia="Arial" w:hAnsi="Arial"/>
          <w:sz w:val="16"/>
          <w:szCs w:val="16"/>
          <w:color w:val="auto"/>
        </w:rPr>
        <w:t>We file annual, quarterly and current reports, proxy statements and other information with the SEC. The SEC maintains an Internet site at http://www.sec.gov that contains reports, proxy statements and other information regarding issuers that file electronically with the SEC, including us.</w:t>
      </w:r>
    </w:p>
    <w:p>
      <w:pPr>
        <w:spacing w:after="0" w:line="124"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As permitted by SEC rules, this prospectus does not contain all the information that you can find in the registration statement or the exhibits to that statement. 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and all filings pursuant to Section 13(a), 13(c), 14 or 15(d) of the Securities Exchange Act of 1934, as amended (the “Exchange Act”), subsequently filed with the SEC prior to the termination of the offering under this prospectus (other than any portion of such filings that are furnished rather than filed under applicable SEC rules):</w:t>
      </w:r>
    </w:p>
    <w:p>
      <w:pPr>
        <w:spacing w:after="0" w:line="100" w:lineRule="exact"/>
        <w:rPr>
          <w:sz w:val="20"/>
          <w:szCs w:val="20"/>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Annual Report on </w:t>
      </w:r>
      <w:hyperlink r:id="rId3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 filed with the SEC on February 22, 2021;</w:t>
      </w:r>
    </w:p>
    <w:p>
      <w:pPr>
        <w:spacing w:after="0" w:line="130" w:lineRule="exact"/>
        <w:rPr>
          <w:rFonts w:ascii="Arial" w:cs="Arial" w:eastAsia="Arial" w:hAnsi="Arial"/>
          <w:sz w:val="18"/>
          <w:szCs w:val="18"/>
          <w:color w:val="auto"/>
        </w:rPr>
      </w:pPr>
    </w:p>
    <w:p>
      <w:pPr>
        <w:ind w:left="960" w:right="540" w:hanging="532"/>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Quarterly Reports on Form 10-Q for the quarters ended </w:t>
      </w:r>
      <w:hyperlink r:id="rId31">
        <w:r>
          <w:rPr>
            <w:rFonts w:ascii="Arial" w:cs="Arial" w:eastAsia="Arial" w:hAnsi="Arial"/>
            <w:sz w:val="18"/>
            <w:szCs w:val="18"/>
            <w:u w:val="single" w:color="auto"/>
            <w:color w:val="0000EE"/>
          </w:rPr>
          <w:t>March 31,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2">
        <w:r>
          <w:rPr>
            <w:rFonts w:ascii="Arial" w:cs="Arial" w:eastAsia="Arial" w:hAnsi="Arial"/>
            <w:sz w:val="18"/>
            <w:szCs w:val="18"/>
            <w:u w:val="single" w:color="auto"/>
            <w:color w:val="0000EE"/>
          </w:rPr>
          <w:t>June 30, 2021</w:t>
        </w:r>
      </w:hyperlink>
      <w:r>
        <w:rPr>
          <w:rFonts w:ascii="Arial" w:cs="Arial" w:eastAsia="Arial" w:hAnsi="Arial"/>
          <w:sz w:val="18"/>
          <w:szCs w:val="18"/>
          <w:color w:val="auto"/>
        </w:rPr>
        <w:t>, filed with the SEC on May 5, 2021 and August 5, 2021, respectively;</w:t>
      </w:r>
    </w:p>
    <w:p>
      <w:pPr>
        <w:spacing w:after="0" w:line="75"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Current Reports on Form 8-K, filed with the SEC on </w:t>
      </w:r>
      <w:hyperlink r:id="rId33">
        <w:r>
          <w:rPr>
            <w:rFonts w:ascii="Arial" w:cs="Arial" w:eastAsia="Arial" w:hAnsi="Arial"/>
            <w:sz w:val="18"/>
            <w:szCs w:val="18"/>
            <w:u w:val="single" w:color="auto"/>
            <w:color w:val="0000EE"/>
          </w:rPr>
          <w:t>January 6, 2021</w:t>
        </w:r>
      </w:hyperlink>
      <w:r>
        <w:rPr>
          <w:rFonts w:ascii="Arial" w:cs="Arial" w:eastAsia="Arial" w:hAnsi="Arial"/>
          <w:sz w:val="18"/>
          <w:szCs w:val="18"/>
          <w:color w:val="auto"/>
        </w:rPr>
        <w:t xml:space="preserve">, </w:t>
      </w:r>
      <w:hyperlink r:id="rId34">
        <w:r>
          <w:rPr>
            <w:rFonts w:ascii="Arial" w:cs="Arial" w:eastAsia="Arial" w:hAnsi="Arial"/>
            <w:sz w:val="18"/>
            <w:szCs w:val="18"/>
            <w:u w:val="single" w:color="auto"/>
            <w:color w:val="0000EE"/>
          </w:rPr>
          <w:t>March 22, 2021</w:t>
        </w:r>
      </w:hyperlink>
      <w:r>
        <w:rPr>
          <w:rFonts w:ascii="Arial" w:cs="Arial" w:eastAsia="Arial" w:hAnsi="Arial"/>
          <w:sz w:val="18"/>
          <w:szCs w:val="18"/>
          <w:color w:val="auto"/>
        </w:rPr>
        <w:t xml:space="preserve">, </w:t>
      </w:r>
      <w:hyperlink r:id="rId35">
        <w:r>
          <w:rPr>
            <w:rFonts w:ascii="Arial" w:cs="Arial" w:eastAsia="Arial" w:hAnsi="Arial"/>
            <w:sz w:val="18"/>
            <w:szCs w:val="18"/>
            <w:u w:val="single" w:color="auto"/>
            <w:color w:val="0000EE"/>
          </w:rPr>
          <w:t>June 14, 2021</w:t>
        </w:r>
      </w:hyperlink>
      <w:r>
        <w:rPr>
          <w:rFonts w:ascii="Arial" w:cs="Arial" w:eastAsia="Arial" w:hAnsi="Arial"/>
          <w:sz w:val="18"/>
          <w:szCs w:val="18"/>
          <w:color w:val="auto"/>
        </w:rPr>
        <w:t xml:space="preserve">, </w:t>
      </w:r>
      <w:hyperlink r:id="rId36">
        <w:r>
          <w:rPr>
            <w:rFonts w:ascii="Arial" w:cs="Arial" w:eastAsia="Arial" w:hAnsi="Arial"/>
            <w:sz w:val="18"/>
            <w:szCs w:val="18"/>
            <w:u w:val="single" w:color="auto"/>
            <w:color w:val="0000EE"/>
          </w:rPr>
          <w:t>October 4, 2021</w:t>
        </w:r>
      </w:hyperlink>
      <w:r>
        <w:rPr>
          <w:rFonts w:ascii="Arial" w:cs="Arial" w:eastAsia="Arial" w:hAnsi="Arial"/>
          <w:sz w:val="18"/>
          <w:szCs w:val="18"/>
          <w:color w:val="auto"/>
        </w:rPr>
        <w:t xml:space="preserve">, </w:t>
      </w:r>
      <w:hyperlink r:id="rId37">
        <w:r>
          <w:rPr>
            <w:rFonts w:ascii="Arial" w:cs="Arial" w:eastAsia="Arial" w:hAnsi="Arial"/>
            <w:sz w:val="18"/>
            <w:szCs w:val="18"/>
            <w:u w:val="single" w:color="auto"/>
            <w:color w:val="0000EE"/>
          </w:rPr>
          <w:t>October 8, 2021</w:t>
        </w:r>
      </w:hyperlink>
      <w:r>
        <w:rPr>
          <w:rFonts w:ascii="Arial" w:cs="Arial" w:eastAsia="Arial" w:hAnsi="Arial"/>
          <w:sz w:val="18"/>
          <w:szCs w:val="18"/>
          <w:color w:val="auto"/>
        </w:rPr>
        <w:t xml:space="preserve"> and </w:t>
      </w:r>
      <w:hyperlink r:id="rId38">
        <w:r>
          <w:rPr>
            <w:rFonts w:ascii="Arial" w:cs="Arial" w:eastAsia="Arial" w:hAnsi="Arial"/>
            <w:sz w:val="18"/>
            <w:szCs w:val="18"/>
            <w:u w:val="single" w:color="auto"/>
            <w:color w:val="0000EE"/>
          </w:rPr>
          <w:t>October 22,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(second Form 8-K, Item 5.02), respectively;</w:t>
      </w:r>
    </w:p>
    <w:p>
      <w:pPr>
        <w:spacing w:after="0" w:line="75" w:lineRule="exact"/>
        <w:rPr>
          <w:rFonts w:ascii="Arial" w:cs="Arial" w:eastAsia="Arial" w:hAnsi="Arial"/>
          <w:sz w:val="18"/>
          <w:szCs w:val="18"/>
          <w:color w:val="auto"/>
        </w:rPr>
      </w:pPr>
    </w:p>
    <w:p>
      <w:pPr>
        <w:ind w:left="960" w:right="440" w:hanging="532"/>
        <w:spacing w:after="0" w:line="342" w:lineRule="auto"/>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The portions of the Definitive Proxy Statement on </w:t>
      </w:r>
      <w:hyperlink r:id="rId39">
        <w:r>
          <w:rPr>
            <w:rFonts w:ascii="Arial" w:cs="Arial" w:eastAsia="Arial" w:hAnsi="Arial"/>
            <w:sz w:val="16"/>
            <w:szCs w:val="16"/>
            <w:u w:val="single" w:color="auto"/>
            <w:color w:val="0000EE"/>
          </w:rPr>
          <w:t>Schedule 14A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2021 annual meeting of stockholders, filed with the SEC on April 29, 2021, that are incorporated by reference in the Annual Report on Form 10-K for the year ended December 31, 2020; and</w:t>
      </w:r>
    </w:p>
    <w:p>
      <w:pPr>
        <w:spacing w:after="0" w:line="29" w:lineRule="exact"/>
        <w:rPr>
          <w:rFonts w:ascii="Arial" w:cs="Arial" w:eastAsia="Arial" w:hAnsi="Arial"/>
          <w:sz w:val="16"/>
          <w:szCs w:val="16"/>
          <w:color w:val="auto"/>
        </w:rPr>
      </w:pPr>
    </w:p>
    <w:p>
      <w:pPr>
        <w:ind w:left="960" w:right="180" w:hanging="532"/>
        <w:spacing w:after="0" w:line="26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description of our capital stock in our </w:t>
      </w:r>
      <w:hyperlink r:id="rId40">
        <w:r>
          <w:rPr>
            <w:rFonts w:ascii="Arial" w:cs="Arial" w:eastAsia="Arial" w:hAnsi="Arial"/>
            <w:sz w:val="18"/>
            <w:szCs w:val="18"/>
            <w:u w:val="single" w:color="auto"/>
            <w:color w:val="0000EE"/>
          </w:rPr>
          <w:t>Form S-1</w:t>
        </w:r>
      </w:hyperlink>
      <w:r>
        <w:rPr>
          <w:rFonts w:ascii="Arial" w:cs="Arial" w:eastAsia="Arial" w:hAnsi="Arial"/>
          <w:sz w:val="18"/>
          <w:szCs w:val="18"/>
          <w:color w:val="auto"/>
        </w:rPr>
        <w:t xml:space="preserve">, filed with the SEC on May 23, 2002, as updated by </w:t>
      </w:r>
      <w:hyperlink r:id="rId41">
        <w:r>
          <w:rPr>
            <w:rFonts w:ascii="Arial" w:cs="Arial" w:eastAsia="Arial" w:hAnsi="Arial"/>
            <w:sz w:val="18"/>
            <w:szCs w:val="18"/>
            <w:u w:val="single" w:color="auto"/>
            <w:color w:val="0000EE"/>
          </w:rPr>
          <w:t>Exhibit 4.17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Annual Report on Form 10-K for the year ended December 31, 2019, filed with the SEC on February 28, 2020, and as subsequently amended or updated.</w:t>
      </w:r>
    </w:p>
    <w:p>
      <w:pPr>
        <w:spacing w:after="0" w:line="184" w:lineRule="exact"/>
        <w:rPr>
          <w:rFonts w:ascii="Arial" w:cs="Arial" w:eastAsia="Arial" w:hAnsi="Arial"/>
          <w:sz w:val="18"/>
          <w:szCs w:val="18"/>
          <w:color w:val="auto"/>
        </w:rPr>
      </w:pPr>
    </w:p>
    <w:p>
      <w:pPr>
        <w:ind w:right="440" w:firstLine="440"/>
        <w:spacing w:after="0" w:line="263" w:lineRule="auto"/>
        <w:rPr>
          <w:sz w:val="20"/>
          <w:szCs w:val="20"/>
          <w:color w:val="auto"/>
        </w:rPr>
      </w:pPr>
      <w:r>
        <w:rPr>
          <w:rFonts w:ascii="Arial" w:cs="Arial" w:eastAsia="Arial" w:hAnsi="Arial"/>
          <w:sz w:val="18"/>
          <w:szCs w:val="18"/>
          <w:color w:val="auto"/>
        </w:rPr>
        <w:t>You may request a copy of these filings at no cost, by contacting our Investor Relations department by calling (941) 556-2601, by writing to Investor Relations, Roper Technologies, Inc., 6901 Professional Parkway, Suite 200, Sarasota, Florida 34240 or by sending an email to investor-relations@ropertech.com.</w:t>
      </w:r>
    </w:p>
    <w:p>
      <w:pPr>
        <w:spacing w:after="0" w:line="116"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0" w:right="4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SPECIAL NOTE ON FORWARD-LOOKING STATEMENTS</w:t>
      </w:r>
    </w:p>
    <w:p>
      <w:pPr>
        <w:spacing w:after="0" w:line="229"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This prospectus and documents that are incorporated by reference in this prospectus include “forward-looking statements” within the meaning of the federal securities laws. In addition, we, or our executive officers on our behalf, may from time to time make forward-looking statements in reports and other documents we file with the SEC or in connection with oral statements made to the press, potential investors or others. All statements that are not historical facts are “forward-looking statements.” Forward-looking statements may be indicated by words or phrases such as “anticipate,” “estimate,” “plans,” “expects,” “projects,” “should,” “will,” “believes” or “intends” and similar words and phrases. These statements reflect management’s current beliefs and are not guarantees of future performance. They involve risks and uncertainties that could cause actual results to differ materially from those expressed or implied in any forward-looking statement. Such risks and uncertainties include any ongoing impacts of the COVID-19 pandemic on our business, operations, financial results and liquidity, which will depend on numerous evolving factors that we cannot accurately predict or assess, including: the duration and scope of the pandemic, new variants of the virus and the distribution and efficacy of vaccines; any negative impact on global and regional markets, economies and economic activity; actions governments, businesses and individuals take in response to the pandemic; the effects of the pandemic, including all of the foregoing, on our employees, customers, suppliers, and business partners, and how quickly economies and demand for our products and services recover following the pandemic.</w:t>
      </w:r>
    </w:p>
    <w:p>
      <w:pPr>
        <w:spacing w:after="0" w:line="168"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Additional examples of forward-looking statements in this report include but are not limited to statements regarding operating results, the success of our operating plans, our expectations regarding our ability to generate cash and reduce debt and associated interest expense, profit and cash flow expectations, the prospects for newly acquired businesses to be integrated and contribute to future growth, our expectations regarding growth through acquisitions and the ability to complete our announced divestitures, including obtaining any required regulatory approvals with respect thereto. Important assumptions relating to the forward-looking statements include, among others, demand for our products, the cost, timing and success of product upgrades and new product introductions, raw material costs, expected pricing levels, expected outcomes of pending litigation, competitive conditions and general economic conditions. These assumptions could prove inaccurate. Although we believe that the estimates and projections reflected in the forward-looking statements are reasonable, our expectations may prove to be incorrect. Important factors that could cause actual results to differ materially from estimates or projections contained in the forward-looking statements include but are not limited to:</w:t>
      </w:r>
    </w:p>
    <w:p>
      <w:pPr>
        <w:spacing w:after="0" w:line="72" w:lineRule="exact"/>
        <w:rPr>
          <w:sz w:val="20"/>
          <w:szCs w:val="20"/>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difficulty making acquisitions and successfully integrating acquired businesses;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unforeseen liabilities associated with future acquisitions;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limitations on our business imposed by our indebtedness;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unfavorable changes in foreign exchange rates;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effectively mitigate cybersecurity threats, including any litigation arising therefrom;</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comply with new data privacy laws and regulations, including any litigation arising therefrom;</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associated with exports/imports and risks of changes to tariff rates;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and costs associated with our international sales and operations;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rising interest rates;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liability and insurance risks;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warranty exposure;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competition;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cyclical nature of some of our markets;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9" w:name="page10"/>
    <w:bookmarkEnd w:id="9"/>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reduction of business with large customers;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government contracts;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supply of, or price for, labor, raw materials, parts and components;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environmental compliance costs and liabilities;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and costs associated with asbestos-related litigation;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write-offs of our goodwill and other intangible assets;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develop new products;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protect our intellectual property;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 of, or change in, government regulations (including tax);</w:t>
      </w:r>
    </w:p>
    <w:p>
      <w:pPr>
        <w:spacing w:after="0" w:line="130" w:lineRule="exact"/>
        <w:rPr>
          <w:rFonts w:ascii="Arial" w:cs="Arial" w:eastAsia="Arial" w:hAnsi="Arial"/>
          <w:sz w:val="18"/>
          <w:szCs w:val="18"/>
          <w:color w:val="auto"/>
        </w:rPr>
      </w:pPr>
    </w:p>
    <w:p>
      <w:pPr>
        <w:ind w:left="960" w:right="18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disruption caused by terrorist attacks, health crises (such as the COVID-19 pandemic) or other unforeseen geopolitical events; and</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factors discussed in other reports filed with the SEC from time to time.</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We believe these forward-looking statements are reasonable. However, you should not place undue reliance on any forward-looking statements, which are based on current expectations. Further, forward-looking statements speak only as of the date they are made, and we undertake no obligation to publicly update any of these statements in light of new information or future events.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0" w:name="page11"/>
    <w:bookmarkEnd w:id="1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USE OF PROCEEDS</w:t>
      </w:r>
    </w:p>
    <w:p>
      <w:pPr>
        <w:spacing w:after="0" w:line="22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We intend to use the net proceeds from the sale of securities issued pursuant to this registration statement for general corporate purposes which may include repaying debt, making capital investments and funding working capital requirements, or financing acquisitions. If we decide to use the net proceeds from a particular offering of securities for a specific purpose, we will describe that purpose and include any other relevant information in the related prospectus supplement.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80"/>
          </w:cols>
          <w:pgMar w:left="440" w:top="270" w:right="57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DESCRIPTION OF CAPITAL STOCK</w:t>
      </w:r>
    </w:p>
    <w:p>
      <w:pPr>
        <w:spacing w:after="0" w:line="229"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Our authorized capital stock consists of 350,000,000 shares of common stock, par value $0.01 per share, and 1,000,000 shares of preferred stock, par value $0.01 per share.</w:t>
      </w:r>
    </w:p>
    <w:p>
      <w:pPr>
        <w:spacing w:after="0" w:line="170"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following descriptions are summaries of the material terms of our restated certificate of incorporation, as amended (our “restated certificate of incorporation”), and our amended and restated by-laws. Reference is made to the more detailed provisions of, and the descriptions are qualified in their entirety by reference to, our restated certificate of incorporation and amended and restated by-laws, copies of which are filed with the SEC.</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October 25, 2021, there were 105,458,273 shares of our common stock outstanding.</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 Our common stock is listed on the New York Stock Exchange under the symbol “ROP.” The transfer agent and registrar for the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is Wells Fargo Bank, N.A., Sioux Falls, South Dakota.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Voting</w:t>
      </w:r>
      <w:r>
        <w:rPr>
          <w:rFonts w:ascii="Arial" w:cs="Arial" w:eastAsia="Arial" w:hAnsi="Arial"/>
          <w:sz w:val="17"/>
          <w:szCs w:val="17"/>
          <w:color w:val="auto"/>
        </w:rPr>
        <w:t>. Each holder of shares of our common stock is entitled to one vote on each matter properly submitted to a vote of our stockholders.</w:t>
      </w:r>
    </w:p>
    <w:p>
      <w:pPr>
        <w:spacing w:after="0" w:line="23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i w:val="1"/>
          <w:iCs w:val="1"/>
          <w:color w:val="auto"/>
        </w:rPr>
        <w:t>Dividend Rights</w:t>
      </w:r>
      <w:r>
        <w:rPr>
          <w:rFonts w:ascii="Arial" w:cs="Arial" w:eastAsia="Arial" w:hAnsi="Arial"/>
          <w:sz w:val="18"/>
          <w:szCs w:val="18"/>
          <w:color w:val="auto"/>
        </w:rPr>
        <w:t>. Holders of shares of our common stock may receive dividends when declared by our board of directors out of our funds that we</w:t>
      </w:r>
      <w:r>
        <w:rPr>
          <w:rFonts w:ascii="Arial" w:cs="Arial" w:eastAsia="Arial" w:hAnsi="Arial"/>
          <w:sz w:val="18"/>
          <w:szCs w:val="18"/>
          <w:i w:val="1"/>
          <w:iCs w:val="1"/>
          <w:color w:val="auto"/>
        </w:rPr>
        <w:t xml:space="preserve"> </w:t>
      </w:r>
      <w:r>
        <w:rPr>
          <w:rFonts w:ascii="Arial" w:cs="Arial" w:eastAsia="Arial" w:hAnsi="Arial"/>
          <w:sz w:val="18"/>
          <w:szCs w:val="18"/>
          <w:color w:val="auto"/>
        </w:rPr>
        <w:t>can legally use to pay dividends. We may pay dividends in cash, stock or other property. In certain cases, holders of common stock may not receive dividends until we have satisfied our obligations to holders of any outstanding preferred stock.</w:t>
      </w:r>
    </w:p>
    <w:p>
      <w:pPr>
        <w:spacing w:after="0" w:line="184"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i w:val="1"/>
          <w:iCs w:val="1"/>
          <w:color w:val="auto"/>
        </w:rPr>
        <w:t>Liquidation</w:t>
      </w:r>
      <w:r>
        <w:rPr>
          <w:rFonts w:ascii="Arial" w:cs="Arial" w:eastAsia="Arial" w:hAnsi="Arial"/>
          <w:sz w:val="18"/>
          <w:szCs w:val="18"/>
          <w:color w:val="auto"/>
        </w:rPr>
        <w:t>. In the event of a liquidation, dissolution or winding up of our affairs, whether voluntary or involuntary, after payment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and obligations to creditors, our remaining assets will be distributed ratably among the holders of shares of our common stock on a per share basis. If we have any preferred stock outstanding at such time, holders of shares of our preferred stock may be entitled to distribution and/or liquidation preferences. In either such case, we will need to pay the applicable distribution to the holders of our preferred stock before distributions are paid to the holders of our common stock.</w:t>
      </w:r>
    </w:p>
    <w:p>
      <w:pPr>
        <w:spacing w:after="0" w:line="188"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i w:val="1"/>
          <w:iCs w:val="1"/>
          <w:color w:val="auto"/>
        </w:rPr>
        <w:t xml:space="preserve">Rights and Preferences. </w:t>
      </w:r>
      <w:r>
        <w:rPr>
          <w:rFonts w:ascii="Arial" w:cs="Arial" w:eastAsia="Arial" w:hAnsi="Arial"/>
          <w:sz w:val="18"/>
          <w:szCs w:val="18"/>
          <w:color w:val="auto"/>
        </w:rPr>
        <w:t>Our common stock has no preemptive, redemption, conversion, sinking fund, or subscription rights. The rights, powers,</w:t>
      </w:r>
      <w:r>
        <w:rPr>
          <w:rFonts w:ascii="Arial" w:cs="Arial" w:eastAsia="Arial" w:hAnsi="Arial"/>
          <w:sz w:val="18"/>
          <w:szCs w:val="18"/>
          <w:i w:val="1"/>
          <w:iCs w:val="1"/>
          <w:color w:val="auto"/>
        </w:rPr>
        <w:t xml:space="preserve"> </w:t>
      </w:r>
      <w:r>
        <w:rPr>
          <w:rFonts w:ascii="Arial" w:cs="Arial" w:eastAsia="Arial" w:hAnsi="Arial"/>
          <w:sz w:val="18"/>
          <w:szCs w:val="18"/>
          <w:color w:val="auto"/>
        </w:rPr>
        <w:t>preferences and privileges of holders of our common stock are subject to, and may be adversely affected by, the rights of the holders of shares of any series of preferred stock that we may designate and issue in the future.</w:t>
      </w:r>
    </w:p>
    <w:p>
      <w:pPr>
        <w:spacing w:after="0" w:line="184"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i w:val="1"/>
          <w:iCs w:val="1"/>
          <w:color w:val="auto"/>
        </w:rPr>
        <w:t>Fully Paid</w:t>
      </w:r>
      <w:r>
        <w:rPr>
          <w:rFonts w:ascii="Arial" w:cs="Arial" w:eastAsia="Arial" w:hAnsi="Arial"/>
          <w:sz w:val="18"/>
          <w:szCs w:val="18"/>
          <w:color w:val="auto"/>
        </w:rPr>
        <w:t>. All of our outstanding shares of common stock are fully paid and nonassessable, which means that the full purchase price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shares of our common stock has been paid and the holders of such shares will not be assessed any additional monies for such shares. Any additional shares of our common stock that we may issue in the future pursuant to an offering under this prospectus will also be fully paid and nonassessable.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Under our restated certificate of incorporation, without further stockholder action, our board of directors is authorized, subject to any limitations prescribed by the law of the State of Delaware, to provide for the issuance of the up to 1,000,000 shares of preferred stock in one or more series, to establish from time to time the number of shares to be included in each such series, to fix the designation, powers, preferences and rights of the shares of each such series and any qualifications, limitations or restrictions thereof, and to increase or decrease the number of shares of any such series (but not below the number of shares of such series then outstanding).</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0" w:right="4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Anti-Takeover Effects of Delaware Law</w:t>
      </w:r>
    </w:p>
    <w:p>
      <w:pPr>
        <w:spacing w:after="0" w:line="121" w:lineRule="exact"/>
        <w:rPr>
          <w:sz w:val="20"/>
          <w:szCs w:val="20"/>
          <w:color w:val="auto"/>
        </w:rPr>
      </w:pPr>
    </w:p>
    <w:p>
      <w:pPr>
        <w:ind w:right="160" w:firstLine="440"/>
        <w:spacing w:after="0" w:line="279" w:lineRule="auto"/>
        <w:rPr>
          <w:sz w:val="20"/>
          <w:szCs w:val="20"/>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Certain provisions of our restated certificate of incorporation, amended and restated by-laws and applicable law may make it less likely</w:t>
      </w:r>
      <w:r>
        <w:rPr>
          <w:rFonts w:ascii="Arial" w:cs="Arial" w:eastAsia="Arial" w:hAnsi="Arial"/>
          <w:sz w:val="17"/>
          <w:szCs w:val="17"/>
          <w:i w:val="1"/>
          <w:iCs w:val="1"/>
          <w:color w:val="auto"/>
        </w:rPr>
        <w:t xml:space="preserve"> </w:t>
      </w:r>
      <w:r>
        <w:rPr>
          <w:rFonts w:ascii="Arial" w:cs="Arial" w:eastAsia="Arial" w:hAnsi="Arial"/>
          <w:sz w:val="17"/>
          <w:szCs w:val="17"/>
          <w:color w:val="auto"/>
        </w:rPr>
        <w:t>that our management would be changed or someone would acquire our company without the consent of our board of directors. These provisions may delay, deter or prevent tender offers or takeover attempts that stockholders may believe are in their best interests, including tender offers or takeover attempts that might allow stockholders to receive a premium over the market price of their common stock.</w:t>
      </w:r>
    </w:p>
    <w:p>
      <w:pPr>
        <w:spacing w:after="0" w:line="17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i w:val="1"/>
          <w:iCs w:val="1"/>
          <w:color w:val="auto"/>
        </w:rPr>
        <w:t>Preferred Stock</w:t>
      </w:r>
      <w:r>
        <w:rPr>
          <w:rFonts w:ascii="Arial" w:cs="Arial" w:eastAsia="Arial" w:hAnsi="Arial"/>
          <w:sz w:val="18"/>
          <w:szCs w:val="18"/>
          <w:color w:val="auto"/>
        </w:rPr>
        <w:t>. Under our restated certificate of incorporation, our board of directors can at any time, and without stockholder approval, issue one</w:t>
      </w:r>
      <w:r>
        <w:rPr>
          <w:rFonts w:ascii="Arial" w:cs="Arial" w:eastAsia="Arial" w:hAnsi="Arial"/>
          <w:sz w:val="18"/>
          <w:szCs w:val="18"/>
          <w:i w:val="1"/>
          <w:iCs w:val="1"/>
          <w:color w:val="auto"/>
        </w:rPr>
        <w:t xml:space="preserve"> </w:t>
      </w:r>
      <w:r>
        <w:rPr>
          <w:rFonts w:ascii="Arial" w:cs="Arial" w:eastAsia="Arial" w:hAnsi="Arial"/>
          <w:sz w:val="18"/>
          <w:szCs w:val="18"/>
          <w:color w:val="auto"/>
        </w:rPr>
        <w:t>or more new series of preferred stock. In some cases, the issuance of preferred stock without stockholder approval could discourage or make more difficult attempts to take control of our company through a merger, tender offer, proxy contest or otherwise. Preferred stock with special voting rights or other features issued to persons favoring our management could stop a takeover by preventing the person trying to take control of our company from acquiring enough shares necessary to take control.</w:t>
      </w:r>
    </w:p>
    <w:p>
      <w:pPr>
        <w:spacing w:after="0" w:line="188"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i w:val="1"/>
          <w:iCs w:val="1"/>
          <w:color w:val="auto"/>
        </w:rPr>
        <w:t>Proposal and Nominating Procedures</w:t>
      </w:r>
      <w:r>
        <w:rPr>
          <w:rFonts w:ascii="Arial" w:cs="Arial" w:eastAsia="Arial" w:hAnsi="Arial"/>
          <w:sz w:val="18"/>
          <w:szCs w:val="18"/>
          <w:color w:val="auto"/>
        </w:rPr>
        <w:t>. Stockholders can propose that business be considered at an annual meeting of stockholders, and, in addition</w:t>
      </w:r>
      <w:r>
        <w:rPr>
          <w:rFonts w:ascii="Arial" w:cs="Arial" w:eastAsia="Arial" w:hAnsi="Arial"/>
          <w:sz w:val="18"/>
          <w:szCs w:val="18"/>
          <w:i w:val="1"/>
          <w:iCs w:val="1"/>
          <w:color w:val="auto"/>
        </w:rPr>
        <w:t xml:space="preserve"> </w:t>
      </w:r>
      <w:r>
        <w:rPr>
          <w:rFonts w:ascii="Arial" w:cs="Arial" w:eastAsia="Arial" w:hAnsi="Arial"/>
          <w:sz w:val="18"/>
          <w:szCs w:val="18"/>
          <w:color w:val="auto"/>
        </w:rPr>
        <w:t>to our board of directors, can nominate candidates for our board of directors. However, a stockholder must follow the advance notice procedures described in Section 1.08 of our amended and restated by-laws. In general, a stockholder must submit a written notice of the proposal and the stockholder’s interest in the proposal, or of the nomination, to our corporate secretary at least 90 days and at most 120 days before the first anniversary date of the annual meeting for the preceding year.</w:t>
      </w:r>
    </w:p>
    <w:p>
      <w:pPr>
        <w:spacing w:after="0" w:line="188"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i w:val="1"/>
          <w:iCs w:val="1"/>
          <w:color w:val="auto"/>
        </w:rPr>
        <w:t>Removal of Directors; Vacancies</w:t>
      </w:r>
      <w:r>
        <w:rPr>
          <w:rFonts w:ascii="Arial" w:cs="Arial" w:eastAsia="Arial" w:hAnsi="Arial"/>
          <w:sz w:val="16"/>
          <w:szCs w:val="16"/>
          <w:color w:val="auto"/>
        </w:rPr>
        <w:t>. Subject to the rights of holders of any outstanding series of preferred stock, any director may be removed from</w:t>
      </w:r>
      <w:r>
        <w:rPr>
          <w:rFonts w:ascii="Arial" w:cs="Arial" w:eastAsia="Arial" w:hAnsi="Arial"/>
          <w:sz w:val="16"/>
          <w:szCs w:val="16"/>
          <w:i w:val="1"/>
          <w:iCs w:val="1"/>
          <w:color w:val="auto"/>
        </w:rPr>
        <w:t xml:space="preserve"> </w:t>
      </w:r>
      <w:r>
        <w:rPr>
          <w:rFonts w:ascii="Arial" w:cs="Arial" w:eastAsia="Arial" w:hAnsi="Arial"/>
          <w:sz w:val="16"/>
          <w:szCs w:val="16"/>
          <w:color w:val="auto"/>
        </w:rPr>
        <w:t>office at any time, with or without cause, only by the affirmative vote of the holders of at least a majority of the voting power of all of the shares of the corporation entitled to vote for the election of directors. Our amended and restated bylaws further provide that , subject to the rights of the holders of any outstanding series of preferred stock, vacancies may be filled by a majority vote of the directors then in office, although less than a quorum.</w:t>
      </w:r>
    </w:p>
    <w:p>
      <w:pPr>
        <w:spacing w:after="0" w:line="15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i w:val="1"/>
          <w:iCs w:val="1"/>
          <w:color w:val="auto"/>
        </w:rPr>
        <w:t xml:space="preserve">Elimination of Stockholder Action through Written Consent. </w:t>
      </w:r>
      <w:r>
        <w:rPr>
          <w:rFonts w:ascii="Arial" w:cs="Arial" w:eastAsia="Arial" w:hAnsi="Arial"/>
          <w:sz w:val="18"/>
          <w:szCs w:val="18"/>
          <w:color w:val="auto"/>
        </w:rPr>
        <w:t>Our restated certificate of incorporation provides that stockholder action can be taken</w:t>
      </w:r>
      <w:r>
        <w:rPr>
          <w:rFonts w:ascii="Arial" w:cs="Arial" w:eastAsia="Arial" w:hAnsi="Arial"/>
          <w:sz w:val="18"/>
          <w:szCs w:val="18"/>
          <w:i w:val="1"/>
          <w:iCs w:val="1"/>
          <w:color w:val="auto"/>
        </w:rPr>
        <w:t xml:space="preserve"> </w:t>
      </w:r>
      <w:r>
        <w:rPr>
          <w:rFonts w:ascii="Arial" w:cs="Arial" w:eastAsia="Arial" w:hAnsi="Arial"/>
          <w:sz w:val="18"/>
          <w:szCs w:val="18"/>
          <w:color w:val="auto"/>
        </w:rPr>
        <w:t>only at an annual or special meeting of stockholders and cannot be taken by written consent in lieu of a meeting.</w:t>
      </w:r>
    </w:p>
    <w:p>
      <w:pPr>
        <w:spacing w:after="0" w:line="170"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i w:val="1"/>
          <w:iCs w:val="1"/>
          <w:color w:val="auto"/>
        </w:rPr>
        <w:t>Elimination of the Ability to Call Special Meetings</w:t>
      </w:r>
      <w:r>
        <w:rPr>
          <w:rFonts w:ascii="Arial" w:cs="Arial" w:eastAsia="Arial" w:hAnsi="Arial"/>
          <w:sz w:val="18"/>
          <w:szCs w:val="18"/>
          <w:color w:val="auto"/>
        </w:rPr>
        <w:t>. Our amended and restated bylaws provide that special meetings of our stockholders can only</w:t>
      </w:r>
      <w:r>
        <w:rPr>
          <w:rFonts w:ascii="Arial" w:cs="Arial" w:eastAsia="Arial" w:hAnsi="Arial"/>
          <w:sz w:val="18"/>
          <w:szCs w:val="18"/>
          <w:i w:val="1"/>
          <w:iCs w:val="1"/>
          <w:color w:val="auto"/>
        </w:rPr>
        <w:t xml:space="preserve"> </w:t>
      </w:r>
      <w:r>
        <w:rPr>
          <w:rFonts w:ascii="Arial" w:cs="Arial" w:eastAsia="Arial" w:hAnsi="Arial"/>
          <w:sz w:val="18"/>
          <w:szCs w:val="18"/>
          <w:color w:val="auto"/>
        </w:rPr>
        <w:t>be called by order of the board of directors or the executive committee. Stockholders are not authorized to call a special meeting or to require our board of directors to call a special meeting.</w:t>
      </w:r>
    </w:p>
    <w:p>
      <w:pPr>
        <w:spacing w:after="0" w:line="184"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i w:val="1"/>
          <w:iCs w:val="1"/>
          <w:color w:val="auto"/>
        </w:rPr>
        <w:t>Amendment of By-laws</w:t>
      </w:r>
      <w:r>
        <w:rPr>
          <w:rFonts w:ascii="Arial" w:cs="Arial" w:eastAsia="Arial" w:hAnsi="Arial"/>
          <w:sz w:val="18"/>
          <w:szCs w:val="18"/>
          <w:color w:val="auto"/>
        </w:rPr>
        <w:t>. Under our restated certificate of incorporation and amended and restated by-laws, our board of directors can adopt, amend</w:t>
      </w:r>
      <w:r>
        <w:rPr>
          <w:rFonts w:ascii="Arial" w:cs="Arial" w:eastAsia="Arial" w:hAnsi="Arial"/>
          <w:sz w:val="18"/>
          <w:szCs w:val="18"/>
          <w:i w:val="1"/>
          <w:iCs w:val="1"/>
          <w:color w:val="auto"/>
        </w:rPr>
        <w:t xml:space="preserve"> </w:t>
      </w:r>
      <w:r>
        <w:rPr>
          <w:rFonts w:ascii="Arial" w:cs="Arial" w:eastAsia="Arial" w:hAnsi="Arial"/>
          <w:sz w:val="18"/>
          <w:szCs w:val="18"/>
          <w:color w:val="auto"/>
        </w:rPr>
        <w:t>or repeal the by-laws by a majority vote of the directors then in office. Our stockholders also have the power to amend or repeal our amended and restated by-laws at any meeting at which a quorum is present by a vote of two-thirds of the number of shares of stock entitled to vote present in person or by proxy at such meeting.</w:t>
      </w:r>
    </w:p>
    <w:p>
      <w:pPr>
        <w:spacing w:after="0" w:line="187" w:lineRule="exact"/>
        <w:rPr>
          <w:sz w:val="20"/>
          <w:szCs w:val="20"/>
          <w:color w:val="auto"/>
        </w:rPr>
      </w:pPr>
    </w:p>
    <w:p>
      <w:pPr>
        <w:ind w:right="160" w:firstLine="440"/>
        <w:spacing w:after="0" w:line="286" w:lineRule="auto"/>
        <w:rPr>
          <w:sz w:val="20"/>
          <w:szCs w:val="20"/>
          <w:color w:val="auto"/>
        </w:rPr>
      </w:pPr>
      <w:r>
        <w:rPr>
          <w:rFonts w:ascii="Arial" w:cs="Arial" w:eastAsia="Arial" w:hAnsi="Arial"/>
          <w:sz w:val="17"/>
          <w:szCs w:val="17"/>
          <w:i w:val="1"/>
          <w:iCs w:val="1"/>
          <w:color w:val="auto"/>
        </w:rPr>
        <w:t>Business Combination Statute</w:t>
      </w:r>
      <w:r>
        <w:rPr>
          <w:rFonts w:ascii="Arial" w:cs="Arial" w:eastAsia="Arial" w:hAnsi="Arial"/>
          <w:sz w:val="17"/>
          <w:szCs w:val="17"/>
          <w:color w:val="auto"/>
        </w:rPr>
        <w:t>. We are subject to Section 203 of the Delaware General Corporation Law. In general, Section 203 prohibits a</w:t>
      </w:r>
      <w:r>
        <w:rPr>
          <w:rFonts w:ascii="Arial" w:cs="Arial" w:eastAsia="Arial" w:hAnsi="Arial"/>
          <w:sz w:val="17"/>
          <w:szCs w:val="17"/>
          <w:i w:val="1"/>
          <w:iCs w:val="1"/>
          <w:color w:val="auto"/>
        </w:rPr>
        <w:t xml:space="preserve"> </w:t>
      </w:r>
      <w:r>
        <w:rPr>
          <w:rFonts w:ascii="Arial" w:cs="Arial" w:eastAsia="Arial" w:hAnsi="Arial"/>
          <w:sz w:val="17"/>
          <w:szCs w:val="17"/>
          <w:color w:val="auto"/>
        </w:rPr>
        <w:t>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71" w:lineRule="exact"/>
        <w:rPr>
          <w:sz w:val="20"/>
          <w:szCs w:val="20"/>
          <w:color w:val="auto"/>
        </w:rPr>
      </w:pPr>
    </w:p>
    <w:p>
      <w:pPr>
        <w:ind w:left="5420" w:right="1680" w:hanging="4884"/>
        <w:spacing w:after="0" w:line="449" w:lineRule="auto"/>
        <w:tabs>
          <w:tab w:leader="none" w:pos="97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date the interested stockholder obtained such status; 10</w:t>
      </w:r>
    </w:p>
    <w:p>
      <w:pPr>
        <w:sectPr>
          <w:pgSz w:w="11900" w:h="16838" w:orient="portrait"/>
          <w:cols w:equalWidth="0" w:num="1">
            <w:col w:w="11020"/>
          </w:cols>
          <w:pgMar w:left="440" w:top="270" w:right="439" w:bottom="1440" w:gutter="0" w:footer="0" w:header="0"/>
        </w:sectPr>
      </w:pPr>
    </w:p>
    <w:bookmarkStart w:id="13" w:name="page14"/>
    <w:bookmarkEnd w:id="13"/>
    <w:p>
      <w:pPr>
        <w:ind w:left="960" w:right="280" w:hanging="424"/>
        <w:spacing w:after="0" w:line="308" w:lineRule="auto"/>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1" w:lineRule="exact"/>
        <w:rPr>
          <w:rFonts w:ascii="Arial" w:cs="Arial" w:eastAsia="Arial" w:hAnsi="Arial"/>
          <w:sz w:val="17"/>
          <w:szCs w:val="17"/>
          <w:color w:val="auto"/>
        </w:rPr>
      </w:pPr>
    </w:p>
    <w:p>
      <w:pPr>
        <w:ind w:left="960" w:right="120" w:hanging="424"/>
        <w:spacing w:after="0" w:line="342" w:lineRule="auto"/>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spacing w:after="0" w:line="124"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us even though such a transaction may offer our stockholders the opportunity to sell their stock at a price above the prevailing market price.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w:t>
      </w:r>
    </w:p>
    <w:p>
      <w:pPr>
        <w:spacing w:after="0" w:line="12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Pursuant to our amended and restated by-laws, a state court located within the State of Delaware (or, if the Court of Chancery does not have jurisdiction, the federal district court for the District of Delaware) is the sole and exclusive forum for (i) any derivative action or proceeding brought on behalf of the Company, (ii) any action asserting a claim of breach of a fiduciary duty owed by any director or officer or other employee of the Company to the Company or the Company’s stockholders, (iii) any action asserting a claim arising pursuant to any provision of the Delaware General Corporation Law or our restated certificate of incorporation or amended and restated by-laws, or (iv) any action asserting a claim governed by the internal affairs doctrine. Additionally, unless the Company consents in writing to the selection of an alternative forum, the federal district courts of the United States of America shall be, to the fullest extent permitted by law, the sole and exclusive forum for any action asserting a claim arising under the Securities Act of 1933, as amended (the “Securities Act”).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40" w:top="274" w:right="49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DESCRIPTION OF DEBT SECURITIES</w:t>
      </w:r>
    </w:p>
    <w:p>
      <w:pPr>
        <w:spacing w:after="0" w:line="229" w:lineRule="exact"/>
        <w:rPr>
          <w:sz w:val="20"/>
          <w:szCs w:val="20"/>
          <w:color w:val="auto"/>
        </w:rPr>
      </w:pPr>
    </w:p>
    <w:p>
      <w:pPr>
        <w:ind w:right="280" w:firstLine="440"/>
        <w:spacing w:after="0" w:line="255" w:lineRule="auto"/>
        <w:rPr>
          <w:sz w:val="20"/>
          <w:szCs w:val="20"/>
          <w:color w:val="auto"/>
        </w:rPr>
      </w:pPr>
      <w:r>
        <w:rPr>
          <w:rFonts w:ascii="Arial" w:cs="Arial" w:eastAsia="Arial" w:hAnsi="Arial"/>
          <w:sz w:val="18"/>
          <w:szCs w:val="18"/>
          <w:color w:val="auto"/>
        </w:rPr>
        <w:t>This prospectus describes certain general terms and provisions of the debt securities referenced in this prospectus. The debt securities will be issued under the indenture (the “Indenture”), dated as of November 26, 2018, between Roper Technologies, Inc. and Wells Fargo Bank, National Association, as trustee (the “Trustee”), in one or more series established from time to time in or pursuant to a board resolution and set forth in an officer’s certificate or supplemental indenture. When we offer to sell a particular series of debt securities, we will describe the specific terms for the securities in a supplement to this prospectus. The prospectus supplement will also indicate whether the general terms and provisions described in this prospectus apply to a particular series of debt securities.</w:t>
      </w:r>
    </w:p>
    <w:p>
      <w:pPr>
        <w:spacing w:after="0" w:line="192"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The following is a summary of the material provisions of the Indenture. It does not include all of the provisions of the Indenture. We urge you to read the Indenture because it defines your rights. The terms of the debt securities include those stated in the Indenture and those made part of the Indenture by reference to the Trust Indenture Act of 1939, as amended (the “TIA”). A copy of the Indenture may be obtained from us. You can find definitions of certain capitalized terms used in this description under “—Certain Definitions.”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80" w:firstLine="440"/>
        <w:spacing w:after="0" w:line="271" w:lineRule="auto"/>
        <w:rPr>
          <w:sz w:val="20"/>
          <w:szCs w:val="20"/>
          <w:color w:val="auto"/>
        </w:rPr>
      </w:pPr>
      <w:r>
        <w:rPr>
          <w:rFonts w:ascii="Arial" w:cs="Arial" w:eastAsia="Arial" w:hAnsi="Arial"/>
          <w:sz w:val="17"/>
          <w:szCs w:val="17"/>
          <w:color w:val="auto"/>
        </w:rPr>
        <w:t>The Indenture does not limit the amount of debt securities which we may issue. We have the right to “reopen” a previous issue of a series of debt securities by issuing additional debt securities of such series; provided, however, that if any additional debt securities are not fungible with the debt securities previously issued for U.S. federal income tax purposes, the additional debt securities will have a separate CUSIP or other identifying number. We may issue debt securities up to an aggregate principal amount as we may authorize from time to time. The debt securities will be our unsecured obligations and will rank equally with all of our other unsecured and unsubordinated debt from time to time outstanding. Our secured debt, if any, will be effectively senior to the debt securities to the extent of the value of the assets securing such debt. The debt securities will be exclusively our obligations and not of our subsidiaries and therefore the debt securities will be structurally subordinate to the debt and liabilities of any of our subsidiaries. The prospectus supplement will describe the terms of any debt securities being offered, including:</w:t>
      </w:r>
    </w:p>
    <w:p>
      <w:pPr>
        <w:spacing w:after="0" w:line="84" w:lineRule="exact"/>
        <w:rPr>
          <w:sz w:val="20"/>
          <w:szCs w:val="20"/>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title;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limit upon the aggregate principal amount;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or dates on which the principal is payable;</w:t>
      </w:r>
    </w:p>
    <w:p>
      <w:pPr>
        <w:spacing w:after="0" w:line="130" w:lineRule="exact"/>
        <w:rPr>
          <w:rFonts w:ascii="Arial" w:cs="Arial" w:eastAsia="Arial" w:hAnsi="Arial"/>
          <w:sz w:val="18"/>
          <w:szCs w:val="18"/>
          <w:color w:val="auto"/>
        </w:rPr>
      </w:pPr>
    </w:p>
    <w:p>
      <w:pPr>
        <w:ind w:left="960" w:right="220" w:hanging="424"/>
        <w:spacing w:after="0" w:line="342" w:lineRule="auto"/>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rate or rates (which may be fixed or variable) at which the debt securities shall bear interest, if any, or the method by which such rate shall be determined (including, but not limited to, any commodity, commodity index, stock exchange index or financial index);</w:t>
      </w:r>
    </w:p>
    <w:p>
      <w:pPr>
        <w:spacing w:after="0" w:line="29" w:lineRule="exact"/>
        <w:rPr>
          <w:rFonts w:ascii="Arial" w:cs="Arial" w:eastAsia="Arial" w:hAnsi="Arial"/>
          <w:sz w:val="16"/>
          <w:szCs w:val="16"/>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or dates from which interest shall accrue;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or dates on which interest shall be payable;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record dates for the determination of holders to whom interest is payable;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such extension;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place or places where the principal of and any interest shall be payable;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price or prices at which, the period or periods within which and the terms and conditions upon which debt securities may be redeemed;</w:t>
      </w:r>
    </w:p>
    <w:p>
      <w:pPr>
        <w:spacing w:after="0" w:line="153" w:lineRule="exact"/>
        <w:rPr>
          <w:rFonts w:ascii="Arial" w:cs="Arial" w:eastAsia="Arial" w:hAnsi="Arial"/>
          <w:sz w:val="16"/>
          <w:szCs w:val="16"/>
          <w:color w:val="auto"/>
        </w:rPr>
      </w:pPr>
    </w:p>
    <w:p>
      <w:pPr>
        <w:ind w:left="960" w:hanging="424"/>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obligation, if any, to redeem, purchase or repay the debt securities pursuant to any sinking fund or otherwise or at the option of a holder thereof;</w:t>
      </w:r>
    </w:p>
    <w:p>
      <w:pPr>
        <w:spacing w:after="0" w:line="75" w:lineRule="exact"/>
        <w:rPr>
          <w:rFonts w:ascii="Arial" w:cs="Arial" w:eastAsia="Arial" w:hAnsi="Arial"/>
          <w:sz w:val="18"/>
          <w:szCs w:val="18"/>
          <w:color w:val="auto"/>
        </w:rPr>
      </w:pPr>
    </w:p>
    <w:p>
      <w:pPr>
        <w:ind w:left="960" w:right="640" w:hanging="424"/>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the price or prices at which and the period or periods within which and the terms and conditions upon which the debt securities shall be redeemed, purchased or repaid, in whole or in part;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15" w:name="page16"/>
    <w:bookmarkEnd w:id="15"/>
    <w:p>
      <w:pPr>
        <w:ind w:left="960" w:right="560" w:hanging="424"/>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other than denominations of $1,000 and any multiple thereof, the denominations in which the debt securities of the series shall be issuable;</w:t>
      </w:r>
    </w:p>
    <w:p>
      <w:pPr>
        <w:spacing w:after="0" w:line="75" w:lineRule="exact"/>
        <w:rPr>
          <w:rFonts w:ascii="Arial" w:cs="Arial" w:eastAsia="Arial" w:hAnsi="Arial"/>
          <w:sz w:val="18"/>
          <w:szCs w:val="18"/>
          <w:color w:val="auto"/>
        </w:rPr>
      </w:pPr>
    </w:p>
    <w:p>
      <w:pPr>
        <w:ind w:left="960" w:hanging="424"/>
        <w:spacing w:after="0" w:line="342" w:lineRule="auto"/>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percentage of the principal amount at which the debt securities will be issued and, if other than the principal amount thereof, the portion of such principal amount which shall be payable upon declaration of acceleration of the maturity thereof or provable in bankruptcy;</w:t>
      </w:r>
    </w:p>
    <w:p>
      <w:pPr>
        <w:spacing w:after="0" w:line="29" w:lineRule="exact"/>
        <w:rPr>
          <w:rFonts w:ascii="Arial" w:cs="Arial" w:eastAsia="Arial" w:hAnsi="Arial"/>
          <w:sz w:val="16"/>
          <w:szCs w:val="16"/>
          <w:color w:val="auto"/>
        </w:rPr>
      </w:pPr>
    </w:p>
    <w:p>
      <w:pPr>
        <w:ind w:left="960" w:hanging="424"/>
        <w:spacing w:after="0"/>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whether the debt securities are issuable as global securities or definitive certificates and, in such case, the identity for the depositary;</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deletion from, modification of or addition to the events of default or covenants;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when a specified event occurs;</w:t>
      </w:r>
    </w:p>
    <w:p>
      <w:pPr>
        <w:spacing w:after="0" w:line="130" w:lineRule="exact"/>
        <w:rPr>
          <w:rFonts w:ascii="Arial" w:cs="Arial" w:eastAsia="Arial" w:hAnsi="Arial"/>
          <w:sz w:val="18"/>
          <w:szCs w:val="18"/>
          <w:color w:val="auto"/>
        </w:rPr>
      </w:pPr>
    </w:p>
    <w:p>
      <w:pPr>
        <w:ind w:left="960" w:right="140" w:hanging="424"/>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and under what circumstances we will pay additional amounts on the debt securities held by a person who is not a U.S. person in respect of any tax, assessment or governmental charge withheld or deducted;</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special tax implications of the debt securities;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any trustees, authenticating or paying agents, transfer agents or registrars or any other agents with respect to the debt securities;</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guarantor or co-issuer;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special interest premium or other premium;</w:t>
      </w:r>
    </w:p>
    <w:p>
      <w:pPr>
        <w:spacing w:after="0" w:line="130" w:lineRule="exact"/>
        <w:rPr>
          <w:rFonts w:ascii="Arial" w:cs="Arial" w:eastAsia="Arial" w:hAnsi="Arial"/>
          <w:sz w:val="18"/>
          <w:szCs w:val="18"/>
          <w:color w:val="auto"/>
        </w:rPr>
      </w:pPr>
    </w:p>
    <w:p>
      <w:pPr>
        <w:ind w:left="960" w:right="720" w:hanging="424"/>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debt securities are convertible or exchangeable into common stock or other of our equity securities and the terms and conditions upon which such conversion or exchange shall be effected;</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currency in which payments shall be made, if other than U.S. dollars;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and all other terms of the debt securities of the applicable series.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Mergers and Other Transactions</w:t>
      </w:r>
    </w:p>
    <w:p>
      <w:pPr>
        <w:spacing w:after="0" w:line="121"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We may not merge or consolidate with any other person or persons (whether or not affiliated with us), and we may not sell, convey, transfer, lease or otherwise dispose of all or substantially all of our property or assets to any other person or persons (whether or not affiliated with us), unless the following conditions are satisfied:</w:t>
      </w:r>
    </w:p>
    <w:p>
      <w:pPr>
        <w:spacing w:after="0" w:line="89" w:lineRule="exact"/>
        <w:rPr>
          <w:sz w:val="20"/>
          <w:szCs w:val="20"/>
          <w:color w:val="auto"/>
        </w:rPr>
      </w:pPr>
    </w:p>
    <w:p>
      <w:pPr>
        <w:ind w:left="960" w:right="160" w:hanging="424"/>
        <w:spacing w:after="0" w:line="259"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either (a) the transaction is a merger or consolidation, and we are the surviving entity; or (b) the successor person (or the person which acquires by sale, conveyance, transfer or lease all or substantially all of our property or assets) is organized under the laws of the United States, any state thereof or the District of Columbia and expressly assumes, by a supplemental indenture satisfactory to the Trustee, all of our obligations under the debt securities and the Indenture;</w:t>
      </w:r>
    </w:p>
    <w:p>
      <w:pPr>
        <w:spacing w:after="0" w:line="92" w:lineRule="exact"/>
        <w:rPr>
          <w:rFonts w:ascii="Arial" w:cs="Arial" w:eastAsia="Arial" w:hAnsi="Arial"/>
          <w:sz w:val="18"/>
          <w:szCs w:val="18"/>
          <w:color w:val="auto"/>
        </w:rPr>
      </w:pPr>
    </w:p>
    <w:p>
      <w:pPr>
        <w:jc w:val="both"/>
        <w:ind w:left="960" w:right="20" w:hanging="424"/>
        <w:spacing w:after="0" w:line="263"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and treating our obligations in connection with or as a result of such transaction as having been incurred as of the time of such transaction, no Default or Event of Default shall have occurred and be continuing under the Indenture; and</w:t>
      </w:r>
    </w:p>
    <w:p>
      <w:pPr>
        <w:spacing w:after="0" w:line="89" w:lineRule="exact"/>
        <w:rPr>
          <w:rFonts w:ascii="Arial" w:cs="Arial" w:eastAsia="Arial" w:hAnsi="Arial"/>
          <w:sz w:val="18"/>
          <w:szCs w:val="18"/>
          <w:color w:val="auto"/>
        </w:rPr>
      </w:pPr>
    </w:p>
    <w:p>
      <w:pPr>
        <w:ind w:left="960" w:right="60" w:hanging="424"/>
        <w:spacing w:after="0" w:line="342" w:lineRule="auto"/>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officer’s certificate is delivered to the Trustee to the effect that both of the conditions set forth above have been satisfied and an opinion of counsel has been delivered to the Trustee to the effect that the condition in the first bullet set forth above has been satisfied.</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restrictions in the second and third bullets above shall not be applicable to:</w:t>
      </w:r>
    </w:p>
    <w:p>
      <w:pPr>
        <w:spacing w:after="0" w:line="131" w:lineRule="exact"/>
        <w:rPr>
          <w:sz w:val="20"/>
          <w:szCs w:val="20"/>
          <w:color w:val="auto"/>
        </w:rPr>
      </w:pPr>
    </w:p>
    <w:p>
      <w:pPr>
        <w:ind w:left="960" w:right="600" w:hanging="424"/>
        <w:spacing w:after="0" w:line="308" w:lineRule="auto"/>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6" w:name="page17"/>
    <w:bookmarkEnd w:id="16"/>
    <w:p>
      <w:pPr>
        <w:ind w:left="960" w:right="400" w:hanging="424"/>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merger of us with or into a single direct or indirect wholly owned subsidiary of ours pursuant to Section 251(g) (or any successor provision) of the Delaware General Corporation Law.</w:t>
      </w:r>
    </w:p>
    <w:p>
      <w:pPr>
        <w:spacing w:after="0" w:line="170"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In the case of any such consolidation, merger, sale, transfer or other conveyance, but not a lease, in a transaction in which there is a successor entity, the successor entity will succeed to, and be substituted for, us under the Indenture and, subject to the terms of the Indenture, we will be released from the obligation to pay principal and interest on the debt securities and all obligations under the Indenture.</w:t>
      </w:r>
    </w:p>
    <w:p>
      <w:pPr>
        <w:spacing w:after="0" w:line="165" w:lineRule="exact"/>
        <w:rPr>
          <w:sz w:val="20"/>
          <w:szCs w:val="20"/>
          <w:color w:val="auto"/>
        </w:rPr>
      </w:pPr>
    </w:p>
    <w:p>
      <w:pPr>
        <w:jc w:val="both"/>
        <w:ind w:right="340" w:firstLine="440"/>
        <w:spacing w:after="0" w:line="263" w:lineRule="auto"/>
        <w:rPr>
          <w:sz w:val="20"/>
          <w:szCs w:val="20"/>
          <w:color w:val="auto"/>
        </w:rPr>
      </w:pPr>
      <w:r>
        <w:rPr>
          <w:rFonts w:ascii="Arial" w:cs="Arial" w:eastAsia="Arial" w:hAnsi="Arial"/>
          <w:sz w:val="18"/>
          <w:szCs w:val="18"/>
          <w:color w:val="auto"/>
        </w:rPr>
        <w:t>For purposes of the foregoing, if we consummate a Holding Company Reorganization, the newly formed holding company (New HoldCo, as defined below) shall be treated as the “successor person” and the Holding Company Reorganization shall constitute the transfer to New HoldCo of substantially all of our assets.</w:t>
      </w:r>
    </w:p>
    <w:p>
      <w:pPr>
        <w:spacing w:after="0" w:line="184"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The Indenture provides that upon completion of the Holding Company Reorganization, Roper will be discharged from all obligations and covenants under the indenture and the Notes and New HoldCo will be the sole obligor on the debt securities.</w:t>
      </w:r>
    </w:p>
    <w:p>
      <w:pPr>
        <w:spacing w:after="0" w:line="170" w:lineRule="exact"/>
        <w:rPr>
          <w:sz w:val="20"/>
          <w:szCs w:val="20"/>
          <w:color w:val="auto"/>
        </w:rPr>
      </w:pPr>
    </w:p>
    <w:p>
      <w:pPr>
        <w:ind w:right="14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Holding Company Reorganization</w:t>
      </w:r>
      <w:r>
        <w:rPr>
          <w:rFonts w:ascii="Arial" w:cs="Arial" w:eastAsia="Arial" w:hAnsi="Arial"/>
          <w:sz w:val="16"/>
          <w:szCs w:val="16"/>
          <w:color w:val="auto"/>
        </w:rPr>
        <w:t>” shall mean a merger with and into a newly formed wholly-owned, indirect subsidiary (“MergerCo”), all of the equity interests of which shall be held by a newly formed wholly-owned, direct subsidiary (“New HoldCo”) of Roper, all of the equity interests of which shall be initially be held by Roper. Such merger shall be pursuant to Section 251(g) (or any successor provision) of the Delaware General Corporation Law and shall not require the vote of our stockholders. Each of our shares of common stock shall be converted into a right to receive one share of New HoldCo common stock, with identical terms and rights as our common stock immediately prior to such conversion.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to Holders</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Indenture provides that any document or report that we are required to file with the SEC pursuant to Section 13 or 15(d) of the Exchange Act will be filed with the Trustee within 15 days after such document or report is filed with the SEC.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events are defined in the Indenture as “Events of Default” with respect to debt securities:</w:t>
      </w:r>
    </w:p>
    <w:p>
      <w:pPr>
        <w:spacing w:after="0" w:line="117" w:lineRule="exact"/>
        <w:rPr>
          <w:sz w:val="20"/>
          <w:szCs w:val="20"/>
          <w:color w:val="auto"/>
        </w:rPr>
      </w:pPr>
    </w:p>
    <w:p>
      <w:pPr>
        <w:ind w:left="700" w:hanging="264"/>
        <w:spacing w:after="0"/>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failure to pay interest on any debt securities when the same becomes due and payable and the Default continues for a period of 60 days;</w:t>
      </w:r>
    </w:p>
    <w:p>
      <w:pPr>
        <w:spacing w:after="0" w:line="248" w:lineRule="exact"/>
        <w:rPr>
          <w:rFonts w:ascii="Arial" w:cs="Arial" w:eastAsia="Arial" w:hAnsi="Arial"/>
          <w:sz w:val="16"/>
          <w:szCs w:val="16"/>
          <w:color w:val="auto"/>
        </w:rPr>
      </w:pPr>
    </w:p>
    <w:p>
      <w:pPr>
        <w:ind w:right="220" w:firstLine="436"/>
        <w:spacing w:after="0" w:line="277"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failure to pay the principal (or premium, if any) of any debt securities, when such principal becomes due and payable, at maturity, upon acceleration, upon redemption or otherwise;</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Default in the performance, or breach, of our obligations under the “—Limitation on Mergers and Other Transactions” covenant described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above;</w:t>
      </w:r>
    </w:p>
    <w:p>
      <w:pPr>
        <w:spacing w:after="0" w:line="210" w:lineRule="exact"/>
        <w:rPr>
          <w:rFonts w:ascii="Arial" w:cs="Arial" w:eastAsia="Arial" w:hAnsi="Arial"/>
          <w:sz w:val="16"/>
          <w:szCs w:val="16"/>
          <w:color w:val="auto"/>
        </w:rPr>
      </w:pPr>
    </w:p>
    <w:p>
      <w:pPr>
        <w:ind w:firstLine="436"/>
        <w:spacing w:after="0" w:line="286" w:lineRule="auto"/>
        <w:tabs>
          <w:tab w:leader="none" w:pos="695"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Default in the observance or performance of any other covenant or agreement contained in the Indenture which Default continues for a period of 60 days after we receive written notice specifying the Default (and demanding that such Default be remedied) from the Trustee or the Holders of at least a majority of the outstanding principal amount of each series of debt securities affected, voting together as a single class;</w:t>
      </w:r>
    </w:p>
    <w:p>
      <w:pPr>
        <w:spacing w:after="0" w:line="165" w:lineRule="exact"/>
        <w:rPr>
          <w:rFonts w:ascii="Arial" w:cs="Arial" w:eastAsia="Arial" w:hAnsi="Arial"/>
          <w:sz w:val="17"/>
          <w:szCs w:val="17"/>
          <w:color w:val="auto"/>
        </w:rPr>
      </w:pPr>
    </w:p>
    <w:p>
      <w:pPr>
        <w:ind w:right="100" w:firstLine="436"/>
        <w:spacing w:after="0" w:line="259"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a failure to make any payment at maturity on any of our Indebtedness (other than Indebtedness owing to any of our Subsidiaries) outstanding in an amount in excess of $150 million or its foreign currency equivalent at the time and continuance of this failure to pay after any applicable grace period or (b) a default on any of our Indebtedness (other than Indebtedness owing to any of our Subsidiaries), which default results in the acceleration</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440" w:top="274" w:right="539" w:bottom="1440" w:gutter="0" w:footer="0" w:header="0"/>
        </w:sectPr>
      </w:pPr>
    </w:p>
    <w:bookmarkStart w:id="17" w:name="page18"/>
    <w:bookmarkEnd w:id="17"/>
    <w:p>
      <w:pPr>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such Indebtedness in an amount in excess of $150 million or its foreign currency equivalent at the time without such Indebtedness having been discharged or the acceleration having been cured, waived, rescinded or annulled, in the case of clause (a) or (b) above; provided, however, that if any failure, default or acceleration referred to in clauses 5(a) or (b) ceases or is cured, waived, rescinded or annulled, then the Event of Default under the Indenture will be deemed cured; or</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 certain events of bankruptcy or insolvency affecting us or any of our Significant Subsidiaries.</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If an Event of Default (other than an Event of Default specified in clause (6) above), shall occur and be continuing, the Trustee or the Holders of at least 25% of the principal amount of each series of debt securities affected, voting together as a single class, may declare the principal of and accrued interest on all such debt securities to be due and payable by notice in writing to us and the Trustee specifying the respective Event of Default and that it is a “notice of acceleration”, and the same shall become immediately due and payable.</w:t>
      </w:r>
    </w:p>
    <w:p>
      <w:pPr>
        <w:spacing w:after="0" w:line="187" w:lineRule="exact"/>
        <w:rPr>
          <w:sz w:val="20"/>
          <w:szCs w:val="20"/>
          <w:color w:val="auto"/>
        </w:rPr>
      </w:pPr>
    </w:p>
    <w:p>
      <w:pPr>
        <w:jc w:val="both"/>
        <w:ind w:right="380" w:firstLine="440"/>
        <w:spacing w:after="0" w:line="263" w:lineRule="auto"/>
        <w:rPr>
          <w:sz w:val="20"/>
          <w:szCs w:val="20"/>
          <w:color w:val="auto"/>
        </w:rPr>
      </w:pPr>
      <w:r>
        <w:rPr>
          <w:rFonts w:ascii="Arial" w:cs="Arial" w:eastAsia="Arial" w:hAnsi="Arial"/>
          <w:sz w:val="18"/>
          <w:szCs w:val="18"/>
          <w:color w:val="auto"/>
        </w:rPr>
        <w:t>Notwithstanding the foregoing, if an Event of Default specified in clause (6) above occurs and is continuing, then all unpaid principal of and premium, if any, and accrued and unpaid interest on all debt securities shall automatically become and be immediately due and payable without any declaration or other act on the part of the Trustee or any Holder.</w:t>
      </w:r>
    </w:p>
    <w:p>
      <w:pPr>
        <w:spacing w:after="0" w:line="184" w:lineRule="exact"/>
        <w:rPr>
          <w:sz w:val="20"/>
          <w:szCs w:val="20"/>
          <w:color w:val="auto"/>
        </w:rPr>
      </w:pPr>
    </w:p>
    <w:p>
      <w:pPr>
        <w:jc w:val="both"/>
        <w:ind w:right="60" w:firstLine="440"/>
        <w:spacing w:after="0" w:line="286" w:lineRule="auto"/>
        <w:rPr>
          <w:sz w:val="20"/>
          <w:szCs w:val="20"/>
          <w:color w:val="auto"/>
        </w:rPr>
      </w:pPr>
      <w:r>
        <w:rPr>
          <w:rFonts w:ascii="Arial" w:cs="Arial" w:eastAsia="Arial" w:hAnsi="Arial"/>
          <w:sz w:val="17"/>
          <w:szCs w:val="17"/>
          <w:color w:val="auto"/>
        </w:rPr>
        <w:t>The Indenture provides that, at any time after a declaration of acceleration with respect to one or more series of debt securities as described in the preceding paragraph, the Holders of a majority in principal amount of each series of debt securities affected, voting together as a single class, (including additional debt securities of each such series, if any) may rescind and cancel such declaration and its consequences if:</w:t>
      </w:r>
    </w:p>
    <w:p>
      <w:pPr>
        <w:spacing w:after="0" w:line="57" w:lineRule="exact"/>
        <w:rPr>
          <w:sz w:val="20"/>
          <w:szCs w:val="20"/>
          <w:color w:val="auto"/>
        </w:rPr>
      </w:pPr>
    </w:p>
    <w:p>
      <w:pPr>
        <w:ind w:left="700" w:hanging="264"/>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rescission would not conflict with any judgment or decree;</w:t>
      </w:r>
    </w:p>
    <w:p>
      <w:pPr>
        <w:spacing w:after="0" w:line="225" w:lineRule="exact"/>
        <w:rPr>
          <w:rFonts w:ascii="Arial" w:cs="Arial" w:eastAsia="Arial" w:hAnsi="Arial"/>
          <w:sz w:val="18"/>
          <w:szCs w:val="18"/>
          <w:color w:val="auto"/>
        </w:rPr>
      </w:pPr>
    </w:p>
    <w:p>
      <w:pPr>
        <w:ind w:right="80" w:firstLine="436"/>
        <w:spacing w:after="0" w:line="277"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existing Events of Default have been cured or waived except nonpayment of principal or interest that has become due solely because of the acceleration;</w:t>
      </w:r>
    </w:p>
    <w:p>
      <w:pPr>
        <w:spacing w:after="0" w:line="170" w:lineRule="exact"/>
        <w:rPr>
          <w:rFonts w:ascii="Arial" w:cs="Arial" w:eastAsia="Arial" w:hAnsi="Arial"/>
          <w:sz w:val="18"/>
          <w:szCs w:val="18"/>
          <w:color w:val="auto"/>
        </w:rPr>
      </w:pPr>
    </w:p>
    <w:p>
      <w:pPr>
        <w:ind w:right="180" w:firstLine="436"/>
        <w:spacing w:after="0" w:line="277"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the extent the payment of such interest is lawful, interest on overdue installments of interest and overdue principal, which has become due otherwise than by such declaration of acceleration, has been paid;</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have paid the Trustee its reasonable compensation and reimbursed the Trustee for its expenses, disbursements and advances; and</w:t>
      </w:r>
    </w:p>
    <w:p>
      <w:pPr>
        <w:spacing w:after="0" w:line="236" w:lineRule="exact"/>
        <w:rPr>
          <w:rFonts w:ascii="Arial" w:cs="Arial" w:eastAsia="Arial" w:hAnsi="Arial"/>
          <w:sz w:val="17"/>
          <w:szCs w:val="17"/>
          <w:color w:val="auto"/>
        </w:rPr>
      </w:pPr>
    </w:p>
    <w:p>
      <w:pPr>
        <w:ind w:right="200" w:firstLine="436"/>
        <w:spacing w:after="0" w:line="308" w:lineRule="auto"/>
        <w:tabs>
          <w:tab w:leader="none" w:pos="695"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the event of the cure or waiver of an Event of Default of the type described in clause (6) of the description above of Events of Default, the Trustee shall have received an officer’s certificate and an opinion of counsel that such Event of Default has been cured or waived.</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such rescission shall affect any subsequent Event of Default or impair any right consequent thereto.</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The Holders of a majority in principal amount of the debt securities of each series affected, voting together as a single class, (including additional debt securities of each such series, if any) may waive any existing Default or Event of Default under the Indenture, and its consequences, except a Default in the payment of the principal of or interest on any debt securities of a series.</w:t>
      </w:r>
    </w:p>
    <w:p>
      <w:pPr>
        <w:spacing w:after="0" w:line="184"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The Holders may not enforce the Indenture except as provided in the Indenture and under the TIA. Subject to the provisions of the Indenture relating to the duties of the Trustee, the Trustee is under no obligation to exercise any of its rights or powers under the Indenture at the request, order or direction of any of the Holders, unless such Holders have offered to the Trustee reasonable indemnity. Subject to all provisions of the Indenture and applicable law, the Holders of a majority in aggregate principal amount of each series of debt securities affected that is then outstanding, voting together as a single class, will have the right to direct the time, method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8" w:name="page19"/>
    <w:bookmarkEnd w:id="18"/>
    <w:p>
      <w:pPr>
        <w:ind w:right="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place of conducting any proceeding for any remedy available to the Trustee or exercising any trust or power conferred on the Trustee. Nothing herein shall impair the right of a Holder to institute suit for the enforcement of any payment on or with respect to the debt securities.</w:t>
      </w:r>
    </w:p>
    <w:p>
      <w:pPr>
        <w:spacing w:after="0" w:line="146"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We will be required to provide an officer’s certificate to the Trustee promptly upon any such officer obtaining knowledge of any Default or Event of Default (provided that such officers shall provide such certification at least annually whether or not they know of any Default or Event of Default) that has occurred and, if applicable, describe such Default or Event of Default and the status thereof.</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Incorporator and Stockholders</w:t>
      </w:r>
    </w:p>
    <w:p>
      <w:pPr>
        <w:spacing w:after="0" w:line="12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No director, officer, employee, incorporator, agent, stockholder or affiliate of us or any of our Subsidiaries, as such, shall have any liability for any obligations of us or any of our Subsidiaries under the debt securities or the Indenture or for any claim based on, in respect of, or by reason of, such obligations or their creation. Each Holder of the securities by accepting a note waives and releases all such liability. This waiver and release are part of the consideration for issuance of the debt securities.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21"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We may, at our option and at any time, elect to have our obligations discharged with respect to the outstanding debt securities of a series (“Legal Defeasance”). Such Legal Defeasance means that we shall be deemed to have paid and discharged the entire indebtedness represented by the outstanding debt securities of a series, except for:</w:t>
      </w:r>
    </w:p>
    <w:p>
      <w:pPr>
        <w:spacing w:after="0" w:line="76" w:lineRule="exact"/>
        <w:rPr>
          <w:sz w:val="20"/>
          <w:szCs w:val="20"/>
          <w:color w:val="auto"/>
        </w:rPr>
      </w:pPr>
    </w:p>
    <w:p>
      <w:pPr>
        <w:ind w:left="700" w:hanging="264"/>
        <w:spacing w:after="0"/>
        <w:tabs>
          <w:tab w:leader="none" w:pos="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rights of Holders to receive payments in respect of the principal of, premium, if any, and interest on the debt securities when such payments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are due;</w:t>
      </w:r>
    </w:p>
    <w:p>
      <w:pPr>
        <w:spacing w:after="0" w:line="210" w:lineRule="exact"/>
        <w:rPr>
          <w:rFonts w:ascii="Arial" w:cs="Arial" w:eastAsia="Arial" w:hAnsi="Arial"/>
          <w:sz w:val="16"/>
          <w:szCs w:val="16"/>
          <w:color w:val="auto"/>
        </w:rPr>
      </w:pPr>
    </w:p>
    <w:p>
      <w:pPr>
        <w:ind w:right="60" w:firstLine="436"/>
        <w:spacing w:after="0" w:line="277" w:lineRule="auto"/>
        <w:tabs>
          <w:tab w:leader="none" w:pos="6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obligations with respect to the debt securities concerning issuing temporary notes, registration of notes, mutilated, destroyed, lost or stolen notes and the maintenance of an office or agency for payments;</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rights, powers, trust, duties and immunities of the Trustee and our obligations in connection therewith; and</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Legal Defeasance provisions of the Indenture.</w:t>
      </w:r>
    </w:p>
    <w:p>
      <w:pPr>
        <w:spacing w:after="0" w:line="22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In addition, we may, at our option and at any time, elect to have our obligations released with respect to certain covenants that are described in the Indenture (“Covenant Defeasance”) and thereafter any omission to comply with such obligations shall not constitute a Default or Event of Default with respect to the applicable series of debt securities. In the event Covenant Defeasance occurs, certain events (not including non- payment, bankruptcy, receivership, reorganization and insolvency events) described under “—Events of Default” will no longer constitute an Event of Default with respect to the debt securities.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order to exercise either Legal Defeasance or Covenant Defeasance with respect to the debt securities of a series:</w:t>
      </w:r>
    </w:p>
    <w:p>
      <w:pPr>
        <w:spacing w:after="0" w:line="117" w:lineRule="exact"/>
        <w:rPr>
          <w:sz w:val="20"/>
          <w:szCs w:val="20"/>
          <w:color w:val="auto"/>
        </w:rPr>
      </w:pPr>
    </w:p>
    <w:p>
      <w:pPr>
        <w:jc w:val="both"/>
        <w:ind w:right="500" w:firstLine="436"/>
        <w:spacing w:after="0" w:line="259"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must irrevocably deposit with the Trustee, in trust, for the benefit of the Holders cash in U.S. dollars, non-callable U.S. government obligations, or a combination thereof, in such amounts as will be sufficient, in the opinion of a nationally recognized firm of independent public accountants, to pay the principal of, premium, if any, and interest on the debt securities on the stated date for payment thereof or on the applicable Redemption Date, as the case may be;</w:t>
      </w:r>
    </w:p>
    <w:p>
      <w:pPr>
        <w:spacing w:after="0" w:line="186" w:lineRule="exact"/>
        <w:rPr>
          <w:rFonts w:ascii="Arial" w:cs="Arial" w:eastAsia="Arial" w:hAnsi="Arial"/>
          <w:sz w:val="18"/>
          <w:szCs w:val="18"/>
          <w:color w:val="auto"/>
        </w:rPr>
      </w:pPr>
    </w:p>
    <w:p>
      <w:pPr>
        <w:ind w:right="40" w:firstLine="436"/>
        <w:spacing w:after="0" w:line="277"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case of Legal Defeasance, we must deliver to the Trustee an opinion of counsel in the United States reasonably acceptable to the Trustee confirming that:</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since the date of the Indenture, there has been a change in the applicable federal income tax law,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9" w:name="page20"/>
    <w:bookmarkEnd w:id="19"/>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either case to the effect that, and based thereon such opinion of counsel shall confirm that, the Holders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84" w:lineRule="exact"/>
        <w:rPr>
          <w:sz w:val="20"/>
          <w:szCs w:val="20"/>
          <w:color w:val="auto"/>
        </w:rPr>
      </w:pPr>
    </w:p>
    <w:p>
      <w:pPr>
        <w:ind w:right="20" w:firstLine="436"/>
        <w:spacing w:after="0" w:line="259"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case of Covenant Defeasance, we must deliver to the Trustee an opinion of counsel in the United States reasonably acceptable to the Trustee confirming that the Holders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6" w:lineRule="exact"/>
        <w:rPr>
          <w:rFonts w:ascii="Arial" w:cs="Arial" w:eastAsia="Arial" w:hAnsi="Arial"/>
          <w:sz w:val="18"/>
          <w:szCs w:val="18"/>
          <w:color w:val="auto"/>
        </w:rPr>
      </w:pPr>
    </w:p>
    <w:p>
      <w:pPr>
        <w:ind w:right="160" w:firstLine="436"/>
        <w:spacing w:after="0" w:line="277"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 (other than a Default or an Event of Default resulting from the borrowing of funds to be applied to such deposit and the grant of any Lien securing such borrowings);</w:t>
      </w:r>
    </w:p>
    <w:p>
      <w:pPr>
        <w:spacing w:after="0" w:line="170" w:lineRule="exact"/>
        <w:rPr>
          <w:rFonts w:ascii="Arial" w:cs="Arial" w:eastAsia="Arial" w:hAnsi="Arial"/>
          <w:sz w:val="18"/>
          <w:szCs w:val="18"/>
          <w:color w:val="auto"/>
        </w:rPr>
      </w:pPr>
    </w:p>
    <w:p>
      <w:pPr>
        <w:ind w:right="200" w:firstLine="436"/>
        <w:spacing w:after="0" w:line="259"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Legal Defeasance or Covenant Defeasance shall not result in a breach or violation of, or constitute a Default under the Indenture (other than a Default or an Event of Default resulting from the borrowing of funds to be applied to such deposit and the grant of any Lien securing such borrowings) or any other material agreement or instrument to which we or any of our Subsidiaries is a party or by which we or any our Subsidiaries is bound;</w:t>
      </w:r>
    </w:p>
    <w:p>
      <w:pPr>
        <w:spacing w:after="0" w:line="186" w:lineRule="exact"/>
        <w:rPr>
          <w:rFonts w:ascii="Arial" w:cs="Arial" w:eastAsia="Arial" w:hAnsi="Arial"/>
          <w:sz w:val="18"/>
          <w:szCs w:val="18"/>
          <w:color w:val="auto"/>
        </w:rPr>
      </w:pPr>
    </w:p>
    <w:p>
      <w:pPr>
        <w:ind w:right="440" w:firstLine="436"/>
        <w:spacing w:after="0" w:line="277"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must deliver to the Trustee an officer’s certificate and an opinion of counsel, each stating that all conditions precedent provided for or relating to the Legal Defeasance or the Covenant Defeasance have been complied with; and</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other customary conditions precedent are satisfied.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right="180" w:firstLine="440"/>
        <w:spacing w:after="0" w:line="308" w:lineRule="auto"/>
        <w:rPr>
          <w:sz w:val="20"/>
          <w:szCs w:val="20"/>
          <w:color w:val="auto"/>
        </w:rPr>
      </w:pPr>
      <w:r>
        <w:rPr>
          <w:rFonts w:ascii="Arial" w:cs="Arial" w:eastAsia="Arial" w:hAnsi="Arial"/>
          <w:sz w:val="17"/>
          <w:szCs w:val="17"/>
          <w:color w:val="auto"/>
        </w:rPr>
        <w:t>The Indenture will be discharged and will cease to be of further effect (except as to surviving rights or registration of transfer or exchange of the applicable series of the debt securities, as expressly provided for in the Indenture) as to all outstanding debt securities of a series, when:</w:t>
      </w:r>
    </w:p>
    <w:p>
      <w:pPr>
        <w:spacing w:after="0" w:line="38" w:lineRule="exact"/>
        <w:rPr>
          <w:sz w:val="20"/>
          <w:szCs w:val="20"/>
          <w:color w:val="auto"/>
        </w:rPr>
      </w:pPr>
    </w:p>
    <w:p>
      <w:pPr>
        <w:ind w:left="700" w:hanging="264"/>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jc w:val="both"/>
        <w:ind w:left="440" w:right="180" w:firstLine="419"/>
        <w:spacing w:after="0" w:line="286" w:lineRule="auto"/>
        <w:tabs>
          <w:tab w:leader="none" w:pos="1293"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of the applicable series of the debt securities theretofore authenticated and delivered (except lost, stolen or destroyed notes which have been replaced or paid and notes for whose payment money has theretofore been deposited in trust or segregated and held in trust by us and thereafter repaid to us or discharged from such trust) have been delivered to the Trustee for cancellation; or</w:t>
      </w:r>
    </w:p>
    <w:p>
      <w:pPr>
        <w:spacing w:after="0" w:line="57" w:lineRule="exact"/>
        <w:rPr>
          <w:rFonts w:ascii="Arial" w:cs="Arial" w:eastAsia="Arial" w:hAnsi="Arial"/>
          <w:sz w:val="17"/>
          <w:szCs w:val="17"/>
          <w:color w:val="auto"/>
        </w:rPr>
      </w:pPr>
    </w:p>
    <w:p>
      <w:pPr>
        <w:ind w:left="440" w:right="80" w:firstLine="419"/>
        <w:spacing w:after="0" w:line="272" w:lineRule="auto"/>
        <w:tabs>
          <w:tab w:leader="none" w:pos="1283"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of the applicable series of debt securities not theretofore delivered to the Trustee for cancellation (1) have become due and payable or (2) will become due and payable within one year, or are to be called for redemption within one year, under arrangements satisfactory to the Trustee for the giving of notice of redemption by the Trustee in the name, and at the expense, of us, and we have irrevocably deposited or caused to be deposited with the Trustee funds in an amount sufficient to pay and discharge the entire Indebtedness on the applicable series of debt securities not theretofore delivered to the Trustee for cancellation, for principal of, premium, if any, and interest on the applicable series of debt securities to the date of deposit together with irrevocable instructions from us directing the Trustee to apply such funds to the payment thereof at maturity or redemption, as the case may be;</w:t>
      </w:r>
    </w:p>
    <w:p>
      <w:pPr>
        <w:spacing w:after="0" w:line="177" w:lineRule="exact"/>
        <w:rPr>
          <w:rFonts w:ascii="Arial" w:cs="Arial" w:eastAsia="Arial" w:hAnsi="Arial"/>
          <w:sz w:val="17"/>
          <w:szCs w:val="17"/>
          <w:color w:val="auto"/>
        </w:rPr>
      </w:pPr>
    </w:p>
    <w:p>
      <w:pPr>
        <w:ind w:left="700" w:hanging="264"/>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paid all other sums payable under the Indenture by us; and</w:t>
      </w:r>
    </w:p>
    <w:p>
      <w:pPr>
        <w:spacing w:after="0" w:line="225" w:lineRule="exact"/>
        <w:rPr>
          <w:rFonts w:ascii="Arial" w:cs="Arial" w:eastAsia="Arial" w:hAnsi="Arial"/>
          <w:sz w:val="18"/>
          <w:szCs w:val="18"/>
          <w:color w:val="auto"/>
        </w:rPr>
      </w:pPr>
    </w:p>
    <w:p>
      <w:pPr>
        <w:ind w:right="380" w:firstLine="436"/>
        <w:spacing w:after="0" w:line="277"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stating that all conditions precedent under the Indenture relating to the satisfaction and discharge of the Indenture have been complied with.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0" w:name="page21"/>
    <w:bookmarkEnd w:id="20"/>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Modification of the Indenture</w:t>
      </w:r>
    </w:p>
    <w:p>
      <w:pPr>
        <w:spacing w:after="0" w:line="121"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From time to time, we and the Trustee, without the consent of the Holders, may amend the Indenture and the applicable series of debt securities for certain specified purposes, including:</w:t>
      </w:r>
    </w:p>
    <w:p>
      <w:pPr>
        <w:spacing w:after="0" w:line="62" w:lineRule="exact"/>
        <w:rPr>
          <w:sz w:val="20"/>
          <w:szCs w:val="20"/>
          <w:color w:val="auto"/>
        </w:rPr>
      </w:pPr>
    </w:p>
    <w:p>
      <w:pPr>
        <w:ind w:left="704" w:hanging="264"/>
        <w:spacing w:after="0"/>
        <w:tabs>
          <w:tab w:leader="none" w:pos="7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25" w:lineRule="exact"/>
        <w:rPr>
          <w:rFonts w:ascii="Arial" w:cs="Arial" w:eastAsia="Arial" w:hAnsi="Arial"/>
          <w:sz w:val="18"/>
          <w:szCs w:val="18"/>
          <w:color w:val="auto"/>
        </w:rPr>
      </w:pPr>
    </w:p>
    <w:p>
      <w:pPr>
        <w:ind w:left="704" w:hanging="264"/>
        <w:spacing w:after="0"/>
        <w:tabs>
          <w:tab w:leader="none" w:pos="7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25" w:lineRule="exact"/>
        <w:rPr>
          <w:rFonts w:ascii="Arial" w:cs="Arial" w:eastAsia="Arial" w:hAnsi="Arial"/>
          <w:sz w:val="18"/>
          <w:szCs w:val="18"/>
          <w:color w:val="auto"/>
        </w:rPr>
      </w:pPr>
    </w:p>
    <w:p>
      <w:pPr>
        <w:ind w:left="704" w:hanging="264"/>
        <w:spacing w:after="0"/>
        <w:tabs>
          <w:tab w:leader="none" w:pos="7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comply with the provisions described under “—Limitation on Mergers and Other Transactions”;</w:t>
      </w:r>
    </w:p>
    <w:p>
      <w:pPr>
        <w:spacing w:after="0" w:line="225" w:lineRule="exact"/>
        <w:rPr>
          <w:rFonts w:ascii="Arial" w:cs="Arial" w:eastAsia="Arial" w:hAnsi="Arial"/>
          <w:sz w:val="18"/>
          <w:szCs w:val="18"/>
          <w:color w:val="auto"/>
        </w:rPr>
      </w:pPr>
    </w:p>
    <w:p>
      <w:pPr>
        <w:ind w:left="704" w:hanging="264"/>
        <w:spacing w:after="0"/>
        <w:tabs>
          <w:tab w:leader="none" w:pos="704"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 comply with the requirements of the SEC in order to effect or maintain the qualification of the Indenture under the Trust Indenture Act;</w:t>
      </w:r>
    </w:p>
    <w:p>
      <w:pPr>
        <w:spacing w:after="0" w:line="236" w:lineRule="exact"/>
        <w:rPr>
          <w:rFonts w:ascii="Arial" w:cs="Arial" w:eastAsia="Arial" w:hAnsi="Arial"/>
          <w:sz w:val="17"/>
          <w:szCs w:val="17"/>
          <w:color w:val="auto"/>
        </w:rPr>
      </w:pPr>
    </w:p>
    <w:p>
      <w:pPr>
        <w:ind w:left="704" w:hanging="264"/>
        <w:spacing w:after="0"/>
        <w:tabs>
          <w:tab w:leader="none" w:pos="7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w:t>
      </w:r>
    </w:p>
    <w:p>
      <w:pPr>
        <w:spacing w:after="0" w:line="225" w:lineRule="exact"/>
        <w:rPr>
          <w:rFonts w:ascii="Arial" w:cs="Arial" w:eastAsia="Arial" w:hAnsi="Arial"/>
          <w:sz w:val="18"/>
          <w:szCs w:val="18"/>
          <w:color w:val="auto"/>
        </w:rPr>
      </w:pPr>
    </w:p>
    <w:p>
      <w:pPr>
        <w:ind w:left="4" w:right="160" w:firstLine="436"/>
        <w:spacing w:after="0" w:line="277" w:lineRule="auto"/>
        <w:tabs>
          <w:tab w:leader="none" w:pos="69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conform the text of the Indenture or the debt securities to any provision of this “Description of Debt Securities” or other description of the debt securities contained in the prospectus supplement relating to the offer and sale of such debt securities;</w:t>
      </w:r>
    </w:p>
    <w:p>
      <w:pPr>
        <w:spacing w:after="0" w:line="170" w:lineRule="exact"/>
        <w:rPr>
          <w:rFonts w:ascii="Arial" w:cs="Arial" w:eastAsia="Arial" w:hAnsi="Arial"/>
          <w:sz w:val="18"/>
          <w:szCs w:val="18"/>
          <w:color w:val="auto"/>
        </w:rPr>
      </w:pPr>
    </w:p>
    <w:p>
      <w:pPr>
        <w:ind w:left="704" w:hanging="264"/>
        <w:spacing w:after="0"/>
        <w:tabs>
          <w:tab w:leader="none" w:pos="7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establish the form or terms of the debt securities of any series as permitted by the terms of the Indenture;</w:t>
      </w:r>
    </w:p>
    <w:p>
      <w:pPr>
        <w:spacing w:after="0" w:line="225" w:lineRule="exact"/>
        <w:rPr>
          <w:rFonts w:ascii="Arial" w:cs="Arial" w:eastAsia="Arial" w:hAnsi="Arial"/>
          <w:sz w:val="18"/>
          <w:szCs w:val="18"/>
          <w:color w:val="auto"/>
        </w:rPr>
      </w:pPr>
    </w:p>
    <w:p>
      <w:pPr>
        <w:ind w:left="4" w:right="20" w:firstLine="436"/>
        <w:spacing w:after="0" w:line="277" w:lineRule="auto"/>
        <w:tabs>
          <w:tab w:leader="none" w:pos="69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provide for the assumption by a successor corporation, partnership, trust or limited liability company of our obligations under the Indenture, in each case in compliance with the provisions thereof; or</w:t>
      </w:r>
    </w:p>
    <w:p>
      <w:pPr>
        <w:spacing w:after="0" w:line="170" w:lineRule="exact"/>
        <w:rPr>
          <w:rFonts w:ascii="Arial" w:cs="Arial" w:eastAsia="Arial" w:hAnsi="Arial"/>
          <w:sz w:val="18"/>
          <w:szCs w:val="18"/>
          <w:color w:val="auto"/>
        </w:rPr>
      </w:pPr>
    </w:p>
    <w:p>
      <w:pPr>
        <w:ind w:left="4" w:right="140" w:firstLine="436"/>
        <w:spacing w:after="0" w:line="311" w:lineRule="auto"/>
        <w:tabs>
          <w:tab w:leader="none" w:pos="699"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make any change that would provide any additional rights or benefits to the Holders of the debt securities (including to secure the debt securities, add guarantees with respect thereto, to add to our covenants for the benefit of the Holders or to surrender any right or power conferred upon us) or that does not adversely affect the legal rights under the Indenture of any Holder of the debt securities in any material respect.</w:t>
      </w:r>
    </w:p>
    <w:p>
      <w:pPr>
        <w:spacing w:after="0" w:line="149"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In formulating its opinion on such matters, the Trustee will be entitled to rely on such evidence as it deems appropriate, including, without limitation, solely on an opinion of counsel. Other modifications and amendments of the Indenture may be made with the consent of the Holders of either</w:t>
      </w:r>
    </w:p>
    <w:p>
      <w:pPr>
        <w:jc w:val="both"/>
        <w:ind w:left="4" w:right="180" w:hanging="4"/>
        <w:spacing w:after="0" w:line="255" w:lineRule="auto"/>
        <w:tabs>
          <w:tab w:leader="none" w:pos="219"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majority in principal amount of all then outstanding debt securities of that series or (ii) a majority in principal amount of all then outstanding debt securities affected by such modification or amendment (including additional debt securities of each series affected, if any), voting together as a single class, except that, without the consent of each Holder affected thereby, no amendment may:</w:t>
      </w:r>
    </w:p>
    <w:p>
      <w:pPr>
        <w:spacing w:after="0" w:line="81" w:lineRule="exact"/>
        <w:rPr>
          <w:rFonts w:ascii="Arial" w:cs="Arial" w:eastAsia="Arial" w:hAnsi="Arial"/>
          <w:sz w:val="18"/>
          <w:szCs w:val="18"/>
          <w:color w:val="auto"/>
        </w:rPr>
      </w:pPr>
    </w:p>
    <w:p>
      <w:pPr>
        <w:ind w:left="704" w:hanging="264"/>
        <w:spacing w:after="0"/>
        <w:tabs>
          <w:tab w:leader="none" w:pos="704" w:val="left"/>
        </w:tabs>
        <w:numPr>
          <w:ilvl w:val="1"/>
          <w:numId w:val="21"/>
        </w:numPr>
        <w:rPr>
          <w:rFonts w:ascii="Arial" w:cs="Arial" w:eastAsia="Arial" w:hAnsi="Arial"/>
          <w:sz w:val="18"/>
          <w:szCs w:val="18"/>
          <w:color w:val="auto"/>
        </w:rPr>
      </w:pPr>
      <w:r>
        <w:rPr>
          <w:rFonts w:ascii="Arial" w:cs="Arial" w:eastAsia="Arial" w:hAnsi="Arial"/>
          <w:sz w:val="18"/>
          <w:szCs w:val="18"/>
          <w:color w:val="auto"/>
        </w:rPr>
        <w:t>reduce the principal amount of debt securities at maturity whose Holders must consent to an amendment;</w:t>
      </w:r>
    </w:p>
    <w:p>
      <w:pPr>
        <w:spacing w:after="0" w:line="225" w:lineRule="exact"/>
        <w:rPr>
          <w:rFonts w:ascii="Arial" w:cs="Arial" w:eastAsia="Arial" w:hAnsi="Arial"/>
          <w:sz w:val="18"/>
          <w:szCs w:val="18"/>
          <w:color w:val="auto"/>
        </w:rPr>
      </w:pPr>
    </w:p>
    <w:p>
      <w:pPr>
        <w:ind w:left="704" w:hanging="264"/>
        <w:spacing w:after="0"/>
        <w:tabs>
          <w:tab w:leader="none" w:pos="704" w:val="left"/>
        </w:tabs>
        <w:numPr>
          <w:ilvl w:val="1"/>
          <w:numId w:val="21"/>
        </w:numPr>
        <w:rPr>
          <w:rFonts w:ascii="Arial" w:cs="Arial" w:eastAsia="Arial" w:hAnsi="Arial"/>
          <w:sz w:val="16"/>
          <w:szCs w:val="16"/>
          <w:color w:val="auto"/>
        </w:rPr>
      </w:pPr>
      <w:r>
        <w:rPr>
          <w:rFonts w:ascii="Arial" w:cs="Arial" w:eastAsia="Arial" w:hAnsi="Arial"/>
          <w:sz w:val="16"/>
          <w:szCs w:val="16"/>
          <w:color w:val="auto"/>
        </w:rPr>
        <w:t>reduce the rate of, change or have the effect of changing the time for payment of interest, including defaulted interest, on any debt securities;</w:t>
      </w:r>
    </w:p>
    <w:p>
      <w:pPr>
        <w:spacing w:after="0" w:line="248" w:lineRule="exact"/>
        <w:rPr>
          <w:rFonts w:ascii="Arial" w:cs="Arial" w:eastAsia="Arial" w:hAnsi="Arial"/>
          <w:sz w:val="16"/>
          <w:szCs w:val="16"/>
          <w:color w:val="auto"/>
        </w:rPr>
      </w:pPr>
    </w:p>
    <w:p>
      <w:pPr>
        <w:ind w:left="4" w:right="180" w:firstLine="436"/>
        <w:spacing w:after="0" w:line="277" w:lineRule="auto"/>
        <w:tabs>
          <w:tab w:leader="none" w:pos="699" w:val="left"/>
        </w:tabs>
        <w:numPr>
          <w:ilvl w:val="1"/>
          <w:numId w:val="21"/>
        </w:numPr>
        <w:rPr>
          <w:rFonts w:ascii="Arial" w:cs="Arial" w:eastAsia="Arial" w:hAnsi="Arial"/>
          <w:sz w:val="18"/>
          <w:szCs w:val="18"/>
          <w:color w:val="auto"/>
        </w:rPr>
      </w:pPr>
      <w:r>
        <w:rPr>
          <w:rFonts w:ascii="Arial" w:cs="Arial" w:eastAsia="Arial" w:hAnsi="Arial"/>
          <w:sz w:val="18"/>
          <w:szCs w:val="18"/>
          <w:color w:val="auto"/>
        </w:rPr>
        <w:t>reduce the principal of, change or have the effect of changing the fixed maturity of any debt securities, or change the date on which any debt securities may be subject to redemption or repurchase or reduce the redemption price or repurchase price therefor;</w:t>
      </w:r>
    </w:p>
    <w:p>
      <w:pPr>
        <w:spacing w:after="0" w:line="170" w:lineRule="exact"/>
        <w:rPr>
          <w:rFonts w:ascii="Arial" w:cs="Arial" w:eastAsia="Arial" w:hAnsi="Arial"/>
          <w:sz w:val="18"/>
          <w:szCs w:val="18"/>
          <w:color w:val="auto"/>
        </w:rPr>
      </w:pPr>
    </w:p>
    <w:p>
      <w:pPr>
        <w:ind w:left="4" w:right="140" w:firstLine="436"/>
        <w:spacing w:after="0" w:line="277" w:lineRule="auto"/>
        <w:tabs>
          <w:tab w:leader="none" w:pos="699" w:val="left"/>
        </w:tabs>
        <w:numPr>
          <w:ilvl w:val="1"/>
          <w:numId w:val="21"/>
        </w:numPr>
        <w:rPr>
          <w:rFonts w:ascii="Arial" w:cs="Arial" w:eastAsia="Arial" w:hAnsi="Arial"/>
          <w:sz w:val="18"/>
          <w:szCs w:val="18"/>
          <w:color w:val="auto"/>
        </w:rPr>
      </w:pPr>
      <w:r>
        <w:rPr>
          <w:rFonts w:ascii="Arial" w:cs="Arial" w:eastAsia="Arial" w:hAnsi="Arial"/>
          <w:sz w:val="18"/>
          <w:szCs w:val="18"/>
          <w:color w:val="auto"/>
        </w:rPr>
        <w:t>make any debt securities payable in currency other than that stated in the debt securities or change the place of payment of the debt securities from that stated in the debt securities or in the Indenture;</w:t>
      </w:r>
    </w:p>
    <w:p>
      <w:pPr>
        <w:spacing w:after="0" w:line="170" w:lineRule="exact"/>
        <w:rPr>
          <w:rFonts w:ascii="Arial" w:cs="Arial" w:eastAsia="Arial" w:hAnsi="Arial"/>
          <w:sz w:val="18"/>
          <w:szCs w:val="18"/>
          <w:color w:val="auto"/>
        </w:rPr>
      </w:pPr>
    </w:p>
    <w:p>
      <w:pPr>
        <w:jc w:val="both"/>
        <w:ind w:left="4" w:firstLine="436"/>
        <w:spacing w:after="0" w:line="311" w:lineRule="auto"/>
        <w:tabs>
          <w:tab w:leader="none" w:pos="699" w:val="left"/>
        </w:tabs>
        <w:numPr>
          <w:ilvl w:val="1"/>
          <w:numId w:val="21"/>
        </w:numPr>
        <w:rPr>
          <w:rFonts w:ascii="Arial" w:cs="Arial" w:eastAsia="Arial" w:hAnsi="Arial"/>
          <w:sz w:val="16"/>
          <w:szCs w:val="16"/>
          <w:color w:val="auto"/>
        </w:rPr>
      </w:pPr>
      <w:r>
        <w:rPr>
          <w:rFonts w:ascii="Arial" w:cs="Arial" w:eastAsia="Arial" w:hAnsi="Arial"/>
          <w:sz w:val="16"/>
          <w:szCs w:val="16"/>
          <w:color w:val="auto"/>
        </w:rPr>
        <w:t>make any change in provisions of the Indenture protecting the right of each Holder to receive payment of principal of and interest on such debt securities on or after the due date thereof or to bring suit to enforce such payment, or permitting Holders of a majority in principal amount of each series of debt securities affected (including additional debt securities of each such series, if any) to waive Defaults or Events of Default;</w:t>
      </w:r>
    </w:p>
    <w:p>
      <w:pPr>
        <w:spacing w:after="0" w:line="8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4"/>
          </w:cols>
          <w:pgMar w:left="436" w:top="270" w:right="479" w:bottom="1440" w:gutter="0" w:footer="0" w:header="0"/>
        </w:sectPr>
      </w:pPr>
    </w:p>
    <w:bookmarkStart w:id="21" w:name="page22"/>
    <w:bookmarkEnd w:id="21"/>
    <w:p>
      <w:pPr>
        <w:ind w:left="700" w:hanging="264"/>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 any change in these amendment and waiver provisions; or</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any change to or modify the ranking of the debt securities that would adversely affect the Holders.</w:t>
      </w:r>
    </w:p>
    <w:p>
      <w:pPr>
        <w:spacing w:after="0" w:line="225"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 xml:space="preserve">Except for certain specified provisions, the Holders of at least a majority in principal amount of all then outstanding debt securities of any series (voting together as a single class) may on behalf of the Holders of all debt securities of that series waive our compliance with provisions of the indenture. The Holders of a majority in aggregate principal amount of any then outstanding debt securities of any series (voting together as a single class) may on behalf of the Holders of all the debt securities of such series waive any existing default under the indenture with respect to that series and its consequences, except a continuing default or default in the payment of the principal of, or premium or any interest on, any debt security of that series or in respect of a covenant or provision, which cannot be modified or amended without the consent of all of the holders of each outstanding debt security of the series affected;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Holders of a majority in aggregate principal amount of any then outstanding debt securities of any series may rescind an acceleration and its consequences, including any related payment default that resulted from the acceleration.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121"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The Indenture provides that, except during the continuance of an Event of Default, the Trustee will perform only such duties as are specifically set forth in the Indenture. During the existence of an Event of Default, the Trustee will exercise such rights and powers vested in it by the Indenture, and use the same degree of care and skill in its exercise as a prudent person would exercise or use under the circumstances in the conduct of its own affairs.</w:t>
      </w:r>
    </w:p>
    <w:p>
      <w:pPr>
        <w:spacing w:after="0" w:line="14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Indenture and the provisions of the TIA contain certain limitations on the rights of the Trustee, should it become a creditor of us, to obtain payments of claims in certain cases or to realize on certain property received in respect of any such claim as security or otherwise. Subject to the TIA, the Trustee will be permitted to engage in other transactions; provided that if the Trustee acquires any conflicting interest as described in the TIA, it must eliminate such conflict or resign.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Set forth below is a summary of certain of the defined terms used in the Indenture. Reference is made to the Indenture for the definition of all terms used herein for which no definition is provided.</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 event or condition the occurrence of which is, or with the lapse of time or the giving of notice or both would be, an Event of Default.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person, without duplication:</w:t>
      </w:r>
    </w:p>
    <w:p>
      <w:pPr>
        <w:spacing w:after="0" w:line="117" w:lineRule="exact"/>
        <w:rPr>
          <w:sz w:val="20"/>
          <w:szCs w:val="20"/>
          <w:color w:val="auto"/>
        </w:rPr>
      </w:pPr>
    </w:p>
    <w:p>
      <w:pPr>
        <w:ind w:left="700" w:hanging="264"/>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obligations of such person for borrowed money; and</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the date of original issuance of a series of debt securities but not any additional debt securities.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any lien, mortgage, deed of trust, hypothecation, pledge, security interest, charge or encumbrance of any kind.</w:t>
      </w:r>
    </w:p>
    <w:p>
      <w:pPr>
        <w:spacing w:after="0" w:line="225" w:lineRule="exact"/>
        <w:rPr>
          <w:sz w:val="20"/>
          <w:szCs w:val="20"/>
          <w:color w:val="auto"/>
        </w:rPr>
      </w:pPr>
    </w:p>
    <w:p>
      <w:pPr>
        <w:ind w:right="3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Sale and Lease-Back Transaction</w:t>
      </w:r>
      <w:r>
        <w:rPr>
          <w:rFonts w:ascii="Arial" w:cs="Arial" w:eastAsia="Arial" w:hAnsi="Arial"/>
          <w:sz w:val="17"/>
          <w:szCs w:val="17"/>
          <w:color w:val="auto"/>
        </w:rPr>
        <w:t>” means any arrangement with any person providing for the leasing by us of any Principal Property, whether now owned or hereafter acquired, which Principal Property has been or is to be sold or transferred by us to such person.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22" w:name="page23"/>
    <w:bookmarkEnd w:id="22"/>
    <w:p>
      <w:pPr>
        <w:ind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with respect to any person, means, any Subsidiary of such person that satisfies the criteria for a “significant subsidiary” as set forth in Rule 1-02(w) of Regulation S-X under the Exchange Act.</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any corporation, limited liability company, limited partnership or other similar type of business entity in which we and/or one or more of our Subsidiaries together own more than 50% of the total voting power of shares of Capital Stock entitled (without regard to the occurrence of any contingency) to vote in the election of the board of directors or similar governing body of such corporation, limited liability company, limited partnership or other similar type of business entity, directly or indirectly.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Unclaimed Funds</w:t>
      </w:r>
    </w:p>
    <w:p>
      <w:pPr>
        <w:spacing w:after="0" w:line="121" w:lineRule="exact"/>
        <w:rPr>
          <w:sz w:val="20"/>
          <w:szCs w:val="20"/>
          <w:color w:val="auto"/>
        </w:rPr>
      </w:pPr>
    </w:p>
    <w:p>
      <w:pPr>
        <w:jc w:val="both"/>
        <w:ind w:right="120" w:firstLine="440"/>
        <w:spacing w:after="0" w:line="311" w:lineRule="auto"/>
        <w:rPr>
          <w:sz w:val="20"/>
          <w:szCs w:val="20"/>
          <w:color w:val="auto"/>
        </w:rPr>
      </w:pPr>
      <w:r>
        <w:rPr>
          <w:rFonts w:ascii="Arial" w:cs="Arial" w:eastAsia="Arial" w:hAnsi="Arial"/>
          <w:sz w:val="16"/>
          <w:szCs w:val="16"/>
          <w:color w:val="auto"/>
        </w:rPr>
        <w:t>All funds deposited with the Trustee or any paying agent for the payment of principal, interest, premium or additional amounts in respect of the debt securities that remain unclaimed for two years after the maturity date of such debt securities will be repaid to us upon our request. Thereafter, any right of any noteholder to such funds shall be enforceable only against us, and the Trustee and paying agents will have no liability therefor.</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Indenture and the debt securities for all purposes shall be governed by and construed in accordance with the laws of the State of New York.</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maintain ordinary banking relationships and credit facilities with affiliates of Wells Fargo Bank, National Association.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440" w:top="274" w:right="51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DESCRIPTION OF WARRANTS</w:t>
      </w:r>
    </w:p>
    <w:p>
      <w:pPr>
        <w:spacing w:after="0" w:line="229"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373"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may issue purchase contracts for the purchase or sale of:</w:t>
      </w:r>
    </w:p>
    <w:p>
      <w:pPr>
        <w:spacing w:after="0" w:line="131" w:lineRule="exact"/>
        <w:rPr>
          <w:sz w:val="20"/>
          <w:szCs w:val="20"/>
          <w:color w:val="auto"/>
        </w:rPr>
      </w:pPr>
    </w:p>
    <w:p>
      <w:pPr>
        <w:ind w:left="960" w:right="120" w:hanging="424"/>
        <w:spacing w:after="0" w:line="277"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debt or equity securities issued by us or securities of third parties, a basket of such securities, an index or indices or such securities or any combination of the above as specified in the applicable prospectus supplement;</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currencies; 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commodities.</w:t>
      </w:r>
    </w:p>
    <w:p>
      <w:pPr>
        <w:spacing w:after="0" w:line="225"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Each purchase contract will entitle the holder thereof to purchase or sell, and obligate us to sell or purchase, on specified dates, such securities, currencies or commodities at a specified purchase price, which may be based on a formula, all as set forth in the applicable prospectus supplement. We may, however, satisfy our obligations, if any, with respect to any purchase contract by delivering the cash value of such purchase contract or the cash value of the property otherwise deliverable or, in the case of purchase contracts on underlying currencies, by delivering the underlying currencies, as set forth in the applicable prospectus supplement. The applicable prospectus supplement will also specify the methods by which the holders may purchase or sell such securities, currencies or commodities and any acceleration, cancellation or termination provisions or other provisions relating to the settlement of a purchase contract.</w:t>
      </w:r>
    </w:p>
    <w:p>
      <w:pPr>
        <w:spacing w:after="0" w:line="17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shares of preferred stock, shares of common stock, purchase contracts or any combination of such securities.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0" w:right="47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FORMS OF SECURITIES</w:t>
      </w:r>
    </w:p>
    <w:p>
      <w:pPr>
        <w:spacing w:after="0" w:line="229"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right="160" w:firstLine="440"/>
        <w:spacing w:after="0" w:line="273" w:lineRule="auto"/>
        <w:rPr>
          <w:sz w:val="20"/>
          <w:szCs w:val="20"/>
          <w:color w:val="auto"/>
        </w:rPr>
      </w:pPr>
      <w:r>
        <w:rPr>
          <w:rFonts w:ascii="Arial" w:cs="Arial" w:eastAsia="Arial" w:hAnsi="Arial"/>
          <w:sz w:val="17"/>
          <w:szCs w:val="17"/>
          <w:color w:val="auto"/>
        </w:rPr>
        <w:t>We may issue the registered debt securities, warrants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78"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84" w:lineRule="exact"/>
        <w:rPr>
          <w:sz w:val="20"/>
          <w:szCs w:val="20"/>
          <w:color w:val="auto"/>
        </w:rPr>
      </w:pPr>
    </w:p>
    <w:p>
      <w:pPr>
        <w:ind w:right="100" w:firstLine="440"/>
        <w:spacing w:after="0" w:line="290"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65"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0" w:right="459" w:bottom="1440" w:gutter="0" w:footer="0" w:header="0"/>
        </w:sectPr>
      </w:pPr>
    </w:p>
    <w:bookmarkStart w:id="25" w:name="page26"/>
    <w:bookmarkEnd w:id="25"/>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8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Roper, the trustee, any warrant agent, unit agent or any other agent of Roper,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92"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78"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 In addition, we may at any time determine that the Securities of any series shall no longer be represented by a Global Security and will issue securities in definitive form in exchange for such Global Security pursuant to the procedure described above.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6" w:name="page27"/>
    <w:bookmarkEnd w:id="26"/>
    <w:p>
      <w:pPr>
        <w:jc w:val="center"/>
        <w:ind w:right="-5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PLAN OF DISTRIBUTION</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We or selling security holders may sell the securities being offered hereby in the following manner or any manner specified in a prospectus supplement:</w:t>
      </w:r>
    </w:p>
    <w:p>
      <w:pPr>
        <w:spacing w:after="0" w:line="76" w:lineRule="exact"/>
        <w:rPr>
          <w:sz w:val="20"/>
          <w:szCs w:val="20"/>
          <w:color w:val="auto"/>
        </w:rPr>
      </w:pPr>
    </w:p>
    <w:p>
      <w:pPr>
        <w:ind w:left="960" w:hanging="424"/>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through underwriters;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through any combination of the above; 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through any other method described in the applicable prospectus supplement.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distribution of the securities being offered hereby may be effected, from time to time, in one or more transactions, including:</w:t>
      </w:r>
    </w:p>
    <w:p>
      <w:pPr>
        <w:spacing w:after="0" w:line="142" w:lineRule="exact"/>
        <w:rPr>
          <w:sz w:val="20"/>
          <w:szCs w:val="20"/>
          <w:color w:val="auto"/>
        </w:rPr>
      </w:pPr>
    </w:p>
    <w:p>
      <w:pPr>
        <w:ind w:left="960" w:hanging="424"/>
        <w:spacing w:after="0"/>
        <w:tabs>
          <w:tab w:leader="none" w:pos="9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block transactions (which may involve crosses) and transactions on any organized market where our common stock may be traded;</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purchases by a dealer as principal and resale by the dealer for its own account pursuant to a prospectus supplement;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a dealer solicits purchasers;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“at the market” to or through a market maker or into an existing trading market, on an exchange or otherwise;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sales in other ways not involving market makers or established trading markers, including direct sales to purchasers; and</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any other manner described in the applicable prospectus supplement.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may distribute the securities being offered hereby from time to time in one or more transactions at:</w:t>
      </w:r>
    </w:p>
    <w:p>
      <w:pPr>
        <w:spacing w:after="0" w:line="131" w:lineRule="exact"/>
        <w:rPr>
          <w:sz w:val="20"/>
          <w:szCs w:val="20"/>
          <w:color w:val="auto"/>
        </w:rPr>
      </w:pPr>
    </w:p>
    <w:p>
      <w:pPr>
        <w:ind w:left="960" w:hanging="424"/>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fixed price or prices, which may be changed from time to time;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prices related to the prevailing market prices;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negotiated prices; 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prices determined according to the process described in the applicable prospectus supplement.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prospectus supplement with respect to any offering of securities will set forth the terms of the offering, including:</w:t>
      </w:r>
    </w:p>
    <w:p>
      <w:pPr>
        <w:spacing w:after="0" w:line="131" w:lineRule="exact"/>
        <w:rPr>
          <w:sz w:val="20"/>
          <w:szCs w:val="20"/>
          <w:color w:val="auto"/>
        </w:rPr>
      </w:pPr>
    </w:p>
    <w:p>
      <w:pPr>
        <w:ind w:left="960" w:hanging="424"/>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to us from the sale;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underwriting discounts and commissions or agency fees and other items constituting underwriters’ or agents’ compensation;</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initial public offering price and any discounts or concessions allowed or reallowed or paid to dealers;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440"/>
          </w:cols>
          <w:pgMar w:left="440" w:top="270" w:right="1019" w:bottom="1440" w:gutter="0" w:footer="0" w:header="0"/>
        </w:sectPr>
      </w:pPr>
    </w:p>
    <w:bookmarkStart w:id="27" w:name="page28"/>
    <w:bookmarkEnd w:id="27"/>
    <w:p>
      <w:pPr>
        <w:jc w:val="both"/>
        <w:ind w:right="16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57"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76" w:lineRule="exact"/>
        <w:rPr>
          <w:sz w:val="20"/>
          <w:szCs w:val="20"/>
          <w:color w:val="auto"/>
        </w:rPr>
      </w:pPr>
    </w:p>
    <w:p>
      <w:pPr>
        <w:jc w:val="both"/>
        <w:ind w:right="240" w:firstLine="440"/>
        <w:spacing w:after="0" w:line="311" w:lineRule="auto"/>
        <w:rPr>
          <w:sz w:val="20"/>
          <w:szCs w:val="20"/>
          <w:color w:val="auto"/>
        </w:rPr>
      </w:pPr>
      <w:r>
        <w:rPr>
          <w:rFonts w:ascii="Arial" w:cs="Arial" w:eastAsia="Arial" w:hAnsi="Arial"/>
          <w:sz w:val="16"/>
          <w:szCs w:val="16"/>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49" w:lineRule="exact"/>
        <w:rPr>
          <w:sz w:val="20"/>
          <w:szCs w:val="20"/>
          <w:color w:val="auto"/>
        </w:rPr>
      </w:pPr>
    </w:p>
    <w:p>
      <w:pPr>
        <w:ind w:right="540" w:firstLine="440"/>
        <w:spacing w:after="0" w:line="34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2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84"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LEGAL MATTERS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validity of the securities in respect of which this prospectus is being delivered will be passed on for us by Jones Day, Atlanta, Georgia.</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2020 have been so incorporated in reliance on the report (which contains an explanatory paragraph on the effectiveness of internal control over financial reporting due to the exclusion of the six acquisitions completed in 2020 because they were acquired by the Company in purchase business combinations during 2020) of PricewaterhouseCoopers LLP, an independent registered public accounting firm, given on the authority of said firm as experts in auditing and accounting.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0" w:right="459" w:bottom="1440" w:gutter="0" w:footer="0" w:header="0"/>
        </w:sectPr>
      </w:pPr>
    </w:p>
    <w:bookmarkStart w:id="29" w:name="page30"/>
    <w:bookmarkEnd w:id="29"/>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II</w:t>
      </w:r>
    </w:p>
    <w:p>
      <w:pPr>
        <w:spacing w:after="0" w:line="225" w:lineRule="exact"/>
        <w:rPr>
          <w:sz w:val="20"/>
          <w:szCs w:val="20"/>
          <w:color w:val="auto"/>
        </w:rPr>
      </w:pPr>
    </w:p>
    <w:p>
      <w:pPr>
        <w:ind w:left="3384"/>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Other Expenses of Issuance and Distribution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following table sets forth the costs and expenses payable by us in connection with the sale of the securities being registered hereby.</w:t>
      </w:r>
    </w:p>
    <w:p>
      <w:pPr>
        <w:spacing w:after="0" w:line="243"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4"/>
                <w:szCs w:val="14"/>
                <w:b w:val="1"/>
                <w:bCs w:val="1"/>
                <w:color w:val="auto"/>
                <w:w w:val="93"/>
              </w:rPr>
              <w:t>Amount to be</w:t>
            </w:r>
          </w:p>
        </w:tc>
        <w:tc>
          <w:tcPr>
            <w:tcW w:w="220" w:type="dxa"/>
            <w:vAlign w:val="bottom"/>
          </w:tcPr>
          <w:p>
            <w:pPr>
              <w:spacing w:after="0"/>
              <w:rPr>
                <w:sz w:val="14"/>
                <w:szCs w:val="14"/>
                <w:color w:val="auto"/>
              </w:rPr>
            </w:pPr>
          </w:p>
        </w:tc>
      </w:tr>
      <w:tr>
        <w:trPr>
          <w:trHeight w:val="171"/>
        </w:trPr>
        <w:tc>
          <w:tcPr>
            <w:tcW w:w="6380" w:type="dxa"/>
            <w:vAlign w:val="bottom"/>
          </w:tcPr>
          <w:p>
            <w:pPr>
              <w:spacing w:after="0"/>
              <w:rPr>
                <w:sz w:val="14"/>
                <w:szCs w:val="14"/>
                <w:color w:val="auto"/>
              </w:rPr>
            </w:pPr>
          </w:p>
        </w:tc>
        <w:tc>
          <w:tcPr>
            <w:tcW w:w="880" w:type="dxa"/>
            <w:vAlign w:val="bottom"/>
          </w:tcPr>
          <w:p>
            <w:pPr>
              <w:ind w:left="300"/>
              <w:spacing w:after="0"/>
              <w:rPr>
                <w:sz w:val="20"/>
                <w:szCs w:val="20"/>
                <w:color w:val="auto"/>
              </w:rPr>
            </w:pPr>
            <w:r>
              <w:rPr>
                <w:rFonts w:ascii="Arial" w:cs="Arial" w:eastAsia="Arial" w:hAnsi="Arial"/>
                <w:sz w:val="14"/>
                <w:szCs w:val="14"/>
                <w:b w:val="1"/>
                <w:bCs w:val="1"/>
                <w:color w:val="auto"/>
              </w:rPr>
              <w:t>Paid</w:t>
            </w:r>
          </w:p>
        </w:tc>
        <w:tc>
          <w:tcPr>
            <w:tcW w:w="220" w:type="dxa"/>
            <w:vAlign w:val="bottom"/>
          </w:tcPr>
          <w:p>
            <w:pPr>
              <w:spacing w:after="0"/>
              <w:rPr>
                <w:sz w:val="14"/>
                <w:szCs w:val="14"/>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Registration fee</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Printing</w:t>
            </w:r>
          </w:p>
        </w:tc>
        <w:tc>
          <w:tcPr>
            <w:tcW w:w="8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 (including Blue Sky fees)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Trustee fees</w:t>
            </w:r>
          </w:p>
        </w:tc>
        <w:tc>
          <w:tcPr>
            <w:tcW w:w="8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Rating agency fees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8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88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23"/>
        </w:trPr>
        <w:tc>
          <w:tcPr>
            <w:tcW w:w="6380" w:type="dxa"/>
            <w:vAlign w:val="bottom"/>
          </w:tcPr>
          <w:p>
            <w:pPr>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r>
      <w:tr>
        <w:trPr>
          <w:trHeight w:val="20"/>
        </w:trPr>
        <w:tc>
          <w:tcPr>
            <w:tcW w:w="6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 w:right="4940" w:hanging="4"/>
        <w:spacing w:after="0" w:line="308" w:lineRule="auto"/>
        <w:tabs>
          <w:tab w:leader="none" w:pos="4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Deferred in accordance with Rule 456(b) and 457(r) under the Securities Act. ** These fees and expenses cannot be estimated at this time.</w:t>
      </w:r>
    </w:p>
    <w:p>
      <w:pPr>
        <w:spacing w:after="0" w:line="25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Indemnification of Directors and Officers</w:t>
      </w:r>
    </w:p>
    <w:p>
      <w:pPr>
        <w:spacing w:after="0" w:line="121" w:lineRule="exact"/>
        <w:rPr>
          <w:sz w:val="20"/>
          <w:szCs w:val="20"/>
          <w:color w:val="auto"/>
        </w:rPr>
      </w:pPr>
    </w:p>
    <w:p>
      <w:pPr>
        <w:ind w:left="4" w:right="220" w:firstLine="440"/>
        <w:spacing w:after="0" w:line="293" w:lineRule="auto"/>
        <w:rPr>
          <w:sz w:val="20"/>
          <w:szCs w:val="20"/>
          <w:color w:val="auto"/>
        </w:rPr>
      </w:pPr>
      <w:r>
        <w:rPr>
          <w:rFonts w:ascii="Arial" w:cs="Arial" w:eastAsia="Arial" w:hAnsi="Arial"/>
          <w:sz w:val="16"/>
          <w:szCs w:val="16"/>
          <w:color w:val="auto"/>
        </w:rPr>
        <w:t>As permitted by Section 102(b)(7) of the Delaware General Corporation Law, our restated certificate of incorporation includes a provision that eliminates the personal liability of each of our directors for monetary damages for breach of such director’s fiduciary duty as a director, except for liability: (a) for any breach of the director’s duty of loyalty to us or our stockholders; (b) for acts of omissions not in good faith or which involve intentional misconduct or a knowing violation of the law; (c) under Section 174 of the Delaware General Corporation Law; or (d) for any transaction from which the director derived an improper personal benefit. The directors’ liability will be further limited to the extent permitted by any future amendments to the Delaware General Corporation Law authorizing the further limitation or elimination of the liability of directors.</w:t>
      </w:r>
    </w:p>
    <w:p>
      <w:pPr>
        <w:spacing w:after="0" w:line="164"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provide that: (i) we are required to indemnify our directors and officers to the fullest extent permitted by Delaware law, including those circumstances in which indemnification would otherwise be discretionary; (ii) we are required to advance expenses, as incurred, to such directors and officers in connection with defending a proceeding (except that it is not required to advance expenses to a person against whom we bring a claim for breach of the duty of loyalty, failure to act in good faith, intentional misconduct, knowing violation of the law or deriving an improper personal benefit); and (iii) the rights conferred in our amended and restated by-laws are not exclusive and we are authorized to enter into indemnification agreements with such directors, officers and employees.</w:t>
      </w:r>
    </w:p>
    <w:p>
      <w:pPr>
        <w:spacing w:after="0" w:line="195" w:lineRule="exact"/>
        <w:rPr>
          <w:sz w:val="20"/>
          <w:szCs w:val="20"/>
          <w:color w:val="auto"/>
        </w:rPr>
      </w:pPr>
    </w:p>
    <w:p>
      <w:pPr>
        <w:ind w:left="4" w:right="320" w:firstLine="440"/>
        <w:spacing w:after="0" w:line="277" w:lineRule="auto"/>
        <w:rPr>
          <w:sz w:val="20"/>
          <w:szCs w:val="20"/>
          <w:color w:val="auto"/>
        </w:rPr>
      </w:pPr>
      <w:r>
        <w:rPr>
          <w:rFonts w:ascii="Arial" w:cs="Arial" w:eastAsia="Arial" w:hAnsi="Arial"/>
          <w:sz w:val="18"/>
          <w:szCs w:val="18"/>
          <w:color w:val="auto"/>
        </w:rPr>
        <w:t>We have entered into indemnification agreements with our directors and a number of our officers containing provisions which provide for the indemnification of such director or officer, as applicable, to the fullest extent permitted by Delaware law.</w:t>
      </w:r>
    </w:p>
    <w:p>
      <w:pPr>
        <w:spacing w:after="0" w:line="170" w:lineRule="exact"/>
        <w:rPr>
          <w:sz w:val="20"/>
          <w:szCs w:val="20"/>
          <w:color w:val="auto"/>
        </w:rPr>
      </w:pPr>
    </w:p>
    <w:p>
      <w:pPr>
        <w:ind w:left="4" w:right="340" w:firstLine="440"/>
        <w:spacing w:after="0" w:line="342" w:lineRule="auto"/>
        <w:rPr>
          <w:sz w:val="20"/>
          <w:szCs w:val="20"/>
          <w:color w:val="auto"/>
        </w:rPr>
      </w:pPr>
      <w:r>
        <w:rPr>
          <w:rFonts w:ascii="Arial" w:cs="Arial" w:eastAsia="Arial" w:hAnsi="Arial"/>
          <w:sz w:val="16"/>
          <w:szCs w:val="16"/>
          <w:color w:val="auto"/>
        </w:rPr>
        <w:t>The indemnification provisions in our amended and restated by-laws, and any indemnification agreements entered into between us and our directors or officers, may be sufficiently broad to permit indemnification of our directors and officers for liabilities arising under the Securities Act.</w:t>
      </w:r>
    </w:p>
    <w:p>
      <w:pPr>
        <w:spacing w:after="0" w:line="124"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The proposed Form of Underwriting Agreement (Debt Securities) filed as Exhibit 1.1 to this Registration Statement provides for indemnification of our directors and officers by the underwriters against certain liabilities.</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0944"/>
          </w:cols>
          <w:pgMar w:left="436" w:top="270" w:right="519" w:bottom="1440" w:gutter="0" w:footer="0" w:header="0"/>
        </w:sectPr>
      </w:pPr>
    </w:p>
    <w:bookmarkStart w:id="30" w:name="page31"/>
    <w:bookmarkEnd w:id="3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16. Exhibits and Financial Statement Schedules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 The following exhibits are filed as part of this Registration Statement:</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2"/>
              </w:rPr>
              <w:t>Exhibit No.</w:t>
            </w:r>
          </w:p>
        </w:tc>
        <w:tc>
          <w:tcPr>
            <w:tcW w:w="8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40" w:type="dxa"/>
            <w:vAlign w:val="bottom"/>
            <w:gridSpan w:val="6"/>
          </w:tcPr>
          <w:p>
            <w:pPr>
              <w:ind w:left="1020"/>
              <w:spacing w:after="0"/>
              <w:rPr>
                <w:sz w:val="20"/>
                <w:szCs w:val="20"/>
                <w:color w:val="auto"/>
              </w:rPr>
            </w:pPr>
            <w:r>
              <w:rPr>
                <w:rFonts w:ascii="Arial" w:cs="Arial" w:eastAsia="Arial" w:hAnsi="Arial"/>
                <w:sz w:val="14"/>
                <w:szCs w:val="14"/>
                <w:b w:val="1"/>
                <w:bCs w:val="1"/>
                <w:color w:val="auto"/>
              </w:rPr>
              <w:t>Document</w:t>
            </w:r>
          </w:p>
        </w:tc>
      </w:tr>
      <w:tr>
        <w:trPr>
          <w:trHeight w:val="318"/>
        </w:trPr>
        <w:tc>
          <w:tcPr>
            <w:tcW w:w="72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color w:val="auto"/>
              </w:rPr>
              <w:t>1.1</w:t>
            </w:r>
          </w:p>
        </w:tc>
        <w:tc>
          <w:tcPr>
            <w:tcW w:w="840" w:type="dxa"/>
            <w:vAlign w:val="bottom"/>
          </w:tcPr>
          <w:p>
            <w:pPr>
              <w:spacing w:after="0"/>
              <w:rPr>
                <w:sz w:val="24"/>
                <w:szCs w:val="24"/>
                <w:color w:val="auto"/>
              </w:rPr>
            </w:pPr>
          </w:p>
        </w:tc>
        <w:tc>
          <w:tcPr>
            <w:tcW w:w="4420" w:type="dxa"/>
            <w:vAlign w:val="bottom"/>
            <w:gridSpan w:val="5"/>
          </w:tcPr>
          <w:p>
            <w:pPr>
              <w:spacing w:after="0"/>
              <w:rPr>
                <w:sz w:val="20"/>
                <w:szCs w:val="20"/>
                <w:color w:val="auto"/>
              </w:rPr>
            </w:pPr>
            <w:r>
              <w:rPr>
                <w:rFonts w:ascii="Arial" w:cs="Arial" w:eastAsia="Arial" w:hAnsi="Arial"/>
                <w:sz w:val="18"/>
                <w:szCs w:val="18"/>
                <w:color w:val="auto"/>
              </w:rPr>
              <w:t>Form of Underwriting Agreement (Debt Securities)**</w:t>
            </w:r>
          </w:p>
        </w:tc>
        <w:tc>
          <w:tcPr>
            <w:tcW w:w="640" w:type="dxa"/>
            <w:vAlign w:val="bottom"/>
            <w:tcBorders>
              <w:top w:val="single" w:sz="8" w:color="auto"/>
            </w:tcBorders>
          </w:tcPr>
          <w:p>
            <w:pPr>
              <w:spacing w:after="0"/>
              <w:rPr>
                <w:sz w:val="24"/>
                <w:szCs w:val="24"/>
                <w:color w:val="auto"/>
              </w:rPr>
            </w:pPr>
          </w:p>
        </w:tc>
        <w:tc>
          <w:tcPr>
            <w:tcW w:w="4380" w:type="dxa"/>
            <w:vAlign w:val="bottom"/>
            <w:gridSpan w:val="4"/>
          </w:tcPr>
          <w:p>
            <w:pPr>
              <w:spacing w:after="0"/>
              <w:rPr>
                <w:sz w:val="24"/>
                <w:szCs w:val="24"/>
                <w:color w:val="auto"/>
              </w:rPr>
            </w:pP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1.2</w:t>
            </w:r>
          </w:p>
        </w:tc>
        <w:tc>
          <w:tcPr>
            <w:tcW w:w="840" w:type="dxa"/>
            <w:vAlign w:val="bottom"/>
          </w:tcPr>
          <w:p>
            <w:pPr>
              <w:spacing w:after="0"/>
              <w:rPr>
                <w:sz w:val="24"/>
                <w:szCs w:val="24"/>
                <w:color w:val="auto"/>
              </w:rPr>
            </w:pPr>
          </w:p>
        </w:tc>
        <w:tc>
          <w:tcPr>
            <w:tcW w:w="9440" w:type="dxa"/>
            <w:vAlign w:val="bottom"/>
            <w:gridSpan w:val="10"/>
          </w:tcPr>
          <w:p>
            <w:pPr>
              <w:spacing w:after="0"/>
              <w:rPr>
                <w:sz w:val="20"/>
                <w:szCs w:val="20"/>
                <w:color w:val="auto"/>
              </w:rPr>
            </w:pPr>
            <w:r>
              <w:rPr>
                <w:rFonts w:ascii="Arial" w:cs="Arial" w:eastAsia="Arial" w:hAnsi="Arial"/>
                <w:sz w:val="18"/>
                <w:szCs w:val="18"/>
                <w:color w:val="auto"/>
              </w:rPr>
              <w:t>Form of Underwriting Agreement (Preferred Stock, Common Stock, Warrants, Purchase Contracts and Units)**</w:t>
            </w:r>
          </w:p>
        </w:tc>
      </w:tr>
      <w:tr>
        <w:trPr>
          <w:trHeight w:val="283"/>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4.1</w:t>
            </w:r>
          </w:p>
        </w:tc>
        <w:tc>
          <w:tcPr>
            <w:tcW w:w="840" w:type="dxa"/>
            <w:vAlign w:val="bottom"/>
          </w:tcPr>
          <w:p>
            <w:pPr>
              <w:spacing w:after="0"/>
              <w:rPr>
                <w:sz w:val="24"/>
                <w:szCs w:val="24"/>
                <w:color w:val="auto"/>
              </w:rPr>
            </w:pPr>
          </w:p>
        </w:tc>
        <w:tc>
          <w:tcPr>
            <w:tcW w:w="9440" w:type="dxa"/>
            <w:vAlign w:val="bottom"/>
            <w:tcBorders>
              <w:bottom w:val="single" w:sz="8" w:color="0000EE"/>
            </w:tcBorders>
            <w:gridSpan w:val="10"/>
          </w:tcPr>
          <w:p>
            <w:pPr>
              <w:spacing w:after="0"/>
              <w:rPr>
                <w:rFonts w:ascii="Arial" w:cs="Arial" w:eastAsia="Arial" w:hAnsi="Arial"/>
                <w:sz w:val="18"/>
                <w:szCs w:val="18"/>
                <w:color w:val="0000EE"/>
                <w:w w:val="90"/>
              </w:rPr>
            </w:pPr>
            <w:hyperlink r:id="rId65">
              <w:r>
                <w:rPr>
                  <w:rFonts w:ascii="Arial" w:cs="Arial" w:eastAsia="Arial" w:hAnsi="Arial"/>
                  <w:sz w:val="18"/>
                  <w:szCs w:val="18"/>
                  <w:color w:val="0000EE"/>
                  <w:w w:val="90"/>
                </w:rPr>
                <w:t>Indenture, dated as of November 26, 2018 between Roper Technologies, Inc. and Wells Fargo Bank, N.A., as trustee (incorporated</w:t>
              </w:r>
            </w:hyperlink>
          </w:p>
        </w:tc>
      </w:tr>
      <w:tr>
        <w:trPr>
          <w:trHeight w:val="196"/>
        </w:trPr>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40" w:type="dxa"/>
            <w:vAlign w:val="bottom"/>
            <w:gridSpan w:val="10"/>
          </w:tcPr>
          <w:p>
            <w:pPr>
              <w:spacing w:after="0" w:line="196" w:lineRule="exact"/>
              <w:rPr>
                <w:rFonts w:ascii="Arial" w:cs="Arial" w:eastAsia="Arial" w:hAnsi="Arial"/>
                <w:sz w:val="18"/>
                <w:szCs w:val="18"/>
                <w:color w:val="0000EE"/>
                <w:w w:val="91"/>
              </w:rPr>
            </w:pPr>
            <w:hyperlink r:id="rId65">
              <w:r>
                <w:rPr>
                  <w:rFonts w:ascii="Arial" w:cs="Arial" w:eastAsia="Arial" w:hAnsi="Arial"/>
                  <w:sz w:val="18"/>
                  <w:szCs w:val="18"/>
                  <w:color w:val="0000EE"/>
                  <w:w w:val="91"/>
                </w:rPr>
                <w:t>herein by reference to Exhibit 4.1 to the Registration Statement on Form S-3ASR filed November 26, 2018 (File No. 333-228532)</w:t>
              </w:r>
            </w:hyperlink>
          </w:p>
        </w:tc>
      </w:tr>
      <w:tr>
        <w:trPr>
          <w:trHeight w:val="345"/>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4.2</w:t>
            </w:r>
          </w:p>
        </w:tc>
        <w:tc>
          <w:tcPr>
            <w:tcW w:w="840" w:type="dxa"/>
            <w:vAlign w:val="bottom"/>
          </w:tcPr>
          <w:p>
            <w:pPr>
              <w:spacing w:after="0"/>
              <w:rPr>
                <w:sz w:val="24"/>
                <w:szCs w:val="24"/>
                <w:color w:val="auto"/>
              </w:rPr>
            </w:pPr>
          </w:p>
        </w:tc>
        <w:tc>
          <w:tcPr>
            <w:tcW w:w="938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auto"/>
              </w:rPr>
              <w:t>Form of Note**</w:t>
            </w:r>
          </w:p>
        </w:tc>
        <w:tc>
          <w:tcPr>
            <w:tcW w:w="60" w:type="dxa"/>
            <w:vAlign w:val="bottom"/>
          </w:tcPr>
          <w:p>
            <w:pPr>
              <w:spacing w:after="0"/>
              <w:rPr>
                <w:sz w:val="24"/>
                <w:szCs w:val="24"/>
                <w:color w:val="auto"/>
              </w:rPr>
            </w:pP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4.3</w:t>
            </w:r>
          </w:p>
        </w:tc>
        <w:tc>
          <w:tcPr>
            <w:tcW w:w="840" w:type="dxa"/>
            <w:vAlign w:val="bottom"/>
          </w:tcPr>
          <w:p>
            <w:pPr>
              <w:spacing w:after="0"/>
              <w:rPr>
                <w:sz w:val="24"/>
                <w:szCs w:val="24"/>
                <w:color w:val="auto"/>
              </w:rPr>
            </w:pPr>
          </w:p>
        </w:tc>
        <w:tc>
          <w:tcPr>
            <w:tcW w:w="9440" w:type="dxa"/>
            <w:vAlign w:val="bottom"/>
            <w:gridSpan w:val="10"/>
          </w:tcPr>
          <w:p>
            <w:pPr>
              <w:spacing w:after="0"/>
              <w:rPr>
                <w:sz w:val="20"/>
                <w:szCs w:val="20"/>
                <w:color w:val="auto"/>
              </w:rPr>
            </w:pPr>
            <w:r>
              <w:rPr>
                <w:rFonts w:ascii="Arial" w:cs="Arial" w:eastAsia="Arial" w:hAnsi="Arial"/>
                <w:sz w:val="18"/>
                <w:szCs w:val="18"/>
                <w:color w:val="auto"/>
              </w:rPr>
              <w:t>Specimen Preferred Stock Certificate**</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4.4</w:t>
            </w:r>
          </w:p>
        </w:tc>
        <w:tc>
          <w:tcPr>
            <w:tcW w:w="840" w:type="dxa"/>
            <w:vAlign w:val="bottom"/>
          </w:tcPr>
          <w:p>
            <w:pPr>
              <w:spacing w:after="0"/>
              <w:rPr>
                <w:sz w:val="24"/>
                <w:szCs w:val="24"/>
                <w:color w:val="auto"/>
              </w:rPr>
            </w:pPr>
          </w:p>
        </w:tc>
        <w:tc>
          <w:tcPr>
            <w:tcW w:w="9440" w:type="dxa"/>
            <w:vAlign w:val="bottom"/>
            <w:gridSpan w:val="10"/>
          </w:tcPr>
          <w:p>
            <w:pPr>
              <w:spacing w:after="0"/>
              <w:rPr>
                <w:sz w:val="20"/>
                <w:szCs w:val="20"/>
                <w:color w:val="auto"/>
              </w:rPr>
            </w:pPr>
            <w:r>
              <w:rPr>
                <w:rFonts w:ascii="Arial" w:cs="Arial" w:eastAsia="Arial" w:hAnsi="Arial"/>
                <w:sz w:val="18"/>
                <w:szCs w:val="18"/>
                <w:color w:val="auto"/>
              </w:rPr>
              <w:t>Form of Warrant Agreement for Warrants sold separately**</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4.5</w:t>
            </w:r>
          </w:p>
        </w:tc>
        <w:tc>
          <w:tcPr>
            <w:tcW w:w="840" w:type="dxa"/>
            <w:vAlign w:val="bottom"/>
          </w:tcPr>
          <w:p>
            <w:pPr>
              <w:spacing w:after="0"/>
              <w:rPr>
                <w:sz w:val="24"/>
                <w:szCs w:val="24"/>
                <w:color w:val="auto"/>
              </w:rPr>
            </w:pPr>
          </w:p>
        </w:tc>
        <w:tc>
          <w:tcPr>
            <w:tcW w:w="9440" w:type="dxa"/>
            <w:vAlign w:val="bottom"/>
            <w:gridSpan w:val="10"/>
          </w:tcPr>
          <w:p>
            <w:pPr>
              <w:spacing w:after="0"/>
              <w:rPr>
                <w:sz w:val="20"/>
                <w:szCs w:val="20"/>
                <w:color w:val="auto"/>
              </w:rPr>
            </w:pPr>
            <w:r>
              <w:rPr>
                <w:rFonts w:ascii="Arial" w:cs="Arial" w:eastAsia="Arial" w:hAnsi="Arial"/>
                <w:sz w:val="18"/>
                <w:szCs w:val="18"/>
                <w:color w:val="auto"/>
              </w:rPr>
              <w:t>Form of Warrant for Warrants sold separately (included in Exhibit 4.6)**</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4.6</w:t>
            </w:r>
          </w:p>
        </w:tc>
        <w:tc>
          <w:tcPr>
            <w:tcW w:w="840" w:type="dxa"/>
            <w:vAlign w:val="bottom"/>
          </w:tcPr>
          <w:p>
            <w:pPr>
              <w:spacing w:after="0"/>
              <w:rPr>
                <w:sz w:val="24"/>
                <w:szCs w:val="24"/>
                <w:color w:val="auto"/>
              </w:rPr>
            </w:pPr>
          </w:p>
        </w:tc>
        <w:tc>
          <w:tcPr>
            <w:tcW w:w="9440" w:type="dxa"/>
            <w:vAlign w:val="bottom"/>
            <w:gridSpan w:val="10"/>
          </w:tcPr>
          <w:p>
            <w:pPr>
              <w:spacing w:after="0"/>
              <w:rPr>
                <w:sz w:val="20"/>
                <w:szCs w:val="20"/>
                <w:color w:val="auto"/>
              </w:rPr>
            </w:pPr>
            <w:r>
              <w:rPr>
                <w:rFonts w:ascii="Arial" w:cs="Arial" w:eastAsia="Arial" w:hAnsi="Arial"/>
                <w:sz w:val="18"/>
                <w:szCs w:val="18"/>
                <w:color w:val="auto"/>
              </w:rPr>
              <w:t>Form of Warrant Agreement for Warrants sold attached to other Securities**</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4.7</w:t>
            </w:r>
          </w:p>
        </w:tc>
        <w:tc>
          <w:tcPr>
            <w:tcW w:w="840" w:type="dxa"/>
            <w:vAlign w:val="bottom"/>
          </w:tcPr>
          <w:p>
            <w:pPr>
              <w:spacing w:after="0"/>
              <w:rPr>
                <w:sz w:val="24"/>
                <w:szCs w:val="24"/>
                <w:color w:val="auto"/>
              </w:rPr>
            </w:pPr>
          </w:p>
        </w:tc>
        <w:tc>
          <w:tcPr>
            <w:tcW w:w="9440" w:type="dxa"/>
            <w:vAlign w:val="bottom"/>
            <w:gridSpan w:val="10"/>
          </w:tcPr>
          <w:p>
            <w:pPr>
              <w:spacing w:after="0"/>
              <w:rPr>
                <w:sz w:val="20"/>
                <w:szCs w:val="20"/>
                <w:color w:val="auto"/>
              </w:rPr>
            </w:pPr>
            <w:r>
              <w:rPr>
                <w:rFonts w:ascii="Arial" w:cs="Arial" w:eastAsia="Arial" w:hAnsi="Arial"/>
                <w:sz w:val="18"/>
                <w:szCs w:val="18"/>
                <w:color w:val="auto"/>
              </w:rPr>
              <w:t>Form of Warrant for Warrants sold attached to other Securities (included in Exhibit 4.8)**</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4.8</w:t>
            </w:r>
          </w:p>
        </w:tc>
        <w:tc>
          <w:tcPr>
            <w:tcW w:w="840" w:type="dxa"/>
            <w:vAlign w:val="bottom"/>
          </w:tcPr>
          <w:p>
            <w:pPr>
              <w:spacing w:after="0"/>
              <w:rPr>
                <w:sz w:val="24"/>
                <w:szCs w:val="24"/>
                <w:color w:val="auto"/>
              </w:rPr>
            </w:pPr>
          </w:p>
        </w:tc>
        <w:tc>
          <w:tcPr>
            <w:tcW w:w="9440" w:type="dxa"/>
            <w:vAlign w:val="bottom"/>
            <w:gridSpan w:val="10"/>
          </w:tcPr>
          <w:p>
            <w:pPr>
              <w:spacing w:after="0"/>
              <w:rPr>
                <w:sz w:val="20"/>
                <w:szCs w:val="20"/>
                <w:color w:val="auto"/>
              </w:rPr>
            </w:pPr>
            <w:r>
              <w:rPr>
                <w:rFonts w:ascii="Arial" w:cs="Arial" w:eastAsia="Arial" w:hAnsi="Arial"/>
                <w:sz w:val="18"/>
                <w:szCs w:val="18"/>
                <w:color w:val="auto"/>
              </w:rPr>
              <w:t>Form of Purchase Contract Agreement relating to Purchase Contracts**</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4.9</w:t>
            </w:r>
          </w:p>
        </w:tc>
        <w:tc>
          <w:tcPr>
            <w:tcW w:w="840" w:type="dxa"/>
            <w:vAlign w:val="bottom"/>
          </w:tcPr>
          <w:p>
            <w:pPr>
              <w:spacing w:after="0"/>
              <w:rPr>
                <w:sz w:val="24"/>
                <w:szCs w:val="24"/>
                <w:color w:val="auto"/>
              </w:rPr>
            </w:pPr>
          </w:p>
        </w:tc>
        <w:tc>
          <w:tcPr>
            <w:tcW w:w="9440" w:type="dxa"/>
            <w:vAlign w:val="bottom"/>
            <w:gridSpan w:val="10"/>
          </w:tcPr>
          <w:p>
            <w:pPr>
              <w:spacing w:after="0"/>
              <w:rPr>
                <w:sz w:val="20"/>
                <w:szCs w:val="20"/>
                <w:color w:val="auto"/>
              </w:rPr>
            </w:pPr>
            <w:r>
              <w:rPr>
                <w:rFonts w:ascii="Arial" w:cs="Arial" w:eastAsia="Arial" w:hAnsi="Arial"/>
                <w:sz w:val="18"/>
                <w:szCs w:val="18"/>
                <w:color w:val="auto"/>
              </w:rPr>
              <w:t>Form of Unit Agreement**</w:t>
            </w:r>
          </w:p>
        </w:tc>
      </w:tr>
      <w:tr>
        <w:trPr>
          <w:trHeight w:val="283"/>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5.1</w:t>
            </w:r>
          </w:p>
        </w:tc>
        <w:tc>
          <w:tcPr>
            <w:tcW w:w="840" w:type="dxa"/>
            <w:vAlign w:val="bottom"/>
          </w:tcPr>
          <w:p>
            <w:pPr>
              <w:spacing w:after="0"/>
              <w:rPr>
                <w:sz w:val="24"/>
                <w:szCs w:val="24"/>
                <w:color w:val="auto"/>
              </w:rPr>
            </w:pPr>
          </w:p>
        </w:tc>
        <w:tc>
          <w:tcPr>
            <w:tcW w:w="1580" w:type="dxa"/>
            <w:vAlign w:val="bottom"/>
            <w:tcBorders>
              <w:bottom w:val="single" w:sz="8" w:color="0000EE"/>
            </w:tcBorders>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Opinion of Jones Day</w:t>
              </w:r>
            </w:hyperlink>
          </w:p>
        </w:tc>
        <w:tc>
          <w:tcPr>
            <w:tcW w:w="7860" w:type="dxa"/>
            <w:vAlign w:val="bottom"/>
            <w:gridSpan w:val="9"/>
          </w:tcPr>
          <w:p>
            <w:pPr>
              <w:spacing w:after="0"/>
              <w:rPr>
                <w:sz w:val="24"/>
                <w:szCs w:val="24"/>
                <w:color w:val="auto"/>
              </w:rPr>
            </w:pPr>
          </w:p>
        </w:tc>
      </w:tr>
      <w:tr>
        <w:trPr>
          <w:trHeight w:val="30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23.1</w:t>
            </w:r>
          </w:p>
        </w:tc>
        <w:tc>
          <w:tcPr>
            <w:tcW w:w="840" w:type="dxa"/>
            <w:vAlign w:val="bottom"/>
          </w:tcPr>
          <w:p>
            <w:pPr>
              <w:spacing w:after="0"/>
              <w:rPr>
                <w:sz w:val="24"/>
                <w:szCs w:val="24"/>
                <w:color w:val="auto"/>
              </w:rPr>
            </w:pPr>
          </w:p>
        </w:tc>
        <w:tc>
          <w:tcPr>
            <w:tcW w:w="9440" w:type="dxa"/>
            <w:vAlign w:val="bottom"/>
            <w:gridSpan w:val="10"/>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Consent of PricewaterhouseCoopers LLP</w:t>
              </w:r>
            </w:hyperlink>
          </w:p>
        </w:tc>
      </w:tr>
      <w:tr>
        <w:trPr>
          <w:trHeight w:val="20"/>
        </w:trPr>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9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30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23.2</w:t>
            </w:r>
          </w:p>
        </w:tc>
        <w:tc>
          <w:tcPr>
            <w:tcW w:w="840" w:type="dxa"/>
            <w:vAlign w:val="bottom"/>
          </w:tcPr>
          <w:p>
            <w:pPr>
              <w:spacing w:after="0"/>
              <w:rPr>
                <w:sz w:val="24"/>
                <w:szCs w:val="24"/>
                <w:color w:val="auto"/>
              </w:rPr>
            </w:pPr>
          </w:p>
        </w:tc>
        <w:tc>
          <w:tcPr>
            <w:tcW w:w="34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Consent of Jones Day (included in Exhibit 5.1)</w:t>
              </w:r>
            </w:hyperlink>
          </w:p>
        </w:tc>
        <w:tc>
          <w:tcPr>
            <w:tcW w:w="6040" w:type="dxa"/>
            <w:vAlign w:val="bottom"/>
            <w:gridSpan w:val="6"/>
          </w:tcPr>
          <w:p>
            <w:pPr>
              <w:spacing w:after="0"/>
              <w:rPr>
                <w:sz w:val="24"/>
                <w:szCs w:val="24"/>
                <w:color w:val="auto"/>
              </w:rPr>
            </w:pPr>
          </w:p>
        </w:tc>
      </w:tr>
      <w:tr>
        <w:trPr>
          <w:trHeight w:val="30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24.1</w:t>
            </w:r>
          </w:p>
        </w:tc>
        <w:tc>
          <w:tcPr>
            <w:tcW w:w="840" w:type="dxa"/>
            <w:vAlign w:val="bottom"/>
          </w:tcPr>
          <w:p>
            <w:pPr>
              <w:spacing w:after="0"/>
              <w:rPr>
                <w:sz w:val="24"/>
                <w:szCs w:val="24"/>
                <w:color w:val="auto"/>
              </w:rPr>
            </w:pPr>
          </w:p>
        </w:tc>
        <w:tc>
          <w:tcPr>
            <w:tcW w:w="58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Power of Attorney (included on the signature page of the Registration Statement)</w:t>
              </w:r>
            </w:hyperlink>
          </w:p>
        </w:tc>
        <w:tc>
          <w:tcPr>
            <w:tcW w:w="3580" w:type="dxa"/>
            <w:vAlign w:val="bottom"/>
            <w:gridSpan w:val="3"/>
          </w:tcPr>
          <w:p>
            <w:pPr>
              <w:spacing w:after="0"/>
              <w:rPr>
                <w:sz w:val="24"/>
                <w:szCs w:val="24"/>
                <w:color w:val="auto"/>
              </w:rPr>
            </w:pPr>
          </w:p>
        </w:tc>
      </w:tr>
      <w:tr>
        <w:trPr>
          <w:trHeight w:val="30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25.1</w:t>
            </w:r>
          </w:p>
        </w:tc>
        <w:tc>
          <w:tcPr>
            <w:tcW w:w="840" w:type="dxa"/>
            <w:vAlign w:val="bottom"/>
          </w:tcPr>
          <w:p>
            <w:pPr>
              <w:spacing w:after="0"/>
              <w:rPr>
                <w:sz w:val="24"/>
                <w:szCs w:val="24"/>
                <w:color w:val="auto"/>
              </w:rPr>
            </w:pPr>
          </w:p>
        </w:tc>
        <w:tc>
          <w:tcPr>
            <w:tcW w:w="894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Statement of Eligibility on Form T-1 of Wells Fargo Bank, National Association, as trustee under the senior notes indenture</w:t>
              </w:r>
            </w:hyperlink>
          </w:p>
        </w:tc>
        <w:tc>
          <w:tcPr>
            <w:tcW w:w="50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relating to Roper Technologies, Inc., as issuer</w:t>
              </w:r>
            </w:hyperlink>
          </w:p>
        </w:tc>
        <w:tc>
          <w:tcPr>
            <w:tcW w:w="6140" w:type="dxa"/>
            <w:vAlign w:val="bottom"/>
            <w:gridSpan w:val="7"/>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424" w:hanging="424"/>
        <w:spacing w:after="0"/>
        <w:tabs>
          <w:tab w:leader="none" w:pos="4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be filed by Current Report on Form 8-K.</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17. Undertakings</w:t>
      </w:r>
    </w:p>
    <w:p>
      <w:pPr>
        <w:spacing w:after="0" w:line="135" w:lineRule="exact"/>
        <w:rPr>
          <w:sz w:val="20"/>
          <w:szCs w:val="20"/>
          <w:color w:val="auto"/>
        </w:rPr>
      </w:pPr>
    </w:p>
    <w:p>
      <w:pPr>
        <w:ind w:left="964" w:hanging="532"/>
        <w:spacing w:after="0"/>
        <w:tabs>
          <w:tab w:leader="none" w:pos="96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4" w:right="840" w:firstLine="436"/>
        <w:spacing w:after="0" w:line="277" w:lineRule="auto"/>
        <w:tabs>
          <w:tab w:leader="none" w:pos="699" w:val="left"/>
        </w:tabs>
        <w:numPr>
          <w:ilvl w:val="1"/>
          <w:numId w:val="3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of securities registered hereby, a post-effective amendment to this registration statement:</w:t>
      </w:r>
    </w:p>
    <w:p>
      <w:pPr>
        <w:spacing w:after="0" w:line="170" w:lineRule="exact"/>
        <w:rPr>
          <w:sz w:val="20"/>
          <w:szCs w:val="20"/>
          <w:color w:val="auto"/>
        </w:rPr>
      </w:pPr>
    </w:p>
    <w:p>
      <w:pPr>
        <w:ind w:left="664" w:hanging="224"/>
        <w:spacing w:after="0"/>
        <w:tabs>
          <w:tab w:leader="none" w:pos="66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4" w:right="80" w:firstLine="436"/>
        <w:spacing w:after="0" w:line="293" w:lineRule="auto"/>
        <w:tabs>
          <w:tab w:leader="none" w:pos="709"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 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04"/>
          </w:cols>
          <w:pgMar w:left="436" w:top="270" w:right="459" w:bottom="1440" w:gutter="0" w:footer="0" w:header="0"/>
        </w:sectPr>
      </w:pPr>
    </w:p>
    <w:bookmarkStart w:id="31" w:name="page32"/>
    <w:bookmarkEnd w:id="31"/>
    <w:p>
      <w:pPr>
        <w:ind w:right="500" w:firstLine="436"/>
        <w:spacing w:after="0" w:line="277" w:lineRule="auto"/>
        <w:tabs>
          <w:tab w:leader="none" w:pos="755"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220" w:firstLine="440"/>
        <w:spacing w:after="0" w:line="291"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(a)(1)(i), (a)(1)((ii) and (a)(1)((iii) do not apply if the information required to be included in a post-effective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by those paragraphs is contained in periodic reports filed with or furnished to the SEC by the registrant pursuant to Section 13 or</w:t>
      </w:r>
    </w:p>
    <w:p>
      <w:pPr>
        <w:ind w:right="20"/>
        <w:spacing w:after="0" w:line="260" w:lineRule="auto"/>
        <w:rPr>
          <w:sz w:val="20"/>
          <w:szCs w:val="20"/>
          <w:color w:val="auto"/>
        </w:rPr>
      </w:pPr>
      <w:r>
        <w:rPr>
          <w:rFonts w:ascii="Arial" w:cs="Arial" w:eastAsia="Arial" w:hAnsi="Arial"/>
          <w:sz w:val="18"/>
          <w:szCs w:val="18"/>
          <w:color w:val="auto"/>
        </w:rPr>
        <w:t>Section 15(d) of the Exchange Act that are incorporated by reference in this registration statement, or is contained in a form of prospectus filed pursuant to Rule 424(b) that is part of the registration statement.</w:t>
      </w:r>
    </w:p>
    <w:p>
      <w:pPr>
        <w:spacing w:after="0" w:line="185" w:lineRule="exact"/>
        <w:rPr>
          <w:sz w:val="20"/>
          <w:szCs w:val="20"/>
          <w:color w:val="auto"/>
        </w:rPr>
      </w:pPr>
    </w:p>
    <w:p>
      <w:pPr>
        <w:ind w:right="120" w:firstLine="436"/>
        <w:spacing w:after="0" w:line="263" w:lineRule="auto"/>
        <w:tabs>
          <w:tab w:leader="none" w:pos="6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right="620" w:firstLine="436"/>
        <w:spacing w:after="0" w:line="277" w:lineRule="auto"/>
        <w:tabs>
          <w:tab w:leader="none" w:pos="6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17" w:lineRule="exact"/>
        <w:rPr>
          <w:rFonts w:ascii="Arial" w:cs="Arial" w:eastAsia="Arial" w:hAnsi="Arial"/>
          <w:sz w:val="18"/>
          <w:szCs w:val="18"/>
          <w:color w:val="auto"/>
        </w:rPr>
      </w:pPr>
    </w:p>
    <w:p>
      <w:pPr>
        <w:ind w:left="440" w:right="100" w:firstLine="419"/>
        <w:spacing w:after="0" w:line="277" w:lineRule="auto"/>
        <w:tabs>
          <w:tab w:leader="none" w:pos="1158" w:val="left"/>
        </w:tabs>
        <w:numPr>
          <w:ilvl w:val="1"/>
          <w:numId w:val="34"/>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1140" w:hanging="281"/>
        <w:spacing w:after="0"/>
        <w:tabs>
          <w:tab w:leader="none" w:pos="1140" w:val="left"/>
        </w:tabs>
        <w:numPr>
          <w:ilvl w:val="1"/>
          <w:numId w:val="34"/>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w:t>
      </w:r>
    </w:p>
    <w:p>
      <w:pPr>
        <w:spacing w:after="0" w:line="35" w:lineRule="exact"/>
        <w:rPr>
          <w:sz w:val="20"/>
          <w:szCs w:val="20"/>
          <w:color w:val="auto"/>
        </w:rPr>
      </w:pPr>
    </w:p>
    <w:p>
      <w:pPr>
        <w:ind w:left="440"/>
        <w:spacing w:after="0" w:line="286" w:lineRule="auto"/>
        <w:rPr>
          <w:sz w:val="20"/>
          <w:szCs w:val="20"/>
          <w:color w:val="auto"/>
        </w:rPr>
      </w:pPr>
      <w:r>
        <w:rPr>
          <w:rFonts w:ascii="Arial" w:cs="Arial" w:eastAsia="Arial" w:hAnsi="Arial"/>
          <w:sz w:val="16"/>
          <w:szCs w:val="16"/>
          <w:color w:val="auto"/>
        </w:rPr>
        <w:t>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69" w:lineRule="exact"/>
        <w:rPr>
          <w:sz w:val="20"/>
          <w:szCs w:val="20"/>
          <w:color w:val="auto"/>
        </w:rPr>
      </w:pPr>
    </w:p>
    <w:p>
      <w:pPr>
        <w:ind w:right="620" w:firstLine="436"/>
        <w:spacing w:after="0" w:line="277" w:lineRule="auto"/>
        <w:tabs>
          <w:tab w:leader="none" w:pos="6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w:t>
      </w:r>
    </w:p>
    <w:p>
      <w:pPr>
        <w:spacing w:after="0" w:line="170"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2" w:lineRule="exact"/>
        <w:rPr>
          <w:sz w:val="20"/>
          <w:szCs w:val="20"/>
          <w:color w:val="auto"/>
        </w:rPr>
      </w:pPr>
    </w:p>
    <w:p>
      <w:pPr>
        <w:ind w:left="1420" w:right="120" w:hanging="439"/>
        <w:spacing w:after="0" w:line="277"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color w:val="auto"/>
        </w:rPr>
      </w:pPr>
    </w:p>
    <w:p>
      <w:pPr>
        <w:ind w:left="1420" w:right="180" w:hanging="439"/>
        <w:spacing w:after="0" w:line="277"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1420" w:right="480" w:hanging="439"/>
        <w:spacing w:after="0" w:line="277"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0980"/>
          </w:cols>
          <w:pgMar w:left="440" w:top="274" w:right="479" w:bottom="1440" w:gutter="0" w:footer="0" w:header="0"/>
        </w:sectPr>
      </w:pPr>
    </w:p>
    <w:bookmarkStart w:id="32" w:name="page33"/>
    <w:bookmarkEnd w:id="32"/>
    <w:p>
      <w:pPr>
        <w:ind w:left="1000" w:hanging="439"/>
        <w:spacing w:after="0"/>
        <w:tabs>
          <w:tab w:leader="none" w:pos="1000" w:val="left"/>
        </w:tabs>
        <w:numPr>
          <w:ilvl w:val="1"/>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other communication that is an offer in the offering made by the undersigned registrant to the purchaser.</w:t>
      </w:r>
    </w:p>
    <w:p>
      <w:pPr>
        <w:spacing w:after="0" w:line="130" w:lineRule="exact"/>
        <w:rPr>
          <w:rFonts w:ascii="Arial" w:cs="Arial" w:eastAsia="Arial" w:hAnsi="Arial"/>
          <w:sz w:val="18"/>
          <w:szCs w:val="18"/>
          <w:color w:val="auto"/>
        </w:rPr>
      </w:pPr>
    </w:p>
    <w:p>
      <w:pPr>
        <w:ind w:left="540" w:hanging="532"/>
        <w:spacing w:after="0" w:line="263"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spacing w:after="0" w:line="89" w:lineRule="exact"/>
        <w:rPr>
          <w:rFonts w:ascii="Arial" w:cs="Arial" w:eastAsia="Arial" w:hAnsi="Arial"/>
          <w:sz w:val="18"/>
          <w:szCs w:val="18"/>
          <w:color w:val="auto"/>
        </w:rPr>
      </w:pPr>
    </w:p>
    <w:p>
      <w:pPr>
        <w:ind w:left="540" w:right="20" w:hanging="532"/>
        <w:spacing w:after="0" w:line="257"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3" w:lineRule="exact"/>
        <w:rPr>
          <w:rFonts w:ascii="Arial" w:cs="Arial" w:eastAsia="Arial" w:hAnsi="Arial"/>
          <w:sz w:val="18"/>
          <w:szCs w:val="18"/>
          <w:color w:val="auto"/>
        </w:rPr>
      </w:pPr>
    </w:p>
    <w:p>
      <w:pPr>
        <w:ind w:left="540" w:right="60" w:hanging="532"/>
        <w:spacing w:after="0" w:line="290" w:lineRule="auto"/>
        <w:tabs>
          <w:tab w:leader="none" w:pos="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0500"/>
          </w:cols>
          <w:pgMar w:left="860" w:top="274" w:right="539" w:bottom="1440" w:gutter="0" w:footer="0" w:header="0"/>
        </w:sectPr>
      </w:pPr>
    </w:p>
    <w:bookmarkStart w:id="33" w:name="page34"/>
    <w:bookmarkEnd w:id="3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Sarasota, State of Florida, on October 28, 2021.</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ROPER TECHNOLOGIES,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 Neil Hunn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L. Neil Hunn</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President and Chief Executive Officer</w:t>
      </w:r>
    </w:p>
    <w:p>
      <w:pPr>
        <w:spacing w:after="0" w:line="21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L. Neil Hunn, Robert Crisci and John K. Stipancich, and each of them, his or her true and lawful attorneys-in-fact and agents, with full power of substitution and resubstitution, for him or her and in his or her name, place and stead, in any and all capacities, to sign any and all amendments (including post- effective amendments) to this registration statement and to file the same, with all exhibits thereto, and all other documents in connection therewith, with the Securities and Exchange Commission, granting unto each said attorney-in-fact and agent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spacing w:after="0" w:line="19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2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25"/>
        </w:trPr>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 Neil Hunn</w:t>
            </w:r>
          </w:p>
        </w:tc>
        <w:tc>
          <w:tcPr>
            <w:tcW w:w="6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President and Chief Executive Officer and Director</w:t>
            </w:r>
          </w:p>
        </w:tc>
        <w:tc>
          <w:tcPr>
            <w:tcW w:w="1520" w:type="dxa"/>
            <w:vAlign w:val="bottom"/>
            <w:gridSpan w:val="3"/>
          </w:tcPr>
          <w:p>
            <w:pPr>
              <w:jc w:val="center"/>
              <w:ind w:left="190"/>
              <w:spacing w:after="0"/>
              <w:rPr>
                <w:sz w:val="20"/>
                <w:szCs w:val="20"/>
                <w:color w:val="auto"/>
              </w:rPr>
            </w:pPr>
            <w:r>
              <w:rPr>
                <w:rFonts w:ascii="Arial" w:cs="Arial" w:eastAsia="Arial" w:hAnsi="Arial"/>
                <w:sz w:val="18"/>
                <w:szCs w:val="18"/>
                <w:color w:val="auto"/>
                <w:w w:val="89"/>
              </w:rPr>
              <w:t>October 28, 2021</w:t>
            </w:r>
          </w:p>
        </w:tc>
      </w:tr>
      <w:tr>
        <w:trPr>
          <w:trHeight w:val="224"/>
        </w:trPr>
        <w:tc>
          <w:tcPr>
            <w:tcW w:w="2800" w:type="dxa"/>
            <w:vAlign w:val="bottom"/>
            <w:gridSpan w:val="2"/>
          </w:tcPr>
          <w:p>
            <w:pPr>
              <w:spacing w:after="0"/>
              <w:rPr>
                <w:sz w:val="20"/>
                <w:szCs w:val="20"/>
                <w:color w:val="auto"/>
              </w:rPr>
            </w:pPr>
            <w:r>
              <w:rPr>
                <w:rFonts w:ascii="Arial" w:cs="Arial" w:eastAsia="Arial" w:hAnsi="Arial"/>
                <w:sz w:val="18"/>
                <w:szCs w:val="18"/>
                <w:color w:val="auto"/>
              </w:rPr>
              <w:t>L. Neil Hunn</w:t>
            </w:r>
          </w:p>
        </w:tc>
        <w:tc>
          <w:tcPr>
            <w:tcW w:w="2160" w:type="dxa"/>
            <w:vAlign w:val="bottom"/>
          </w:tcPr>
          <w:p>
            <w:pPr>
              <w:spacing w:after="0"/>
              <w:rPr>
                <w:sz w:val="19"/>
                <w:szCs w:val="19"/>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C. Crisci</w:t>
            </w:r>
          </w:p>
        </w:tc>
        <w:tc>
          <w:tcPr>
            <w:tcW w:w="216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w w:val="98"/>
              </w:rPr>
              <w:t>Executive Vice President and Chief Financial Officer</w:t>
            </w:r>
          </w:p>
        </w:tc>
        <w:tc>
          <w:tcPr>
            <w:tcW w:w="1520" w:type="dxa"/>
            <w:vAlign w:val="bottom"/>
            <w:gridSpan w:val="3"/>
          </w:tcPr>
          <w:p>
            <w:pPr>
              <w:jc w:val="center"/>
              <w:ind w:left="190"/>
              <w:spacing w:after="0"/>
              <w:rPr>
                <w:sz w:val="20"/>
                <w:szCs w:val="20"/>
                <w:color w:val="auto"/>
              </w:rPr>
            </w:pPr>
            <w:r>
              <w:rPr>
                <w:rFonts w:ascii="Arial" w:cs="Arial" w:eastAsia="Arial" w:hAnsi="Arial"/>
                <w:sz w:val="18"/>
                <w:szCs w:val="18"/>
                <w:color w:val="auto"/>
                <w:w w:val="89"/>
              </w:rPr>
              <w:t>October 28, 2021</w:t>
            </w:r>
          </w:p>
        </w:tc>
      </w:tr>
      <w:tr>
        <w:trPr>
          <w:trHeight w:val="224"/>
        </w:trPr>
        <w:tc>
          <w:tcPr>
            <w:tcW w:w="2800" w:type="dxa"/>
            <w:vAlign w:val="bottom"/>
            <w:gridSpan w:val="2"/>
          </w:tcPr>
          <w:p>
            <w:pPr>
              <w:spacing w:after="0"/>
              <w:rPr>
                <w:sz w:val="20"/>
                <w:szCs w:val="20"/>
                <w:color w:val="auto"/>
              </w:rPr>
            </w:pPr>
            <w:r>
              <w:rPr>
                <w:rFonts w:ascii="Arial" w:cs="Arial" w:eastAsia="Arial" w:hAnsi="Arial"/>
                <w:sz w:val="18"/>
                <w:szCs w:val="18"/>
                <w:color w:val="auto"/>
              </w:rPr>
              <w:t>Robert C. Crisci</w:t>
            </w:r>
          </w:p>
        </w:tc>
        <w:tc>
          <w:tcPr>
            <w:tcW w:w="2160" w:type="dxa"/>
            <w:vAlign w:val="bottom"/>
          </w:tcPr>
          <w:p>
            <w:pPr>
              <w:spacing w:after="0"/>
              <w:rPr>
                <w:sz w:val="19"/>
                <w:szCs w:val="19"/>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(Principal Financial Officer)</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Jason P. Conley</w:t>
            </w:r>
          </w:p>
        </w:tc>
        <w:tc>
          <w:tcPr>
            <w:tcW w:w="216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Vice President and Chief Accounting Officer</w:t>
            </w:r>
          </w:p>
        </w:tc>
        <w:tc>
          <w:tcPr>
            <w:tcW w:w="1520" w:type="dxa"/>
            <w:vAlign w:val="bottom"/>
            <w:gridSpan w:val="3"/>
          </w:tcPr>
          <w:p>
            <w:pPr>
              <w:jc w:val="center"/>
              <w:ind w:left="190"/>
              <w:spacing w:after="0"/>
              <w:rPr>
                <w:sz w:val="20"/>
                <w:szCs w:val="20"/>
                <w:color w:val="auto"/>
              </w:rPr>
            </w:pPr>
            <w:r>
              <w:rPr>
                <w:rFonts w:ascii="Arial" w:cs="Arial" w:eastAsia="Arial" w:hAnsi="Arial"/>
                <w:sz w:val="18"/>
                <w:szCs w:val="18"/>
                <w:color w:val="auto"/>
                <w:w w:val="89"/>
              </w:rPr>
              <w:t>October 28, 2021</w:t>
            </w:r>
          </w:p>
        </w:tc>
      </w:tr>
      <w:tr>
        <w:trPr>
          <w:trHeight w:val="224"/>
        </w:trPr>
        <w:tc>
          <w:tcPr>
            <w:tcW w:w="2800" w:type="dxa"/>
            <w:vAlign w:val="bottom"/>
            <w:gridSpan w:val="2"/>
          </w:tcPr>
          <w:p>
            <w:pPr>
              <w:spacing w:after="0"/>
              <w:rPr>
                <w:sz w:val="20"/>
                <w:szCs w:val="20"/>
                <w:color w:val="auto"/>
              </w:rPr>
            </w:pPr>
            <w:r>
              <w:rPr>
                <w:rFonts w:ascii="Arial" w:cs="Arial" w:eastAsia="Arial" w:hAnsi="Arial"/>
                <w:sz w:val="18"/>
                <w:szCs w:val="18"/>
                <w:color w:val="auto"/>
              </w:rPr>
              <w:t>Jason P. Conley</w:t>
            </w:r>
          </w:p>
        </w:tc>
        <w:tc>
          <w:tcPr>
            <w:tcW w:w="2160" w:type="dxa"/>
            <w:vAlign w:val="bottom"/>
          </w:tcPr>
          <w:p>
            <w:pPr>
              <w:spacing w:after="0"/>
              <w:rPr>
                <w:sz w:val="19"/>
                <w:szCs w:val="19"/>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(Principal Accounting Officer)</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Amy Woods Brinkley</w:t>
            </w:r>
          </w:p>
        </w:tc>
        <w:tc>
          <w:tcPr>
            <w:tcW w:w="216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Chair of the Board of Directors</w:t>
            </w:r>
          </w:p>
        </w:tc>
        <w:tc>
          <w:tcPr>
            <w:tcW w:w="1520" w:type="dxa"/>
            <w:vAlign w:val="bottom"/>
            <w:gridSpan w:val="3"/>
          </w:tcPr>
          <w:p>
            <w:pPr>
              <w:jc w:val="center"/>
              <w:ind w:left="190"/>
              <w:spacing w:after="0"/>
              <w:rPr>
                <w:sz w:val="20"/>
                <w:szCs w:val="20"/>
                <w:color w:val="auto"/>
              </w:rPr>
            </w:pPr>
            <w:r>
              <w:rPr>
                <w:rFonts w:ascii="Arial" w:cs="Arial" w:eastAsia="Arial" w:hAnsi="Arial"/>
                <w:sz w:val="18"/>
                <w:szCs w:val="18"/>
                <w:color w:val="auto"/>
                <w:w w:val="89"/>
              </w:rPr>
              <w:t>October 28, 2021</w:t>
            </w:r>
          </w:p>
        </w:tc>
      </w:tr>
      <w:tr>
        <w:trPr>
          <w:trHeight w:val="224"/>
        </w:trPr>
        <w:tc>
          <w:tcPr>
            <w:tcW w:w="2800" w:type="dxa"/>
            <w:vAlign w:val="bottom"/>
            <w:gridSpan w:val="2"/>
          </w:tcPr>
          <w:p>
            <w:pPr>
              <w:spacing w:after="0"/>
              <w:rPr>
                <w:sz w:val="20"/>
                <w:szCs w:val="20"/>
                <w:color w:val="auto"/>
              </w:rPr>
            </w:pPr>
            <w:r>
              <w:rPr>
                <w:rFonts w:ascii="Arial" w:cs="Arial" w:eastAsia="Arial" w:hAnsi="Arial"/>
                <w:sz w:val="18"/>
                <w:szCs w:val="18"/>
                <w:color w:val="auto"/>
              </w:rPr>
              <w:t>Amy Woods Brinkley</w:t>
            </w:r>
          </w:p>
        </w:tc>
        <w:tc>
          <w:tcPr>
            <w:tcW w:w="2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Shellye L. Archambeau</w:t>
            </w:r>
          </w:p>
        </w:tc>
        <w:tc>
          <w:tcPr>
            <w:tcW w:w="216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190"/>
              <w:spacing w:after="0"/>
              <w:rPr>
                <w:sz w:val="20"/>
                <w:szCs w:val="20"/>
                <w:color w:val="auto"/>
              </w:rPr>
            </w:pPr>
            <w:r>
              <w:rPr>
                <w:rFonts w:ascii="Arial" w:cs="Arial" w:eastAsia="Arial" w:hAnsi="Arial"/>
                <w:sz w:val="18"/>
                <w:szCs w:val="18"/>
                <w:color w:val="auto"/>
                <w:w w:val="89"/>
              </w:rPr>
              <w:t>October 28, 2021</w:t>
            </w:r>
          </w:p>
        </w:tc>
      </w:tr>
      <w:tr>
        <w:trPr>
          <w:trHeight w:val="224"/>
        </w:trPr>
        <w:tc>
          <w:tcPr>
            <w:tcW w:w="2800" w:type="dxa"/>
            <w:vAlign w:val="bottom"/>
            <w:gridSpan w:val="2"/>
          </w:tcPr>
          <w:p>
            <w:pPr>
              <w:spacing w:after="0"/>
              <w:rPr>
                <w:sz w:val="20"/>
                <w:szCs w:val="20"/>
                <w:color w:val="auto"/>
              </w:rPr>
            </w:pPr>
            <w:r>
              <w:rPr>
                <w:rFonts w:ascii="Arial" w:cs="Arial" w:eastAsia="Arial" w:hAnsi="Arial"/>
                <w:sz w:val="18"/>
                <w:szCs w:val="18"/>
                <w:color w:val="auto"/>
              </w:rPr>
              <w:t>Shellye L. Archambeau</w:t>
            </w:r>
          </w:p>
        </w:tc>
        <w:tc>
          <w:tcPr>
            <w:tcW w:w="2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Irene M. Esteves</w:t>
            </w:r>
          </w:p>
        </w:tc>
        <w:tc>
          <w:tcPr>
            <w:tcW w:w="216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190"/>
              <w:spacing w:after="0"/>
              <w:rPr>
                <w:sz w:val="20"/>
                <w:szCs w:val="20"/>
                <w:color w:val="auto"/>
              </w:rPr>
            </w:pPr>
            <w:r>
              <w:rPr>
                <w:rFonts w:ascii="Arial" w:cs="Arial" w:eastAsia="Arial" w:hAnsi="Arial"/>
                <w:sz w:val="18"/>
                <w:szCs w:val="18"/>
                <w:color w:val="auto"/>
                <w:w w:val="89"/>
              </w:rPr>
              <w:t>October 28, 2021</w:t>
            </w:r>
          </w:p>
        </w:tc>
      </w:tr>
      <w:tr>
        <w:trPr>
          <w:trHeight w:val="224"/>
        </w:trPr>
        <w:tc>
          <w:tcPr>
            <w:tcW w:w="2800" w:type="dxa"/>
            <w:vAlign w:val="bottom"/>
            <w:gridSpan w:val="2"/>
          </w:tcPr>
          <w:p>
            <w:pPr>
              <w:spacing w:after="0"/>
              <w:rPr>
                <w:sz w:val="20"/>
                <w:szCs w:val="20"/>
                <w:color w:val="auto"/>
              </w:rPr>
            </w:pPr>
            <w:r>
              <w:rPr>
                <w:rFonts w:ascii="Arial" w:cs="Arial" w:eastAsia="Arial" w:hAnsi="Arial"/>
                <w:sz w:val="18"/>
                <w:szCs w:val="18"/>
                <w:color w:val="auto"/>
              </w:rPr>
              <w:t>Irene M. Esteves</w:t>
            </w:r>
          </w:p>
        </w:tc>
        <w:tc>
          <w:tcPr>
            <w:tcW w:w="2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F. Fort, III</w:t>
            </w:r>
          </w:p>
        </w:tc>
        <w:tc>
          <w:tcPr>
            <w:tcW w:w="216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190"/>
              <w:spacing w:after="0"/>
              <w:rPr>
                <w:sz w:val="20"/>
                <w:szCs w:val="20"/>
                <w:color w:val="auto"/>
              </w:rPr>
            </w:pPr>
            <w:r>
              <w:rPr>
                <w:rFonts w:ascii="Arial" w:cs="Arial" w:eastAsia="Arial" w:hAnsi="Arial"/>
                <w:sz w:val="18"/>
                <w:szCs w:val="18"/>
                <w:color w:val="auto"/>
                <w:w w:val="89"/>
              </w:rPr>
              <w:t>October 28, 2021</w:t>
            </w:r>
          </w:p>
        </w:tc>
      </w:tr>
      <w:tr>
        <w:trPr>
          <w:trHeight w:val="224"/>
        </w:trPr>
        <w:tc>
          <w:tcPr>
            <w:tcW w:w="2800" w:type="dxa"/>
            <w:vAlign w:val="bottom"/>
            <w:gridSpan w:val="2"/>
          </w:tcPr>
          <w:p>
            <w:pPr>
              <w:spacing w:after="0"/>
              <w:rPr>
                <w:sz w:val="20"/>
                <w:szCs w:val="20"/>
                <w:color w:val="auto"/>
              </w:rPr>
            </w:pPr>
            <w:r>
              <w:rPr>
                <w:rFonts w:ascii="Arial" w:cs="Arial" w:eastAsia="Arial" w:hAnsi="Arial"/>
                <w:sz w:val="18"/>
                <w:szCs w:val="18"/>
                <w:color w:val="auto"/>
              </w:rPr>
              <w:t>John F. Fort, III</w:t>
            </w:r>
          </w:p>
        </w:tc>
        <w:tc>
          <w:tcPr>
            <w:tcW w:w="2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64"/>
        </w:trPr>
        <w:tc>
          <w:tcPr>
            <w:tcW w:w="2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220" w:type="dxa"/>
            <w:vAlign w:val="bottom"/>
            <w:gridSpan w:val="3"/>
          </w:tcPr>
          <w:p>
            <w:pPr>
              <w:ind w:left="400"/>
              <w:spacing w:after="0"/>
              <w:rPr>
                <w:sz w:val="20"/>
                <w:szCs w:val="20"/>
                <w:color w:val="auto"/>
              </w:rPr>
            </w:pPr>
            <w:r>
              <w:rPr>
                <w:rFonts w:ascii="Arial" w:cs="Arial" w:eastAsia="Arial" w:hAnsi="Arial"/>
                <w:sz w:val="18"/>
                <w:szCs w:val="18"/>
                <w:color w:val="auto"/>
              </w:rPr>
              <w:t>II-5</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34" w:name="page35"/>
    <w:bookmarkEnd w:id="3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2780" w:type="dxa"/>
            <w:vAlign w:val="bottom"/>
          </w:tcPr>
          <w:p>
            <w:pPr>
              <w:spacing w:after="0"/>
              <w:rPr>
                <w:sz w:val="14"/>
                <w:szCs w:val="14"/>
                <w:color w:val="auto"/>
              </w:rPr>
            </w:pPr>
          </w:p>
        </w:tc>
        <w:tc>
          <w:tcPr>
            <w:tcW w:w="7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25"/>
        </w:trPr>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D. Johnson</w:t>
            </w:r>
          </w:p>
        </w:tc>
        <w:tc>
          <w:tcPr>
            <w:tcW w:w="6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9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00" w:type="dxa"/>
            <w:vAlign w:val="bottom"/>
          </w:tcPr>
          <w:p>
            <w:pPr>
              <w:spacing w:after="0"/>
              <w:rPr>
                <w:sz w:val="24"/>
                <w:szCs w:val="24"/>
                <w:color w:val="auto"/>
              </w:rPr>
            </w:pPr>
          </w:p>
        </w:tc>
        <w:tc>
          <w:tcPr>
            <w:tcW w:w="3540" w:type="dxa"/>
            <w:vAlign w:val="bottom"/>
            <w:gridSpan w:val="3"/>
          </w:tcPr>
          <w:p>
            <w:pPr>
              <w:jc w:val="center"/>
              <w:ind w:left="2210"/>
              <w:spacing w:after="0"/>
              <w:rPr>
                <w:sz w:val="20"/>
                <w:szCs w:val="20"/>
                <w:color w:val="auto"/>
              </w:rPr>
            </w:pPr>
            <w:r>
              <w:rPr>
                <w:rFonts w:ascii="Arial" w:cs="Arial" w:eastAsia="Arial" w:hAnsi="Arial"/>
                <w:sz w:val="18"/>
                <w:szCs w:val="18"/>
                <w:color w:val="auto"/>
                <w:w w:val="89"/>
              </w:rPr>
              <w:t>October 28, 2021</w:t>
            </w:r>
          </w:p>
        </w:tc>
      </w:tr>
      <w:tr>
        <w:trPr>
          <w:trHeight w:val="224"/>
        </w:trPr>
        <w:tc>
          <w:tcPr>
            <w:tcW w:w="2800" w:type="dxa"/>
            <w:vAlign w:val="bottom"/>
            <w:gridSpan w:val="2"/>
          </w:tcPr>
          <w:p>
            <w:pPr>
              <w:spacing w:after="0"/>
              <w:rPr>
                <w:sz w:val="20"/>
                <w:szCs w:val="20"/>
                <w:color w:val="auto"/>
              </w:rPr>
            </w:pPr>
            <w:r>
              <w:rPr>
                <w:rFonts w:ascii="Arial" w:cs="Arial" w:eastAsia="Arial" w:hAnsi="Arial"/>
                <w:sz w:val="18"/>
                <w:szCs w:val="18"/>
                <w:color w:val="auto"/>
              </w:rPr>
              <w:t>Robert D. Johnson</w:t>
            </w:r>
          </w:p>
        </w:tc>
        <w:tc>
          <w:tcPr>
            <w:tcW w:w="2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P. Joyce, Jr.</w:t>
            </w:r>
          </w:p>
        </w:tc>
        <w:tc>
          <w:tcPr>
            <w:tcW w:w="2160" w:type="dxa"/>
            <w:vAlign w:val="bottom"/>
            <w:tcBorders>
              <w:bottom w:val="single" w:sz="8" w:color="auto"/>
            </w:tcBorders>
          </w:tcPr>
          <w:p>
            <w:pPr>
              <w:spacing w:after="0"/>
              <w:rPr>
                <w:sz w:val="24"/>
                <w:szCs w:val="24"/>
                <w:color w:val="auto"/>
              </w:rPr>
            </w:pPr>
          </w:p>
        </w:tc>
        <w:tc>
          <w:tcPr>
            <w:tcW w:w="22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3540" w:type="dxa"/>
            <w:vAlign w:val="bottom"/>
            <w:gridSpan w:val="3"/>
          </w:tcPr>
          <w:p>
            <w:pPr>
              <w:jc w:val="center"/>
              <w:ind w:left="2210"/>
              <w:spacing w:after="0"/>
              <w:rPr>
                <w:sz w:val="20"/>
                <w:szCs w:val="20"/>
                <w:color w:val="auto"/>
              </w:rPr>
            </w:pPr>
            <w:r>
              <w:rPr>
                <w:rFonts w:ascii="Arial" w:cs="Arial" w:eastAsia="Arial" w:hAnsi="Arial"/>
                <w:sz w:val="18"/>
                <w:szCs w:val="18"/>
                <w:color w:val="auto"/>
                <w:w w:val="89"/>
              </w:rPr>
              <w:t>October 28, 2021</w:t>
            </w:r>
          </w:p>
        </w:tc>
      </w:tr>
      <w:tr>
        <w:trPr>
          <w:trHeight w:val="224"/>
        </w:trPr>
        <w:tc>
          <w:tcPr>
            <w:tcW w:w="2800" w:type="dxa"/>
            <w:vAlign w:val="bottom"/>
            <w:gridSpan w:val="2"/>
          </w:tcPr>
          <w:p>
            <w:pPr>
              <w:spacing w:after="0"/>
              <w:rPr>
                <w:sz w:val="20"/>
                <w:szCs w:val="20"/>
                <w:color w:val="auto"/>
              </w:rPr>
            </w:pPr>
            <w:r>
              <w:rPr>
                <w:rFonts w:ascii="Arial" w:cs="Arial" w:eastAsia="Arial" w:hAnsi="Arial"/>
                <w:sz w:val="18"/>
                <w:szCs w:val="18"/>
                <w:color w:val="auto"/>
              </w:rPr>
              <w:t>Thomas P. Joyce, Jr.</w:t>
            </w:r>
          </w:p>
        </w:tc>
        <w:tc>
          <w:tcPr>
            <w:tcW w:w="2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Laura G. Thatcher</w:t>
            </w:r>
          </w:p>
        </w:tc>
        <w:tc>
          <w:tcPr>
            <w:tcW w:w="2160" w:type="dxa"/>
            <w:vAlign w:val="bottom"/>
            <w:tcBorders>
              <w:bottom w:val="single" w:sz="8" w:color="auto"/>
            </w:tcBorders>
          </w:tcPr>
          <w:p>
            <w:pPr>
              <w:spacing w:after="0"/>
              <w:rPr>
                <w:sz w:val="24"/>
                <w:szCs w:val="24"/>
                <w:color w:val="auto"/>
              </w:rPr>
            </w:pPr>
          </w:p>
        </w:tc>
        <w:tc>
          <w:tcPr>
            <w:tcW w:w="22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3540" w:type="dxa"/>
            <w:vAlign w:val="bottom"/>
            <w:gridSpan w:val="3"/>
          </w:tcPr>
          <w:p>
            <w:pPr>
              <w:jc w:val="center"/>
              <w:ind w:left="2210"/>
              <w:spacing w:after="0"/>
              <w:rPr>
                <w:sz w:val="20"/>
                <w:szCs w:val="20"/>
                <w:color w:val="auto"/>
              </w:rPr>
            </w:pPr>
            <w:r>
              <w:rPr>
                <w:rFonts w:ascii="Arial" w:cs="Arial" w:eastAsia="Arial" w:hAnsi="Arial"/>
                <w:sz w:val="18"/>
                <w:szCs w:val="18"/>
                <w:color w:val="auto"/>
                <w:w w:val="89"/>
              </w:rPr>
              <w:t>October 28, 2021</w:t>
            </w:r>
          </w:p>
        </w:tc>
      </w:tr>
      <w:tr>
        <w:trPr>
          <w:trHeight w:val="224"/>
        </w:trPr>
        <w:tc>
          <w:tcPr>
            <w:tcW w:w="2800" w:type="dxa"/>
            <w:vAlign w:val="bottom"/>
            <w:gridSpan w:val="2"/>
          </w:tcPr>
          <w:p>
            <w:pPr>
              <w:spacing w:after="0"/>
              <w:rPr>
                <w:sz w:val="20"/>
                <w:szCs w:val="20"/>
                <w:color w:val="auto"/>
              </w:rPr>
            </w:pPr>
            <w:r>
              <w:rPr>
                <w:rFonts w:ascii="Arial" w:cs="Arial" w:eastAsia="Arial" w:hAnsi="Arial"/>
                <w:sz w:val="18"/>
                <w:szCs w:val="18"/>
                <w:color w:val="auto"/>
              </w:rPr>
              <w:t>Laura G. Thatcher</w:t>
            </w:r>
          </w:p>
        </w:tc>
        <w:tc>
          <w:tcPr>
            <w:tcW w:w="2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F. Wallman</w:t>
            </w:r>
          </w:p>
        </w:tc>
        <w:tc>
          <w:tcPr>
            <w:tcW w:w="2160" w:type="dxa"/>
            <w:vAlign w:val="bottom"/>
            <w:tcBorders>
              <w:bottom w:val="single" w:sz="8" w:color="auto"/>
            </w:tcBorders>
          </w:tcPr>
          <w:p>
            <w:pPr>
              <w:spacing w:after="0"/>
              <w:rPr>
                <w:sz w:val="24"/>
                <w:szCs w:val="24"/>
                <w:color w:val="auto"/>
              </w:rPr>
            </w:pPr>
          </w:p>
        </w:tc>
        <w:tc>
          <w:tcPr>
            <w:tcW w:w="22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3540" w:type="dxa"/>
            <w:vAlign w:val="bottom"/>
            <w:gridSpan w:val="3"/>
          </w:tcPr>
          <w:p>
            <w:pPr>
              <w:jc w:val="center"/>
              <w:ind w:left="2210"/>
              <w:spacing w:after="0"/>
              <w:rPr>
                <w:sz w:val="20"/>
                <w:szCs w:val="20"/>
                <w:color w:val="auto"/>
              </w:rPr>
            </w:pPr>
            <w:r>
              <w:rPr>
                <w:rFonts w:ascii="Arial" w:cs="Arial" w:eastAsia="Arial" w:hAnsi="Arial"/>
                <w:sz w:val="18"/>
                <w:szCs w:val="18"/>
                <w:color w:val="auto"/>
                <w:w w:val="89"/>
              </w:rPr>
              <w:t>October 28, 2021</w:t>
            </w:r>
          </w:p>
        </w:tc>
      </w:tr>
      <w:tr>
        <w:trPr>
          <w:trHeight w:val="224"/>
        </w:trPr>
        <w:tc>
          <w:tcPr>
            <w:tcW w:w="2800" w:type="dxa"/>
            <w:vAlign w:val="bottom"/>
            <w:gridSpan w:val="2"/>
          </w:tcPr>
          <w:p>
            <w:pPr>
              <w:spacing w:after="0"/>
              <w:rPr>
                <w:sz w:val="20"/>
                <w:szCs w:val="20"/>
                <w:color w:val="auto"/>
              </w:rPr>
            </w:pPr>
            <w:r>
              <w:rPr>
                <w:rFonts w:ascii="Arial" w:cs="Arial" w:eastAsia="Arial" w:hAnsi="Arial"/>
                <w:sz w:val="18"/>
                <w:szCs w:val="18"/>
                <w:color w:val="auto"/>
              </w:rPr>
              <w:t>Richard F. Wallman</w:t>
            </w:r>
          </w:p>
        </w:tc>
        <w:tc>
          <w:tcPr>
            <w:tcW w:w="2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Wright</w:t>
            </w:r>
          </w:p>
        </w:tc>
        <w:tc>
          <w:tcPr>
            <w:tcW w:w="2160" w:type="dxa"/>
            <w:vAlign w:val="bottom"/>
            <w:tcBorders>
              <w:bottom w:val="single" w:sz="8" w:color="auto"/>
            </w:tcBorders>
          </w:tcPr>
          <w:p>
            <w:pPr>
              <w:spacing w:after="0"/>
              <w:rPr>
                <w:sz w:val="24"/>
                <w:szCs w:val="24"/>
                <w:color w:val="auto"/>
              </w:rPr>
            </w:pPr>
          </w:p>
        </w:tc>
        <w:tc>
          <w:tcPr>
            <w:tcW w:w="22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3540" w:type="dxa"/>
            <w:vAlign w:val="bottom"/>
            <w:gridSpan w:val="3"/>
          </w:tcPr>
          <w:p>
            <w:pPr>
              <w:jc w:val="center"/>
              <w:ind w:left="2210"/>
              <w:spacing w:after="0"/>
              <w:rPr>
                <w:sz w:val="20"/>
                <w:szCs w:val="20"/>
                <w:color w:val="auto"/>
              </w:rPr>
            </w:pPr>
            <w:r>
              <w:rPr>
                <w:rFonts w:ascii="Arial" w:cs="Arial" w:eastAsia="Arial" w:hAnsi="Arial"/>
                <w:sz w:val="18"/>
                <w:szCs w:val="18"/>
                <w:color w:val="auto"/>
                <w:w w:val="89"/>
              </w:rPr>
              <w:t>October 28, 2021</w:t>
            </w:r>
          </w:p>
        </w:tc>
      </w:tr>
      <w:tr>
        <w:trPr>
          <w:trHeight w:val="224"/>
        </w:trPr>
        <w:tc>
          <w:tcPr>
            <w:tcW w:w="2800" w:type="dxa"/>
            <w:vAlign w:val="bottom"/>
            <w:gridSpan w:val="2"/>
          </w:tcPr>
          <w:p>
            <w:pPr>
              <w:spacing w:after="0"/>
              <w:rPr>
                <w:sz w:val="20"/>
                <w:szCs w:val="20"/>
                <w:color w:val="auto"/>
              </w:rPr>
            </w:pPr>
            <w:r>
              <w:rPr>
                <w:rFonts w:ascii="Arial" w:cs="Arial" w:eastAsia="Arial" w:hAnsi="Arial"/>
                <w:sz w:val="18"/>
                <w:szCs w:val="18"/>
                <w:color w:val="auto"/>
              </w:rPr>
              <w:t>Christopher Wright</w:t>
            </w:r>
          </w:p>
        </w:tc>
        <w:tc>
          <w:tcPr>
            <w:tcW w:w="2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64"/>
        </w:trPr>
        <w:tc>
          <w:tcPr>
            <w:tcW w:w="2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00" w:type="dxa"/>
            <w:vAlign w:val="bottom"/>
            <w:gridSpan w:val="2"/>
          </w:tcPr>
          <w:p>
            <w:pPr>
              <w:ind w:left="400"/>
              <w:spacing w:after="0"/>
              <w:rPr>
                <w:sz w:val="20"/>
                <w:szCs w:val="20"/>
                <w:color w:val="auto"/>
              </w:rPr>
            </w:pPr>
            <w:r>
              <w:rPr>
                <w:rFonts w:ascii="Arial" w:cs="Arial" w:eastAsia="Arial" w:hAnsi="Arial"/>
                <w:sz w:val="18"/>
                <w:szCs w:val="18"/>
                <w:color w:val="auto"/>
              </w:rPr>
              <w:t>II-6</w:t>
            </w:r>
          </w:p>
        </w:tc>
        <w:tc>
          <w:tcPr>
            <w:tcW w:w="2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0700"/>
          </w:cols>
          <w:pgMar w:left="440" w:top="265" w:right="75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28,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Roper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6901 Professional Parkway,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Sarasota, Florida 34240</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 Registration Statement on Form S-3 Filed by Roper Technologies,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80" w:firstLine="440"/>
        <w:spacing w:after="0" w:line="286" w:lineRule="auto"/>
        <w:rPr>
          <w:sz w:val="20"/>
          <w:szCs w:val="20"/>
          <w:color w:val="auto"/>
        </w:rPr>
      </w:pPr>
      <w:r>
        <w:rPr>
          <w:rFonts w:ascii="Arial" w:cs="Arial" w:eastAsia="Arial" w:hAnsi="Arial"/>
          <w:sz w:val="16"/>
          <w:szCs w:val="16"/>
          <w:color w:val="auto"/>
        </w:rPr>
        <w:t>We have acted as counsel for Roper Technologies,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authorization of the possible issuance and sale from time to time, on a delayed basis, by the Company of an indeterminate amount of: (i) shares of common stock, par value $0.01 per share, of the Company (the “</w:t>
      </w:r>
      <w:r>
        <w:rPr>
          <w:rFonts w:ascii="Arial" w:cs="Arial" w:eastAsia="Arial" w:hAnsi="Arial"/>
          <w:sz w:val="16"/>
          <w:szCs w:val="16"/>
          <w:u w:val="single" w:color="auto"/>
          <w:color w:val="auto"/>
        </w:rPr>
        <w:t>Common Stock</w:t>
      </w:r>
      <w:r>
        <w:rPr>
          <w:rFonts w:ascii="Arial" w:cs="Arial" w:eastAsia="Arial" w:hAnsi="Arial"/>
          <w:sz w:val="16"/>
          <w:szCs w:val="16"/>
          <w:color w:val="auto"/>
        </w:rPr>
        <w:t>”); (ii) shares of preferred stock, par value $0.01 per share, of the Company (the “</w:t>
      </w:r>
      <w:r>
        <w:rPr>
          <w:rFonts w:ascii="Arial" w:cs="Arial" w:eastAsia="Arial" w:hAnsi="Arial"/>
          <w:sz w:val="16"/>
          <w:szCs w:val="16"/>
          <w:u w:val="single" w:color="auto"/>
          <w:color w:val="auto"/>
        </w:rPr>
        <w:t>Preferred</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w:t>
      </w:r>
      <w:r>
        <w:rPr>
          <w:rFonts w:ascii="Arial" w:cs="Arial" w:eastAsia="Arial" w:hAnsi="Arial"/>
          <w:sz w:val="16"/>
          <w:szCs w:val="16"/>
          <w:color w:val="auto"/>
        </w:rPr>
        <w:t>”), in one or more series, certain of which may be convertible into or exchangeable for Common Stock; (iii) debt securities of the Company (the “</w:t>
      </w:r>
      <w:r>
        <w:rPr>
          <w:rFonts w:ascii="Arial" w:cs="Arial" w:eastAsia="Arial" w:hAnsi="Arial"/>
          <w:sz w:val="16"/>
          <w:szCs w:val="16"/>
          <w:u w:val="single" w:color="auto"/>
          <w:color w:val="auto"/>
        </w:rPr>
        <w:t>Debt Securities</w:t>
      </w:r>
      <w:r>
        <w:rPr>
          <w:rFonts w:ascii="Arial" w:cs="Arial" w:eastAsia="Arial" w:hAnsi="Arial"/>
          <w:sz w:val="16"/>
          <w:szCs w:val="16"/>
          <w:color w:val="auto"/>
        </w:rPr>
        <w:t>”), in one or more series, certain of which may be convertible into or exchangeable for Common Stock or other equity securities of the Company; (iv) warrants to purchase Common Stock, Preferred Stock, Debt Securities or other securities of the Company as may be designated at the time of the offering at a future date or dates (the “</w:t>
      </w:r>
      <w:r>
        <w:rPr>
          <w:rFonts w:ascii="Arial" w:cs="Arial" w:eastAsia="Arial" w:hAnsi="Arial"/>
          <w:sz w:val="16"/>
          <w:szCs w:val="16"/>
          <w:u w:val="single" w:color="auto"/>
          <w:color w:val="auto"/>
        </w:rPr>
        <w:t>Warrants</w:t>
      </w:r>
      <w:r>
        <w:rPr>
          <w:rFonts w:ascii="Arial" w:cs="Arial" w:eastAsia="Arial" w:hAnsi="Arial"/>
          <w:sz w:val="16"/>
          <w:szCs w:val="16"/>
          <w:color w:val="auto"/>
        </w:rPr>
        <w:t>”); (v) purchase contracts to purchase or sell (i) Common Stock, Preferred Stock, Debt Securities, debt or equity securities issued by third party or any combination thereof, (2) currencies or (3) commodities (the “</w:t>
      </w:r>
      <w:r>
        <w:rPr>
          <w:rFonts w:ascii="Arial" w:cs="Arial" w:eastAsia="Arial" w:hAnsi="Arial"/>
          <w:sz w:val="16"/>
          <w:szCs w:val="16"/>
          <w:u w:val="single" w:color="auto"/>
          <w:color w:val="auto"/>
        </w:rPr>
        <w:t>Purchase Contracts</w:t>
      </w:r>
      <w:r>
        <w:rPr>
          <w:rFonts w:ascii="Arial" w:cs="Arial" w:eastAsia="Arial" w:hAnsi="Arial"/>
          <w:sz w:val="16"/>
          <w:szCs w:val="16"/>
          <w:color w:val="auto"/>
        </w:rPr>
        <w:t>”), in each case, as may be designated at the time of the offering at a future date or dates; and (vi) units consisting of Debt Securities, shares of Common Stock, shares of Preferred Stock, one or more Warrants or any combination thereof (the “</w:t>
      </w:r>
      <w:r>
        <w:rPr>
          <w:rFonts w:ascii="Arial" w:cs="Arial" w:eastAsia="Arial" w:hAnsi="Arial"/>
          <w:sz w:val="16"/>
          <w:szCs w:val="16"/>
          <w:u w:val="single" w:color="auto"/>
          <w:color w:val="auto"/>
        </w:rPr>
        <w:t>Units</w:t>
      </w:r>
      <w:r>
        <w:rPr>
          <w:rFonts w:ascii="Arial" w:cs="Arial" w:eastAsia="Arial" w:hAnsi="Arial"/>
          <w:sz w:val="16"/>
          <w:szCs w:val="16"/>
          <w:color w:val="auto"/>
        </w:rPr>
        <w:t>”), in each case, as contemplated by the Registration Statement on Form S-3 to which this opinion has been filed as an exhibit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Debt Securities, the Common Stock, the Preferred Stock, the Warrants, the Purchase Contracts and the Units are collectively referred to herein as the “</w:t>
      </w:r>
      <w:r>
        <w:rPr>
          <w:rFonts w:ascii="Arial" w:cs="Arial" w:eastAsia="Arial" w:hAnsi="Arial"/>
          <w:sz w:val="16"/>
          <w:szCs w:val="16"/>
          <w:u w:val="single" w:color="auto"/>
          <w:color w:val="auto"/>
        </w:rPr>
        <w:t>Securities</w:t>
      </w:r>
      <w:r>
        <w:rPr>
          <w:rFonts w:ascii="Arial" w:cs="Arial" w:eastAsia="Arial" w:hAnsi="Arial"/>
          <w:sz w:val="16"/>
          <w:szCs w:val="16"/>
          <w:color w:val="auto"/>
        </w:rPr>
        <w:t>.” The Securities may be offered and sold from time to time pursuant to Rule 415 under the Securities Act of 1933 (the “</w:t>
      </w:r>
      <w:r>
        <w:rPr>
          <w:rFonts w:ascii="Arial" w:cs="Arial" w:eastAsia="Arial" w:hAnsi="Arial"/>
          <w:sz w:val="16"/>
          <w:szCs w:val="16"/>
          <w:u w:val="single" w:color="auto"/>
          <w:color w:val="auto"/>
        </w:rPr>
        <w:t>Securities Act</w:t>
      </w:r>
      <w:r>
        <w:rPr>
          <w:rFonts w:ascii="Arial" w:cs="Arial" w:eastAsia="Arial" w:hAnsi="Arial"/>
          <w:sz w:val="16"/>
          <w:szCs w:val="16"/>
          <w:color w:val="auto"/>
        </w:rPr>
        <w:t>”). The Debt Securities are to be issued under an Indenture, dated as of November 26, 2018 (as may be supplemented from time to time, the “</w:t>
      </w:r>
      <w:r>
        <w:rPr>
          <w:rFonts w:ascii="Arial" w:cs="Arial" w:eastAsia="Arial" w:hAnsi="Arial"/>
          <w:sz w:val="16"/>
          <w:szCs w:val="16"/>
          <w:u w:val="single" w:color="auto"/>
          <w:color w:val="auto"/>
        </w:rPr>
        <w:t>Indenture</w:t>
      </w:r>
      <w:r>
        <w:rPr>
          <w:rFonts w:ascii="Arial" w:cs="Arial" w:eastAsia="Arial" w:hAnsi="Arial"/>
          <w:sz w:val="16"/>
          <w:szCs w:val="16"/>
          <w:color w:val="auto"/>
        </w:rPr>
        <w:t>”), between the Company and Wells Fargo Bank, National Association,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w:t>
      </w:r>
    </w:p>
    <w:p>
      <w:pPr>
        <w:sectPr>
          <w:pgSz w:w="11900" w:h="16838" w:orient="portrait"/>
          <w:cols w:equalWidth="0" w:num="1">
            <w:col w:w="11020"/>
          </w:cols>
          <w:pgMar w:left="440" w:top="121" w:right="4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Roper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28,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In connection with the opinions expressed herein, we have examined such documents, records and matters of law as we have deemed relevant or necessary for purposes of this opinion. Based on the foregoing, and subject to the further limitations, qualifications and assumptions set forth herein, we are of the opinion that:</w:t>
      </w:r>
    </w:p>
    <w:p>
      <w:pPr>
        <w:spacing w:after="0" w:line="89" w:lineRule="exact"/>
        <w:rPr>
          <w:sz w:val="20"/>
          <w:szCs w:val="20"/>
          <w:color w:val="auto"/>
        </w:rPr>
      </w:pPr>
    </w:p>
    <w:p>
      <w:pPr>
        <w:ind w:left="960" w:right="140" w:hanging="532"/>
        <w:spacing w:after="0" w:line="263"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shares of Common Stock, upon receipt by the Company of such lawful consideration therefor having a value not less than the par value thereof as the Company’s Board of Directors (or an authorized committee thereof) may determine, will be validly issued, fully paid and nonassessable.</w:t>
      </w:r>
    </w:p>
    <w:p>
      <w:pPr>
        <w:spacing w:after="0" w:line="89" w:lineRule="exact"/>
        <w:rPr>
          <w:rFonts w:ascii="Arial" w:cs="Arial" w:eastAsia="Arial" w:hAnsi="Arial"/>
          <w:sz w:val="18"/>
          <w:szCs w:val="18"/>
          <w:color w:val="auto"/>
        </w:rPr>
      </w:pPr>
    </w:p>
    <w:p>
      <w:pPr>
        <w:ind w:left="960" w:right="140" w:hanging="532"/>
        <w:spacing w:after="0" w:line="263"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shares of Preferred Stock, upon receipt by the Company of such lawful consideration therefor having a value not less than the par value thereof as the Company’s Board of Directors (or an authorized committee thereof) may determine, will be validly issued, fully paid and nonassessable.</w:t>
      </w:r>
    </w:p>
    <w:p>
      <w:pPr>
        <w:spacing w:after="0" w:line="89" w:lineRule="exact"/>
        <w:rPr>
          <w:rFonts w:ascii="Arial" w:cs="Arial" w:eastAsia="Arial" w:hAnsi="Arial"/>
          <w:sz w:val="18"/>
          <w:szCs w:val="18"/>
          <w:color w:val="auto"/>
        </w:rPr>
      </w:pPr>
    </w:p>
    <w:p>
      <w:pPr>
        <w:ind w:left="960" w:right="60" w:hanging="532"/>
        <w:spacing w:after="0" w:line="259"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Debt Securities, when executed by the Company and authenticated by the Trustee in accordance with the Indenture, issued and sold in accordance with the Registration Statement and delivered to the purchaser or purchasers thereof against receipt by the Company of such lawful consideration therefor as the Company’s Board of Directors (or an authorized committee thereof) may determine, will constitute valid and binding obligations of the Company.</w:t>
      </w:r>
    </w:p>
    <w:p>
      <w:pPr>
        <w:spacing w:after="0" w:line="92" w:lineRule="exact"/>
        <w:rPr>
          <w:rFonts w:ascii="Arial" w:cs="Arial" w:eastAsia="Arial" w:hAnsi="Arial"/>
          <w:sz w:val="18"/>
          <w:szCs w:val="18"/>
          <w:color w:val="auto"/>
        </w:rPr>
      </w:pPr>
    </w:p>
    <w:p>
      <w:pPr>
        <w:ind w:left="960" w:right="140" w:hanging="532"/>
        <w:spacing w:after="0" w:line="277"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Warrants, upon receipt by the Company of such lawful consideration therefor as the Company’s Board of Directors (or an authorized committee thereof) may determine, will constitute valid and binding obligations of the Company.</w:t>
      </w:r>
    </w:p>
    <w:p>
      <w:pPr>
        <w:spacing w:after="0" w:line="75" w:lineRule="exact"/>
        <w:rPr>
          <w:rFonts w:ascii="Arial" w:cs="Arial" w:eastAsia="Arial" w:hAnsi="Arial"/>
          <w:sz w:val="18"/>
          <w:szCs w:val="18"/>
          <w:color w:val="auto"/>
        </w:rPr>
      </w:pPr>
    </w:p>
    <w:p>
      <w:pPr>
        <w:ind w:left="960" w:right="220" w:hanging="532"/>
        <w:spacing w:after="0" w:line="277"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Purchase Contracts, upon receipt by the Company of such lawful consideration therefor as the Company’s Board of Directors (or an authorized committee thereof) may determine, will constitute valid and binding obligations of the Company.</w:t>
      </w:r>
    </w:p>
    <w:p>
      <w:pPr>
        <w:spacing w:after="0" w:line="75" w:lineRule="exact"/>
        <w:rPr>
          <w:rFonts w:ascii="Arial" w:cs="Arial" w:eastAsia="Arial" w:hAnsi="Arial"/>
          <w:sz w:val="18"/>
          <w:szCs w:val="18"/>
          <w:color w:val="auto"/>
        </w:rPr>
      </w:pPr>
    </w:p>
    <w:p>
      <w:pPr>
        <w:ind w:left="960" w:right="400" w:hanging="532"/>
        <w:spacing w:after="0" w:line="277"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Units, upon receipt by the Company of such lawful consideration therefor as the Company’s Board of Directors (or an authorized committee thereof) may determine, will constitute valid and binding obligations of the Company.</w:t>
      </w:r>
    </w:p>
    <w:p>
      <w:pPr>
        <w:spacing w:after="0" w:line="170"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In rendering the foregoing opinions, we have assumed that: (i) the Registration Statement, and any amendments thereto, will have become effective (and will remain effective at the time of issuance of any Securities thereunder); (ii) a prospectus supplement describing each class or series of Securities offered pursuant to the Registration Statement, to the extent required by applicable law and relevant rules and regulations of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will be timely filed with the Commission; (iii) the definitive terms of each</w:t>
      </w:r>
    </w:p>
    <w:p>
      <w:pPr>
        <w:sectPr>
          <w:pgSz w:w="11900" w:h="16838" w:orient="portrait"/>
          <w:cols w:equalWidth="0" w:num="1">
            <w:col w:w="11000"/>
          </w:cols>
          <w:pgMar w:left="440" w:top="274" w:right="459" w:bottom="1440" w:gutter="0" w:footer="0" w:header="0"/>
        </w:sectPr>
      </w:pPr>
    </w:p>
    <w:bookmarkStart w:id="37" w:name="page38"/>
    <w:bookmarkEnd w:id="3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Roper Technologies,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October 28,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
        <w:spacing w:after="0" w:line="284" w:lineRule="auto"/>
        <w:rPr>
          <w:sz w:val="20"/>
          <w:szCs w:val="20"/>
          <w:color w:val="auto"/>
        </w:rPr>
      </w:pPr>
      <w:r>
        <w:rPr>
          <w:rFonts w:ascii="Arial" w:cs="Arial" w:eastAsia="Arial" w:hAnsi="Arial"/>
          <w:sz w:val="16"/>
          <w:szCs w:val="16"/>
          <w:color w:val="auto"/>
        </w:rPr>
        <w:t>class or series of Securities will have been established in accordance with the authorizing resolutions adopted by the Company’s Board of Directors (or an authorized committee thereof), the Company’s Restated Certificate of Incorporation, as amended (the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and applicable law; (iv) the Company will issue and deliver the Securities in the manner contemplated by the Registration Statement and any Securities that consist of shares of capital stock will have been authorized and reserved for issuance, in each case within the limits of the then remaining authorized but unreserved and unissued amounts of such capital stock; (v) the resolutions authorizing the Company to issue, offer and sell the Securities will have been adopted by the Company’s Board of Directors (or an authorized committee thereof) and will be in full force and effect at all times at which the Securities are offered or sold by the Company; (vi) all Securities will be issued in compliance with applicable federal and state securities laws; and</w:t>
      </w:r>
    </w:p>
    <w:p>
      <w:pPr>
        <w:spacing w:after="0" w:line="2" w:lineRule="exact"/>
        <w:rPr>
          <w:sz w:val="20"/>
          <w:szCs w:val="20"/>
          <w:color w:val="auto"/>
        </w:rPr>
      </w:pPr>
    </w:p>
    <w:p>
      <w:pPr>
        <w:ind w:left="4" w:right="240" w:hanging="4"/>
        <w:spacing w:after="0" w:line="255" w:lineRule="auto"/>
        <w:tabs>
          <w:tab w:leader="none" w:pos="359"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Warrant Agreement, Purchase Contract Agreement or Unit Agreement (each as defined below) and each Unit will be governed by and construed in accordance with the laws of the State of New York and will constitute a valid and binding obligation of each party thereto other than the Company.</w:t>
      </w:r>
    </w:p>
    <w:p>
      <w:pPr>
        <w:spacing w:after="0" w:line="190" w:lineRule="exact"/>
        <w:rPr>
          <w:sz w:val="20"/>
          <w:szCs w:val="20"/>
          <w:color w:val="auto"/>
        </w:rPr>
      </w:pPr>
    </w:p>
    <w:p>
      <w:pPr>
        <w:ind w:left="4" w:right="220" w:firstLine="440"/>
        <w:spacing w:after="0" w:line="259" w:lineRule="auto"/>
        <w:rPr>
          <w:sz w:val="20"/>
          <w:szCs w:val="20"/>
          <w:color w:val="auto"/>
        </w:rPr>
      </w:pPr>
      <w:r>
        <w:rPr>
          <w:rFonts w:ascii="Arial" w:cs="Arial" w:eastAsia="Arial" w:hAnsi="Arial"/>
          <w:sz w:val="18"/>
          <w:szCs w:val="18"/>
          <w:color w:val="auto"/>
        </w:rPr>
        <w:t>With respect to any Securities consisting of Preferred Stock, we have further assumed that the Company will issue and deliver the shares of the Preferred Stock being issued and delivered after the filing with the Secretary of State of the State of Delaware of a certificate of amendment to the Certificate of Incorporation, approved by us, establishing the designations, preferences and rights of the class or series of the Preferred Stock being issued and delivered.</w:t>
      </w:r>
    </w:p>
    <w:p>
      <w:pPr>
        <w:spacing w:after="0" w:line="187"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With respect to any Securities consisting of any series of Debt Securities, we have further assumed that: (i) the Indenture is, and any supplemental indenture will be, a valid and binding obligation of the Trustee; (ii) all terms of the Debt Securities not provided for in the Indenture will have been established in accordance with the provisions of the Indenture and reflected in appropriate documentation approved by us and, if applicable, executed and delivered by the Company and the Trustee; and (iii) the Debt Securities will be executed, authenticated, issued and delivered in accordance with the provisions of the Indenture.</w:t>
      </w:r>
    </w:p>
    <w:p>
      <w:pPr>
        <w:spacing w:after="0" w:line="188" w:lineRule="exact"/>
        <w:rPr>
          <w:sz w:val="20"/>
          <w:szCs w:val="20"/>
          <w:color w:val="auto"/>
        </w:rPr>
      </w:pPr>
    </w:p>
    <w:p>
      <w:pPr>
        <w:ind w:left="4" w:right="160" w:firstLine="440"/>
        <w:spacing w:after="0" w:line="301" w:lineRule="auto"/>
        <w:rPr>
          <w:sz w:val="20"/>
          <w:szCs w:val="20"/>
          <w:color w:val="auto"/>
        </w:rPr>
      </w:pPr>
      <w:r>
        <w:rPr>
          <w:rFonts w:ascii="Arial" w:cs="Arial" w:eastAsia="Arial" w:hAnsi="Arial"/>
          <w:sz w:val="16"/>
          <w:szCs w:val="16"/>
          <w:color w:val="auto"/>
        </w:rPr>
        <w:t>With respect to any Securities consisting of Warrants, we have further assumed that: (i) the warrant agreement, approved by us, relating to the Warrants (the “</w:t>
      </w:r>
      <w:r>
        <w:rPr>
          <w:rFonts w:ascii="Arial" w:cs="Arial" w:eastAsia="Arial" w:hAnsi="Arial"/>
          <w:sz w:val="16"/>
          <w:szCs w:val="16"/>
          <w:u w:val="single" w:color="auto"/>
          <w:color w:val="auto"/>
        </w:rPr>
        <w:t>Warrant Agreement</w:t>
      </w:r>
      <w:r>
        <w:rPr>
          <w:rFonts w:ascii="Arial" w:cs="Arial" w:eastAsia="Arial" w:hAnsi="Arial"/>
          <w:sz w:val="16"/>
          <w:szCs w:val="16"/>
          <w:color w:val="auto"/>
        </w:rPr>
        <w:t>”) to be entered into between the Company and an entity selected by the Company to act as the warrant agent (the “</w:t>
      </w:r>
      <w:r>
        <w:rPr>
          <w:rFonts w:ascii="Arial" w:cs="Arial" w:eastAsia="Arial" w:hAnsi="Arial"/>
          <w:sz w:val="16"/>
          <w:szCs w:val="16"/>
          <w:u w:val="single" w:color="auto"/>
          <w:color w:val="auto"/>
        </w:rPr>
        <w:t>Warrant Agent</w:t>
      </w:r>
      <w:r>
        <w:rPr>
          <w:rFonts w:ascii="Arial" w:cs="Arial" w:eastAsia="Arial" w:hAnsi="Arial"/>
          <w:sz w:val="16"/>
          <w:szCs w:val="16"/>
          <w:color w:val="auto"/>
        </w:rPr>
        <w:t>”) will have been authorized, executed and delivered by the Company and the Warrant Agent; and (ii) the Warrants will be authorized, executed and delivered by the Company and the Warrant Agent in accordance with the provisions of the Warrant Agreement.</w:t>
      </w:r>
    </w:p>
    <w:p>
      <w:pPr>
        <w:spacing w:after="0" w:line="157"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With respect to any Securities consisting of Purchase Contracts, we have further assumed that: (i) the purchase contract agreement, approved by us, relating to the Purchase Contracts</w:t>
      </w:r>
    </w:p>
    <w:p>
      <w:pPr>
        <w:sectPr>
          <w:pgSz w:w="11900" w:h="16838" w:orient="portrait"/>
          <w:cols w:equalWidth="0" w:num="1">
            <w:col w:w="10964"/>
          </w:cols>
          <w:pgMar w:left="436" w:top="274" w:right="49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Roper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28,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Purchase Contract Agreement</w:t>
      </w:r>
      <w:r>
        <w:rPr>
          <w:rFonts w:ascii="Arial" w:cs="Arial" w:eastAsia="Arial" w:hAnsi="Arial"/>
          <w:sz w:val="18"/>
          <w:szCs w:val="18"/>
          <w:color w:val="auto"/>
        </w:rPr>
        <w:t>”) to be entered into between the Company and an entity selected by the Company to act as the purchase contract agent (the “</w:t>
      </w:r>
      <w:r>
        <w:rPr>
          <w:rFonts w:ascii="Arial" w:cs="Arial" w:eastAsia="Arial" w:hAnsi="Arial"/>
          <w:sz w:val="18"/>
          <w:szCs w:val="18"/>
          <w:u w:val="single" w:color="auto"/>
          <w:color w:val="auto"/>
        </w:rPr>
        <w:t>Purchase Contract Agent</w:t>
      </w:r>
      <w:r>
        <w:rPr>
          <w:rFonts w:ascii="Arial" w:cs="Arial" w:eastAsia="Arial" w:hAnsi="Arial"/>
          <w:sz w:val="18"/>
          <w:szCs w:val="18"/>
          <w:color w:val="auto"/>
        </w:rPr>
        <w:t>”) will have been authorized, executed and delivered by the Company and the Purchase Contract Agent; and (ii) the Purchase Contracts will be authorized, executed and delivered by the Company and the Purchase Contract Agent in accordance with the provisions of the Purchase Contract Agreement.</w:t>
      </w:r>
    </w:p>
    <w:p>
      <w:pPr>
        <w:spacing w:after="0" w:line="187"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With respect to any Securities consisting of Units, we have further assumed that each component of such Units will be authorized, validly issued and fully paid (to the extent applicable) as contemplated by the Registration Statement and the applicable unit agreement (the “</w:t>
      </w:r>
      <w:r>
        <w:rPr>
          <w:rFonts w:ascii="Arial" w:cs="Arial" w:eastAsia="Arial" w:hAnsi="Arial"/>
          <w:sz w:val="16"/>
          <w:szCs w:val="16"/>
          <w:u w:val="single" w:color="auto"/>
          <w:color w:val="auto"/>
        </w:rPr>
        <w:t>Unit Agreement</w:t>
      </w:r>
      <w:r>
        <w:rPr>
          <w:rFonts w:ascii="Arial" w:cs="Arial" w:eastAsia="Arial" w:hAnsi="Arial"/>
          <w:sz w:val="16"/>
          <w:szCs w:val="16"/>
          <w:color w:val="auto"/>
        </w:rPr>
        <w:t>”), if any.</w:t>
      </w:r>
    </w:p>
    <w:p>
      <w:pPr>
        <w:spacing w:after="0" w:line="124"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The opinions expressed herein are limited by bankruptcy, insolvency, reorganization, fraudulent transfer and fraudulent conveyance, voidable preference, moratorium or other similar laws and related regulations and judicial doctrines from time to time in effect relating to or affecting creditors’ rights generally and by general equitable principles and public policy considerations, whether such principles and considerations are considered in a proceeding at law or in equity.</w:t>
      </w:r>
    </w:p>
    <w:p>
      <w:pPr>
        <w:spacing w:after="0" w:line="18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As to facts material to the opinions and assumptions expressed herein, we have relied upon oral or written statements and representations of officers and other representatives of the Company and others. The opinions expressed herein are limited to the laws of the State of New York and the General Corporation Law of the State of Delaware, in each case as currently in effect, and we express no opinion as to the effect of the laws of any other jurisdiction.</w:t>
      </w:r>
    </w:p>
    <w:p>
      <w:pPr>
        <w:spacing w:after="0" w:line="187"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We hereby consent to the filing of this opinion as Exhibit 5.1 to the Registration Statement and to the reference to Jones Day under the caption “Legal Matters” in the prospectus constituting a part of such Registration Statement. In giving such consent, we do not thereby admit that we are included in the category of persons whose consent is required under Section 7 of the Securities Act or the rules and regulations of the Commission promulgated thereunder.</w:t>
      </w:r>
    </w:p>
    <w:p>
      <w:pPr>
        <w:spacing w:after="0" w:line="18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Jones Day</w:t>
      </w:r>
    </w:p>
    <w:p>
      <w:pPr>
        <w:sectPr>
          <w:pgSz w:w="11900" w:h="16838" w:orient="portrait"/>
          <w:cols w:equalWidth="0" w:num="1">
            <w:col w:w="10980"/>
          </w:cols>
          <w:pgMar w:left="440" w:top="274" w:right="47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S-3 of Roper Technologies, Inc. of our report dated February 22, 2021 relating to the financial statements, financial statement schedule and the effectiveness of internal control over financial reporting, which appears in Roper Technologies, Inc.’s Annual Report on Form 10-K for the year ended December 31, 2020. We also consent to the reference to us under the heading “Experts” in such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Tampa,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28, 2021</w:t>
      </w:r>
    </w:p>
    <w:p>
      <w:pPr>
        <w:sectPr>
          <w:pgSz w:w="11900" w:h="16838" w:orient="portrait"/>
          <w:cols w:equalWidth="0" w:num="1">
            <w:col w:w="11020"/>
          </w:cols>
          <w:pgMar w:left="440" w:top="121" w:right="4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95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68580</wp:posOffset>
            </wp:positionV>
            <wp:extent cx="6995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8"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16"/>
        <w:spacing w:after="0" w:line="243" w:lineRule="auto"/>
        <w:rPr>
          <w:sz w:val="20"/>
          <w:szCs w:val="20"/>
          <w:color w:val="auto"/>
        </w:rPr>
      </w:pPr>
      <w:r>
        <w:rPr>
          <w:rFonts w:ascii="Arial" w:cs="Arial" w:eastAsia="Arial" w:hAnsi="Arial"/>
          <w:sz w:val="22"/>
          <w:szCs w:val="22"/>
          <w:b w:val="1"/>
          <w:bCs w:val="1"/>
          <w:color w:val="auto"/>
        </w:rPr>
        <w:t>STATEMENT OF ELIGIBILITY UNDER THE TRUST INDENTURE ACT OF 1939 OF A CORPORATION DESIGNATED TO ACT AS TRUSTEE</w:t>
      </w:r>
    </w:p>
    <w:p>
      <w:pPr>
        <w:spacing w:after="0" w:line="204" w:lineRule="exact"/>
        <w:rPr>
          <w:sz w:val="20"/>
          <w:szCs w:val="20"/>
          <w:color w:val="auto"/>
        </w:rPr>
      </w:pPr>
    </w:p>
    <w:p>
      <w:pPr>
        <w:ind w:left="424" w:right="1220" w:hanging="424"/>
        <w:spacing w:after="0" w:line="256" w:lineRule="auto"/>
        <w:tabs>
          <w:tab w:leader="none" w:pos="424" w:val="left"/>
        </w:tabs>
        <w:numPr>
          <w:ilvl w:val="0"/>
          <w:numId w:val="41"/>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206375</wp:posOffset>
            </wp:positionV>
            <wp:extent cx="1474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ind w:right="-3"/>
        <w:spacing w:after="0"/>
        <w:rPr>
          <w:sz w:val="20"/>
          <w:szCs w:val="20"/>
          <w:color w:val="auto"/>
        </w:rPr>
      </w:pPr>
      <w:r>
        <w:rPr>
          <w:rFonts w:ascii="Arial" w:cs="Arial" w:eastAsia="Arial" w:hAnsi="Arial"/>
          <w:sz w:val="43"/>
          <w:szCs w:val="43"/>
          <w:b w:val="1"/>
          <w:bCs w:val="1"/>
          <w:color w:val="auto"/>
        </w:rPr>
        <w:t>WELLS FARGO BANK, NATIONAL ASSOCIATION</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7540" w:type="dxa"/>
            <w:vAlign w:val="bottom"/>
            <w:gridSpan w:val="3"/>
          </w:tcPr>
          <w:p>
            <w:pPr>
              <w:jc w:val="center"/>
              <w:ind w:right="2000"/>
              <w:spacing w:after="0"/>
              <w:rPr>
                <w:sz w:val="20"/>
                <w:szCs w:val="20"/>
                <w:color w:val="auto"/>
              </w:rPr>
            </w:pPr>
            <w:r>
              <w:rPr>
                <w:rFonts w:ascii="Arial" w:cs="Arial" w:eastAsia="Arial" w:hAnsi="Arial"/>
                <w:sz w:val="18"/>
                <w:szCs w:val="18"/>
                <w:b w:val="1"/>
                <w:bCs w:val="1"/>
                <w:color w:val="auto"/>
                <w:w w:val="90"/>
              </w:rPr>
              <w:t>A National Banking Association</w:t>
            </w:r>
          </w:p>
        </w:tc>
        <w:tc>
          <w:tcPr>
            <w:tcW w:w="3480" w:type="dxa"/>
            <w:vAlign w:val="bottom"/>
          </w:tcPr>
          <w:p>
            <w:pPr>
              <w:jc w:val="center"/>
              <w:ind w:right="1801"/>
              <w:spacing w:after="0"/>
              <w:rPr>
                <w:sz w:val="20"/>
                <w:szCs w:val="20"/>
                <w:color w:val="auto"/>
              </w:rPr>
            </w:pPr>
            <w:r>
              <w:rPr>
                <w:rFonts w:ascii="Arial" w:cs="Arial" w:eastAsia="Arial" w:hAnsi="Arial"/>
                <w:sz w:val="18"/>
                <w:szCs w:val="18"/>
                <w:b w:val="1"/>
                <w:bCs w:val="1"/>
                <w:color w:val="auto"/>
                <w:w w:val="91"/>
              </w:rPr>
              <w:t>94-1347393</w:t>
            </w:r>
          </w:p>
        </w:tc>
      </w:tr>
      <w:tr>
        <w:trPr>
          <w:trHeight w:val="148"/>
        </w:trPr>
        <w:tc>
          <w:tcPr>
            <w:tcW w:w="7540" w:type="dxa"/>
            <w:vAlign w:val="bottom"/>
            <w:gridSpan w:val="3"/>
          </w:tcPr>
          <w:p>
            <w:pPr>
              <w:jc w:val="center"/>
              <w:ind w:right="1980"/>
              <w:spacing w:after="0" w:line="149" w:lineRule="exact"/>
              <w:rPr>
                <w:sz w:val="20"/>
                <w:szCs w:val="20"/>
                <w:color w:val="auto"/>
              </w:rPr>
            </w:pPr>
            <w:r>
              <w:rPr>
                <w:rFonts w:ascii="Arial" w:cs="Arial" w:eastAsia="Arial" w:hAnsi="Arial"/>
                <w:sz w:val="14"/>
                <w:szCs w:val="14"/>
                <w:b w:val="1"/>
                <w:bCs w:val="1"/>
                <w:color w:val="auto"/>
                <w:w w:val="93"/>
              </w:rPr>
              <w:t>(Jurisdiction of incorporation or</w:t>
            </w:r>
          </w:p>
        </w:tc>
        <w:tc>
          <w:tcPr>
            <w:tcW w:w="3480" w:type="dxa"/>
            <w:vAlign w:val="bottom"/>
          </w:tcPr>
          <w:p>
            <w:pPr>
              <w:jc w:val="center"/>
              <w:ind w:right="18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540" w:type="dxa"/>
            <w:vAlign w:val="bottom"/>
            <w:gridSpan w:val="3"/>
          </w:tcPr>
          <w:p>
            <w:pPr>
              <w:jc w:val="center"/>
              <w:ind w:right="1980"/>
              <w:spacing w:after="0"/>
              <w:rPr>
                <w:sz w:val="20"/>
                <w:szCs w:val="20"/>
                <w:color w:val="auto"/>
              </w:rPr>
            </w:pPr>
            <w:r>
              <w:rPr>
                <w:rFonts w:ascii="Arial" w:cs="Arial" w:eastAsia="Arial" w:hAnsi="Arial"/>
                <w:sz w:val="14"/>
                <w:szCs w:val="14"/>
                <w:b w:val="1"/>
                <w:bCs w:val="1"/>
                <w:color w:val="auto"/>
                <w:w w:val="94"/>
              </w:rPr>
              <w:t>organization if not a U.S. national bank)</w:t>
            </w:r>
          </w:p>
        </w:tc>
        <w:tc>
          <w:tcPr>
            <w:tcW w:w="3480" w:type="dxa"/>
            <w:vAlign w:val="bottom"/>
          </w:tcPr>
          <w:p>
            <w:pPr>
              <w:jc w:val="center"/>
              <w:ind w:right="180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7540" w:type="dxa"/>
            <w:vAlign w:val="bottom"/>
            <w:gridSpan w:val="3"/>
          </w:tcPr>
          <w:p>
            <w:pPr>
              <w:jc w:val="center"/>
              <w:ind w:right="1980"/>
              <w:spacing w:after="0"/>
              <w:rPr>
                <w:sz w:val="20"/>
                <w:szCs w:val="20"/>
                <w:color w:val="auto"/>
              </w:rPr>
            </w:pPr>
            <w:r>
              <w:rPr>
                <w:rFonts w:ascii="Arial" w:cs="Arial" w:eastAsia="Arial" w:hAnsi="Arial"/>
                <w:sz w:val="18"/>
                <w:szCs w:val="18"/>
                <w:b w:val="1"/>
                <w:bCs w:val="1"/>
                <w:color w:val="auto"/>
                <w:w w:val="90"/>
              </w:rPr>
              <w:t>101 North Phillips Avenue</w:t>
            </w:r>
          </w:p>
        </w:tc>
        <w:tc>
          <w:tcPr>
            <w:tcW w:w="3480" w:type="dxa"/>
            <w:vAlign w:val="bottom"/>
          </w:tcPr>
          <w:p>
            <w:pPr>
              <w:spacing w:after="0"/>
              <w:rPr>
                <w:sz w:val="24"/>
                <w:szCs w:val="24"/>
                <w:color w:val="auto"/>
              </w:rPr>
            </w:pPr>
          </w:p>
        </w:tc>
      </w:tr>
      <w:tr>
        <w:trPr>
          <w:trHeight w:val="212"/>
        </w:trPr>
        <w:tc>
          <w:tcPr>
            <w:tcW w:w="7540" w:type="dxa"/>
            <w:vAlign w:val="bottom"/>
            <w:gridSpan w:val="3"/>
          </w:tcPr>
          <w:p>
            <w:pPr>
              <w:jc w:val="center"/>
              <w:ind w:right="1980"/>
              <w:spacing w:after="0"/>
              <w:rPr>
                <w:sz w:val="20"/>
                <w:szCs w:val="20"/>
                <w:color w:val="auto"/>
              </w:rPr>
            </w:pPr>
            <w:r>
              <w:rPr>
                <w:rFonts w:ascii="Arial" w:cs="Arial" w:eastAsia="Arial" w:hAnsi="Arial"/>
                <w:sz w:val="18"/>
                <w:szCs w:val="18"/>
                <w:b w:val="1"/>
                <w:bCs w:val="1"/>
                <w:color w:val="auto"/>
                <w:w w:val="90"/>
              </w:rPr>
              <w:t>Sioux Falls, South Dakota</w:t>
            </w:r>
          </w:p>
        </w:tc>
        <w:tc>
          <w:tcPr>
            <w:tcW w:w="3480" w:type="dxa"/>
            <w:vAlign w:val="bottom"/>
          </w:tcPr>
          <w:p>
            <w:pPr>
              <w:jc w:val="center"/>
              <w:ind w:right="1801"/>
              <w:spacing w:after="0"/>
              <w:rPr>
                <w:sz w:val="20"/>
                <w:szCs w:val="20"/>
                <w:color w:val="auto"/>
              </w:rPr>
            </w:pPr>
            <w:r>
              <w:rPr>
                <w:rFonts w:ascii="Arial" w:cs="Arial" w:eastAsia="Arial" w:hAnsi="Arial"/>
                <w:sz w:val="18"/>
                <w:szCs w:val="18"/>
                <w:b w:val="1"/>
                <w:bCs w:val="1"/>
                <w:color w:val="auto"/>
                <w:w w:val="87"/>
              </w:rPr>
              <w:t>57104</w:t>
            </w:r>
          </w:p>
        </w:tc>
      </w:tr>
      <w:tr>
        <w:trPr>
          <w:trHeight w:val="186"/>
        </w:trPr>
        <w:tc>
          <w:tcPr>
            <w:tcW w:w="7540" w:type="dxa"/>
            <w:vAlign w:val="bottom"/>
            <w:gridSpan w:val="3"/>
          </w:tcPr>
          <w:p>
            <w:pPr>
              <w:jc w:val="center"/>
              <w:ind w:right="20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480" w:type="dxa"/>
            <w:vAlign w:val="bottom"/>
          </w:tcPr>
          <w:p>
            <w:pPr>
              <w:jc w:val="center"/>
              <w:ind w:right="1801"/>
              <w:spacing w:after="0"/>
              <w:rPr>
                <w:sz w:val="20"/>
                <w:szCs w:val="20"/>
                <w:color w:val="auto"/>
              </w:rPr>
            </w:pPr>
            <w:r>
              <w:rPr>
                <w:rFonts w:ascii="Arial" w:cs="Arial" w:eastAsia="Arial" w:hAnsi="Arial"/>
                <w:sz w:val="14"/>
                <w:szCs w:val="14"/>
                <w:b w:val="1"/>
                <w:bCs w:val="1"/>
                <w:color w:val="auto"/>
                <w:w w:val="95"/>
              </w:rPr>
              <w:t>(Zip code)</w:t>
            </w:r>
          </w:p>
        </w:tc>
      </w:tr>
      <w:tr>
        <w:trPr>
          <w:trHeight w:val="399"/>
        </w:trPr>
        <w:tc>
          <w:tcPr>
            <w:tcW w:w="4340" w:type="dxa"/>
            <w:vAlign w:val="bottom"/>
          </w:tcPr>
          <w:p>
            <w:pPr>
              <w:spacing w:after="0"/>
              <w:rPr>
                <w:sz w:val="24"/>
                <w:szCs w:val="24"/>
                <w:color w:val="auto"/>
              </w:rPr>
            </w:pPr>
          </w:p>
        </w:tc>
        <w:tc>
          <w:tcPr>
            <w:tcW w:w="320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2"/>
              </w:rPr>
              <w:t>Wells Fargo &amp; Company</w:t>
            </w:r>
          </w:p>
        </w:tc>
        <w:tc>
          <w:tcPr>
            <w:tcW w:w="3480" w:type="dxa"/>
            <w:vAlign w:val="bottom"/>
          </w:tcPr>
          <w:p>
            <w:pPr>
              <w:spacing w:after="0"/>
              <w:rPr>
                <w:sz w:val="24"/>
                <w:szCs w:val="24"/>
                <w:color w:val="auto"/>
              </w:rPr>
            </w:pPr>
          </w:p>
        </w:tc>
      </w:tr>
      <w:tr>
        <w:trPr>
          <w:trHeight w:val="216"/>
        </w:trPr>
        <w:tc>
          <w:tcPr>
            <w:tcW w:w="7540" w:type="dxa"/>
            <w:vAlign w:val="bottom"/>
            <w:gridSpan w:val="3"/>
          </w:tcPr>
          <w:p>
            <w:pPr>
              <w:jc w:val="center"/>
              <w:ind w:left="3398"/>
              <w:spacing w:after="0"/>
              <w:rPr>
                <w:sz w:val="20"/>
                <w:szCs w:val="20"/>
                <w:color w:val="auto"/>
              </w:rPr>
            </w:pPr>
            <w:r>
              <w:rPr>
                <w:rFonts w:ascii="Arial" w:cs="Arial" w:eastAsia="Arial" w:hAnsi="Arial"/>
                <w:sz w:val="18"/>
                <w:szCs w:val="18"/>
                <w:b w:val="1"/>
                <w:bCs w:val="1"/>
                <w:color w:val="auto"/>
                <w:w w:val="91"/>
              </w:rPr>
              <w:t>Law Department, Trust Section</w:t>
            </w:r>
          </w:p>
        </w:tc>
        <w:tc>
          <w:tcPr>
            <w:tcW w:w="348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320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6"/>
              </w:rPr>
              <w:t>MAC N9305-175</w:t>
            </w:r>
          </w:p>
        </w:tc>
        <w:tc>
          <w:tcPr>
            <w:tcW w:w="3480" w:type="dxa"/>
            <w:vAlign w:val="bottom"/>
          </w:tcPr>
          <w:p>
            <w:pPr>
              <w:spacing w:after="0"/>
              <w:rPr>
                <w:sz w:val="18"/>
                <w:szCs w:val="18"/>
                <w:color w:val="auto"/>
              </w:rPr>
            </w:pPr>
          </w:p>
        </w:tc>
      </w:tr>
      <w:tr>
        <w:trPr>
          <w:trHeight w:val="216"/>
        </w:trPr>
        <w:tc>
          <w:tcPr>
            <w:tcW w:w="7540" w:type="dxa"/>
            <w:vAlign w:val="bottom"/>
            <w:gridSpan w:val="3"/>
          </w:tcPr>
          <w:p>
            <w:pPr>
              <w:jc w:val="center"/>
              <w:ind w:left="3398"/>
              <w:spacing w:after="0"/>
              <w:rPr>
                <w:sz w:val="20"/>
                <w:szCs w:val="20"/>
                <w:color w:val="auto"/>
              </w:rPr>
            </w:pPr>
            <w:r>
              <w:rPr>
                <w:rFonts w:ascii="Arial" w:cs="Arial" w:eastAsia="Arial" w:hAnsi="Arial"/>
                <w:sz w:val="18"/>
                <w:szCs w:val="18"/>
                <w:b w:val="1"/>
                <w:bCs w:val="1"/>
                <w:color w:val="auto"/>
                <w:w w:val="91"/>
              </w:rPr>
              <w:t>Sixth Street and Marquette Avenue, 17</w:t>
            </w:r>
            <w:r>
              <w:rPr>
                <w:rFonts w:ascii="Arial" w:cs="Arial" w:eastAsia="Arial" w:hAnsi="Arial"/>
                <w:sz w:val="15"/>
                <w:szCs w:val="15"/>
                <w:b w:val="1"/>
                <w:bCs w:val="1"/>
                <w:color w:val="auto"/>
                <w:w w:val="91"/>
              </w:rPr>
              <w:t>th</w:t>
            </w:r>
            <w:r>
              <w:rPr>
                <w:rFonts w:ascii="Arial" w:cs="Arial" w:eastAsia="Arial" w:hAnsi="Arial"/>
                <w:sz w:val="18"/>
                <w:szCs w:val="18"/>
                <w:b w:val="1"/>
                <w:bCs w:val="1"/>
                <w:color w:val="auto"/>
                <w:w w:val="91"/>
              </w:rPr>
              <w:t xml:space="preserve"> Floor</w:t>
            </w:r>
          </w:p>
        </w:tc>
        <w:tc>
          <w:tcPr>
            <w:tcW w:w="3480" w:type="dxa"/>
            <w:vAlign w:val="bottom"/>
          </w:tcPr>
          <w:p>
            <w:pPr>
              <w:spacing w:after="0"/>
              <w:rPr>
                <w:sz w:val="18"/>
                <w:szCs w:val="18"/>
                <w:color w:val="auto"/>
              </w:rPr>
            </w:pPr>
          </w:p>
        </w:tc>
      </w:tr>
      <w:tr>
        <w:trPr>
          <w:trHeight w:val="216"/>
        </w:trPr>
        <w:tc>
          <w:tcPr>
            <w:tcW w:w="7540" w:type="dxa"/>
            <w:vAlign w:val="bottom"/>
            <w:gridSpan w:val="3"/>
          </w:tcPr>
          <w:p>
            <w:pPr>
              <w:jc w:val="center"/>
              <w:ind w:left="3398"/>
              <w:spacing w:after="0"/>
              <w:rPr>
                <w:sz w:val="20"/>
                <w:szCs w:val="20"/>
                <w:color w:val="auto"/>
              </w:rPr>
            </w:pPr>
            <w:r>
              <w:rPr>
                <w:rFonts w:ascii="Arial" w:cs="Arial" w:eastAsia="Arial" w:hAnsi="Arial"/>
                <w:sz w:val="18"/>
                <w:szCs w:val="18"/>
                <w:b w:val="1"/>
                <w:bCs w:val="1"/>
                <w:color w:val="auto"/>
                <w:w w:val="90"/>
              </w:rPr>
              <w:t>Minneapolis, Minnesota 55479</w:t>
            </w:r>
          </w:p>
        </w:tc>
        <w:tc>
          <w:tcPr>
            <w:tcW w:w="3480" w:type="dxa"/>
            <w:vAlign w:val="bottom"/>
          </w:tcPr>
          <w:p>
            <w:pPr>
              <w:spacing w:after="0"/>
              <w:rPr>
                <w:sz w:val="18"/>
                <w:szCs w:val="18"/>
                <w:color w:val="auto"/>
              </w:rPr>
            </w:pPr>
          </w:p>
        </w:tc>
      </w:tr>
      <w:tr>
        <w:trPr>
          <w:trHeight w:val="212"/>
        </w:trPr>
        <w:tc>
          <w:tcPr>
            <w:tcW w:w="6660" w:type="dxa"/>
            <w:vAlign w:val="bottom"/>
            <w:gridSpan w:val="2"/>
          </w:tcPr>
          <w:p>
            <w:pPr>
              <w:jc w:val="center"/>
              <w:ind w:left="4258"/>
              <w:spacing w:after="0"/>
              <w:rPr>
                <w:sz w:val="20"/>
                <w:szCs w:val="20"/>
                <w:color w:val="auto"/>
              </w:rPr>
            </w:pPr>
            <w:r>
              <w:rPr>
                <w:rFonts w:ascii="Arial" w:cs="Arial" w:eastAsia="Arial" w:hAnsi="Arial"/>
                <w:sz w:val="18"/>
                <w:szCs w:val="18"/>
                <w:b w:val="1"/>
                <w:bCs w:val="1"/>
                <w:color w:val="auto"/>
                <w:w w:val="90"/>
              </w:rPr>
              <w:t>(612) 667-4608</w:t>
            </w:r>
          </w:p>
        </w:tc>
        <w:tc>
          <w:tcPr>
            <w:tcW w:w="88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186"/>
        </w:trPr>
        <w:tc>
          <w:tcPr>
            <w:tcW w:w="7540" w:type="dxa"/>
            <w:vAlign w:val="bottom"/>
            <w:gridSpan w:val="3"/>
          </w:tcPr>
          <w:p>
            <w:pPr>
              <w:jc w:val="center"/>
              <w:ind w:left="3398"/>
              <w:spacing w:after="0"/>
              <w:rPr>
                <w:sz w:val="20"/>
                <w:szCs w:val="20"/>
                <w:color w:val="auto"/>
              </w:rPr>
            </w:pPr>
            <w:r>
              <w:rPr>
                <w:rFonts w:ascii="Arial" w:cs="Arial" w:eastAsia="Arial" w:hAnsi="Arial"/>
                <w:sz w:val="14"/>
                <w:szCs w:val="14"/>
                <w:b w:val="1"/>
                <w:bCs w:val="1"/>
                <w:color w:val="auto"/>
                <w:w w:val="91"/>
              </w:rPr>
              <w:t>(Name, address and telephone number of agent for service)</w:t>
            </w:r>
          </w:p>
        </w:tc>
        <w:tc>
          <w:tcPr>
            <w:tcW w:w="3480" w:type="dxa"/>
            <w:vAlign w:val="bottom"/>
          </w:tcPr>
          <w:p>
            <w:pPr>
              <w:spacing w:after="0"/>
              <w:rPr>
                <w:sz w:val="16"/>
                <w:szCs w:val="16"/>
                <w:color w:val="auto"/>
              </w:rPr>
            </w:pPr>
          </w:p>
        </w:tc>
      </w:tr>
      <w:tr>
        <w:trPr>
          <w:trHeight w:val="350"/>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03"/>
        </w:trPr>
        <w:tc>
          <w:tcPr>
            <w:tcW w:w="7540" w:type="dxa"/>
            <w:vAlign w:val="bottom"/>
            <w:gridSpan w:val="3"/>
          </w:tcPr>
          <w:p>
            <w:pPr>
              <w:jc w:val="center"/>
              <w:ind w:left="3378"/>
              <w:spacing w:after="0"/>
              <w:rPr>
                <w:sz w:val="20"/>
                <w:szCs w:val="20"/>
                <w:color w:val="auto"/>
              </w:rPr>
            </w:pPr>
            <w:r>
              <w:rPr>
                <w:rFonts w:ascii="Arial" w:cs="Arial" w:eastAsia="Arial" w:hAnsi="Arial"/>
                <w:sz w:val="18"/>
                <w:szCs w:val="18"/>
                <w:b w:val="1"/>
                <w:bCs w:val="1"/>
                <w:color w:val="auto"/>
              </w:rPr>
              <w:t>ROPER TECHNOLOGIES, INC.</w:t>
            </w:r>
          </w:p>
        </w:tc>
        <w:tc>
          <w:tcPr>
            <w:tcW w:w="3480" w:type="dxa"/>
            <w:vAlign w:val="bottom"/>
          </w:tcPr>
          <w:p>
            <w:pPr>
              <w:spacing w:after="0"/>
              <w:rPr>
                <w:sz w:val="24"/>
                <w:szCs w:val="24"/>
                <w:color w:val="auto"/>
              </w:rPr>
            </w:pPr>
          </w:p>
        </w:tc>
      </w:tr>
      <w:tr>
        <w:trPr>
          <w:trHeight w:val="186"/>
        </w:trPr>
        <w:tc>
          <w:tcPr>
            <w:tcW w:w="7540" w:type="dxa"/>
            <w:vAlign w:val="bottom"/>
            <w:gridSpan w:val="3"/>
          </w:tcPr>
          <w:p>
            <w:pPr>
              <w:jc w:val="center"/>
              <w:ind w:left="3398"/>
              <w:spacing w:after="0"/>
              <w:rPr>
                <w:sz w:val="20"/>
                <w:szCs w:val="20"/>
                <w:color w:val="auto"/>
              </w:rPr>
            </w:pPr>
            <w:r>
              <w:rPr>
                <w:rFonts w:ascii="Arial" w:cs="Arial" w:eastAsia="Arial" w:hAnsi="Arial"/>
                <w:sz w:val="14"/>
                <w:szCs w:val="14"/>
                <w:b w:val="1"/>
                <w:bCs w:val="1"/>
                <w:color w:val="auto"/>
                <w:w w:val="92"/>
              </w:rPr>
              <w:t>(Exact name of obligor as specified in its charter)</w:t>
            </w:r>
          </w:p>
        </w:tc>
        <w:tc>
          <w:tcPr>
            <w:tcW w:w="3480" w:type="dxa"/>
            <w:vAlign w:val="bottom"/>
          </w:tcPr>
          <w:p>
            <w:pPr>
              <w:spacing w:after="0"/>
              <w:rPr>
                <w:sz w:val="16"/>
                <w:szCs w:val="16"/>
                <w:color w:val="auto"/>
              </w:rPr>
            </w:pPr>
          </w:p>
        </w:tc>
      </w:tr>
      <w:tr>
        <w:trPr>
          <w:trHeight w:val="421"/>
        </w:trPr>
        <w:tc>
          <w:tcPr>
            <w:tcW w:w="7540" w:type="dxa"/>
            <w:vAlign w:val="bottom"/>
            <w:gridSpan w:val="3"/>
          </w:tcPr>
          <w:p>
            <w:pPr>
              <w:jc w:val="center"/>
              <w:ind w:right="1980"/>
              <w:spacing w:after="0"/>
              <w:rPr>
                <w:sz w:val="20"/>
                <w:szCs w:val="20"/>
                <w:color w:val="auto"/>
              </w:rPr>
            </w:pPr>
            <w:r>
              <w:rPr>
                <w:rFonts w:ascii="Arial" w:cs="Arial" w:eastAsia="Arial" w:hAnsi="Arial"/>
                <w:sz w:val="18"/>
                <w:szCs w:val="18"/>
                <w:b w:val="1"/>
                <w:bCs w:val="1"/>
                <w:color w:val="auto"/>
                <w:w w:val="91"/>
              </w:rPr>
              <w:t>Delaware</w:t>
            </w:r>
          </w:p>
        </w:tc>
        <w:tc>
          <w:tcPr>
            <w:tcW w:w="3480" w:type="dxa"/>
            <w:vAlign w:val="bottom"/>
          </w:tcPr>
          <w:p>
            <w:pPr>
              <w:jc w:val="center"/>
              <w:ind w:right="1801"/>
              <w:spacing w:after="0"/>
              <w:rPr>
                <w:sz w:val="20"/>
                <w:szCs w:val="20"/>
                <w:color w:val="auto"/>
              </w:rPr>
            </w:pPr>
            <w:r>
              <w:rPr>
                <w:rFonts w:ascii="Arial" w:cs="Arial" w:eastAsia="Arial" w:hAnsi="Arial"/>
                <w:sz w:val="18"/>
                <w:szCs w:val="18"/>
                <w:b w:val="1"/>
                <w:bCs w:val="1"/>
                <w:color w:val="auto"/>
                <w:w w:val="91"/>
              </w:rPr>
              <w:t>51-0263969</w:t>
            </w:r>
          </w:p>
        </w:tc>
      </w:tr>
      <w:tr>
        <w:trPr>
          <w:trHeight w:val="149"/>
        </w:trPr>
        <w:tc>
          <w:tcPr>
            <w:tcW w:w="7540" w:type="dxa"/>
            <w:vAlign w:val="bottom"/>
            <w:gridSpan w:val="3"/>
          </w:tcPr>
          <w:p>
            <w:pPr>
              <w:jc w:val="center"/>
              <w:ind w:right="198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480" w:type="dxa"/>
            <w:vAlign w:val="bottom"/>
          </w:tcPr>
          <w:p>
            <w:pPr>
              <w:jc w:val="center"/>
              <w:ind w:right="18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540" w:type="dxa"/>
            <w:vAlign w:val="bottom"/>
            <w:gridSpan w:val="3"/>
          </w:tcPr>
          <w:p>
            <w:pPr>
              <w:jc w:val="center"/>
              <w:ind w:right="1980"/>
              <w:spacing w:after="0"/>
              <w:rPr>
                <w:sz w:val="20"/>
                <w:szCs w:val="20"/>
                <w:color w:val="auto"/>
              </w:rPr>
            </w:pPr>
            <w:r>
              <w:rPr>
                <w:rFonts w:ascii="Arial" w:cs="Arial" w:eastAsia="Arial" w:hAnsi="Arial"/>
                <w:sz w:val="14"/>
                <w:szCs w:val="14"/>
                <w:b w:val="1"/>
                <w:bCs w:val="1"/>
                <w:color w:val="auto"/>
                <w:w w:val="94"/>
              </w:rPr>
              <w:t>incorporation or organization)</w:t>
            </w:r>
          </w:p>
        </w:tc>
        <w:tc>
          <w:tcPr>
            <w:tcW w:w="3480" w:type="dxa"/>
            <w:vAlign w:val="bottom"/>
          </w:tcPr>
          <w:p>
            <w:pPr>
              <w:jc w:val="center"/>
              <w:ind w:right="180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7540" w:type="dxa"/>
            <w:vAlign w:val="bottom"/>
            <w:gridSpan w:val="3"/>
          </w:tcPr>
          <w:p>
            <w:pPr>
              <w:jc w:val="center"/>
              <w:ind w:right="2000"/>
              <w:spacing w:after="0"/>
              <w:rPr>
                <w:sz w:val="20"/>
                <w:szCs w:val="20"/>
                <w:color w:val="auto"/>
              </w:rPr>
            </w:pPr>
            <w:r>
              <w:rPr>
                <w:rFonts w:ascii="Arial" w:cs="Arial" w:eastAsia="Arial" w:hAnsi="Arial"/>
                <w:sz w:val="18"/>
                <w:szCs w:val="18"/>
                <w:b w:val="1"/>
                <w:bCs w:val="1"/>
                <w:color w:val="auto"/>
                <w:w w:val="89"/>
              </w:rPr>
              <w:t>6901 Professional Parkway, Suite 200</w:t>
            </w:r>
          </w:p>
        </w:tc>
        <w:tc>
          <w:tcPr>
            <w:tcW w:w="3480" w:type="dxa"/>
            <w:vAlign w:val="bottom"/>
          </w:tcPr>
          <w:p>
            <w:pPr>
              <w:spacing w:after="0"/>
              <w:rPr>
                <w:sz w:val="24"/>
                <w:szCs w:val="24"/>
                <w:color w:val="auto"/>
              </w:rPr>
            </w:pPr>
          </w:p>
        </w:tc>
      </w:tr>
      <w:tr>
        <w:trPr>
          <w:trHeight w:val="212"/>
        </w:trPr>
        <w:tc>
          <w:tcPr>
            <w:tcW w:w="7540" w:type="dxa"/>
            <w:vAlign w:val="bottom"/>
            <w:gridSpan w:val="3"/>
          </w:tcPr>
          <w:p>
            <w:pPr>
              <w:jc w:val="center"/>
              <w:ind w:right="1980"/>
              <w:spacing w:after="0"/>
              <w:rPr>
                <w:sz w:val="20"/>
                <w:szCs w:val="20"/>
                <w:color w:val="auto"/>
              </w:rPr>
            </w:pPr>
            <w:r>
              <w:rPr>
                <w:rFonts w:ascii="Arial" w:cs="Arial" w:eastAsia="Arial" w:hAnsi="Arial"/>
                <w:sz w:val="18"/>
                <w:szCs w:val="18"/>
                <w:b w:val="1"/>
                <w:bCs w:val="1"/>
                <w:color w:val="auto"/>
                <w:w w:val="90"/>
              </w:rPr>
              <w:t>Sarasota, Florida</w:t>
            </w:r>
          </w:p>
        </w:tc>
        <w:tc>
          <w:tcPr>
            <w:tcW w:w="3480" w:type="dxa"/>
            <w:vAlign w:val="bottom"/>
          </w:tcPr>
          <w:p>
            <w:pPr>
              <w:jc w:val="center"/>
              <w:ind w:right="1801"/>
              <w:spacing w:after="0"/>
              <w:rPr>
                <w:sz w:val="20"/>
                <w:szCs w:val="20"/>
                <w:color w:val="auto"/>
              </w:rPr>
            </w:pPr>
            <w:r>
              <w:rPr>
                <w:rFonts w:ascii="Arial" w:cs="Arial" w:eastAsia="Arial" w:hAnsi="Arial"/>
                <w:sz w:val="18"/>
                <w:szCs w:val="18"/>
                <w:b w:val="1"/>
                <w:bCs w:val="1"/>
                <w:color w:val="auto"/>
                <w:w w:val="87"/>
              </w:rPr>
              <w:t>34240</w:t>
            </w:r>
          </w:p>
        </w:tc>
      </w:tr>
      <w:tr>
        <w:trPr>
          <w:trHeight w:val="186"/>
        </w:trPr>
        <w:tc>
          <w:tcPr>
            <w:tcW w:w="7540" w:type="dxa"/>
            <w:vAlign w:val="bottom"/>
            <w:gridSpan w:val="3"/>
          </w:tcPr>
          <w:p>
            <w:pPr>
              <w:jc w:val="center"/>
              <w:ind w:right="20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480" w:type="dxa"/>
            <w:vAlign w:val="bottom"/>
          </w:tcPr>
          <w:p>
            <w:pPr>
              <w:jc w:val="center"/>
              <w:ind w:right="1801"/>
              <w:spacing w:after="0"/>
              <w:rPr>
                <w:sz w:val="20"/>
                <w:szCs w:val="20"/>
                <w:color w:val="auto"/>
              </w:rPr>
            </w:pPr>
            <w:r>
              <w:rPr>
                <w:rFonts w:ascii="Arial" w:cs="Arial" w:eastAsia="Arial" w:hAnsi="Arial"/>
                <w:sz w:val="14"/>
                <w:szCs w:val="14"/>
                <w:b w:val="1"/>
                <w:bCs w:val="1"/>
                <w:color w:val="auto"/>
                <w:w w:val="95"/>
              </w:rPr>
              <w:t>(Zip code)</w:t>
            </w:r>
          </w:p>
        </w:tc>
      </w:tr>
      <w:tr>
        <w:trPr>
          <w:trHeight w:val="336"/>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03"/>
        </w:trPr>
        <w:tc>
          <w:tcPr>
            <w:tcW w:w="4340" w:type="dxa"/>
            <w:vAlign w:val="bottom"/>
          </w:tcPr>
          <w:p>
            <w:pPr>
              <w:spacing w:after="0"/>
              <w:rPr>
                <w:sz w:val="24"/>
                <w:szCs w:val="24"/>
                <w:color w:val="auto"/>
              </w:rPr>
            </w:pPr>
          </w:p>
        </w:tc>
        <w:tc>
          <w:tcPr>
            <w:tcW w:w="320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88"/>
              </w:rPr>
              <w:t>Debt Securities</w:t>
            </w:r>
          </w:p>
        </w:tc>
        <w:tc>
          <w:tcPr>
            <w:tcW w:w="3480" w:type="dxa"/>
            <w:vAlign w:val="bottom"/>
          </w:tcPr>
          <w:p>
            <w:pPr>
              <w:spacing w:after="0"/>
              <w:rPr>
                <w:sz w:val="24"/>
                <w:szCs w:val="24"/>
                <w:color w:val="auto"/>
              </w:rPr>
            </w:pPr>
          </w:p>
        </w:tc>
      </w:tr>
      <w:tr>
        <w:trPr>
          <w:trHeight w:val="186"/>
        </w:trPr>
        <w:tc>
          <w:tcPr>
            <w:tcW w:w="4340" w:type="dxa"/>
            <w:vAlign w:val="bottom"/>
          </w:tcPr>
          <w:p>
            <w:pPr>
              <w:spacing w:after="0"/>
              <w:rPr>
                <w:sz w:val="16"/>
                <w:szCs w:val="16"/>
                <w:color w:val="auto"/>
              </w:rPr>
            </w:pPr>
          </w:p>
        </w:tc>
        <w:tc>
          <w:tcPr>
            <w:tcW w:w="320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2"/>
              </w:rPr>
              <w:t>(Title of the indenture securities)</w:t>
            </w:r>
          </w:p>
        </w:tc>
        <w:tc>
          <w:tcPr>
            <w:tcW w:w="3480" w:type="dxa"/>
            <w:vAlign w:val="bottom"/>
          </w:tcPr>
          <w:p>
            <w:pPr>
              <w:spacing w:after="0"/>
              <w:rPr>
                <w:sz w:val="16"/>
                <w:szCs w:val="16"/>
                <w:color w:val="auto"/>
              </w:rPr>
            </w:pPr>
          </w:p>
        </w:tc>
      </w:tr>
      <w:tr>
        <w:trPr>
          <w:trHeight w:val="214"/>
        </w:trPr>
        <w:tc>
          <w:tcPr>
            <w:tcW w:w="43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r>
      <w:tr>
        <w:trPr>
          <w:trHeight w:val="48"/>
        </w:trPr>
        <w:tc>
          <w:tcPr>
            <w:tcW w:w="434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r>
    </w:tbl>
    <w:p>
      <w:pPr>
        <w:sectPr>
          <w:pgSz w:w="11900" w:h="16838" w:orient="portrait"/>
          <w:cols w:equalWidth="0" w:num="1">
            <w:col w:w="11024"/>
          </w:cols>
          <w:pgMar w:left="436" w:top="121" w:right="439" w:bottom="1440" w:gutter="0" w:footer="0" w:header="0"/>
        </w:sectPr>
      </w:pPr>
    </w:p>
    <w:bookmarkStart w:id="41" w:name="page42"/>
    <w:bookmarkEnd w:id="4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Item 1. </w:t>
      </w:r>
      <w:r>
        <w:rPr>
          <w:rFonts w:ascii="Arial" w:cs="Arial" w:eastAsia="Arial" w:hAnsi="Arial"/>
          <w:sz w:val="18"/>
          <w:szCs w:val="18"/>
          <w:u w:val="single" w:color="auto"/>
          <w:color w:val="auto"/>
        </w:rPr>
        <w:t>General Information.</w:t>
      </w:r>
      <w:r>
        <w:rPr>
          <w:rFonts w:ascii="Arial" w:cs="Arial" w:eastAsia="Arial" w:hAnsi="Arial"/>
          <w:sz w:val="18"/>
          <w:szCs w:val="18"/>
          <w:color w:val="auto"/>
        </w:rPr>
        <w:t xml:space="preserve"> Furnish the following information as to the trustee:</w:t>
      </w:r>
    </w:p>
    <w:p>
      <w:pPr>
        <w:spacing w:after="0" w:line="131" w:lineRule="exact"/>
        <w:rPr>
          <w:sz w:val="20"/>
          <w:szCs w:val="20"/>
          <w:color w:val="auto"/>
        </w:rPr>
      </w:pPr>
    </w:p>
    <w:p>
      <w:pPr>
        <w:ind w:left="964" w:hanging="532"/>
        <w:spacing w:after="0"/>
        <w:tabs>
          <w:tab w:leader="none" w:pos="964" w:val="left"/>
        </w:tabs>
        <w:numPr>
          <w:ilvl w:val="0"/>
          <w:numId w:val="42"/>
        </w:numPr>
        <w:rPr>
          <w:rFonts w:ascii="Arial" w:cs="Arial" w:eastAsia="Arial" w:hAnsi="Arial"/>
          <w:sz w:val="18"/>
          <w:szCs w:val="18"/>
          <w:color w:val="auto"/>
        </w:rPr>
      </w:pPr>
      <w:r>
        <w:rPr>
          <w:rFonts w:ascii="Arial" w:cs="Arial" w:eastAsia="Arial" w:hAnsi="Arial"/>
          <w:sz w:val="18"/>
          <w:szCs w:val="18"/>
          <w:color w:val="auto"/>
        </w:rPr>
        <w:t>Name and address of each examining or supervising authority to which it is subject.</w:t>
      </w:r>
    </w:p>
    <w:p>
      <w:pPr>
        <w:spacing w:after="0" w:line="117" w:lineRule="exact"/>
        <w:rPr>
          <w:rFonts w:ascii="Arial" w:cs="Arial" w:eastAsia="Arial" w:hAnsi="Arial"/>
          <w:sz w:val="18"/>
          <w:szCs w:val="18"/>
          <w:color w:val="auto"/>
        </w:rPr>
      </w:pPr>
    </w:p>
    <w:p>
      <w:pPr>
        <w:ind w:left="984" w:right="7700"/>
        <w:spacing w:after="0" w:line="311" w:lineRule="auto"/>
        <w:rPr>
          <w:rFonts w:ascii="Arial" w:cs="Arial" w:eastAsia="Arial" w:hAnsi="Arial"/>
          <w:sz w:val="18"/>
          <w:szCs w:val="18"/>
          <w:color w:val="auto"/>
        </w:rPr>
      </w:pPr>
      <w:r>
        <w:rPr>
          <w:rFonts w:ascii="Arial" w:cs="Arial" w:eastAsia="Arial" w:hAnsi="Arial"/>
          <w:sz w:val="16"/>
          <w:szCs w:val="16"/>
          <w:color w:val="auto"/>
        </w:rPr>
        <w:t>Comptroller of the Currency Treasury Department Washington, D.C.</w:t>
      </w:r>
    </w:p>
    <w:p>
      <w:pPr>
        <w:spacing w:after="0" w:line="40" w:lineRule="exact"/>
        <w:rPr>
          <w:rFonts w:ascii="Arial" w:cs="Arial" w:eastAsia="Arial" w:hAnsi="Arial"/>
          <w:sz w:val="18"/>
          <w:szCs w:val="18"/>
          <w:color w:val="auto"/>
        </w:rPr>
      </w:pPr>
    </w:p>
    <w:p>
      <w:pPr>
        <w:ind w:left="984" w:right="6940"/>
        <w:spacing w:after="0" w:line="277" w:lineRule="auto"/>
        <w:rPr>
          <w:rFonts w:ascii="Arial" w:cs="Arial" w:eastAsia="Arial" w:hAnsi="Arial"/>
          <w:sz w:val="18"/>
          <w:szCs w:val="18"/>
          <w:color w:val="auto"/>
        </w:rPr>
      </w:pPr>
      <w:r>
        <w:rPr>
          <w:rFonts w:ascii="Arial" w:cs="Arial" w:eastAsia="Arial" w:hAnsi="Arial"/>
          <w:sz w:val="18"/>
          <w:szCs w:val="18"/>
          <w:color w:val="auto"/>
        </w:rPr>
        <w:t>Federal Deposit Insurance Corporation Washington, D.C.</w:t>
      </w:r>
    </w:p>
    <w:p>
      <w:pPr>
        <w:spacing w:after="0" w:line="62" w:lineRule="exact"/>
        <w:rPr>
          <w:rFonts w:ascii="Arial" w:cs="Arial" w:eastAsia="Arial" w:hAnsi="Arial"/>
          <w:sz w:val="18"/>
          <w:szCs w:val="18"/>
          <w:color w:val="auto"/>
        </w:rPr>
      </w:pPr>
    </w:p>
    <w:p>
      <w:pPr>
        <w:ind w:left="984" w:right="6900"/>
        <w:spacing w:after="0" w:line="342" w:lineRule="auto"/>
        <w:rPr>
          <w:rFonts w:ascii="Arial" w:cs="Arial" w:eastAsia="Arial" w:hAnsi="Arial"/>
          <w:sz w:val="18"/>
          <w:szCs w:val="18"/>
          <w:color w:val="auto"/>
        </w:rPr>
      </w:pPr>
      <w:r>
        <w:rPr>
          <w:rFonts w:ascii="Arial" w:cs="Arial" w:eastAsia="Arial" w:hAnsi="Arial"/>
          <w:sz w:val="16"/>
          <w:szCs w:val="16"/>
          <w:color w:val="auto"/>
        </w:rPr>
        <w:t>Federal Reserve Bank of San Francisco San Francisco, California 94120</w:t>
      </w:r>
    </w:p>
    <w:p>
      <w:pPr>
        <w:spacing w:after="0" w:line="29" w:lineRule="exact"/>
        <w:rPr>
          <w:rFonts w:ascii="Arial" w:cs="Arial" w:eastAsia="Arial" w:hAnsi="Arial"/>
          <w:sz w:val="18"/>
          <w:szCs w:val="18"/>
          <w:color w:val="auto"/>
        </w:rPr>
      </w:pPr>
    </w:p>
    <w:p>
      <w:pPr>
        <w:jc w:val="both"/>
        <w:ind w:left="984" w:right="5460" w:hanging="552"/>
        <w:spacing w:after="0" w:line="483" w:lineRule="auto"/>
        <w:tabs>
          <w:tab w:leader="none" w:pos="965" w:val="left"/>
        </w:tabs>
        <w:numPr>
          <w:ilvl w:val="0"/>
          <w:numId w:val="42"/>
        </w:numPr>
        <w:rPr>
          <w:rFonts w:ascii="Arial" w:cs="Arial" w:eastAsia="Arial" w:hAnsi="Arial"/>
          <w:sz w:val="16"/>
          <w:szCs w:val="16"/>
          <w:color w:val="auto"/>
        </w:rPr>
      </w:pPr>
      <w:r>
        <w:rPr>
          <w:rFonts w:ascii="Arial" w:cs="Arial" w:eastAsia="Arial" w:hAnsi="Arial"/>
          <w:sz w:val="16"/>
          <w:szCs w:val="16"/>
          <w:color w:val="auto"/>
        </w:rPr>
        <w:t>Whether it is authorized to exercise corporate trust powers. The trustee is authorized to exercise corporate trust powers.</w:t>
      </w:r>
    </w:p>
    <w:p>
      <w:pPr>
        <w:spacing w:after="0" w:line="123"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Affiliations with Obligor.</w:t>
      </w:r>
      <w:r>
        <w:rPr>
          <w:rFonts w:ascii="Arial" w:cs="Arial" w:eastAsia="Arial" w:hAnsi="Arial"/>
          <w:sz w:val="18"/>
          <w:szCs w:val="18"/>
          <w:color w:val="auto"/>
        </w:rPr>
        <w:t xml:space="preserve"> If the obligor is an affiliate of the trustee, describe each such affiliation.</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None with respect to the trustee.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No responses are included for Items 3-14 of this Form T-1 because the obligor is not in default as provided under Item 13.</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Item 15. </w:t>
      </w:r>
      <w:r>
        <w:rPr>
          <w:rFonts w:ascii="Arial" w:cs="Arial" w:eastAsia="Arial" w:hAnsi="Arial"/>
          <w:sz w:val="18"/>
          <w:szCs w:val="18"/>
          <w:u w:val="single" w:color="auto"/>
          <w:color w:val="auto"/>
        </w:rPr>
        <w:t>Foreign Trustee.</w:t>
      </w:r>
      <w:r>
        <w:rPr>
          <w:rFonts w:ascii="Arial" w:cs="Arial" w:eastAsia="Arial" w:hAnsi="Arial"/>
          <w:sz w:val="18"/>
          <w:szCs w:val="18"/>
          <w:color w:val="auto"/>
        </w:rPr>
        <w:t xml:space="preserve"> Not applicable.</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Item 16. </w:t>
      </w:r>
      <w:r>
        <w:rPr>
          <w:rFonts w:ascii="Arial" w:cs="Arial" w:eastAsia="Arial" w:hAnsi="Arial"/>
          <w:sz w:val="18"/>
          <w:szCs w:val="18"/>
          <w:u w:val="single" w:color="auto"/>
          <w:color w:val="auto"/>
        </w:rPr>
        <w:t>List of Exhibits.</w:t>
      </w:r>
      <w:r>
        <w:rPr>
          <w:rFonts w:ascii="Arial" w:cs="Arial" w:eastAsia="Arial" w:hAnsi="Arial"/>
          <w:sz w:val="18"/>
          <w:szCs w:val="18"/>
          <w:color w:val="auto"/>
        </w:rPr>
        <w:t xml:space="preserve"> List below all exhibits filed as a part of this Statement of Eligibility.</w:t>
      </w:r>
    </w:p>
    <w:p>
      <w:pPr>
        <w:spacing w:after="0" w:line="131" w:lineRule="exact"/>
        <w:rPr>
          <w:sz w:val="20"/>
          <w:szCs w:val="20"/>
          <w:color w:val="auto"/>
        </w:rPr>
      </w:pPr>
    </w:p>
    <w:p>
      <w:pPr>
        <w:ind w:left="424"/>
        <w:spacing w:after="0"/>
        <w:tabs>
          <w:tab w:leader="none" w:pos="1284"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color w:val="auto"/>
        </w:rPr>
        <w:t>A copy of the Articles of Association of the trustee now in effect.*</w:t>
      </w:r>
    </w:p>
    <w:p>
      <w:pPr>
        <w:spacing w:after="0" w:line="131" w:lineRule="exact"/>
        <w:rPr>
          <w:sz w:val="20"/>
          <w:szCs w:val="20"/>
          <w:color w:val="auto"/>
        </w:rPr>
      </w:pPr>
    </w:p>
    <w:p>
      <w:pPr>
        <w:ind w:left="1304" w:right="180" w:hanging="876"/>
        <w:spacing w:after="0" w:line="277" w:lineRule="auto"/>
        <w:tabs>
          <w:tab w:leader="none" w:pos="1284" w:val="left"/>
        </w:tabs>
        <w:rPr>
          <w:sz w:val="20"/>
          <w:szCs w:val="20"/>
          <w:color w:val="auto"/>
        </w:rPr>
      </w:pPr>
      <w:r>
        <w:rPr>
          <w:rFonts w:ascii="Arial" w:cs="Arial" w:eastAsia="Arial" w:hAnsi="Arial"/>
          <w:sz w:val="18"/>
          <w:szCs w:val="18"/>
          <w:color w:val="auto"/>
        </w:rPr>
        <w:t>Exhibit 2.</w:t>
        <w:tab/>
        <w:t>A copy of the Comptroller of the Currency Certificate of Corporate Existence for Wells Fargo Bank, National Association, dated January 14, 2015.*</w:t>
      </w:r>
    </w:p>
    <w:p>
      <w:pPr>
        <w:spacing w:after="0" w:line="76" w:lineRule="exact"/>
        <w:rPr>
          <w:sz w:val="20"/>
          <w:szCs w:val="20"/>
          <w:color w:val="auto"/>
        </w:rPr>
      </w:pPr>
    </w:p>
    <w:p>
      <w:pPr>
        <w:ind w:left="1304" w:right="220" w:hanging="876"/>
        <w:spacing w:after="0" w:line="277" w:lineRule="auto"/>
        <w:tabs>
          <w:tab w:leader="none" w:pos="1284" w:val="left"/>
        </w:tabs>
        <w:rPr>
          <w:sz w:val="20"/>
          <w:szCs w:val="20"/>
          <w:color w:val="auto"/>
        </w:rPr>
      </w:pPr>
      <w:r>
        <w:rPr>
          <w:rFonts w:ascii="Arial" w:cs="Arial" w:eastAsia="Arial" w:hAnsi="Arial"/>
          <w:sz w:val="18"/>
          <w:szCs w:val="18"/>
          <w:color w:val="auto"/>
        </w:rPr>
        <w:t>Exhibit 3.</w:t>
        <w:tab/>
        <w:t>A copy of the Comptroller of the Currency Certification of Fiduciary Powers for Wells Fargo Bank, National Association, dated January 6, 2014.*</w:t>
      </w:r>
    </w:p>
    <w:p>
      <w:pPr>
        <w:spacing w:after="0" w:line="76" w:lineRule="exact"/>
        <w:rPr>
          <w:sz w:val="20"/>
          <w:szCs w:val="20"/>
          <w:color w:val="auto"/>
        </w:rPr>
      </w:pPr>
    </w:p>
    <w:p>
      <w:pPr>
        <w:ind w:left="424"/>
        <w:spacing w:after="0"/>
        <w:tabs>
          <w:tab w:leader="none" w:pos="1284" w:val="left"/>
        </w:tabs>
        <w:rPr>
          <w:sz w:val="20"/>
          <w:szCs w:val="20"/>
          <w:color w:val="auto"/>
        </w:rPr>
      </w:pPr>
      <w:r>
        <w:rPr>
          <w:rFonts w:ascii="Arial" w:cs="Arial" w:eastAsia="Arial" w:hAnsi="Arial"/>
          <w:sz w:val="18"/>
          <w:szCs w:val="18"/>
          <w:color w:val="auto"/>
        </w:rPr>
        <w:t>Exhibit 4.</w:t>
      </w:r>
      <w:r>
        <w:rPr>
          <w:sz w:val="20"/>
          <w:szCs w:val="20"/>
          <w:color w:val="auto"/>
        </w:rPr>
        <w:tab/>
      </w:r>
      <w:r>
        <w:rPr>
          <w:rFonts w:ascii="Arial" w:cs="Arial" w:eastAsia="Arial" w:hAnsi="Arial"/>
          <w:sz w:val="16"/>
          <w:szCs w:val="16"/>
          <w:color w:val="auto"/>
        </w:rPr>
        <w:t>Copy of By-laws of the trustee as now in effect.*</w:t>
      </w:r>
    </w:p>
    <w:p>
      <w:pPr>
        <w:spacing w:after="0" w:line="131" w:lineRule="exact"/>
        <w:rPr>
          <w:sz w:val="20"/>
          <w:szCs w:val="20"/>
          <w:color w:val="auto"/>
        </w:rPr>
      </w:pPr>
    </w:p>
    <w:p>
      <w:pPr>
        <w:ind w:left="424"/>
        <w:spacing w:after="0"/>
        <w:tabs>
          <w:tab w:leader="none" w:pos="1284" w:val="left"/>
        </w:tabs>
        <w:rPr>
          <w:sz w:val="20"/>
          <w:szCs w:val="20"/>
          <w:color w:val="auto"/>
        </w:rPr>
      </w:pPr>
      <w:r>
        <w:rPr>
          <w:rFonts w:ascii="Arial" w:cs="Arial" w:eastAsia="Arial" w:hAnsi="Arial"/>
          <w:sz w:val="18"/>
          <w:szCs w:val="18"/>
          <w:color w:val="auto"/>
        </w:rPr>
        <w:t>Exhibit 5.</w:t>
      </w:r>
      <w:r>
        <w:rPr>
          <w:sz w:val="20"/>
          <w:szCs w:val="20"/>
          <w:color w:val="auto"/>
        </w:rPr>
        <w:tab/>
      </w:r>
      <w:r>
        <w:rPr>
          <w:rFonts w:ascii="Arial" w:cs="Arial" w:eastAsia="Arial" w:hAnsi="Arial"/>
          <w:sz w:val="16"/>
          <w:szCs w:val="16"/>
          <w:color w:val="auto"/>
        </w:rPr>
        <w:t>Not applicable.</w:t>
      </w:r>
    </w:p>
    <w:p>
      <w:pPr>
        <w:spacing w:after="0" w:line="131" w:lineRule="exact"/>
        <w:rPr>
          <w:sz w:val="20"/>
          <w:szCs w:val="20"/>
          <w:color w:val="auto"/>
        </w:rPr>
      </w:pPr>
    </w:p>
    <w:p>
      <w:pPr>
        <w:ind w:left="424"/>
        <w:spacing w:after="0"/>
        <w:tabs>
          <w:tab w:leader="none" w:pos="1284" w:val="left"/>
        </w:tabs>
        <w:rPr>
          <w:sz w:val="20"/>
          <w:szCs w:val="20"/>
          <w:color w:val="auto"/>
        </w:rPr>
      </w:pPr>
      <w:r>
        <w:rPr>
          <w:rFonts w:ascii="Arial" w:cs="Arial" w:eastAsia="Arial" w:hAnsi="Arial"/>
          <w:sz w:val="18"/>
          <w:szCs w:val="18"/>
          <w:color w:val="auto"/>
        </w:rPr>
        <w:t>Exhibit 6.</w:t>
      </w:r>
      <w:r>
        <w:rPr>
          <w:sz w:val="20"/>
          <w:szCs w:val="20"/>
          <w:color w:val="auto"/>
        </w:rPr>
        <w:tab/>
      </w:r>
      <w:r>
        <w:rPr>
          <w:rFonts w:ascii="Arial" w:cs="Arial" w:eastAsia="Arial" w:hAnsi="Arial"/>
          <w:sz w:val="16"/>
          <w:szCs w:val="16"/>
          <w:color w:val="auto"/>
        </w:rPr>
        <w:t>The consent of the trustee required by Section 321(b) of the Act.</w:t>
      </w:r>
    </w:p>
    <w:p>
      <w:pPr>
        <w:spacing w:after="0" w:line="131" w:lineRule="exact"/>
        <w:rPr>
          <w:sz w:val="20"/>
          <w:szCs w:val="20"/>
          <w:color w:val="auto"/>
        </w:rPr>
      </w:pPr>
    </w:p>
    <w:p>
      <w:pPr>
        <w:ind w:left="1304" w:right="20" w:hanging="876"/>
        <w:spacing w:after="0" w:line="277" w:lineRule="auto"/>
        <w:tabs>
          <w:tab w:leader="none" w:pos="1284" w:val="left"/>
        </w:tabs>
        <w:rPr>
          <w:sz w:val="20"/>
          <w:szCs w:val="20"/>
          <w:color w:val="auto"/>
        </w:rPr>
      </w:pPr>
      <w:r>
        <w:rPr>
          <w:rFonts w:ascii="Arial" w:cs="Arial" w:eastAsia="Arial" w:hAnsi="Arial"/>
          <w:sz w:val="18"/>
          <w:szCs w:val="18"/>
          <w:color w:val="auto"/>
        </w:rPr>
        <w:t>Exhibit 7.</w:t>
        <w:tab/>
        <w:t>A copy of the latest report of condition of the trustee published pursuant to law or the requirements of its supervising or examining authority.</w:t>
      </w:r>
    </w:p>
    <w:p>
      <w:pPr>
        <w:spacing w:after="0" w:line="76" w:lineRule="exact"/>
        <w:rPr>
          <w:sz w:val="20"/>
          <w:szCs w:val="20"/>
          <w:color w:val="auto"/>
        </w:rPr>
      </w:pPr>
    </w:p>
    <w:p>
      <w:pPr>
        <w:ind w:left="424"/>
        <w:spacing w:after="0"/>
        <w:tabs>
          <w:tab w:leader="none" w:pos="1284" w:val="left"/>
        </w:tabs>
        <w:rPr>
          <w:sz w:val="20"/>
          <w:szCs w:val="20"/>
          <w:color w:val="auto"/>
        </w:rPr>
      </w:pPr>
      <w:r>
        <w:rPr>
          <w:rFonts w:ascii="Arial" w:cs="Arial" w:eastAsia="Arial" w:hAnsi="Arial"/>
          <w:sz w:val="18"/>
          <w:szCs w:val="18"/>
          <w:color w:val="auto"/>
        </w:rPr>
        <w:t>Exhibit 8.</w:t>
      </w:r>
      <w:r>
        <w:rPr>
          <w:sz w:val="20"/>
          <w:szCs w:val="20"/>
          <w:color w:val="auto"/>
        </w:rPr>
        <w:tab/>
      </w:r>
      <w:r>
        <w:rPr>
          <w:rFonts w:ascii="Arial" w:cs="Arial" w:eastAsia="Arial" w:hAnsi="Arial"/>
          <w:sz w:val="16"/>
          <w:szCs w:val="16"/>
          <w:color w:val="auto"/>
        </w:rPr>
        <w:t>Not applicable.</w:t>
      </w:r>
    </w:p>
    <w:p>
      <w:pPr>
        <w:spacing w:after="0" w:line="131" w:lineRule="exact"/>
        <w:rPr>
          <w:sz w:val="20"/>
          <w:szCs w:val="20"/>
          <w:color w:val="auto"/>
        </w:rPr>
      </w:pPr>
    </w:p>
    <w:p>
      <w:pPr>
        <w:ind w:left="424"/>
        <w:spacing w:after="0"/>
        <w:tabs>
          <w:tab w:leader="none" w:pos="1284" w:val="left"/>
        </w:tabs>
        <w:rPr>
          <w:sz w:val="20"/>
          <w:szCs w:val="20"/>
          <w:color w:val="auto"/>
        </w:rPr>
      </w:pPr>
      <w:r>
        <w:rPr>
          <w:rFonts w:ascii="Arial" w:cs="Arial" w:eastAsia="Arial" w:hAnsi="Arial"/>
          <w:sz w:val="18"/>
          <w:szCs w:val="18"/>
          <w:color w:val="auto"/>
        </w:rPr>
        <w:t>Exhibit 9.</w:t>
      </w:r>
      <w:r>
        <w:rPr>
          <w:sz w:val="20"/>
          <w:szCs w:val="20"/>
          <w:color w:val="auto"/>
        </w:rPr>
        <w:tab/>
      </w:r>
      <w:r>
        <w:rPr>
          <w:rFonts w:ascii="Arial" w:cs="Arial" w:eastAsia="Arial" w:hAnsi="Arial"/>
          <w:sz w:val="16"/>
          <w:szCs w:val="16"/>
          <w:color w:val="auto"/>
        </w:rPr>
        <w:t>Not applicable.</w:t>
      </w:r>
    </w:p>
    <w:p>
      <w:pPr>
        <w:spacing w:after="0" w:line="252" w:lineRule="exact"/>
        <w:rPr>
          <w:sz w:val="20"/>
          <w:szCs w:val="20"/>
          <w:color w:val="auto"/>
        </w:rPr>
      </w:pPr>
    </w:p>
    <w:p>
      <w:pPr>
        <w:ind w:left="224" w:hanging="224"/>
        <w:spacing w:after="0" w:line="277" w:lineRule="auto"/>
        <w:tabs>
          <w:tab w:leader="none" w:pos="2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to the exhibit of the same number to the trustee’s Form T-1 filed as exhibit to the Filing 305B2 dated March 13, 2015 of file number 333-190926.</w:t>
      </w:r>
    </w:p>
    <w:p>
      <w:pPr>
        <w:sectPr>
          <w:pgSz w:w="11900" w:h="16838" w:orient="portrait"/>
          <w:cols w:equalWidth="0" w:num="1">
            <w:col w:w="10744"/>
          </w:cols>
          <w:pgMar w:left="436" w:top="274" w:right="719" w:bottom="1440" w:gutter="0" w:footer="0" w:header="0"/>
        </w:sectPr>
      </w:pPr>
    </w:p>
    <w:bookmarkStart w:id="42" w:name="page43"/>
    <w:bookmarkEnd w:id="42"/>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Pursuant to the requirements of the Trust Indenture Act of 1939, as amended, the trustee, Wells Fargo Bank, National Association, a national banking association organized and existing under the laws of the United States of America, has duly caused this statement of eligibility to be signed on its behalf by the undersigned, thereunto duly authorized, all in the City of Jacksonville and State of Florida on the 22nd day of October, 2021.</w:t>
      </w:r>
    </w:p>
    <w:p>
      <w:pPr>
        <w:spacing w:after="0" w:line="17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WELLS FARGO BANK, NATIONAL ASSOCIATION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Tina D.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Tina D. Gonzalez</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1">
            <w:col w:w="10940"/>
          </w:cols>
          <w:pgMar w:left="440" w:top="274" w:right="519" w:bottom="1440" w:gutter="0" w:footer="0" w:header="0"/>
        </w:sectPr>
      </w:pPr>
    </w:p>
    <w:bookmarkStart w:id="43" w:name="page44"/>
    <w:bookmarkEnd w:id="43"/>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22,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accordance with Section 321(b) of the Trust Indenture Act of 1939, as amended, the undersigned hereby consents that reports of examination of the undersigned made by Federal, State, Territorial, or District authorities authorized to make such examination may be furnished by such authorities to the Securities and Exchange Commission upon its request therefor.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WELLS FARGO BANK, NATIONAL ASSOCIATION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Tina D.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Tina D. Gonzalez</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1">
            <w:col w:w="10900"/>
          </w:cols>
          <w:pgMar w:left="440" w:top="274" w:right="559" w:bottom="1440" w:gutter="0" w:footer="0" w:header="0"/>
        </w:sectPr>
      </w:pPr>
    </w:p>
    <w:bookmarkStart w:id="44" w:name="page45"/>
    <w:bookmarkEnd w:id="44"/>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7</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Report of Condition of</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of 101 North Phillips Avenue, Sioux Falls, SD 57104</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 Foreign and Domestic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at the close of business June 30, 2021, filed in accordance with 12 U.S.C. §161 for National Banks.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1700" w:type="dxa"/>
            <w:vAlign w:val="bottom"/>
            <w:gridSpan w:val="4"/>
          </w:tcPr>
          <w:p>
            <w:pPr>
              <w:jc w:val="center"/>
              <w:ind w:right="60"/>
              <w:spacing w:after="0"/>
              <w:rPr>
                <w:sz w:val="20"/>
                <w:szCs w:val="20"/>
                <w:color w:val="auto"/>
              </w:rPr>
            </w:pPr>
            <w:r>
              <w:rPr>
                <w:rFonts w:ascii="Arial" w:cs="Arial" w:eastAsia="Arial" w:hAnsi="Arial"/>
                <w:sz w:val="14"/>
                <w:szCs w:val="14"/>
                <w:color w:val="auto"/>
                <w:w w:val="96"/>
              </w:rPr>
              <w:t>Dollar Amounts</w:t>
            </w:r>
          </w:p>
        </w:tc>
      </w:tr>
      <w:tr>
        <w:trPr>
          <w:trHeight w:val="167"/>
        </w:trPr>
        <w:tc>
          <w:tcPr>
            <w:tcW w:w="9320" w:type="dxa"/>
            <w:vAlign w:val="bottom"/>
          </w:tcPr>
          <w:p>
            <w:pPr>
              <w:spacing w:after="0"/>
              <w:rPr>
                <w:sz w:val="14"/>
                <w:szCs w:val="14"/>
                <w:color w:val="auto"/>
              </w:rPr>
            </w:pPr>
          </w:p>
        </w:tc>
        <w:tc>
          <w:tcPr>
            <w:tcW w:w="1700" w:type="dxa"/>
            <w:vAlign w:val="bottom"/>
            <w:gridSpan w:val="4"/>
          </w:tcPr>
          <w:p>
            <w:pPr>
              <w:jc w:val="center"/>
              <w:ind w:right="60"/>
              <w:spacing w:after="0"/>
              <w:rPr>
                <w:sz w:val="20"/>
                <w:szCs w:val="20"/>
                <w:color w:val="auto"/>
              </w:rPr>
            </w:pPr>
            <w:r>
              <w:rPr>
                <w:rFonts w:ascii="Arial" w:cs="Arial" w:eastAsia="Arial" w:hAnsi="Arial"/>
                <w:sz w:val="14"/>
                <w:szCs w:val="14"/>
                <w:color w:val="auto"/>
              </w:rPr>
              <w:t>In Millions</w:t>
            </w:r>
          </w:p>
        </w:tc>
      </w:tr>
      <w:tr>
        <w:trPr>
          <w:trHeight w:val="209"/>
        </w:trPr>
        <w:tc>
          <w:tcPr>
            <w:tcW w:w="9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Cash and balances due from depository institutions: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Noninterest-bearing balances and currency and coin</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24,485</w:t>
            </w:r>
          </w:p>
        </w:tc>
      </w:tr>
      <w:tr>
        <w:trPr>
          <w:trHeight w:val="216"/>
        </w:trPr>
        <w:tc>
          <w:tcPr>
            <w:tcW w:w="9320" w:type="dxa"/>
            <w:vAlign w:val="bottom"/>
          </w:tcPr>
          <w:p>
            <w:pPr>
              <w:ind w:left="360"/>
              <w:spacing w:after="0"/>
              <w:rPr>
                <w:sz w:val="20"/>
                <w:szCs w:val="20"/>
                <w:color w:val="auto"/>
              </w:rPr>
            </w:pPr>
            <w:r>
              <w:rPr>
                <w:rFonts w:ascii="Arial" w:cs="Arial" w:eastAsia="Arial" w:hAnsi="Arial"/>
                <w:sz w:val="18"/>
                <w:szCs w:val="18"/>
                <w:color w:val="auto"/>
              </w:rPr>
              <w:t>Interest-bearing balances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246,726</w:t>
            </w: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20" w:type="dxa"/>
            <w:vAlign w:val="bottom"/>
          </w:tcPr>
          <w:p>
            <w:pPr>
              <w:ind w:left="360"/>
              <w:spacing w:after="0"/>
              <w:rPr>
                <w:sz w:val="20"/>
                <w:szCs w:val="20"/>
                <w:color w:val="auto"/>
              </w:rPr>
            </w:pPr>
            <w:r>
              <w:rPr>
                <w:rFonts w:ascii="Arial" w:cs="Arial" w:eastAsia="Arial" w:hAnsi="Arial"/>
                <w:sz w:val="18"/>
                <w:szCs w:val="18"/>
                <w:color w:val="auto"/>
              </w:rPr>
              <w:t>Held-to-maturity securities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260,942</w:t>
            </w:r>
          </w:p>
        </w:tc>
      </w:tr>
      <w:tr>
        <w:trPr>
          <w:trHeight w:val="216"/>
        </w:trPr>
        <w:tc>
          <w:tcPr>
            <w:tcW w:w="9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Available-for-sale securities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179,533</w:t>
            </w:r>
          </w:p>
        </w:tc>
      </w:tr>
      <w:tr>
        <w:trPr>
          <w:trHeight w:val="230"/>
        </w:trPr>
        <w:tc>
          <w:tcPr>
            <w:tcW w:w="9320" w:type="dxa"/>
            <w:vAlign w:val="bottom"/>
          </w:tcPr>
          <w:p>
            <w:pPr>
              <w:ind w:left="360"/>
              <w:spacing w:after="0"/>
              <w:rPr>
                <w:sz w:val="20"/>
                <w:szCs w:val="20"/>
                <w:color w:val="auto"/>
              </w:rPr>
            </w:pPr>
            <w:r>
              <w:rPr>
                <w:rFonts w:ascii="Arial" w:cs="Arial" w:eastAsia="Arial" w:hAnsi="Arial"/>
                <w:sz w:val="18"/>
                <w:szCs w:val="18"/>
                <w:color w:val="auto"/>
              </w:rPr>
              <w:t>Equity Securities with readily determinable fair value not held for trading</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02"/>
        </w:trPr>
        <w:tc>
          <w:tcPr>
            <w:tcW w:w="9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20" w:type="dxa"/>
            <w:vAlign w:val="bottom"/>
          </w:tcPr>
          <w:p>
            <w:pPr>
              <w:ind w:left="360"/>
              <w:spacing w:after="0"/>
              <w:rPr>
                <w:sz w:val="20"/>
                <w:szCs w:val="20"/>
                <w:color w:val="auto"/>
              </w:rPr>
            </w:pPr>
            <w:r>
              <w:rPr>
                <w:rFonts w:ascii="Arial" w:cs="Arial" w:eastAsia="Arial" w:hAnsi="Arial"/>
                <w:sz w:val="18"/>
                <w:szCs w:val="18"/>
                <w:color w:val="auto"/>
              </w:rPr>
              <w:t>Federal funds sold in domestic offices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r>
      <w:tr>
        <w:trPr>
          <w:trHeight w:val="216"/>
        </w:trPr>
        <w:tc>
          <w:tcPr>
            <w:tcW w:w="9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 purchased under agreements to resell</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69,654</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Loans and lease financing receivables: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and leases held for sale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23,048</w:t>
            </w:r>
          </w:p>
        </w:tc>
      </w:tr>
      <w:tr>
        <w:trPr>
          <w:trHeight w:val="216"/>
        </w:trPr>
        <w:tc>
          <w:tcPr>
            <w:tcW w:w="9320" w:type="dxa"/>
            <w:vAlign w:val="bottom"/>
          </w:tcPr>
          <w:p>
            <w:pPr>
              <w:ind w:left="360"/>
              <w:spacing w:after="0"/>
              <w:rPr>
                <w:sz w:val="20"/>
                <w:szCs w:val="20"/>
                <w:color w:val="auto"/>
              </w:rPr>
            </w:pPr>
            <w:r>
              <w:rPr>
                <w:rFonts w:ascii="Arial" w:cs="Arial" w:eastAsia="Arial" w:hAnsi="Arial"/>
                <w:sz w:val="18"/>
                <w:szCs w:val="18"/>
                <w:color w:val="auto"/>
              </w:rPr>
              <w:t>Loans and leases, net of unearned income</w:t>
            </w:r>
          </w:p>
        </w:tc>
        <w:tc>
          <w:tcPr>
            <w:tcW w:w="820" w:type="dxa"/>
            <w:vAlign w:val="bottom"/>
          </w:tcPr>
          <w:p>
            <w:pPr>
              <w:jc w:val="right"/>
              <w:ind w:right="74"/>
              <w:spacing w:after="0"/>
              <w:rPr>
                <w:sz w:val="20"/>
                <w:szCs w:val="20"/>
                <w:color w:val="auto"/>
              </w:rPr>
            </w:pPr>
            <w:r>
              <w:rPr>
                <w:rFonts w:ascii="Arial" w:cs="Arial" w:eastAsia="Arial" w:hAnsi="Arial"/>
                <w:sz w:val="18"/>
                <w:szCs w:val="18"/>
                <w:color w:val="auto"/>
                <w:w w:val="98"/>
              </w:rPr>
              <w:t>814,518</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Allowance for loan and lease losses</w:t>
            </w:r>
          </w:p>
        </w:tc>
        <w:tc>
          <w:tcPr>
            <w:tcW w:w="8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14,938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20" w:type="dxa"/>
            <w:vAlign w:val="bottom"/>
          </w:tcPr>
          <w:p>
            <w:pPr>
              <w:ind w:left="360"/>
              <w:spacing w:after="0"/>
              <w:rPr>
                <w:sz w:val="20"/>
                <w:szCs w:val="20"/>
                <w:color w:val="auto"/>
              </w:rPr>
            </w:pPr>
            <w:r>
              <w:rPr>
                <w:rFonts w:ascii="Arial" w:cs="Arial" w:eastAsia="Arial" w:hAnsi="Arial"/>
                <w:sz w:val="18"/>
                <w:szCs w:val="18"/>
                <w:color w:val="auto"/>
              </w:rPr>
              <w:t>Loans and leases, net of unearned income and allowance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799,580</w:t>
            </w: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Trading Assets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67,985</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10,914</w:t>
            </w: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Other real estate owned</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13,445</w:t>
            </w: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Intangible assets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30,685</w:t>
            </w: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49,428</w:t>
            </w:r>
          </w:p>
        </w:tc>
      </w:tr>
      <w:tr>
        <w:trPr>
          <w:trHeight w:val="224"/>
        </w:trPr>
        <w:tc>
          <w:tcPr>
            <w:tcW w:w="9320" w:type="dxa"/>
            <w:vAlign w:val="bottom"/>
          </w:tcPr>
          <w:p>
            <w:pPr>
              <w:spacing w:after="0"/>
              <w:rPr>
                <w:sz w:val="20"/>
                <w:szCs w:val="20"/>
                <w:color w:val="auto"/>
              </w:rPr>
            </w:pPr>
            <w:r>
              <w:rPr>
                <w:rFonts w:ascii="Arial" w:cs="Arial" w:eastAsia="Arial" w:hAnsi="Arial"/>
                <w:sz w:val="18"/>
                <w:szCs w:val="18"/>
                <w:color w:val="auto"/>
              </w:rPr>
              <w:t>Total assets</w:t>
            </w:r>
          </w:p>
        </w:tc>
        <w:tc>
          <w:tcPr>
            <w:tcW w:w="8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1,776,718</w:t>
            </w:r>
          </w:p>
        </w:tc>
        <w:tc>
          <w:tcPr>
            <w:tcW w:w="60" w:type="dxa"/>
            <w:vAlign w:val="bottom"/>
          </w:tcPr>
          <w:p>
            <w:pPr>
              <w:spacing w:after="0"/>
              <w:rPr>
                <w:sz w:val="19"/>
                <w:szCs w:val="19"/>
                <w:color w:val="auto"/>
              </w:rPr>
            </w:pPr>
          </w:p>
        </w:tc>
      </w:tr>
      <w:tr>
        <w:trPr>
          <w:trHeight w:val="215"/>
        </w:trPr>
        <w:tc>
          <w:tcPr>
            <w:tcW w:w="9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Deposits: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 domestic offices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1,465,966</w:t>
            </w:r>
          </w:p>
        </w:tc>
      </w:tr>
      <w:tr>
        <w:trPr>
          <w:trHeight w:val="216"/>
        </w:trPr>
        <w:tc>
          <w:tcPr>
            <w:tcW w:w="9320" w:type="dxa"/>
            <w:vAlign w:val="bottom"/>
          </w:tcPr>
          <w:p>
            <w:pPr>
              <w:ind w:left="720"/>
              <w:spacing w:after="0"/>
              <w:rPr>
                <w:sz w:val="20"/>
                <w:szCs w:val="20"/>
                <w:color w:val="auto"/>
              </w:rPr>
            </w:pPr>
            <w:r>
              <w:rPr>
                <w:rFonts w:ascii="Arial" w:cs="Arial" w:eastAsia="Arial" w:hAnsi="Arial"/>
                <w:sz w:val="18"/>
                <w:szCs w:val="18"/>
                <w:color w:val="auto"/>
              </w:rPr>
              <w:t>Noninterest-bearing</w:t>
            </w:r>
          </w:p>
        </w:tc>
        <w:tc>
          <w:tcPr>
            <w:tcW w:w="820" w:type="dxa"/>
            <w:vAlign w:val="bottom"/>
          </w:tcPr>
          <w:p>
            <w:pPr>
              <w:jc w:val="right"/>
              <w:ind w:right="74"/>
              <w:spacing w:after="0"/>
              <w:rPr>
                <w:sz w:val="20"/>
                <w:szCs w:val="20"/>
                <w:color w:val="auto"/>
              </w:rPr>
            </w:pPr>
            <w:r>
              <w:rPr>
                <w:rFonts w:ascii="Arial" w:cs="Arial" w:eastAsia="Arial" w:hAnsi="Arial"/>
                <w:sz w:val="18"/>
                <w:szCs w:val="18"/>
                <w:color w:val="auto"/>
                <w:w w:val="98"/>
              </w:rPr>
              <w:t>559,946</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Interest-bearing</w:t>
            </w:r>
          </w:p>
        </w:tc>
        <w:tc>
          <w:tcPr>
            <w:tcW w:w="8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8"/>
              </w:rPr>
              <w:t>906,020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20" w:type="dxa"/>
            <w:vAlign w:val="bottom"/>
          </w:tcPr>
          <w:p>
            <w:pPr>
              <w:ind w:left="360"/>
              <w:spacing w:after="0"/>
              <w:rPr>
                <w:sz w:val="20"/>
                <w:szCs w:val="20"/>
                <w:color w:val="auto"/>
              </w:rPr>
            </w:pPr>
            <w:r>
              <w:rPr>
                <w:rFonts w:ascii="Arial" w:cs="Arial" w:eastAsia="Arial" w:hAnsi="Arial"/>
                <w:sz w:val="18"/>
                <w:szCs w:val="18"/>
                <w:color w:val="auto"/>
              </w:rPr>
              <w:t>In foreign offices, Edge and Agreement subsidiaries, and IBFs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28,631</w:t>
            </w:r>
          </w:p>
        </w:tc>
      </w:tr>
      <w:tr>
        <w:trPr>
          <w:trHeight w:val="216"/>
        </w:trPr>
        <w:tc>
          <w:tcPr>
            <w:tcW w:w="9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Noninterest-bearing</w:t>
            </w:r>
          </w:p>
        </w:tc>
        <w:tc>
          <w:tcPr>
            <w:tcW w:w="8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20" w:type="dxa"/>
            <w:vAlign w:val="bottom"/>
          </w:tcPr>
          <w:p>
            <w:pPr>
              <w:ind w:left="720"/>
              <w:spacing w:after="0"/>
              <w:rPr>
                <w:sz w:val="20"/>
                <w:szCs w:val="20"/>
                <w:color w:val="auto"/>
              </w:rPr>
            </w:pPr>
            <w:r>
              <w:rPr>
                <w:rFonts w:ascii="Arial" w:cs="Arial" w:eastAsia="Arial" w:hAnsi="Arial"/>
                <w:sz w:val="18"/>
                <w:szCs w:val="18"/>
                <w:color w:val="auto"/>
              </w:rPr>
              <w:t>Interest-bearing</w:t>
            </w:r>
          </w:p>
        </w:tc>
        <w:tc>
          <w:tcPr>
            <w:tcW w:w="820" w:type="dxa"/>
            <w:vAlign w:val="bottom"/>
          </w:tcPr>
          <w:p>
            <w:pPr>
              <w:jc w:val="right"/>
              <w:ind w:right="74"/>
              <w:spacing w:after="0"/>
              <w:rPr>
                <w:sz w:val="20"/>
                <w:szCs w:val="20"/>
                <w:color w:val="auto"/>
              </w:rPr>
            </w:pPr>
            <w:r>
              <w:rPr>
                <w:rFonts w:ascii="Arial" w:cs="Arial" w:eastAsia="Arial" w:hAnsi="Arial"/>
                <w:sz w:val="18"/>
                <w:szCs w:val="18"/>
                <w:color w:val="auto"/>
              </w:rPr>
              <w:t>28,382</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20" w:type="dxa"/>
            <w:vAlign w:val="bottom"/>
          </w:tcPr>
          <w:p>
            <w:pPr>
              <w:ind w:left="360"/>
              <w:spacing w:after="0"/>
              <w:rPr>
                <w:sz w:val="20"/>
                <w:szCs w:val="20"/>
                <w:color w:val="auto"/>
              </w:rPr>
            </w:pPr>
            <w:r>
              <w:rPr>
                <w:rFonts w:ascii="Arial" w:cs="Arial" w:eastAsia="Arial" w:hAnsi="Arial"/>
                <w:sz w:val="18"/>
                <w:szCs w:val="18"/>
                <w:color w:val="auto"/>
              </w:rPr>
              <w:t>Federal funds purchased in domestic offices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3,784</w:t>
            </w:r>
          </w:p>
        </w:tc>
      </w:tr>
      <w:tr>
        <w:trPr>
          <w:trHeight w:val="216"/>
        </w:trPr>
        <w:tc>
          <w:tcPr>
            <w:tcW w:w="9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 sold under agreements to repurchase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5,311</w:t>
            </w:r>
          </w:p>
        </w:tc>
      </w:tr>
    </w:tbl>
    <w:p>
      <w:pPr>
        <w:sectPr>
          <w:pgSz w:w="11900" w:h="16838" w:orient="portrait"/>
          <w:cols w:equalWidth="0" w:num="1">
            <w:col w:w="11020"/>
          </w:cols>
          <w:pgMar w:left="440" w:top="274" w:right="439" w:bottom="1440" w:gutter="0" w:footer="0" w:header="0"/>
        </w:sectPr>
      </w:pPr>
    </w:p>
    <w:bookmarkStart w:id="45" w:name="page46"/>
    <w:bookmarkEnd w:id="4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color w:val="auto"/>
              </w:rPr>
              <w:t>Dollar Amounts</w:t>
            </w:r>
          </w:p>
        </w:tc>
      </w:tr>
      <w:tr>
        <w:trPr>
          <w:trHeight w:val="167"/>
        </w:trPr>
        <w:tc>
          <w:tcPr>
            <w:tcW w:w="7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r>
      <w:tr>
        <w:trPr>
          <w:trHeight w:val="209"/>
        </w:trPr>
        <w:tc>
          <w:tcPr>
            <w:tcW w:w="7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Trading liabilities</w:t>
            </w:r>
          </w:p>
        </w:tc>
        <w:tc>
          <w:tcPr>
            <w:tcW w:w="2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Other borrowed money</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(Includes mortgage indebtedness and obligations under capitalized leases)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41,650</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Subordinated notes and debentures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12,084</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33,330</w:t>
            </w:r>
          </w:p>
        </w:tc>
      </w:tr>
      <w:tr>
        <w:trPr>
          <w:trHeight w:val="224"/>
        </w:trPr>
        <w:tc>
          <w:tcPr>
            <w:tcW w:w="7860" w:type="dxa"/>
            <w:vAlign w:val="bottom"/>
          </w:tcPr>
          <w:p>
            <w:pPr>
              <w:spacing w:after="0"/>
              <w:rPr>
                <w:sz w:val="20"/>
                <w:szCs w:val="20"/>
                <w:color w:val="auto"/>
              </w:rPr>
            </w:pPr>
            <w:r>
              <w:rPr>
                <w:rFonts w:ascii="Arial" w:cs="Arial" w:eastAsia="Arial" w:hAnsi="Arial"/>
                <w:sz w:val="18"/>
                <w:szCs w:val="18"/>
                <w:color w:val="auto"/>
              </w:rPr>
              <w:t>Total liabilities</w:t>
            </w:r>
          </w:p>
        </w:tc>
        <w:tc>
          <w:tcPr>
            <w:tcW w:w="216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1,604,148</w:t>
            </w:r>
          </w:p>
        </w:tc>
        <w:tc>
          <w:tcPr>
            <w:tcW w:w="60" w:type="dxa"/>
            <w:vAlign w:val="bottom"/>
          </w:tcPr>
          <w:p>
            <w:pPr>
              <w:spacing w:after="0"/>
              <w:rPr>
                <w:sz w:val="19"/>
                <w:szCs w:val="19"/>
                <w:color w:val="auto"/>
              </w:rPr>
            </w:pPr>
          </w:p>
        </w:tc>
      </w:tr>
      <w:tr>
        <w:trPr>
          <w:trHeight w:val="215"/>
        </w:trPr>
        <w:tc>
          <w:tcPr>
            <w:tcW w:w="78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EQUITY CAPITAL</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Perpetual preferred stock and related surplus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519</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114,820</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55,913</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1,287</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Other equity capital components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Total bank equity capital</w:t>
            </w:r>
          </w:p>
        </w:tc>
        <w:tc>
          <w:tcPr>
            <w:tcW w:w="2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172,539</w:t>
            </w:r>
          </w:p>
        </w:tc>
        <w:tc>
          <w:tcPr>
            <w:tcW w:w="60" w:type="dxa"/>
            <w:vAlign w:val="bottom"/>
          </w:tcPr>
          <w:p>
            <w:pPr>
              <w:spacing w:after="0"/>
              <w:rPr>
                <w:sz w:val="19"/>
                <w:szCs w:val="19"/>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(minority) interests in consolidated subsidiaries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r>
      <w:tr>
        <w:trPr>
          <w:trHeight w:val="439"/>
        </w:trPr>
        <w:tc>
          <w:tcPr>
            <w:tcW w:w="7860" w:type="dxa"/>
            <w:vAlign w:val="bottom"/>
          </w:tcPr>
          <w:p>
            <w:pPr>
              <w:spacing w:after="0"/>
              <w:rPr>
                <w:sz w:val="20"/>
                <w:szCs w:val="20"/>
                <w:color w:val="auto"/>
              </w:rPr>
            </w:pPr>
            <w:r>
              <w:rPr>
                <w:rFonts w:ascii="Arial" w:cs="Arial" w:eastAsia="Arial" w:hAnsi="Arial"/>
                <w:sz w:val="18"/>
                <w:szCs w:val="18"/>
                <w:color w:val="auto"/>
              </w:rPr>
              <w:t>Total equity capital</w:t>
            </w:r>
          </w:p>
        </w:tc>
        <w:tc>
          <w:tcPr>
            <w:tcW w:w="2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172,570</w:t>
            </w:r>
          </w:p>
        </w:tc>
        <w:tc>
          <w:tcPr>
            <w:tcW w:w="60" w:type="dxa"/>
            <w:vAlign w:val="bottom"/>
          </w:tcPr>
          <w:p>
            <w:pPr>
              <w:spacing w:after="0"/>
              <w:rPr>
                <w:sz w:val="24"/>
                <w:szCs w:val="24"/>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 capital</w:t>
            </w:r>
          </w:p>
        </w:tc>
        <w:tc>
          <w:tcPr>
            <w:tcW w:w="228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1,776,718</w:t>
            </w:r>
          </w:p>
        </w:tc>
      </w:tr>
    </w:tbl>
    <w:p>
      <w:pPr>
        <w:spacing w:after="0" w:line="202" w:lineRule="exact"/>
        <w:rPr>
          <w:sz w:val="20"/>
          <w:szCs w:val="20"/>
          <w:color w:val="auto"/>
        </w:rPr>
      </w:pPr>
    </w:p>
    <w:p>
      <w:pPr>
        <w:jc w:val="both"/>
        <w:ind w:right="940"/>
        <w:spacing w:after="0" w:line="342" w:lineRule="auto"/>
        <w:rPr>
          <w:sz w:val="20"/>
          <w:szCs w:val="20"/>
          <w:color w:val="auto"/>
        </w:rPr>
      </w:pPr>
      <w:r>
        <w:rPr>
          <w:rFonts w:ascii="Arial" w:cs="Arial" w:eastAsia="Arial" w:hAnsi="Arial"/>
          <w:sz w:val="16"/>
          <w:szCs w:val="16"/>
          <w:color w:val="auto"/>
        </w:rPr>
        <w:t>I, Michael P. Santomassimo, Sr. EVP &amp; CFO of the above-named bank do hereby declare that this Report of Condition has been prepared in conformance with the instructions issued by the appropriate Federal regulatory authority and is true to the best of my knowledge and belief.</w:t>
      </w:r>
    </w:p>
    <w:p>
      <w:pPr>
        <w:spacing w:after="0" w:line="12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Michael P. Santomassimo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Sr. EVP &amp; CFO</w:t>
      </w:r>
    </w:p>
    <w:p>
      <w:pPr>
        <w:spacing w:after="0" w:line="211"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We, the undersigned directors, attest to the correctness of this Report of Condition and declare that it has been examined by us and to the best of our knowledge and belief has been prepared in conformance with the instructions issued by the appropriate Federal regulatory authority and is true and correct.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Maria R. Morris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Theodore F. Craver,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Juan A. Pujadas</w:t>
      </w:r>
    </w:p>
    <w:sectPr>
      <w:pgSz w:w="11900" w:h="16838" w:orient="portrait"/>
      <w:cols w:equalWidth="0" w:num="1">
        <w:col w:w="11020"/>
      </w:cols>
      <w:pgMar w:left="440" w:top="25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1"/>
    </w:lvl>
  </w:abstractNum>
  <w:abstractNum w:abstractNumId="1">
    <w:nsid w:val="2443A858"/>
    <w:multiLevelType w:val="hybridMultilevel"/>
    <w:lvl w:ilvl="0">
      <w:lvlJc w:val="left"/>
      <w:lvlText w:val="%1"/>
      <w:numFmt w:val="upperLetter"/>
      <w:start w:val="55"/>
    </w:lvl>
  </w:abstractNum>
  <w:abstractNum w:abstractNumId="2">
    <w:nsid w:val="2D1D5AE9"/>
    <w:multiLevelType w:val="hybridMultilevel"/>
    <w:lvl w:ilvl="0">
      <w:lvlJc w:val="left"/>
      <w:lvlText w:val="(%1)"/>
      <w:numFmt w:val="decimal"/>
      <w:start w:val="941"/>
    </w:lvl>
  </w:abstractNum>
  <w:abstractNum w:abstractNumId="3">
    <w:nsid w:val="6763845E"/>
    <w:multiLevelType w:val="hybridMultilevel"/>
    <w:lvl w:ilvl="0">
      <w:lvlJc w:val="left"/>
      <w:lvlText w:val="(%1)"/>
      <w:numFmt w:val="lowerLetter"/>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decimal"/>
      <w:start w:val="1"/>
    </w:lvl>
    <w:lvl w:ilvl="1">
      <w:lvlJc w:val="left"/>
      <w:lvlText w:val="(%2)"/>
      <w:numFmt w:val="lowerLetter"/>
      <w:start w:val="1"/>
    </w:lvl>
  </w:abstractNum>
  <w:abstractNum w:abstractNumId="17">
    <w:nsid w:val="1E7FF521"/>
    <w:multiLevelType w:val="hybridMultilevel"/>
    <w:lvl w:ilvl="0">
      <w:lvlJc w:val="left"/>
      <w:lvlText w:val="(%1)"/>
      <w:numFmt w:val="decimal"/>
      <w:start w:val="3"/>
    </w:lvl>
  </w:abstractNum>
  <w:abstractNum w:abstractNumId="18">
    <w:nsid w:val="7C3DBD3D"/>
    <w:multiLevelType w:val="hybridMultilevel"/>
    <w:lvl w:ilvl="0">
      <w:lvlJc w:val="left"/>
      <w:lvlText w:val="(%1)"/>
      <w:numFmt w:val="decimal"/>
      <w:start w:val="1"/>
    </w:lvl>
    <w:lvl w:ilvl="1">
      <w:lvlJc w:val="left"/>
      <w:lvlText w:val="(%2)"/>
      <w:numFmt w:val="upperLetter"/>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lowerRoman"/>
      <w:start w:val="1"/>
    </w:lvl>
    <w:lvl w:ilvl="1">
      <w:lvlJc w:val="left"/>
      <w:lvlText w:val="(%2)"/>
      <w:numFmt w:val="decimal"/>
      <w:start w:val="1"/>
    </w:lvl>
  </w:abstractNum>
  <w:abstractNum w:abstractNumId="21">
    <w:nsid w:val="22221A70"/>
    <w:multiLevelType w:val="hybridMultilevel"/>
    <w:lvl w:ilvl="0">
      <w:lvlJc w:val="left"/>
      <w:lvlText w:val="(%1)"/>
      <w:numFmt w:val="decimal"/>
      <w:start w:val="6"/>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1)"/>
      <w:numFmt w:val="lowerLetter"/>
      <w:start w:val="1"/>
    </w:lvl>
    <w:lvl w:ilvl="1">
      <w:lvlJc w:val="left"/>
      <w:lvlText w:val="(%2)"/>
      <w:numFmt w:val="decimal"/>
      <w:start w:val="1"/>
    </w:lvl>
  </w:abstractNum>
  <w:abstractNum w:abstractNumId="31">
    <w:nsid w:val="7724C67E"/>
    <w:multiLevelType w:val="hybridMultilevel"/>
    <w:lvl w:ilvl="0">
      <w:lvlJc w:val="left"/>
      <w:lvlText w:val="(%1)"/>
      <w:numFmt w:val="lowerRoman"/>
      <w:start w:val="1"/>
    </w:lvl>
  </w:abstractNum>
  <w:abstractNum w:abstractNumId="32">
    <w:nsid w:val="5C482A97"/>
    <w:multiLevelType w:val="hybridMultilevel"/>
    <w:lvl w:ilvl="0">
      <w:lvlJc w:val="left"/>
      <w:lvlText w:val="(%1)"/>
      <w:numFmt w:val="lowerRoman"/>
      <w:start w:val="3"/>
    </w:lvl>
  </w:abstractNum>
  <w:abstractNum w:abstractNumId="33">
    <w:nsid w:val="2463B9EA"/>
    <w:multiLevelType w:val="hybridMultilevel"/>
    <w:lvl w:ilvl="0">
      <w:lvlJc w:val="left"/>
      <w:lvlText w:val="(%1)"/>
      <w:numFmt w:val="decimal"/>
      <w:start w:val="2"/>
    </w:lvl>
    <w:lvl w:ilvl="1">
      <w:lvlJc w:val="left"/>
      <w:lvlText w:val="(%2)"/>
      <w:numFmt w:val="upperLetter"/>
      <w:start w:val="1"/>
    </w:lvl>
  </w:abstractNum>
  <w:abstractNum w:abstractNumId="34">
    <w:nsid w:val="5E884ADC"/>
    <w:multiLevelType w:val="hybridMultilevel"/>
    <w:lvl w:ilvl="0">
      <w:lvlJc w:val="left"/>
      <w:lvlText w:val="(%1)"/>
      <w:numFmt w:val="decimal"/>
      <w:start w:val="5"/>
    </w:lvl>
  </w:abstractNum>
  <w:abstractNum w:abstractNumId="35">
    <w:nsid w:val="51EAD36B"/>
    <w:multiLevelType w:val="hybridMultilevel"/>
    <w:lvl w:ilvl="0">
      <w:lvlJc w:val="left"/>
      <w:lvlText w:val="(%1)"/>
      <w:numFmt w:val="lowerRoman"/>
      <w:start w:val="1"/>
    </w:lvl>
  </w:abstractNum>
  <w:abstractNum w:abstractNumId="36">
    <w:nsid w:val="2D517796"/>
    <w:multiLevelType w:val="hybridMultilevel"/>
    <w:lvl w:ilvl="0">
      <w:lvlJc w:val="left"/>
      <w:lvlText w:val="%1"/>
      <w:numFmt w:val="lowerLetter"/>
      <w:start w:val="1"/>
    </w:lvl>
    <w:lvl w:ilvl="1">
      <w:lvlJc w:val="left"/>
      <w:lvlText w:val="(%2)"/>
      <w:numFmt w:val="lowerRoman"/>
      <w:start w:val="4"/>
    </w:lvl>
  </w:abstractNum>
  <w:abstractNum w:abstractNumId="37">
    <w:nsid w:val="580BD78F"/>
    <w:multiLevelType w:val="hybridMultilevel"/>
    <w:lvl w:ilvl="0">
      <w:lvlJc w:val="left"/>
      <w:lvlText w:val="(%1)"/>
      <w:numFmt w:val="lowerLetter"/>
      <w:start w:val="2"/>
    </w:lvl>
    <w:lvl w:ilvl="1">
      <w:lvlJc w:val="left"/>
      <w:lvlText w:val="%2"/>
      <w:numFmt w:val="lowerRoman"/>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1)"/>
      <w:numFmt w:val="lowerRoman"/>
      <w:start w:val="7"/>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1)"/>
      <w:numFmt w:val="lowerLetter"/>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42" Type="http://schemas.openxmlformats.org/officeDocument/2006/relationships/image" Target="media/image23.png"/><Relationship Id="rId43" Type="http://schemas.openxmlformats.org/officeDocument/2006/relationships/image" Target="media/image24.png"/><Relationship Id="rId44" Type="http://schemas.openxmlformats.org/officeDocument/2006/relationships/image" Target="media/image25.png"/><Relationship Id="rId45" Type="http://schemas.openxmlformats.org/officeDocument/2006/relationships/image" Target="media/image26.png"/><Relationship Id="rId46" Type="http://schemas.openxmlformats.org/officeDocument/2006/relationships/image" Target="media/image27.png"/><Relationship Id="rId47" Type="http://schemas.openxmlformats.org/officeDocument/2006/relationships/image" Target="media/image28.png"/><Relationship Id="rId48" Type="http://schemas.openxmlformats.org/officeDocument/2006/relationships/image" Target="media/image29.png"/><Relationship Id="rId49" Type="http://schemas.openxmlformats.org/officeDocument/2006/relationships/image" Target="media/image30.png"/><Relationship Id="rId50" Type="http://schemas.openxmlformats.org/officeDocument/2006/relationships/image" Target="media/image31.png"/><Relationship Id="rId51" Type="http://schemas.openxmlformats.org/officeDocument/2006/relationships/image" Target="media/image32.png"/><Relationship Id="rId52" Type="http://schemas.openxmlformats.org/officeDocument/2006/relationships/image" Target="media/image33.png"/><Relationship Id="rId53" Type="http://schemas.openxmlformats.org/officeDocument/2006/relationships/image" Target="media/image34.png"/><Relationship Id="rId54" Type="http://schemas.openxmlformats.org/officeDocument/2006/relationships/image" Target="media/image35.png"/><Relationship Id="rId55" Type="http://schemas.openxmlformats.org/officeDocument/2006/relationships/image" Target="media/image36.png"/><Relationship Id="rId56"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30" Type="http://schemas.openxmlformats.org/officeDocument/2006/relationships/hyperlink" Target="http://www.sec.gov/ix?doc=/Archives/edgar/data/882835/000088283521000011/rop-20201231.htm" TargetMode="External"/><Relationship Id="rId31" Type="http://schemas.openxmlformats.org/officeDocument/2006/relationships/hyperlink" Target="http://www.sec.gov/ix?doc=/Archives/edgar/data/882835/000088283521000018/rop-20210331.htm" TargetMode="External"/><Relationship Id="rId32" Type="http://schemas.openxmlformats.org/officeDocument/2006/relationships/hyperlink" Target="http://www.sec.gov/ix?doc=/Archives/edgar/data/882835/000088283521000044/rop-20210630.htm" TargetMode="External"/><Relationship Id="rId33" Type="http://schemas.openxmlformats.org/officeDocument/2006/relationships/hyperlink" Target="http://www.sec.gov/ix?doc=/Archives/edgar/data/882835/000088283521000004/rop-20201231.htm" TargetMode="External"/><Relationship Id="rId34" Type="http://schemas.openxmlformats.org/officeDocument/2006/relationships/hyperlink" Target="http://www.sec.gov/ix?doc=/Archives/edgar/data/882835/000088283521000014/rop-20210318.htm" TargetMode="External"/><Relationship Id="rId35" Type="http://schemas.openxmlformats.org/officeDocument/2006/relationships/hyperlink" Target="http://www.sec.gov/ix?doc=/Archives/edgar/data/882835/000119312521189824/d185876d8k.htm" TargetMode="External"/><Relationship Id="rId36" Type="http://schemas.openxmlformats.org/officeDocument/2006/relationships/hyperlink" Target="http://www.sec.gov/ix?doc=/Archives/edgar/data/882835/000088283521000048/rop-20211001.htm" TargetMode="External"/><Relationship Id="rId37" Type="http://schemas.openxmlformats.org/officeDocument/2006/relationships/hyperlink" Target="http://www.sec.gov/ix?doc=/Archives/edgar/data/882835/000088283521000050/rop-20211008.htm" TargetMode="External"/><Relationship Id="rId38" Type="http://schemas.openxmlformats.org/officeDocument/2006/relationships/hyperlink" Target="http://www.sec.gov/ix?doc=/Archives/edgar/data/882835/000088283521000058/rop-20211021.htm" TargetMode="External"/><Relationship Id="rId39" Type="http://schemas.openxmlformats.org/officeDocument/2006/relationships/hyperlink" Target="http://www.sec.gov/Archives/edgar/data/882835/000119312521140367/d10608ddef14a.htm" TargetMode="External"/><Relationship Id="rId40" Type="http://schemas.openxmlformats.org/officeDocument/2006/relationships/hyperlink" Target="http://www.sec.gov/Archives/edgar/data/882835/000095012302005624/g76536s-1.htm" TargetMode="External"/><Relationship Id="rId41" Type="http://schemas.openxmlformats.org/officeDocument/2006/relationships/hyperlink" Target="http://www.sec.gov/Archives/edgar/data/882835/000088283520000006/a201910-kex417.htm" TargetMode="External"/><Relationship Id="rId65" Type="http://schemas.openxmlformats.org/officeDocument/2006/relationships/hyperlink" Target="http://www.sec.gov/Archives/edgar/data/882835/000119312518333512/d659878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2021-10-28T15:17:01Z</dcterms:created>
  <dcterms:modified xsi:type="dcterms:W3CDTF">2021-10-28T15:17:01Z</dcterms:modified>
</cp:coreProperties>
</file>