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CUSIP NO. 776696106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Page 1 of 13</w:t>
      </w:r>
    </w:p>
    <w:p>
      <w:pPr>
        <w:spacing w:after="0" w:line="209" w:lineRule="exact"/>
        <w:rPr>
          <w:sz w:val="24"/>
          <w:szCs w:val="24"/>
          <w:color w:val="auto"/>
        </w:rPr>
      </w:pPr>
    </w:p>
    <w:p>
      <w:pPr>
        <w:sectPr>
          <w:pgSz w:w="11900" w:h="16838" w:orient="portrait"/>
          <w:cols w:equalWidth="0" w:num="3">
            <w:col w:w="3500" w:space="720"/>
            <w:col w:w="2960" w:space="720"/>
            <w:col w:w="1819"/>
          </w:cols>
          <w:pgMar w:left="740" w:top="973" w:right="1440" w:bottom="1440" w:gutter="0" w:footer="0" w:header="0"/>
        </w:sectPr>
      </w:pPr>
    </w:p>
    <w:p>
      <w:pPr>
        <w:spacing w:after="0" w:line="285" w:lineRule="exact"/>
        <w:rPr>
          <w:sz w:val="24"/>
          <w:szCs w:val="24"/>
          <w:color w:val="auto"/>
        </w:rPr>
      </w:pPr>
    </w:p>
    <w:p>
      <w:pPr>
        <w:ind w:left="3660"/>
        <w:spacing w:after="0"/>
        <w:rPr>
          <w:sz w:val="20"/>
          <w:szCs w:val="20"/>
          <w:color w:val="auto"/>
        </w:rPr>
      </w:pPr>
      <w:r>
        <w:rPr>
          <w:rFonts w:ascii="Courier New" w:cs="Courier New" w:eastAsia="Courier New" w:hAnsi="Courier New"/>
          <w:sz w:val="18"/>
          <w:szCs w:val="18"/>
          <w:color w:val="auto"/>
        </w:rPr>
        <w:t>UNITED STATES</w:t>
      </w:r>
    </w:p>
    <w:p>
      <w:pPr>
        <w:ind w:left="26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200"/>
        <w:spacing w:after="0"/>
        <w:rPr>
          <w:sz w:val="20"/>
          <w:szCs w:val="20"/>
          <w:color w:val="auto"/>
        </w:rPr>
      </w:pPr>
      <w:r>
        <w:rPr>
          <w:rFonts w:ascii="Courier New" w:cs="Courier New" w:eastAsia="Courier New" w:hAnsi="Courier New"/>
          <w:sz w:val="18"/>
          <w:szCs w:val="18"/>
          <w:color w:val="auto"/>
        </w:rPr>
        <w:t>Washington, D.C. 20549</w:t>
      </w:r>
    </w:p>
    <w:p>
      <w:pPr>
        <w:spacing w:after="0" w:line="24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44" w:lineRule="exact"/>
        <w:rPr>
          <w:sz w:val="24"/>
          <w:szCs w:val="24"/>
          <w:color w:val="auto"/>
        </w:rPr>
      </w:pPr>
    </w:p>
    <w:p>
      <w:pPr>
        <w:ind w:left="226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8"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w:t>
      </w:r>
    </w:p>
    <w:p>
      <w:pPr>
        <w:spacing w:after="0" w:line="242" w:lineRule="exact"/>
        <w:rPr>
          <w:sz w:val="24"/>
          <w:szCs w:val="24"/>
          <w:color w:val="auto"/>
        </w:rPr>
      </w:pPr>
    </w:p>
    <w:p>
      <w:pPr>
        <w:ind w:left="3200"/>
        <w:spacing w:after="0"/>
        <w:rPr>
          <w:sz w:val="20"/>
          <w:szCs w:val="20"/>
          <w:color w:val="auto"/>
        </w:rPr>
      </w:pPr>
      <w:r>
        <w:rPr>
          <w:rFonts w:ascii="Courier New" w:cs="Courier New" w:eastAsia="Courier New" w:hAnsi="Courier New"/>
          <w:sz w:val="18"/>
          <w:szCs w:val="18"/>
          <w:color w:val="auto"/>
        </w:rPr>
        <w:t>ROPER INDUSTRIES,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$0.01 Par Value</w:t>
      </w:r>
    </w:p>
    <w:p>
      <w:pPr>
        <w:spacing w:after="0" w:line="26"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776696106</w:t>
      </w:r>
    </w:p>
    <w:p>
      <w:pPr>
        <w:spacing w:after="0" w:line="228"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9719"/>
          </w:cols>
          <w:pgMar w:left="740" w:top="973" w:right="1440" w:bottom="1440" w:gutter="0" w:footer="0" w:header="0"/>
          <w:type w:val="continuous"/>
        </w:sectPr>
      </w:pPr>
    </w:p>
    <w:p>
      <w:pPr>
        <w:spacing w:after="0" w:line="24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2013</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4" w:lineRule="exact"/>
        <w:rPr>
          <w:sz w:val="24"/>
          <w:szCs w:val="24"/>
          <w:color w:val="auto"/>
        </w:rPr>
      </w:pPr>
    </w:p>
    <w:p>
      <w:pPr>
        <w:jc w:val="both"/>
        <w:ind w:right="7879" w:firstLine="8"/>
        <w:spacing w:after="0" w:line="216"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58" w:lineRule="exact"/>
        <w:rPr>
          <w:sz w:val="24"/>
          <w:szCs w:val="24"/>
          <w:color w:val="auto"/>
        </w:rPr>
      </w:pPr>
    </w:p>
    <w:p>
      <w:pPr>
        <w:ind w:right="107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5" w:lineRule="exact"/>
        <w:rPr>
          <w:sz w:val="24"/>
          <w:szCs w:val="24"/>
          <w:color w:val="auto"/>
        </w:rPr>
      </w:pPr>
    </w:p>
    <w:p>
      <w:pPr>
        <w:ind w:right="107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973" w:right="1440" w:bottom="1440" w:gutter="0" w:footer="0" w:header="0"/>
          <w:type w:val="continuous"/>
        </w:sectPr>
      </w:pPr>
    </w:p>
    <w:bookmarkStart w:id="1" w:name="page2"/>
    <w:bookmarkEnd w:id="1"/>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13</w:t>
      </w:r>
    </w:p>
    <w:p>
      <w:pPr>
        <w:spacing w:after="0" w:line="200" w:lineRule="exact"/>
        <w:rPr>
          <w:sz w:val="20"/>
          <w:szCs w:val="20"/>
          <w:color w:val="auto"/>
        </w:rPr>
      </w:pPr>
    </w:p>
    <w:p>
      <w:pPr>
        <w:spacing w:after="0" w:line="314" w:lineRule="exact"/>
        <w:rPr>
          <w:sz w:val="20"/>
          <w:szCs w:val="20"/>
          <w:color w:val="auto"/>
        </w:rPr>
      </w:pPr>
    </w:p>
    <w:p>
      <w:pPr>
        <w:ind w:left="600" w:right="6139" w:hanging="592"/>
        <w:spacing w:after="0" w:line="516" w:lineRule="auto"/>
        <w:tabs>
          <w:tab w:leader="none" w:pos="6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179" w:hanging="592"/>
        <w:spacing w:after="0" w:line="516"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3" w:lineRule="exact"/>
        <w:rPr>
          <w:sz w:val="20"/>
          <w:szCs w:val="20"/>
          <w:color w:val="auto"/>
        </w:rPr>
      </w:pPr>
    </w:p>
    <w:p>
      <w:pPr>
        <w:ind w:left="1260" w:right="6519" w:hanging="652"/>
        <w:spacing w:after="0" w:line="555" w:lineRule="auto"/>
        <w:tabs>
          <w:tab w:leader="none" w:pos="136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60" w:right="6299" w:hanging="652"/>
        <w:spacing w:after="0" w:line="522"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260" w:right="5979" w:hanging="652"/>
        <w:spacing w:after="0" w:line="522"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260" w:right="5759" w:hanging="652"/>
        <w:spacing w:after="0" w:line="522"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720" w:right="2579" w:hanging="712"/>
        <w:spacing w:after="0" w:line="516" w:lineRule="auto"/>
        <w:tabs>
          <w:tab w:leader="none" w:pos="6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5,210,025</w:t>
      </w:r>
    </w:p>
    <w:p>
      <w:pPr>
        <w:spacing w:after="0" w:line="1" w:lineRule="exact"/>
        <w:rPr>
          <w:rFonts w:ascii="Courier New" w:cs="Courier New" w:eastAsia="Courier New" w:hAnsi="Courier New"/>
          <w:sz w:val="18"/>
          <w:szCs w:val="18"/>
          <w:color w:val="auto"/>
        </w:rPr>
      </w:pPr>
    </w:p>
    <w:p>
      <w:pPr>
        <w:ind w:left="660" w:right="3779" w:hanging="652"/>
        <w:spacing w:after="0" w:line="238" w:lineRule="auto"/>
        <w:tabs>
          <w:tab w:leader="none" w:pos="65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3" w:lineRule="exact"/>
        <w:rPr>
          <w:rFonts w:ascii="Courier New" w:cs="Courier New" w:eastAsia="Courier New" w:hAnsi="Courier New"/>
          <w:sz w:val="18"/>
          <w:szCs w:val="18"/>
          <w:color w:val="auto"/>
        </w:rPr>
      </w:pPr>
    </w:p>
    <w:p>
      <w:pPr>
        <w:ind w:left="660" w:right="3779" w:hanging="652"/>
        <w:spacing w:after="0" w:line="516" w:lineRule="auto"/>
        <w:tabs>
          <w:tab w:leader="none" w:pos="65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 w:lineRule="exact"/>
        <w:rPr>
          <w:rFonts w:ascii="Courier New" w:cs="Courier New" w:eastAsia="Courier New" w:hAnsi="Courier New"/>
          <w:sz w:val="18"/>
          <w:szCs w:val="18"/>
          <w:color w:val="auto"/>
        </w:rPr>
      </w:pPr>
    </w:p>
    <w:p>
      <w:pPr>
        <w:ind w:left="660" w:right="6479" w:hanging="652"/>
        <w:spacing w:after="0" w:line="567" w:lineRule="auto"/>
        <w:tabs>
          <w:tab w:leader="none" w:pos="65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210185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92" w:right="1440" w:bottom="1440" w:gutter="0" w:footer="0" w:header="0"/>
        </w:sectPr>
      </w:pPr>
    </w:p>
    <w:bookmarkStart w:id="2" w:name="page3"/>
    <w:bookmarkEnd w:id="2"/>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13</w:t>
      </w:r>
    </w:p>
    <w:p>
      <w:pPr>
        <w:spacing w:after="0" w:line="200" w:lineRule="exact"/>
        <w:rPr>
          <w:sz w:val="20"/>
          <w:szCs w:val="20"/>
          <w:color w:val="auto"/>
        </w:rPr>
      </w:pPr>
    </w:p>
    <w:p>
      <w:pPr>
        <w:spacing w:after="0" w:line="287" w:lineRule="exact"/>
        <w:rPr>
          <w:sz w:val="20"/>
          <w:szCs w:val="20"/>
          <w:color w:val="auto"/>
        </w:rPr>
      </w:pPr>
    </w:p>
    <w:p>
      <w:pPr>
        <w:ind w:left="600" w:right="6139" w:hanging="592"/>
        <w:spacing w:after="0" w:line="522" w:lineRule="auto"/>
        <w:tabs>
          <w:tab w:leader="none" w:pos="6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179" w:hanging="592"/>
        <w:spacing w:after="0" w:line="522"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1200" w:right="6619" w:hanging="592"/>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 w:lineRule="exact"/>
        <w:rPr>
          <w:rFonts w:ascii="Courier New" w:cs="Courier New" w:eastAsia="Courier New" w:hAnsi="Courier New"/>
          <w:sz w:val="18"/>
          <w:szCs w:val="18"/>
          <w:color w:val="auto"/>
        </w:rPr>
      </w:pPr>
    </w:p>
    <w:p>
      <w:pPr>
        <w:ind w:left="1200" w:right="6419" w:hanging="592"/>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 w:lineRule="exact"/>
        <w:rPr>
          <w:rFonts w:ascii="Courier New" w:cs="Courier New" w:eastAsia="Courier New" w:hAnsi="Courier New"/>
          <w:sz w:val="18"/>
          <w:szCs w:val="18"/>
          <w:color w:val="auto"/>
        </w:rPr>
      </w:pPr>
    </w:p>
    <w:p>
      <w:pPr>
        <w:ind w:left="1200" w:right="6079" w:hanging="592"/>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 w:lineRule="exact"/>
        <w:rPr>
          <w:rFonts w:ascii="Courier New" w:cs="Courier New" w:eastAsia="Courier New" w:hAnsi="Courier New"/>
          <w:sz w:val="18"/>
          <w:szCs w:val="18"/>
          <w:color w:val="auto"/>
        </w:rPr>
      </w:pPr>
    </w:p>
    <w:p>
      <w:pPr>
        <w:ind w:left="1200" w:right="5879" w:hanging="592"/>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 w:lineRule="exact"/>
        <w:rPr>
          <w:rFonts w:ascii="Courier New" w:cs="Courier New" w:eastAsia="Courier New" w:hAnsi="Courier New"/>
          <w:sz w:val="18"/>
          <w:szCs w:val="18"/>
          <w:color w:val="auto"/>
        </w:rPr>
      </w:pPr>
    </w:p>
    <w:p>
      <w:pPr>
        <w:ind w:left="720" w:right="2579" w:hanging="712"/>
        <w:spacing w:after="0" w:line="516" w:lineRule="auto"/>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5,210,025</w:t>
      </w:r>
    </w:p>
    <w:p>
      <w:pPr>
        <w:ind w:left="660" w:hanging="652"/>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46" w:lineRule="exact"/>
        <w:rPr>
          <w:sz w:val="20"/>
          <w:szCs w:val="20"/>
          <w:color w:val="auto"/>
        </w:rPr>
      </w:pPr>
    </w:p>
    <w:p>
      <w:pPr>
        <w:ind w:left="600" w:right="3779" w:hanging="592"/>
        <w:spacing w:after="0" w:line="516" w:lineRule="auto"/>
        <w:tabs>
          <w:tab w:leader="none" w:pos="6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ind w:left="660" w:hanging="652"/>
        <w:spacing w:after="0"/>
        <w:tabs>
          <w:tab w:leader="none" w:pos="6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52" w:right="1440" w:bottom="1440" w:gutter="0" w:footer="0" w:header="0"/>
        </w:sectPr>
      </w:pPr>
    </w:p>
    <w:bookmarkStart w:id="3" w:name="page4"/>
    <w:bookmarkEnd w:id="3"/>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13</w:t>
      </w:r>
    </w:p>
    <w:p>
      <w:pPr>
        <w:spacing w:after="0" w:line="200" w:lineRule="exact"/>
        <w:rPr>
          <w:sz w:val="20"/>
          <w:szCs w:val="20"/>
          <w:color w:val="auto"/>
        </w:rPr>
      </w:pPr>
    </w:p>
    <w:p>
      <w:pPr>
        <w:spacing w:after="0" w:line="287" w:lineRule="exact"/>
        <w:rPr>
          <w:sz w:val="20"/>
          <w:szCs w:val="20"/>
          <w:color w:val="auto"/>
        </w:rPr>
      </w:pPr>
    </w:p>
    <w:p>
      <w:pPr>
        <w:ind w:left="600" w:right="6139" w:hanging="592"/>
        <w:spacing w:after="0" w:line="522" w:lineRule="auto"/>
        <w:tabs>
          <w:tab w:leader="none" w:pos="6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179" w:hanging="592"/>
        <w:spacing w:after="0" w:line="522" w:lineRule="auto"/>
        <w:tabs>
          <w:tab w:leader="none" w:pos="6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1200" w:right="6619" w:hanging="592"/>
        <w:spacing w:after="0" w:line="516" w:lineRule="auto"/>
        <w:tabs>
          <w:tab w:leader="none" w:pos="12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 w:lineRule="exact"/>
        <w:rPr>
          <w:rFonts w:ascii="Courier New" w:cs="Courier New" w:eastAsia="Courier New" w:hAnsi="Courier New"/>
          <w:sz w:val="18"/>
          <w:szCs w:val="18"/>
          <w:color w:val="auto"/>
        </w:rPr>
      </w:pPr>
    </w:p>
    <w:p>
      <w:pPr>
        <w:ind w:left="1200" w:right="6419" w:hanging="592"/>
        <w:spacing w:after="0" w:line="516" w:lineRule="auto"/>
        <w:tabs>
          <w:tab w:leader="none" w:pos="12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 w:lineRule="exact"/>
        <w:rPr>
          <w:rFonts w:ascii="Courier New" w:cs="Courier New" w:eastAsia="Courier New" w:hAnsi="Courier New"/>
          <w:sz w:val="18"/>
          <w:szCs w:val="18"/>
          <w:color w:val="auto"/>
        </w:rPr>
      </w:pPr>
    </w:p>
    <w:p>
      <w:pPr>
        <w:ind w:left="1200" w:right="6079" w:hanging="592"/>
        <w:spacing w:after="0" w:line="516" w:lineRule="auto"/>
        <w:tabs>
          <w:tab w:leader="none" w:pos="12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60" w:hanging="652"/>
        <w:spacing w:after="0"/>
        <w:tabs>
          <w:tab w:leader="none" w:pos="1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69"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5,210,025</w:t>
      </w:r>
    </w:p>
    <w:p>
      <w:pPr>
        <w:spacing w:after="0" w:line="230" w:lineRule="exact"/>
        <w:rPr>
          <w:sz w:val="20"/>
          <w:szCs w:val="20"/>
          <w:color w:val="auto"/>
        </w:rPr>
      </w:pPr>
    </w:p>
    <w:p>
      <w:pPr>
        <w:ind w:left="600" w:right="3779" w:hanging="592"/>
        <w:spacing w:after="0" w:line="238" w:lineRule="auto"/>
        <w:tabs>
          <w:tab w:leader="none" w:pos="6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3" w:lineRule="exact"/>
        <w:rPr>
          <w:rFonts w:ascii="Courier New" w:cs="Courier New" w:eastAsia="Courier New" w:hAnsi="Courier New"/>
          <w:sz w:val="18"/>
          <w:szCs w:val="18"/>
          <w:color w:val="auto"/>
        </w:rPr>
      </w:pPr>
    </w:p>
    <w:p>
      <w:pPr>
        <w:ind w:left="600" w:right="3779" w:hanging="592"/>
        <w:spacing w:after="0" w:line="516" w:lineRule="auto"/>
        <w:tabs>
          <w:tab w:leader="none" w:pos="6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ind w:left="660" w:hanging="652"/>
        <w:spacing w:after="0"/>
        <w:tabs>
          <w:tab w:leader="none" w:pos="6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52" w:right="1440" w:bottom="1440" w:gutter="0" w:footer="0" w:header="0"/>
        </w:sectPr>
      </w:pPr>
    </w:p>
    <w:bookmarkStart w:id="4" w:name="page5"/>
    <w:bookmarkEnd w:id="4"/>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13</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42" w:lineRule="exact"/>
        <w:rPr>
          <w:sz w:val="20"/>
          <w:szCs w:val="20"/>
          <w:color w:val="auto"/>
        </w:rPr>
      </w:pPr>
    </w:p>
    <w:p>
      <w:pPr>
        <w:ind w:left="660" w:hanging="652"/>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ROPER INDUSTRIES, INC.</w:t>
      </w:r>
    </w:p>
    <w:p>
      <w:pPr>
        <w:spacing w:after="0" w:line="228" w:lineRule="exact"/>
        <w:rPr>
          <w:sz w:val="20"/>
          <w:szCs w:val="20"/>
          <w:color w:val="auto"/>
        </w:rPr>
      </w:pPr>
    </w:p>
    <w:p>
      <w:pPr>
        <w:ind w:left="660" w:hanging="652"/>
        <w:spacing w:after="0"/>
        <w:tabs>
          <w:tab w:leader="none" w:pos="6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6901 Professional Parkway East</w:t>
      </w:r>
    </w:p>
    <w:p>
      <w:pPr>
        <w:ind w:left="600"/>
        <w:spacing w:after="0" w:line="238" w:lineRule="auto"/>
        <w:rPr>
          <w:sz w:val="20"/>
          <w:szCs w:val="20"/>
          <w:color w:val="auto"/>
        </w:rPr>
      </w:pPr>
      <w:r>
        <w:rPr>
          <w:rFonts w:ascii="Courier New" w:cs="Courier New" w:eastAsia="Courier New" w:hAnsi="Courier New"/>
          <w:sz w:val="18"/>
          <w:szCs w:val="18"/>
          <w:color w:val="auto"/>
        </w:rPr>
        <w:t>Suite 200</w:t>
      </w:r>
    </w:p>
    <w:p>
      <w:pPr>
        <w:spacing w:after="0" w:line="13" w:lineRule="exact"/>
        <w:rPr>
          <w:sz w:val="20"/>
          <w:szCs w:val="20"/>
          <w:color w:val="auto"/>
        </w:rPr>
      </w:pPr>
    </w:p>
    <w:p>
      <w:pPr>
        <w:ind w:left="600"/>
        <w:spacing w:after="0"/>
        <w:tabs>
          <w:tab w:leader="none" w:pos="2100" w:val="left"/>
        </w:tabs>
        <w:rPr>
          <w:sz w:val="20"/>
          <w:szCs w:val="20"/>
          <w:color w:val="auto"/>
        </w:rPr>
      </w:pPr>
      <w:r>
        <w:rPr>
          <w:rFonts w:ascii="Courier New" w:cs="Courier New" w:eastAsia="Courier New" w:hAnsi="Courier New"/>
          <w:sz w:val="18"/>
          <w:szCs w:val="18"/>
          <w:color w:val="auto"/>
        </w:rPr>
        <w:t>Sarasota, FL</w:t>
        <w:tab/>
        <w:t>34240</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42" w:lineRule="exact"/>
        <w:rPr>
          <w:sz w:val="20"/>
          <w:szCs w:val="20"/>
          <w:color w:val="auto"/>
        </w:rPr>
      </w:pPr>
    </w:p>
    <w:p>
      <w:pPr>
        <w:ind w:left="660" w:hanging="652"/>
        <w:spacing w:after="0"/>
        <w:tabs>
          <w:tab w:leader="none" w:pos="6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42"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42"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285" w:lineRule="exact"/>
        <w:rPr>
          <w:sz w:val="20"/>
          <w:szCs w:val="20"/>
          <w:color w:val="auto"/>
        </w:rPr>
      </w:pPr>
    </w:p>
    <w:p>
      <w:pPr>
        <w:ind w:left="660" w:hanging="652"/>
        <w:spacing w:after="0"/>
        <w:tabs>
          <w:tab w:leader="none" w:pos="6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3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34"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660" w:hanging="652"/>
        <w:spacing w:after="0"/>
        <w:tabs>
          <w:tab w:leader="none" w:pos="6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Delaware</w:t>
      </w:r>
    </w:p>
    <w:p>
      <w:pPr>
        <w:spacing w:after="0" w:line="39" w:lineRule="exact"/>
        <w:rPr>
          <w:sz w:val="20"/>
          <w:szCs w:val="20"/>
          <w:color w:val="auto"/>
        </w:rPr>
      </w:pPr>
    </w:p>
    <w:p>
      <w:pPr>
        <w:ind w:left="1140" w:hanging="532"/>
        <w:spacing w:after="0"/>
        <w:tabs>
          <w:tab w:leader="none" w:pos="11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70" w:lineRule="exact"/>
        <w:rPr>
          <w:rFonts w:ascii="Courier New" w:cs="Courier New" w:eastAsia="Courier New" w:hAnsi="Courier New"/>
          <w:sz w:val="18"/>
          <w:szCs w:val="18"/>
          <w:color w:val="auto"/>
        </w:rPr>
      </w:pPr>
    </w:p>
    <w:p>
      <w:pPr>
        <w:jc w:val="both"/>
        <w:ind w:left="600" w:right="5979" w:hanging="592"/>
        <w:spacing w:after="0" w:line="516" w:lineRule="auto"/>
        <w:tabs>
          <w:tab w:leader="none" w:pos="6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$0.01 Par Value</w:t>
      </w:r>
    </w:p>
    <w:p>
      <w:pPr>
        <w:ind w:left="660" w:hanging="652"/>
        <w:spacing w:after="0"/>
        <w:tabs>
          <w:tab w:leader="none" w:pos="6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776696106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367665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92" w:right="1440" w:bottom="1440" w:gutter="0" w:footer="0" w:header="0"/>
        </w:sectPr>
      </w:pPr>
    </w:p>
    <w:bookmarkStart w:id="5" w:name="page6"/>
    <w:bookmarkEnd w:id="5"/>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13</w:t>
      </w:r>
    </w:p>
    <w:p>
      <w:pPr>
        <w:spacing w:after="0" w:line="200" w:lineRule="exact"/>
        <w:rPr>
          <w:sz w:val="20"/>
          <w:szCs w:val="20"/>
          <w:color w:val="auto"/>
        </w:rPr>
      </w:pPr>
    </w:p>
    <w:p>
      <w:pPr>
        <w:spacing w:after="0" w:line="287" w:lineRule="exact"/>
        <w:rPr>
          <w:sz w:val="20"/>
          <w:szCs w:val="20"/>
          <w:color w:val="auto"/>
        </w:rPr>
      </w:pPr>
    </w:p>
    <w:p>
      <w:pPr>
        <w:ind w:left="1000" w:right="320" w:hanging="999"/>
        <w:spacing w:after="0" w:line="203" w:lineRule="exact"/>
        <w:tabs>
          <w:tab w:leader="none" w:pos="9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42" w:lineRule="exact"/>
        <w:rPr>
          <w:sz w:val="20"/>
          <w:szCs w:val="20"/>
          <w:color w:val="auto"/>
        </w:rPr>
      </w:pPr>
    </w:p>
    <w:p>
      <w:pPr>
        <w:ind w:left="1140" w:hanging="432"/>
        <w:spacing w:after="0"/>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41"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41"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3" w:lineRule="exact"/>
        <w:rPr>
          <w:rFonts w:ascii="Courier New" w:cs="Courier New" w:eastAsia="Courier New" w:hAnsi="Courier New"/>
          <w:sz w:val="18"/>
          <w:szCs w:val="18"/>
          <w:color w:val="auto"/>
        </w:rPr>
      </w:pPr>
    </w:p>
    <w:p>
      <w:pPr>
        <w:ind w:left="1500" w:right="40" w:hanging="792"/>
        <w:spacing w:after="0" w:line="203" w:lineRule="exact"/>
        <w:tabs>
          <w:tab w:leader="none" w:pos="11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37"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36"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(1)(ii)(F);</w:t>
      </w:r>
    </w:p>
    <w:p>
      <w:pPr>
        <w:spacing w:after="0" w:line="237"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(1)(ii)(G);</w:t>
      </w:r>
    </w:p>
    <w:p>
      <w:pPr>
        <w:spacing w:after="0" w:line="244" w:lineRule="exact"/>
        <w:rPr>
          <w:rFonts w:ascii="Courier New" w:cs="Courier New" w:eastAsia="Courier New" w:hAnsi="Courier New"/>
          <w:sz w:val="18"/>
          <w:szCs w:val="18"/>
          <w:color w:val="auto"/>
        </w:rPr>
      </w:pPr>
    </w:p>
    <w:p>
      <w:pPr>
        <w:ind w:left="1500" w:right="380" w:hanging="792"/>
        <w:spacing w:after="0" w:line="238" w:lineRule="auto"/>
        <w:tabs>
          <w:tab w:leader="none" w:pos="11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3" w:lineRule="exact"/>
        <w:rPr>
          <w:rFonts w:ascii="Courier New" w:cs="Courier New" w:eastAsia="Courier New" w:hAnsi="Courier New"/>
          <w:sz w:val="18"/>
          <w:szCs w:val="18"/>
          <w:color w:val="auto"/>
        </w:rPr>
      </w:pPr>
    </w:p>
    <w:p>
      <w:pPr>
        <w:ind w:left="1500" w:right="40" w:hanging="792"/>
        <w:spacing w:after="0" w:line="203" w:lineRule="exact"/>
        <w:tabs>
          <w:tab w:leader="none" w:pos="11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3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3"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244" w:lineRule="exact"/>
        <w:rPr>
          <w:sz w:val="20"/>
          <w:szCs w:val="20"/>
          <w:color w:val="auto"/>
        </w:rPr>
      </w:pPr>
    </w:p>
    <w:p>
      <w:pPr>
        <w:ind w:left="700" w:right="480"/>
        <w:spacing w:after="0" w:line="203"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00" w:lineRule="exact"/>
        <w:rPr>
          <w:sz w:val="20"/>
          <w:szCs w:val="20"/>
          <w:color w:val="auto"/>
        </w:rPr>
      </w:pPr>
    </w:p>
    <w:p>
      <w:pPr>
        <w:spacing w:after="0" w:line="28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4.</w:t>
        <w:tab/>
        <w:t>Ownership</w:t>
      </w:r>
    </w:p>
    <w:p>
      <w:pPr>
        <w:spacing w:after="0" w:line="244"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 xml:space="preserve">The securities reported herein are beneficially owned by one or more open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end investment companies or other managed accounts that are investment management clients of investment managers that are direct and indirect subsidiaries (each, an “Investment Management Subsidiary” and, collectively, the “Investment Management Subsidiaries”) of Franklin Resources, Inc.(“FRI”),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0" w:lineRule="exact"/>
        <w:rPr>
          <w:sz w:val="20"/>
          <w:szCs w:val="20"/>
          <w:color w:val="auto"/>
        </w:rPr>
      </w:pPr>
    </w:p>
    <w:p>
      <w:pPr>
        <w:spacing w:after="0" w:line="291"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ectPr>
          <w:pgSz w:w="11900" w:h="16838" w:orient="portrait"/>
          <w:cols w:equalWidth="0" w:num="1">
            <w:col w:w="9720"/>
          </w:cols>
          <w:pgMar w:left="740" w:top="1352" w:right="1439" w:bottom="0" w:gutter="0" w:footer="0" w:header="0"/>
        </w:sectPr>
      </w:pPr>
    </w:p>
    <w:bookmarkStart w:id="6" w:name="page7"/>
    <w:bookmarkEnd w:id="6"/>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13</w:t>
      </w:r>
    </w:p>
    <w:p>
      <w:pPr>
        <w:spacing w:after="0" w:line="244"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49" w:lineRule="exact"/>
        <w:rPr>
          <w:sz w:val="20"/>
          <w:szCs w:val="20"/>
          <w:color w:val="auto"/>
        </w:rPr>
      </w:pPr>
    </w:p>
    <w:p>
      <w:pPr>
        <w:ind w:right="100"/>
        <w:spacing w:after="0" w:line="203"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44" w:lineRule="exact"/>
        <w:rPr>
          <w:sz w:val="20"/>
          <w:szCs w:val="20"/>
          <w:color w:val="auto"/>
        </w:rPr>
      </w:pPr>
    </w:p>
    <w:p>
      <w:pPr>
        <w:ind w:left="1360" w:right="5540" w:hanging="752"/>
        <w:spacing w:after="0" w:line="516" w:lineRule="auto"/>
        <w:tabs>
          <w:tab w:leader="none" w:pos="135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5,210,025</w:t>
      </w:r>
    </w:p>
    <w:p>
      <w:pPr>
        <w:ind w:left="1360" w:hanging="752"/>
        <w:spacing w:after="0"/>
        <w:tabs>
          <w:tab w:leader="none" w:pos="13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42" w:lineRule="exact"/>
        <w:rPr>
          <w:sz w:val="20"/>
          <w:szCs w:val="20"/>
          <w:color w:val="auto"/>
        </w:rPr>
      </w:pPr>
    </w:p>
    <w:tbl>
      <w:tblPr>
        <w:tblLayout w:type="fixed"/>
        <w:tblInd w:w="60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5.2%</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656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4"/>
                <w:szCs w:val="24"/>
                <w:color w:val="auto"/>
              </w:rPr>
            </w:pPr>
          </w:p>
        </w:tc>
        <w:tc>
          <w:tcPr>
            <w:tcW w:w="6560" w:type="dxa"/>
            <w:vAlign w:val="bottom"/>
            <w:gridSpan w:val="3"/>
          </w:tcPr>
          <w:p>
            <w:pPr>
              <w:ind w:left="2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656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Franklin Resources, Inc.:</w:t>
            </w:r>
          </w:p>
        </w:tc>
        <w:tc>
          <w:tcPr>
            <w:tcW w:w="2160" w:type="dxa"/>
            <w:vAlign w:val="bottom"/>
          </w:tcPr>
          <w:p>
            <w:pPr>
              <w:jc w:val="right"/>
              <w:ind w:right="33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656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Charles B. Johnson:</w:t>
            </w:r>
          </w:p>
        </w:tc>
        <w:tc>
          <w:tcPr>
            <w:tcW w:w="2160" w:type="dxa"/>
            <w:vAlign w:val="bottom"/>
          </w:tcPr>
          <w:p>
            <w:pPr>
              <w:jc w:val="right"/>
              <w:ind w:right="33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656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Rupert H. Johnson, Jr.:</w:t>
            </w:r>
          </w:p>
        </w:tc>
        <w:tc>
          <w:tcPr>
            <w:tcW w:w="2160" w:type="dxa"/>
            <w:vAlign w:val="bottom"/>
          </w:tcPr>
          <w:p>
            <w:pPr>
              <w:jc w:val="right"/>
              <w:ind w:right="33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656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Franklin Advisory Services, LLC:</w:t>
            </w:r>
          </w:p>
        </w:tc>
        <w:tc>
          <w:tcPr>
            <w:tcW w:w="2160" w:type="dxa"/>
            <w:vAlign w:val="bottom"/>
          </w:tcPr>
          <w:p>
            <w:pPr>
              <w:jc w:val="right"/>
              <w:ind w:right="330"/>
              <w:spacing w:after="0"/>
              <w:rPr>
                <w:sz w:val="20"/>
                <w:szCs w:val="20"/>
                <w:color w:val="auto"/>
              </w:rPr>
            </w:pPr>
            <w:r>
              <w:rPr>
                <w:rFonts w:ascii="Courier New" w:cs="Courier New" w:eastAsia="Courier New" w:hAnsi="Courier New"/>
                <w:sz w:val="18"/>
                <w:szCs w:val="18"/>
                <w:color w:val="auto"/>
              </w:rPr>
              <w:t>4,428,349</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656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Franklin Advisers, Inc.:</w:t>
            </w:r>
          </w:p>
        </w:tc>
        <w:tc>
          <w:tcPr>
            <w:tcW w:w="2160" w:type="dxa"/>
            <w:vAlign w:val="bottom"/>
          </w:tcPr>
          <w:p>
            <w:pPr>
              <w:jc w:val="right"/>
              <w:ind w:right="330"/>
              <w:spacing w:after="0"/>
              <w:rPr>
                <w:sz w:val="20"/>
                <w:szCs w:val="20"/>
                <w:color w:val="auto"/>
              </w:rPr>
            </w:pPr>
            <w:r>
              <w:rPr>
                <w:rFonts w:ascii="Courier New" w:cs="Courier New" w:eastAsia="Courier New" w:hAnsi="Courier New"/>
                <w:sz w:val="18"/>
                <w:szCs w:val="18"/>
                <w:color w:val="auto"/>
              </w:rPr>
              <w:t>780,400</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656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Fiduciary Trust Company International:</w:t>
            </w:r>
          </w:p>
        </w:tc>
        <w:tc>
          <w:tcPr>
            <w:tcW w:w="2160" w:type="dxa"/>
            <w:vAlign w:val="bottom"/>
          </w:tcPr>
          <w:p>
            <w:pPr>
              <w:jc w:val="right"/>
              <w:ind w:right="330"/>
              <w:spacing w:after="0"/>
              <w:rPr>
                <w:sz w:val="20"/>
                <w:szCs w:val="20"/>
                <w:color w:val="auto"/>
              </w:rPr>
            </w:pPr>
            <w:r>
              <w:rPr>
                <w:rFonts w:ascii="Courier New" w:cs="Courier New" w:eastAsia="Courier New" w:hAnsi="Courier New"/>
                <w:sz w:val="18"/>
                <w:szCs w:val="18"/>
                <w:color w:val="auto"/>
              </w:rPr>
              <w:t>976</w:t>
            </w:r>
          </w:p>
        </w:tc>
        <w:tc>
          <w:tcPr>
            <w:tcW w:w="0" w:type="dxa"/>
            <w:vAlign w:val="bottom"/>
          </w:tcPr>
          <w:p>
            <w:pPr>
              <w:spacing w:after="0"/>
              <w:rPr>
                <w:sz w:val="1"/>
                <w:szCs w:val="1"/>
                <w:color w:val="auto"/>
              </w:rPr>
            </w:pPr>
          </w:p>
        </w:tc>
      </w:tr>
      <w:tr>
        <w:trPr>
          <w:trHeight w:val="407"/>
        </w:trPr>
        <w:tc>
          <w:tcPr>
            <w:tcW w:w="380" w:type="dxa"/>
            <w:vAlign w:val="bottom"/>
          </w:tcPr>
          <w:p>
            <w:pPr>
              <w:spacing w:after="0"/>
              <w:rPr>
                <w:sz w:val="24"/>
                <w:szCs w:val="24"/>
                <w:color w:val="auto"/>
              </w:rPr>
            </w:pPr>
          </w:p>
        </w:tc>
        <w:tc>
          <w:tcPr>
            <w:tcW w:w="5380" w:type="dxa"/>
            <w:vAlign w:val="bottom"/>
            <w:vMerge w:val="restart"/>
          </w:tcPr>
          <w:p>
            <w:pPr>
              <w:ind w:left="620"/>
              <w:spacing w:after="0"/>
              <w:rPr>
                <w:sz w:val="20"/>
                <w:szCs w:val="20"/>
                <w:color w:val="auto"/>
              </w:rPr>
            </w:pPr>
            <w:r>
              <w:rPr>
                <w:rFonts w:ascii="Courier New" w:cs="Courier New" w:eastAsia="Courier New" w:hAnsi="Courier New"/>
                <w:sz w:val="18"/>
                <w:szCs w:val="18"/>
                <w:color w:val="auto"/>
              </w:rPr>
              <w:t>Franklin Templeton Portfolio Advisors, Inc.</w:t>
            </w:r>
          </w:p>
        </w:tc>
        <w:tc>
          <w:tcPr>
            <w:tcW w:w="320" w:type="dxa"/>
            <w:vAlign w:val="bottom"/>
            <w:tcBorders>
              <w:bottom w:val="single" w:sz="8" w:color="0000EE"/>
            </w:tcBorders>
          </w:tcPr>
          <w:p>
            <w:pPr>
              <w:jc w:val="right"/>
              <w:spacing w:after="0"/>
              <w:rPr>
                <w:sz w:val="20"/>
                <w:szCs w:val="20"/>
                <w:color w:val="auto"/>
              </w:rPr>
            </w:pPr>
            <w:r>
              <w:rPr>
                <w:rFonts w:ascii="Courier New" w:cs="Courier New" w:eastAsia="Courier New" w:hAnsi="Courier New"/>
                <w:sz w:val="18"/>
                <w:szCs w:val="18"/>
                <w:color w:val="0000EE"/>
                <w:w w:val="92"/>
              </w:rPr>
              <w:t>[1]</w:t>
            </w:r>
          </w:p>
        </w:tc>
        <w:tc>
          <w:tcPr>
            <w:tcW w:w="860" w:type="dxa"/>
            <w:vAlign w:val="bottom"/>
            <w:vMerge w:val="restart"/>
          </w:tcPr>
          <w:p>
            <w:pPr>
              <w:jc w:val="right"/>
              <w:ind w:right="650"/>
              <w:spacing w:after="0"/>
              <w:rPr>
                <w:sz w:val="20"/>
                <w:szCs w:val="20"/>
                <w:color w:val="auto"/>
              </w:rPr>
            </w:pPr>
            <w:r>
              <w:rPr>
                <w:rFonts w:ascii="Courier New" w:cs="Courier New" w:eastAsia="Courier New" w:hAnsi="Courier New"/>
                <w:sz w:val="18"/>
                <w:szCs w:val="18"/>
                <w:color w:val="auto"/>
                <w:w w:val="92"/>
              </w:rPr>
              <w:t>:</w:t>
            </w:r>
          </w:p>
        </w:tc>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300</w:t>
            </w: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53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left="1760" w:right="3520" w:hanging="852"/>
        <w:spacing w:after="0" w:line="554" w:lineRule="auto"/>
        <w:tabs>
          <w:tab w:leader="none" w:pos="165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2" w:lineRule="exact"/>
        <w:rPr>
          <w:rFonts w:ascii="Courier New" w:cs="Courier New" w:eastAsia="Courier New" w:hAnsi="Courier New"/>
          <w:sz w:val="18"/>
          <w:szCs w:val="18"/>
          <w:color w:val="auto"/>
        </w:rPr>
      </w:pPr>
    </w:p>
    <w:p>
      <w:pPr>
        <w:ind w:left="1680" w:hanging="872"/>
        <w:spacing w:after="0"/>
        <w:tabs>
          <w:tab w:leader="none" w:pos="16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82"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6"/>
        </w:trPr>
        <w:tc>
          <w:tcPr>
            <w:tcW w:w="57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6"/>
        </w:trPr>
        <w:tc>
          <w:tcPr>
            <w:tcW w:w="57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7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4,428,349</w:t>
            </w:r>
          </w:p>
        </w:tc>
      </w:tr>
      <w:tr>
        <w:trPr>
          <w:trHeight w:val="459"/>
        </w:trPr>
        <w:tc>
          <w:tcPr>
            <w:tcW w:w="574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780,400</w:t>
            </w:r>
          </w:p>
        </w:tc>
      </w:tr>
      <w:tr>
        <w:trPr>
          <w:trHeight w:val="432"/>
        </w:trPr>
        <w:tc>
          <w:tcPr>
            <w:tcW w:w="574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976</w:t>
            </w:r>
          </w:p>
        </w:tc>
      </w:tr>
      <w:tr>
        <w:trPr>
          <w:trHeight w:val="432"/>
        </w:trPr>
        <w:tc>
          <w:tcPr>
            <w:tcW w:w="5740" w:type="dxa"/>
            <w:vAlign w:val="bottom"/>
          </w:tcPr>
          <w:p>
            <w:pPr>
              <w:spacing w:after="0"/>
              <w:rPr>
                <w:sz w:val="20"/>
                <w:szCs w:val="20"/>
                <w:color w:val="auto"/>
              </w:rPr>
            </w:pPr>
            <w:r>
              <w:rPr>
                <w:rFonts w:ascii="Courier New" w:cs="Courier New" w:eastAsia="Courier New" w:hAnsi="Courier New"/>
                <w:sz w:val="18"/>
                <w:szCs w:val="18"/>
                <w:color w:val="auto"/>
              </w:rPr>
              <w:t>Franklin Templeton Portfolio Advisors, Inc.: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300</w:t>
            </w:r>
          </w:p>
        </w:tc>
      </w:tr>
    </w:tbl>
    <w:p>
      <w:pPr>
        <w:sectPr>
          <w:pgSz w:w="11900" w:h="16838" w:orient="portrait"/>
          <w:cols w:equalWidth="0" w:num="1">
            <w:col w:w="9720"/>
          </w:cols>
          <w:pgMar w:left="740" w:top="1109" w:right="1439" w:bottom="11" w:gutter="0" w:footer="0" w:header="0"/>
        </w:sectPr>
      </w:pPr>
    </w:p>
    <w:bookmarkStart w:id="8" w:name="page9"/>
    <w:bookmarkEnd w:id="8"/>
    <w:p>
      <w:pPr>
        <w:ind w:left="200"/>
        <w:spacing w:after="0"/>
        <w:tabs>
          <w:tab w:leader="none" w:pos="940" w:val="left"/>
        </w:tabs>
        <w:rPr>
          <w:sz w:val="20"/>
          <w:szCs w:val="20"/>
          <w:color w:val="auto"/>
        </w:rPr>
      </w:pPr>
      <w:r>
        <w:rPr>
          <w:rFonts w:ascii="Courier New" w:cs="Courier New" w:eastAsia="Courier New" w:hAnsi="Courier New"/>
          <w:sz w:val="17"/>
          <w:szCs w:val="17"/>
          <w:color w:val="auto"/>
        </w:rPr>
        <w:t>(iv)</w:t>
      </w:r>
      <w:r>
        <w:rPr>
          <w:sz w:val="20"/>
          <w:szCs w:val="20"/>
          <w:color w:val="auto"/>
        </w:rPr>
        <w:tab/>
      </w:r>
      <w:r>
        <w:rPr>
          <w:rFonts w:ascii="Courier New" w:cs="Courier New" w:eastAsia="Courier New" w:hAnsi="Courier New"/>
          <w:sz w:val="17"/>
          <w:szCs w:val="17"/>
          <w:color w:val="auto"/>
        </w:rPr>
        <w:t>Shared power to dispose or to direct the disposition of</w:t>
      </w:r>
    </w:p>
    <w:p>
      <w:pPr>
        <w:sectPr>
          <w:pgSz w:w="11900" w:h="16838" w:orient="portrait"/>
          <w:cols w:equalWidth="0" w:num="1">
            <w:col w:w="9019"/>
          </w:cols>
          <w:pgMar w:left="1440" w:top="165" w:right="1440" w:bottom="1440" w:gutter="0" w:footer="0" w:header="0"/>
        </w:sectPr>
      </w:pPr>
    </w:p>
    <w:p>
      <w:pPr>
        <w:spacing w:after="0" w:line="29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65" w:right="1440"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13</w:t>
      </w:r>
    </w:p>
    <w:p>
      <w:pPr>
        <w:spacing w:after="0" w:line="200" w:lineRule="exact"/>
        <w:rPr>
          <w:sz w:val="20"/>
          <w:szCs w:val="20"/>
          <w:color w:val="auto"/>
        </w:rPr>
      </w:pPr>
    </w:p>
    <w:p>
      <w:pPr>
        <w:spacing w:after="0" w:line="28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44" w:lineRule="exact"/>
        <w:rPr>
          <w:sz w:val="20"/>
          <w:szCs w:val="20"/>
          <w:color w:val="auto"/>
        </w:rPr>
      </w:pPr>
    </w:p>
    <w:p>
      <w:pPr>
        <w:ind w:left="900" w:right="37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44" w:lineRule="exact"/>
        <w:rPr>
          <w:sz w:val="20"/>
          <w:szCs w:val="20"/>
          <w:color w:val="auto"/>
        </w:rPr>
      </w:pPr>
    </w:p>
    <w:p>
      <w:pPr>
        <w:ind w:left="900" w:right="499"/>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45" w:lineRule="exact"/>
        <w:rPr>
          <w:sz w:val="20"/>
          <w:szCs w:val="20"/>
          <w:color w:val="auto"/>
        </w:rPr>
      </w:pPr>
    </w:p>
    <w:p>
      <w:pPr>
        <w:ind w:left="900" w:right="1179" w:hanging="899"/>
        <w:spacing w:after="0" w:line="238"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440" w:right="1440" w:bottom="1440" w:gutter="0" w:footer="0" w:header="0"/>
        </w:sectPr>
      </w:pPr>
    </w:p>
    <w:bookmarkStart w:id="10" w:name="page11"/>
    <w:bookmarkEnd w:id="10"/>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13</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44" w:lineRule="exact"/>
        <w:rPr>
          <w:sz w:val="20"/>
          <w:szCs w:val="20"/>
          <w:color w:val="auto"/>
        </w:rPr>
      </w:pPr>
    </w:p>
    <w:p>
      <w:pPr>
        <w:ind w:right="95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37"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Joint Filing Agreement</w:t>
      </w:r>
    </w:p>
    <w:p>
      <w:pPr>
        <w:spacing w:after="0" w:line="1" w:lineRule="exact"/>
        <w:rPr>
          <w:sz w:val="20"/>
          <w:szCs w:val="20"/>
          <w:color w:val="auto"/>
        </w:rPr>
      </w:pPr>
    </w:p>
    <w:p>
      <w:pPr>
        <w:ind w:right="1619"/>
        <w:spacing w:after="0" w:line="202" w:lineRule="exact"/>
        <w:rPr>
          <w:sz w:val="20"/>
          <w:szCs w:val="20"/>
          <w:color w:val="auto"/>
        </w:rPr>
      </w:pPr>
      <w:r>
        <w:rPr>
          <w:rFonts w:ascii="Courier New" w:cs="Courier New" w:eastAsia="Courier New" w:hAnsi="Courier New"/>
          <w:sz w:val="18"/>
          <w:szCs w:val="18"/>
          <w:color w:val="auto"/>
        </w:rPr>
        <w:t xml:space="preserve">Exhibit B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Limited Powers of Attorney for Section 13 Reporting Obligations Exhibit C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Item 7 Identification and Classification of Subsidiaries</w:t>
      </w:r>
    </w:p>
    <w:p>
      <w:pPr>
        <w:spacing w:after="0" w:line="243"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44" w:lineRule="exact"/>
        <w:rPr>
          <w:sz w:val="20"/>
          <w:szCs w:val="20"/>
          <w:color w:val="auto"/>
        </w:rPr>
      </w:pPr>
    </w:p>
    <w:p>
      <w:pPr>
        <w:ind w:right="73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Dated:</w:t>
        <w:tab/>
        <w:t>February 4, 2014</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Ann Weber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Charles B. Johnson</w:t>
      </w:r>
    </w:p>
    <w:p>
      <w:pPr>
        <w:spacing w:after="0" w:line="242"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Robert C. Rosselot</w:t>
      </w:r>
    </w:p>
    <w:p>
      <w:pPr>
        <w:spacing w:after="0" w:line="217" w:lineRule="exact"/>
        <w:rPr>
          <w:sz w:val="20"/>
          <w:szCs w:val="20"/>
          <w:color w:val="auto"/>
        </w:rPr>
      </w:pPr>
    </w:p>
    <w:p>
      <w:pPr>
        <w:ind w:left="920" w:right="2339" w:hanging="7"/>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8" w:lineRule="exact"/>
        <w:rPr>
          <w:sz w:val="20"/>
          <w:szCs w:val="20"/>
          <w:color w:val="auto"/>
        </w:rPr>
      </w:pPr>
    </w:p>
    <w:p>
      <w:pPr>
        <w:ind w:left="920" w:right="1999" w:hanging="103"/>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52" w:right="1440" w:bottom="1440" w:gutter="0" w:footer="0" w:header="0"/>
        </w:sectPr>
      </w:pPr>
    </w:p>
    <w:bookmarkStart w:id="11" w:name="page12"/>
    <w:bookmarkEnd w:id="11"/>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44" w:lineRule="exact"/>
        <w:rPr>
          <w:sz w:val="20"/>
          <w:szCs w:val="20"/>
          <w:color w:val="auto"/>
        </w:rPr>
      </w:pPr>
    </w:p>
    <w:p>
      <w:pPr>
        <w:ind w:right="31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have executed this agreement on February 4, 2014.</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Ann Weber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Charles B. Johnson</w:t>
      </w:r>
    </w:p>
    <w:p>
      <w:pPr>
        <w:spacing w:after="0" w:line="242"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Robert C. Rosselot</w:t>
      </w:r>
    </w:p>
    <w:p>
      <w:pPr>
        <w:spacing w:after="0" w:line="217" w:lineRule="exact"/>
        <w:rPr>
          <w:sz w:val="20"/>
          <w:szCs w:val="20"/>
          <w:color w:val="auto"/>
        </w:rPr>
      </w:pPr>
    </w:p>
    <w:p>
      <w:pPr>
        <w:ind w:left="920" w:right="2339" w:hanging="7"/>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1"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w:t>
      </w:r>
    </w:p>
    <w:p>
      <w:pPr>
        <w:ind w:left="920"/>
        <w:spacing w:after="0" w:line="238" w:lineRule="auto"/>
        <w:rPr>
          <w:sz w:val="20"/>
          <w:szCs w:val="20"/>
          <w:color w:val="auto"/>
        </w:rPr>
      </w:pPr>
      <w:r>
        <w:rPr>
          <w:rFonts w:ascii="Courier New" w:cs="Courier New" w:eastAsia="Courier New" w:hAnsi="Courier New"/>
          <w:sz w:val="18"/>
          <w:szCs w:val="18"/>
          <w:color w:val="auto"/>
        </w:rPr>
        <w:t>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52" w:right="1440" w:bottom="1440" w:gutter="0" w:footer="0" w:header="0"/>
        </w:sectPr>
      </w:pPr>
    </w:p>
    <w:bookmarkStart w:id="12" w:name="page13"/>
    <w:bookmarkEnd w:id="12"/>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13</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ind w:left="4360"/>
        <w:spacing w:after="0" w:line="238" w:lineRule="auto"/>
        <w:rPr>
          <w:sz w:val="20"/>
          <w:szCs w:val="20"/>
          <w:color w:val="auto"/>
        </w:rPr>
      </w:pPr>
      <w:r>
        <w:rPr>
          <w:rFonts w:ascii="Courier New" w:cs="Courier New" w:eastAsia="Courier New" w:hAnsi="Courier New"/>
          <w:sz w:val="18"/>
          <w:szCs w:val="18"/>
          <w:color w:val="auto"/>
        </w:rPr>
        <w:t>FOR</w:t>
      </w: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3" w:lineRule="exact"/>
        <w:rPr>
          <w:sz w:val="20"/>
          <w:szCs w:val="20"/>
          <w:color w:val="auto"/>
        </w:rPr>
      </w:pPr>
    </w:p>
    <w:p>
      <w:pPr>
        <w:ind w:right="20" w:firstLine="300"/>
        <w:spacing w:after="0" w:line="202"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7" w:lineRule="exact"/>
        <w:rPr>
          <w:sz w:val="20"/>
          <w:szCs w:val="20"/>
          <w:color w:val="auto"/>
        </w:rPr>
      </w:pPr>
    </w:p>
    <w:p>
      <w:pPr>
        <w:ind w:firstLine="8"/>
        <w:spacing w:after="0" w:line="238" w:lineRule="auto"/>
        <w:tabs>
          <w:tab w:leader="none" w:pos="8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5" w:lineRule="exact"/>
        <w:rPr>
          <w:rFonts w:ascii="Courier New" w:cs="Courier New" w:eastAsia="Courier New" w:hAnsi="Courier New"/>
          <w:sz w:val="18"/>
          <w:szCs w:val="18"/>
          <w:color w:val="auto"/>
        </w:rPr>
      </w:pPr>
    </w:p>
    <w:p>
      <w:pPr>
        <w:ind w:right="320" w:firstLine="8"/>
        <w:spacing w:after="0" w:line="203" w:lineRule="exact"/>
        <w:tabs>
          <w:tab w:leader="none" w:pos="8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right="1080" w:firstLine="8"/>
        <w:spacing w:after="0" w:line="202" w:lineRule="exact"/>
        <w:tabs>
          <w:tab w:leader="none" w:pos="6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44" w:lineRule="exact"/>
        <w:rPr>
          <w:rFonts w:ascii="Courier New" w:cs="Courier New" w:eastAsia="Courier New" w:hAnsi="Courier New"/>
          <w:sz w:val="18"/>
          <w:szCs w:val="18"/>
          <w:color w:val="auto"/>
        </w:rPr>
      </w:pPr>
    </w:p>
    <w:p>
      <w:pPr>
        <w:ind w:right="100" w:firstLine="8"/>
        <w:spacing w:after="0" w:line="203" w:lineRule="exact"/>
        <w:tabs>
          <w:tab w:leader="none" w:pos="6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45" w:lineRule="exact"/>
        <w:rPr>
          <w:rFonts w:ascii="Courier New" w:cs="Courier New" w:eastAsia="Courier New" w:hAnsi="Courier New"/>
          <w:sz w:val="18"/>
          <w:szCs w:val="18"/>
          <w:color w:val="auto"/>
        </w:rPr>
      </w:pPr>
    </w:p>
    <w:p>
      <w:pPr>
        <w:ind w:right="100" w:firstLine="8"/>
        <w:spacing w:after="0" w:line="202" w:lineRule="exact"/>
        <w:tabs>
          <w:tab w:leader="none" w:pos="6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46" w:lineRule="exact"/>
        <w:rPr>
          <w:rFonts w:ascii="Courier New" w:cs="Courier New" w:eastAsia="Courier New" w:hAnsi="Courier New"/>
          <w:sz w:val="18"/>
          <w:szCs w:val="18"/>
          <w:color w:val="auto"/>
        </w:rPr>
      </w:pPr>
    </w:p>
    <w:p>
      <w:pPr>
        <w:ind w:right="100" w:firstLine="8"/>
        <w:spacing w:after="0" w:line="238" w:lineRule="auto"/>
        <w:tabs>
          <w:tab w:leader="none" w:pos="6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44" w:lineRule="exact"/>
        <w:rPr>
          <w:sz w:val="20"/>
          <w:szCs w:val="20"/>
          <w:color w:val="auto"/>
        </w:rPr>
      </w:pPr>
    </w:p>
    <w:p>
      <w:pPr>
        <w:ind w:firstLine="300"/>
        <w:spacing w:after="0" w:line="203"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46" w:lineRule="exact"/>
        <w:rPr>
          <w:sz w:val="20"/>
          <w:szCs w:val="20"/>
          <w:color w:val="auto"/>
        </w:rPr>
      </w:pPr>
    </w:p>
    <w:p>
      <w:pPr>
        <w:ind w:right="240"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6920" w:type="dxa"/>
            <w:vAlign w:val="bottom"/>
            <w:gridSpan w:val="5"/>
          </w:tcPr>
          <w:p>
            <w:pPr>
              <w:jc w:val="right"/>
              <w:ind w:right="10"/>
              <w:spacing w:after="0"/>
              <w:rPr>
                <w:sz w:val="20"/>
                <w:szCs w:val="20"/>
                <w:color w:val="auto"/>
              </w:rPr>
            </w:pPr>
            <w:r>
              <w:rPr>
                <w:rFonts w:ascii="Courier New" w:cs="Courier New" w:eastAsia="Courier New" w:hAnsi="Courier New"/>
                <w:sz w:val="18"/>
                <w:szCs w:val="18"/>
                <w:color w:val="auto"/>
                <w:w w:val="99"/>
              </w:rPr>
              <w:t>the undersigned has caused this Limited Power of Attorney to be</w:t>
            </w:r>
          </w:p>
        </w:tc>
      </w:tr>
      <w:tr>
        <w:trPr>
          <w:trHeight w:val="164"/>
        </w:trPr>
        <w:tc>
          <w:tcPr>
            <w:tcW w:w="2160" w:type="dxa"/>
            <w:vAlign w:val="bottom"/>
          </w:tcPr>
          <w:p>
            <w:pPr>
              <w:spacing w:after="0" w:line="164" w:lineRule="exact"/>
              <w:rPr>
                <w:sz w:val="20"/>
                <w:szCs w:val="20"/>
                <w:color w:val="auto"/>
              </w:rPr>
            </w:pPr>
            <w:r>
              <w:rPr>
                <w:rFonts w:ascii="Courier New" w:cs="Courier New" w:eastAsia="Courier New" w:hAnsi="Courier New"/>
                <w:sz w:val="18"/>
                <w:szCs w:val="18"/>
                <w:color w:val="auto"/>
              </w:rPr>
              <w:t>executed as of this</w:t>
            </w:r>
          </w:p>
        </w:tc>
        <w:tc>
          <w:tcPr>
            <w:tcW w:w="2700" w:type="dxa"/>
            <w:vAlign w:val="bottom"/>
            <w:tcBorders>
              <w:bottom w:val="single" w:sz="8" w:color="auto"/>
            </w:tcBorders>
          </w:tcPr>
          <w:p>
            <w:pPr>
              <w:ind w:left="880"/>
              <w:spacing w:after="0" w:line="164" w:lineRule="exact"/>
              <w:rPr>
                <w:sz w:val="20"/>
                <w:szCs w:val="20"/>
                <w:color w:val="auto"/>
              </w:rPr>
            </w:pPr>
            <w:r>
              <w:rPr>
                <w:rFonts w:ascii="Courier New" w:cs="Courier New" w:eastAsia="Courier New" w:hAnsi="Courier New"/>
                <w:sz w:val="18"/>
                <w:szCs w:val="18"/>
                <w:color w:val="auto"/>
              </w:rPr>
              <w:t>30th</w:t>
            </w:r>
          </w:p>
        </w:tc>
        <w:tc>
          <w:tcPr>
            <w:tcW w:w="980" w:type="dxa"/>
            <w:vAlign w:val="bottom"/>
          </w:tcPr>
          <w:p>
            <w:pPr>
              <w:ind w:left="120"/>
              <w:spacing w:after="0" w:line="164" w:lineRule="exact"/>
              <w:rPr>
                <w:sz w:val="20"/>
                <w:szCs w:val="20"/>
                <w:color w:val="auto"/>
              </w:rPr>
            </w:pPr>
            <w:r>
              <w:rPr>
                <w:rFonts w:ascii="Courier New" w:cs="Courier New" w:eastAsia="Courier New" w:hAnsi="Courier New"/>
                <w:sz w:val="18"/>
                <w:szCs w:val="18"/>
                <w:color w:val="auto"/>
              </w:rPr>
              <w:t>day of</w:t>
            </w:r>
          </w:p>
        </w:tc>
        <w:tc>
          <w:tcPr>
            <w:tcW w:w="2060" w:type="dxa"/>
            <w:vAlign w:val="bottom"/>
            <w:tcBorders>
              <w:bottom w:val="single" w:sz="8" w:color="auto"/>
            </w:tcBorders>
          </w:tcPr>
          <w:p>
            <w:pPr>
              <w:ind w:left="1080"/>
              <w:spacing w:after="0" w:line="164" w:lineRule="exact"/>
              <w:rPr>
                <w:sz w:val="20"/>
                <w:szCs w:val="20"/>
                <w:color w:val="auto"/>
              </w:rPr>
            </w:pPr>
            <w:r>
              <w:rPr>
                <w:rFonts w:ascii="Courier New" w:cs="Courier New" w:eastAsia="Courier New" w:hAnsi="Courier New"/>
                <w:sz w:val="18"/>
                <w:szCs w:val="18"/>
                <w:color w:val="auto"/>
              </w:rPr>
              <w:t>April</w:t>
            </w:r>
          </w:p>
        </w:tc>
        <w:tc>
          <w:tcPr>
            <w:tcW w:w="420" w:type="dxa"/>
            <w:vAlign w:val="bottom"/>
            <w:tcBorders>
              <w:bottom w:val="single" w:sz="8" w:color="auto"/>
            </w:tcBorders>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w w:val="97"/>
              </w:rPr>
              <w:t>,  2007</w:t>
            </w:r>
          </w:p>
        </w:tc>
      </w:tr>
    </w:tbl>
    <w:p>
      <w:pPr>
        <w:spacing w:after="0" w:line="267"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385445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20"/>
          </w:cols>
          <w:pgMar w:left="740" w:top="1352" w:right="1439" w:bottom="1440" w:gutter="0" w:footer="0" w:header="0"/>
        </w:sectPr>
      </w:pPr>
    </w:p>
    <w:bookmarkStart w:id="13" w:name="page14"/>
    <w:bookmarkEnd w:id="13"/>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13</w:t>
      </w: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ind w:left="4360"/>
        <w:spacing w:after="0" w:line="238" w:lineRule="auto"/>
        <w:rPr>
          <w:sz w:val="20"/>
          <w:szCs w:val="20"/>
          <w:color w:val="auto"/>
        </w:rPr>
      </w:pPr>
      <w:r>
        <w:rPr>
          <w:rFonts w:ascii="Courier New" w:cs="Courier New" w:eastAsia="Courier New" w:hAnsi="Courier New"/>
          <w:sz w:val="18"/>
          <w:szCs w:val="18"/>
          <w:color w:val="auto"/>
        </w:rPr>
        <w:t>FOR</w:t>
      </w: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ind w:firstLine="914"/>
        <w:spacing w:after="0" w:line="202"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firstLine="8"/>
        <w:spacing w:after="0" w:line="238" w:lineRule="auto"/>
        <w:tabs>
          <w:tab w:leader="none" w:pos="8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5" w:lineRule="exact"/>
        <w:rPr>
          <w:rFonts w:ascii="Courier New" w:cs="Courier New" w:eastAsia="Courier New" w:hAnsi="Courier New"/>
          <w:sz w:val="18"/>
          <w:szCs w:val="18"/>
          <w:color w:val="auto"/>
        </w:rPr>
      </w:pPr>
    </w:p>
    <w:p>
      <w:pPr>
        <w:ind w:right="320" w:firstLine="8"/>
        <w:spacing w:after="0" w:line="203" w:lineRule="exact"/>
        <w:tabs>
          <w:tab w:leader="none" w:pos="8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right="1080" w:firstLine="8"/>
        <w:spacing w:after="0" w:line="202" w:lineRule="exact"/>
        <w:tabs>
          <w:tab w:leader="none" w:pos="6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44" w:lineRule="exact"/>
        <w:rPr>
          <w:rFonts w:ascii="Courier New" w:cs="Courier New" w:eastAsia="Courier New" w:hAnsi="Courier New"/>
          <w:sz w:val="18"/>
          <w:szCs w:val="18"/>
          <w:color w:val="auto"/>
        </w:rPr>
      </w:pPr>
    </w:p>
    <w:p>
      <w:pPr>
        <w:ind w:right="100" w:firstLine="8"/>
        <w:spacing w:after="0" w:line="203" w:lineRule="exact"/>
        <w:tabs>
          <w:tab w:leader="none" w:pos="6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45" w:lineRule="exact"/>
        <w:rPr>
          <w:rFonts w:ascii="Courier New" w:cs="Courier New" w:eastAsia="Courier New" w:hAnsi="Courier New"/>
          <w:sz w:val="18"/>
          <w:szCs w:val="18"/>
          <w:color w:val="auto"/>
        </w:rPr>
      </w:pPr>
    </w:p>
    <w:p>
      <w:pPr>
        <w:ind w:right="100" w:firstLine="8"/>
        <w:spacing w:after="0" w:line="202" w:lineRule="exact"/>
        <w:tabs>
          <w:tab w:leader="none" w:pos="6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46" w:lineRule="exact"/>
        <w:rPr>
          <w:rFonts w:ascii="Courier New" w:cs="Courier New" w:eastAsia="Courier New" w:hAnsi="Courier New"/>
          <w:sz w:val="18"/>
          <w:szCs w:val="18"/>
          <w:color w:val="auto"/>
        </w:rPr>
      </w:pPr>
    </w:p>
    <w:p>
      <w:pPr>
        <w:ind w:right="100" w:firstLine="8"/>
        <w:spacing w:after="0" w:line="238" w:lineRule="auto"/>
        <w:tabs>
          <w:tab w:leader="none" w:pos="6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44" w:lineRule="exact"/>
        <w:rPr>
          <w:sz w:val="20"/>
          <w:szCs w:val="20"/>
          <w:color w:val="auto"/>
        </w:rPr>
      </w:pPr>
    </w:p>
    <w:p>
      <w:pPr>
        <w:ind w:firstLine="300"/>
        <w:spacing w:after="0" w:line="203"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46" w:lineRule="exact"/>
        <w:rPr>
          <w:sz w:val="20"/>
          <w:szCs w:val="20"/>
          <w:color w:val="auto"/>
        </w:rPr>
      </w:pPr>
    </w:p>
    <w:p>
      <w:pPr>
        <w:ind w:right="240"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4" w:lineRule="exact"/>
        <w:rPr>
          <w:sz w:val="20"/>
          <w:szCs w:val="20"/>
          <w:color w:val="auto"/>
        </w:rPr>
      </w:pPr>
    </w:p>
    <w:p>
      <w:pPr>
        <w:ind w:right="740"/>
        <w:spacing w:after="0" w:line="238"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w:t>
      </w:r>
    </w:p>
    <w:p>
      <w:pPr>
        <w:spacing w:after="0" w:line="238" w:lineRule="auto"/>
        <w:tabs>
          <w:tab w:leader="none" w:pos="1720" w:val="left"/>
          <w:tab w:leader="none" w:pos="3220" w:val="left"/>
          <w:tab w:leader="none" w:pos="4520" w:val="left"/>
          <w:tab w:leader="none" w:pos="6140" w:val="left"/>
        </w:tabs>
        <w:rPr>
          <w:sz w:val="20"/>
          <w:szCs w:val="20"/>
          <w:color w:val="auto"/>
        </w:rPr>
      </w:pPr>
      <w:r>
        <w:rPr>
          <w:rFonts w:ascii="Courier New" w:cs="Courier New" w:eastAsia="Courier New" w:hAnsi="Courier New"/>
          <w:sz w:val="18"/>
          <w:szCs w:val="18"/>
          <w:color w:val="auto"/>
        </w:rPr>
        <w:t>of this</w:t>
      </w:r>
      <w:r>
        <w:rPr>
          <w:sz w:val="20"/>
          <w:szCs w:val="20"/>
          <w:color w:val="auto"/>
        </w:rPr>
        <w:tab/>
      </w:r>
      <w:r>
        <w:rPr>
          <w:rFonts w:ascii="Courier New" w:cs="Courier New" w:eastAsia="Courier New" w:hAnsi="Courier New"/>
          <w:sz w:val="18"/>
          <w:szCs w:val="18"/>
          <w:color w:val="auto"/>
        </w:rPr>
        <w:t>25th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8"/>
          <w:szCs w:val="18"/>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-23495</wp:posOffset>
            </wp:positionV>
            <wp:extent cx="3361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1055" cy="8890"/>
                    </a:xfrm>
                    <a:prstGeom prst="rect">
                      <a:avLst/>
                    </a:prstGeom>
                    <a:noFill/>
                  </pic:spPr>
                </pic:pic>
              </a:graphicData>
            </a:graphic>
          </wp:anchor>
        </w:drawing>
      </w:r>
    </w:p>
    <w:p>
      <w:pPr>
        <w:spacing w:after="0" w:line="22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1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Rupert H. Johnson, Jr.</w:t>
      </w:r>
    </w:p>
    <w:p>
      <w:pPr>
        <w:ind w:left="5400"/>
        <w:spacing w:after="0" w:line="238" w:lineRule="auto"/>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20"/>
          </w:cols>
          <w:pgMar w:left="740" w:top="1352" w:right="1439" w:bottom="1440" w:gutter="0" w:footer="0" w:header="0"/>
        </w:sectPr>
      </w:pPr>
    </w:p>
    <w:bookmarkStart w:id="14" w:name="page15"/>
    <w:bookmarkEnd w:id="14"/>
    <w:p>
      <w:pPr>
        <w:ind w:left="500"/>
        <w:spacing w:after="0"/>
        <w:tabs>
          <w:tab w:leader="none" w:pos="4700" w:val="left"/>
          <w:tab w:leader="none" w:pos="8380" w:val="left"/>
        </w:tabs>
        <w:rPr>
          <w:sz w:val="20"/>
          <w:szCs w:val="20"/>
          <w:color w:val="auto"/>
        </w:rPr>
      </w:pPr>
      <w:r>
        <w:rPr>
          <w:rFonts w:ascii="Courier New" w:cs="Courier New" w:eastAsia="Courier New" w:hAnsi="Courier New"/>
          <w:sz w:val="18"/>
          <w:szCs w:val="18"/>
          <w:color w:val="auto"/>
        </w:rPr>
        <w:t>CUSIP NO. 776696106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13</w:t>
      </w:r>
    </w:p>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8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5240" w:type="dxa"/>
            <w:vAlign w:val="bottom"/>
            <w:gridSpan w:val="2"/>
          </w:tcPr>
          <w:p>
            <w:pPr>
              <w:spacing w:after="0"/>
              <w:rPr>
                <w:sz w:val="20"/>
                <w:szCs w:val="20"/>
                <w:color w:val="auto"/>
              </w:rPr>
            </w:pPr>
            <w:r>
              <w:rPr>
                <w:rFonts w:ascii="Courier New" w:cs="Courier New" w:eastAsia="Courier New" w:hAnsi="Courier New"/>
                <w:sz w:val="18"/>
                <w:szCs w:val="18"/>
                <w:color w:val="auto"/>
              </w:rPr>
              <w:t>Franklin Advisers, Inc.</w:t>
            </w:r>
          </w:p>
        </w:tc>
        <w:tc>
          <w:tcPr>
            <w:tcW w:w="1300" w:type="dxa"/>
            <w:vAlign w:val="bottom"/>
            <w:gridSpan w:val="2"/>
          </w:tcPr>
          <w:p>
            <w:pPr>
              <w:ind w:left="600"/>
              <w:spacing w:after="0"/>
              <w:rPr>
                <w:sz w:val="20"/>
                <w:szCs w:val="20"/>
                <w:color w:val="auto"/>
              </w:rPr>
            </w:pPr>
            <w:r>
              <w:rPr>
                <w:rFonts w:ascii="Courier New" w:cs="Courier New" w:eastAsia="Courier New" w:hAnsi="Courier New"/>
                <w:sz w:val="18"/>
                <w:szCs w:val="18"/>
                <w:color w:val="auto"/>
              </w:rPr>
              <w:t>Item 3</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46"/>
        </w:trPr>
        <w:tc>
          <w:tcPr>
            <w:tcW w:w="92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4320" w:type="dxa"/>
            <w:vAlign w:val="bottom"/>
          </w:tcPr>
          <w:p>
            <w:pPr>
              <w:ind w:left="60"/>
              <w:spacing w:after="0"/>
              <w:rPr>
                <w:sz w:val="20"/>
                <w:szCs w:val="20"/>
                <w:color w:val="auto"/>
              </w:rPr>
            </w:pPr>
            <w:r>
              <w:rPr>
                <w:rFonts w:ascii="Courier New" w:cs="Courier New" w:eastAsia="Courier New" w:hAnsi="Courier New"/>
                <w:sz w:val="18"/>
                <w:szCs w:val="18"/>
                <w:color w:val="auto"/>
              </w:rPr>
              <w:t>Advisory Services, LLC</w:t>
            </w:r>
          </w:p>
        </w:tc>
        <w:tc>
          <w:tcPr>
            <w:tcW w:w="1080" w:type="dxa"/>
            <w:vAlign w:val="bottom"/>
          </w:tcPr>
          <w:p>
            <w:pPr>
              <w:ind w:left="600"/>
              <w:spacing w:after="0"/>
              <w:rPr>
                <w:sz w:val="20"/>
                <w:szCs w:val="20"/>
                <w:color w:val="auto"/>
              </w:rPr>
            </w:pPr>
            <w:r>
              <w:rPr>
                <w:rFonts w:ascii="Courier New" w:cs="Courier New" w:eastAsia="Courier New" w:hAnsi="Courier New"/>
                <w:sz w:val="18"/>
                <w:szCs w:val="18"/>
                <w:color w:val="auto"/>
              </w:rPr>
              <w:t>Item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Classification:</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3(e)</w:t>
            </w:r>
          </w:p>
        </w:tc>
      </w:tr>
      <w:tr>
        <w:trPr>
          <w:trHeight w:val="446"/>
        </w:trPr>
        <w:tc>
          <w:tcPr>
            <w:tcW w:w="92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4320" w:type="dxa"/>
            <w:vAlign w:val="bottom"/>
          </w:tcPr>
          <w:p>
            <w:pPr>
              <w:ind w:left="60"/>
              <w:spacing w:after="0"/>
              <w:rPr>
                <w:sz w:val="20"/>
                <w:szCs w:val="20"/>
                <w:color w:val="auto"/>
              </w:rPr>
            </w:pPr>
            <w:r>
              <w:rPr>
                <w:rFonts w:ascii="Courier New" w:cs="Courier New" w:eastAsia="Courier New" w:hAnsi="Courier New"/>
                <w:sz w:val="18"/>
                <w:szCs w:val="18"/>
                <w:color w:val="auto"/>
              </w:rPr>
              <w:t>Templeton Portfolio Advisors, Inc.</w:t>
            </w:r>
          </w:p>
        </w:tc>
        <w:tc>
          <w:tcPr>
            <w:tcW w:w="1080" w:type="dxa"/>
            <w:vAlign w:val="bottom"/>
          </w:tcPr>
          <w:p>
            <w:pPr>
              <w:ind w:left="600"/>
              <w:spacing w:after="0"/>
              <w:rPr>
                <w:sz w:val="20"/>
                <w:szCs w:val="20"/>
                <w:color w:val="auto"/>
              </w:rPr>
            </w:pPr>
            <w:r>
              <w:rPr>
                <w:rFonts w:ascii="Courier New" w:cs="Courier New" w:eastAsia="Courier New" w:hAnsi="Courier New"/>
                <w:sz w:val="18"/>
                <w:szCs w:val="18"/>
                <w:color w:val="auto"/>
              </w:rPr>
              <w:t>Item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Classification:</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3(e)</w:t>
            </w:r>
          </w:p>
        </w:tc>
      </w:tr>
      <w:tr>
        <w:trPr>
          <w:trHeight w:val="432"/>
        </w:trPr>
        <w:tc>
          <w:tcPr>
            <w:tcW w:w="52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Fiduciary Trust Company International</w:t>
            </w:r>
          </w:p>
        </w:tc>
        <w:tc>
          <w:tcPr>
            <w:tcW w:w="3560" w:type="dxa"/>
            <w:vAlign w:val="bottom"/>
            <w:gridSpan w:val="4"/>
          </w:tcPr>
          <w:p>
            <w:pPr>
              <w:ind w:left="640"/>
              <w:spacing w:after="0"/>
              <w:rPr>
                <w:sz w:val="20"/>
                <w:szCs w:val="20"/>
                <w:color w:val="auto"/>
              </w:rPr>
            </w:pPr>
            <w:r>
              <w:rPr>
                <w:rFonts w:ascii="Courier New" w:cs="Courier New" w:eastAsia="Courier New" w:hAnsi="Courier New"/>
                <w:sz w:val="18"/>
                <w:szCs w:val="18"/>
                <w:color w:val="auto"/>
                <w:w w:val="99"/>
              </w:rPr>
              <w:t>Item 3 Classification: 3(b)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 to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242252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ectPr>
          <w:pgSz w:w="11900" w:h="16838" w:orient="portrait"/>
          <w:cols w:equalWidth="0" w:num="1">
            <w:col w:w="10219"/>
          </w:cols>
          <w:pgMar w:left="240" w:top="1109" w:right="1440" w:bottom="645"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[1]</w:t>
      </w:r>
    </w:p>
    <w:p>
      <w:pPr>
        <w:ind w:left="600" w:right="179" w:firstLine="150"/>
        <w:spacing w:after="0" w:line="238" w:lineRule="auto"/>
        <w:rPr>
          <w:sz w:val="20"/>
          <w:szCs w:val="20"/>
          <w:color w:val="auto"/>
        </w:rPr>
      </w:pPr>
      <w:r>
        <w:rPr>
          <w:rFonts w:ascii="Arial" w:cs="Arial" w:eastAsia="Arial" w:hAnsi="Arial"/>
          <w:sz w:val="18"/>
          <w:szCs w:val="18"/>
          <w:color w:val="auto"/>
        </w:rPr>
        <w:t>Franklin Templeton Portfolio Advisors, Inc. (“FTPA”) may beneficially own these securities pursuant to various separately managed account investment management arrangements. Under these arrangements, underlying clients may, from time to time, delegate to FTPA the power to vote such securities, in which case FTPA has sole voting power. To the extent that the underlying client retains voting power over any securities, FTPA disclaims any power to vote or direct the vote of such securities.</w:t>
      </w:r>
    </w:p>
    <w:sectPr>
      <w:pgSz w:w="11900" w:h="16838" w:orient="portrait"/>
      <w:cols w:equalWidth="0" w:num="1">
        <w:col w:w="10219"/>
      </w:cols>
      <w:pgMar w:left="240" w:top="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lvl w:ilvl="1">
      <w:lvlJc w:val="left"/>
      <w:lvlText w:val="(%2)"/>
      <w:numFmt w:val="lowerLetter"/>
      <w:start w:val="2"/>
    </w:lvl>
  </w:abstractNum>
  <w:abstractNum w:abstractNumId="3">
    <w:nsid w:val="431BD7B7"/>
    <w:multiLevelType w:val="hybridMultilevel"/>
    <w:lvl w:ilvl="0">
      <w:lvlJc w:val="left"/>
      <w:lvlText w:val="%1."/>
      <w:numFmt w:val="decimal"/>
      <w:start w:val="3"/>
    </w:lvl>
    <w:lvl w:ilvl="1">
      <w:lvlJc w:val="left"/>
      <w:lvlText w:val="%2"/>
      <w:numFmt w:val="lowerLetter"/>
      <w:start w:val="1"/>
    </w:lvl>
  </w:abstractNum>
  <w:abstractNum w:abstractNumId="4">
    <w:nsid w:val="3F2DBA31"/>
    <w:multiLevelType w:val="hybridMultilevel"/>
    <w:lvl w:ilvl="0">
      <w:lvlJc w:val="left"/>
      <w:lvlText w:val="%1"/>
      <w:numFmt w:val="decimal"/>
      <w:start w:val="1"/>
    </w:lvl>
    <w:lvl w:ilvl="1">
      <w:lvlJc w:val="left"/>
      <w:lvlText w:val="%2."/>
      <w:numFmt w:val="decimal"/>
      <w:start w:val="5"/>
    </w:lvl>
  </w:abstractNum>
  <w:abstractNum w:abstractNumId="5">
    <w:nsid w:val="7C83E458"/>
    <w:multiLevelType w:val="hybridMultilevel"/>
    <w:lvl w:ilvl="0">
      <w:lvlJc w:val="left"/>
      <w:lvlText w:val="%1."/>
      <w:numFmt w:val="decimal"/>
      <w:start w:val="9"/>
    </w:lvl>
    <w:lvl w:ilvl="1">
      <w:lvlJc w:val="left"/>
      <w:lvlText w:val="%2"/>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lvl w:ilvl="1">
      <w:lvlJc w:val="left"/>
      <w:lvlText w:val="(%2)"/>
      <w:numFmt w:val="lowerLetter"/>
      <w:start w:val="2"/>
    </w:lvl>
  </w:abstractNum>
  <w:abstractNum w:abstractNumId="8">
    <w:nsid w:val="436C6125"/>
    <w:multiLevelType w:val="hybridMultilevel"/>
    <w:lvl w:ilvl="0">
      <w:lvlJc w:val="left"/>
      <w:lvlText w:val="%1."/>
      <w:numFmt w:val="decimal"/>
      <w:start w:val="3"/>
    </w:lvl>
    <w:lvl w:ilvl="1">
      <w:lvlJc w:val="left"/>
      <w:lvlText w:val="%2"/>
      <w:numFmt w:val="lowerLetter"/>
      <w:start w:val="1"/>
    </w:lvl>
  </w:abstractNum>
  <w:abstractNum w:abstractNumId="9">
    <w:nsid w:val="628C895D"/>
    <w:multiLevelType w:val="hybridMultilevel"/>
    <w:lvl w:ilvl="0">
      <w:lvlJc w:val="left"/>
      <w:lvlText w:val="%1"/>
      <w:numFmt w:val="decimal"/>
      <w:start w:val="1"/>
    </w:lvl>
    <w:lvl w:ilvl="1">
      <w:lvlJc w:val="left"/>
      <w:lvlText w:val="%2."/>
      <w:numFmt w:val="decimal"/>
      <w:start w:val="5"/>
    </w:lvl>
  </w:abstractNum>
  <w:abstractNum w:abstractNumId="10">
    <w:nsid w:val="333AB105"/>
    <w:multiLevelType w:val="hybridMultilevel"/>
    <w:lvl w:ilvl="0">
      <w:lvlJc w:val="left"/>
      <w:lvlText w:val="%1."/>
      <w:numFmt w:val="decimal"/>
      <w:start w:val="9"/>
    </w:lvl>
    <w:lvl w:ilvl="1">
      <w:lvlJc w:val="left"/>
      <w:lvlText w:val="%2"/>
      <w:numFmt w:val="decimal"/>
      <w:start w:val="1"/>
    </w:lvl>
  </w:abstractNum>
  <w:abstractNum w:abstractNumId="11">
    <w:nsid w:val="721DA317"/>
    <w:multiLevelType w:val="hybridMultilevel"/>
    <w:lvl w:ilvl="0">
      <w:lvlJc w:val="left"/>
      <w:lvlText w:val="%1."/>
      <w:numFmt w:val="decimal"/>
      <w:start w:val="1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lvl w:ilvl="1">
      <w:lvlJc w:val="left"/>
      <w:lvlText w:val="(%2)"/>
      <w:numFmt w:val="lowerLetter"/>
      <w:start w:val="2"/>
    </w:lvl>
  </w:abstractNum>
  <w:abstractNum w:abstractNumId="14">
    <w:nsid w:val="6763845E"/>
    <w:multiLevelType w:val="hybridMultilevel"/>
    <w:lvl w:ilvl="0">
      <w:lvlJc w:val="left"/>
      <w:lvlText w:val="%1."/>
      <w:numFmt w:val="decimal"/>
      <w:start w:val="3"/>
    </w:lvl>
    <w:lvl w:ilvl="1">
      <w:lvlJc w:val="left"/>
      <w:lvlText w:val="%2"/>
      <w:numFmt w:val="lowerLetter"/>
      <w:start w:val="1"/>
    </w:lvl>
  </w:abstractNum>
  <w:abstractNum w:abstractNumId="15">
    <w:nsid w:val="75A2A8D4"/>
    <w:multiLevelType w:val="hybridMultilevel"/>
    <w:lvl w:ilvl="0">
      <w:lvlJc w:val="left"/>
      <w:lvlText w:val="%1."/>
      <w:numFmt w:val="decimal"/>
      <w:start w:val="5"/>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0"/>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2"/>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2"/>
    </w:lvl>
  </w:abstractNum>
  <w:abstractNum w:abstractNumId="22">
    <w:nsid w:val="71F32454"/>
    <w:multiLevelType w:val="hybridMultilevel"/>
    <w:lvl w:ilvl="0">
      <w:lvlJc w:val="left"/>
      <w:lvlText w:val="(%1)"/>
      <w:numFmt w:val="lowerLetter"/>
      <w:start w:val="3"/>
    </w:lvl>
  </w:abstractNum>
  <w:abstractNum w:abstractNumId="23">
    <w:nsid w:val="2CA88611"/>
    <w:multiLevelType w:val="hybridMultilevel"/>
    <w:lvl w:ilvl="0">
      <w:lvlJc w:val="left"/>
      <w:lvlText w:val="%1"/>
      <w:numFmt w:val="lowerLetter"/>
      <w:start w:val="1"/>
    </w:lvl>
    <w:lvl w:ilvl="1">
      <w:lvlJc w:val="left"/>
      <w:lvlText w:val="(%2)"/>
      <w:numFmt w:val="lowerLetter"/>
      <w:start w:val="35"/>
    </w:lvl>
  </w:abstractNum>
  <w:abstractNum w:abstractNumId="24">
    <w:nsid w:val="836C40E"/>
    <w:multiLevelType w:val="hybridMultilevel"/>
    <w:lvl w:ilvl="0">
      <w:lvlJc w:val="left"/>
      <w:lvlText w:val="(%1)"/>
      <w:numFmt w:val="lowerLetter"/>
      <w:start w:val="4"/>
    </w:lvl>
    <w:lvl w:ilvl="1">
      <w:lvlJc w:val="left"/>
      <w:lvlText w:val="%2"/>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Roman"/>
      <w:start w:val="2"/>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2020-01-26T01:22:35Z</dcterms:created>
  <dcterms:modified xsi:type="dcterms:W3CDTF">2020-01-26T01:22:35Z</dcterms:modified>
</cp:coreProperties>
</file>